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10q.htm"/>
        <w:bookmarkStart w:id="1" w:name="ksd10q"/>
        <w:bookmarkEnd w:id="0"/>
        <w:bookmarkEnd w:id="1"/>
        <w:r>
          <w:rPr>
            <w:rStyle w:val="InternetLink"/>
          </w:rPr>
          <w:t>Table of Contents</w:t>
        </w:r>
      </w:hyperlink>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45"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50" w:after="0"/>
        <w:jc w:val="center"/>
        <w:rPr>
          <w:rFonts w:ascii="Times New Roman" w:hAnsi="Times New Roman"/>
          <w:b/>
          <w:sz w:val="36"/>
        </w:rPr>
      </w:pPr>
      <w:r>
        <w:rPr>
          <w:rFonts w:ascii="Times New Roman" w:hAnsi="Times New Roman"/>
          <w:b/>
          <w:sz w:val="36"/>
        </w:rPr>
        <w:t xml:space="preserve">FORM 10-Q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QUARTERLY REPORT PURSUANT TO SECTION 13 OR 15(d) OF THE SECURITIES EXCHANGE ACT OF 1934 </w:t>
            </w:r>
          </w:p>
        </w:tc>
      </w:tr>
    </w:tbl>
    <w:p>
      <w:pPr>
        <w:pStyle w:val="TextBody"/>
        <w:spacing w:before="150" w:after="0"/>
        <w:jc w:val="center"/>
        <w:rPr>
          <w:rFonts w:ascii="Times New Roman" w:hAnsi="Times New Roman"/>
          <w:b/>
          <w:sz w:val="20"/>
        </w:rPr>
      </w:pPr>
      <w:r>
        <w:rPr>
          <w:rFonts w:ascii="Times New Roman" w:hAnsi="Times New Roman"/>
          <w:b/>
          <w:sz w:val="20"/>
        </w:rPr>
        <w:t xml:space="preserve">For the quarterly period ended June 30, 2010 </w:t>
      </w:r>
    </w:p>
    <w:p>
      <w:pPr>
        <w:pStyle w:val="TextBody"/>
        <w:spacing w:before="150" w:after="0"/>
        <w:jc w:val="center"/>
        <w:rPr>
          <w:rFonts w:ascii="Times New Roman" w:hAnsi="Times New Roman"/>
          <w:b/>
          <w:sz w:val="20"/>
        </w:rPr>
      </w:pPr>
      <w:r>
        <w:rPr>
          <w:rFonts w:ascii="Times New Roman" w:hAnsi="Times New Roman"/>
          <w:b/>
          <w:sz w:val="20"/>
        </w:rPr>
        <w:t xml:space="preserve">OR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spacing w:before="150" w:after="0"/>
        <w:jc w:val="center"/>
        <w:rPr>
          <w:rFonts w:ascii="Times New Roman" w:hAnsi="Times New Roman"/>
          <w:b/>
          <w:sz w:val="20"/>
        </w:rPr>
      </w:pPr>
      <w:r>
        <w:rPr>
          <w:rFonts w:ascii="Times New Roman" w:hAnsi="Times New Roman"/>
          <w:b/>
          <w:sz w:val="20"/>
        </w:rPr>
        <w:t xml:space="preserve">Commission file number: 1-14569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5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4"/>
        <w:gridCol w:w="201"/>
        <w:gridCol w:w="4900"/>
      </w:tblGrid>
      <w:tr>
        <w:trPr/>
        <w:tc>
          <w:tcPr>
            <w:tcW w:w="510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5104"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 of</w:t>
            </w:r>
          </w:p>
          <w:p>
            <w:pPr>
              <w:pStyle w:val="TableContents"/>
              <w:spacing w:before="0" w:after="15"/>
              <w:jc w:val="center"/>
              <w:rPr>
                <w:rFonts w:ascii="Times New Roman" w:hAnsi="Times New Roman"/>
                <w:b/>
                <w:sz w:val="14"/>
              </w:rPr>
            </w:pPr>
            <w:r>
              <w:rPr>
                <w:rFonts w:ascii="Times New Roman" w:hAnsi="Times New Roman"/>
                <w:b/>
                <w:sz w:val="14"/>
              </w:rPr>
              <w:t>incorporation or organization)</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r>
        <w:trPr>
          <w:trHeight w:val="240" w:hRule="atLeast"/>
        </w:trPr>
        <w:tc>
          <w:tcPr>
            <w:tcW w:w="5104" w:type="dxa"/>
            <w:tcBorders/>
            <w:shd w:fill="auto" w:val="clear"/>
            <w:vAlign w:val="center"/>
          </w:tcPr>
          <w:p>
            <w:pPr>
              <w:pStyle w:val="TableContents"/>
              <w:spacing w:before="0" w:after="283"/>
              <w:rPr>
                <w:sz w:val="4"/>
                <w:szCs w:val="4"/>
              </w:rPr>
            </w:pPr>
            <w:r>
              <w:rPr>
                <w:sz w:val="4"/>
                <w:szCs w:val="4"/>
              </w:rPr>
            </w:r>
          </w:p>
        </w:tc>
        <w:tc>
          <w:tcPr>
            <w:tcW w:w="5101" w:type="dxa"/>
            <w:gridSpan w:val="2"/>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333 Clay Street, Suite 1600, Houston, Texas</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77002</w:t>
            </w:r>
          </w:p>
        </w:tc>
      </w:tr>
      <w:tr>
        <w:trPr/>
        <w:tc>
          <w:tcPr>
            <w:tcW w:w="510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50" w:after="0"/>
        <w:jc w:val="center"/>
        <w:rPr>
          <w:rFonts w:ascii="Times New Roman" w:hAnsi="Times New Roman"/>
          <w:b/>
          <w:sz w:val="20"/>
        </w:rPr>
      </w:pPr>
      <w:r>
        <w:rPr>
          <w:rFonts w:ascii="Times New Roman" w:hAnsi="Times New Roman"/>
          <w:b/>
          <w:sz w:val="20"/>
        </w:rPr>
        <w:t xml:space="preserve">(713) 646-4100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50" w:after="0"/>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 </w:t>
      </w:r>
    </w:p>
    <w:p>
      <w:pPr>
        <w:pStyle w:val="TextBody"/>
        <w:spacing w:before="150" w:after="0"/>
        <w:rPr>
          <w:rFonts w:ascii="Times New Roman" w:hAnsi="Times New Roman"/>
          <w:sz w:val="20"/>
        </w:rPr>
      </w:pPr>
      <w:r>
        <w:rPr>
          <w:rFonts w:ascii="Times New Roman" w:hAnsi="Times New Roman"/>
          <w:sz w:val="20"/>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  Yes    ☐  No </w:t>
      </w:r>
    </w:p>
    <w:p>
      <w:pPr>
        <w:pStyle w:val="TextBody"/>
        <w:spacing w:before="150" w:after="0"/>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 </w:t>
      </w:r>
    </w:p>
    <w:p>
      <w:pPr>
        <w:pStyle w:val="TextBody"/>
        <w:spacing w:before="150" w:after="0"/>
        <w:jc w:val="center"/>
        <w:rPr>
          <w:rFonts w:ascii="Times New Roman" w:hAnsi="Times New Roman"/>
          <w:sz w:val="14"/>
        </w:rPr>
      </w:pPr>
      <w:r>
        <w:rPr>
          <w:rFonts w:ascii="Times New Roman" w:hAnsi="Times New Roman"/>
          <w:sz w:val="14"/>
        </w:rPr>
        <w:t xml:space="preserve">Large accelerated filer  ☒         Accelerated filer ☐        Non-accelerated filer  ☐  (Do not check if a smaller reporting company)        Smaller reporting company  ☐ </w:t>
      </w:r>
    </w:p>
    <w:p>
      <w:pPr>
        <w:pStyle w:val="TextBody"/>
        <w:spacing w:before="150" w:after="0"/>
        <w:rPr>
          <w:rFonts w:ascii="Times New Roman" w:hAnsi="Times New Roman"/>
          <w:sz w:val="20"/>
        </w:rPr>
      </w:pPr>
      <w:r>
        <w:rPr>
          <w:rFonts w:ascii="Times New Roman" w:hAnsi="Times New Roman"/>
          <w:sz w:val="20"/>
        </w:rPr>
        <w:t xml:space="preserve">Indicate by check mark whether the registrant is a shell company (as defined in Rule 12b-2 of the Exchange Act).    ☐  Yes    ☒  No </w:t>
      </w:r>
    </w:p>
    <w:p>
      <w:pPr>
        <w:pStyle w:val="TextBody"/>
        <w:spacing w:before="150" w:after="0"/>
        <w:rPr>
          <w:rFonts w:ascii="Times New Roman" w:hAnsi="Times New Roman"/>
          <w:sz w:val="20"/>
        </w:rPr>
      </w:pPr>
      <w:r>
        <w:rPr>
          <w:rFonts w:ascii="Times New Roman" w:hAnsi="Times New Roman"/>
          <w:sz w:val="20"/>
        </w:rPr>
        <w:t xml:space="preserve">As of August 2, 2010, there were 136,419,175 Common Units outstanding. The common units trade on the New York Stock Exchange under the ticker symbol PAA. </w:t>
      </w:r>
    </w:p>
    <w:p>
      <w:pPr>
        <w:pStyle w:val="TextBody"/>
        <w:spacing w:before="0" w:after="0"/>
        <w:rPr/>
      </w:pPr>
      <w:r>
        <w:rPr/>
        <w:t> </w:t>
      </w:r>
    </w:p>
    <w:p>
      <w:pPr>
        <w:pStyle w:val="TextBody"/>
        <w:pBdr>
          <w:bottom w:val="single" w:sz="4" w:space="1" w:color="000000"/>
        </w:pBdr>
        <w:spacing w:lineRule="atLeast" w:line="141"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PLAINS ALL AMERICAN PIPELINE, L.P. AND SUBSIDIARIES </w:t>
      </w:r>
    </w:p>
    <w:p>
      <w:pPr>
        <w:pStyle w:val="TextBody"/>
        <w:spacing w:before="18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541"/>
        <w:gridCol w:w="350"/>
        <w:gridCol w:w="314"/>
      </w:tblGrid>
      <w:tr>
        <w:trPr/>
        <w:tc>
          <w:tcPr>
            <w:tcW w:w="9541"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r>
      <w:tr>
        <w:trPr/>
        <w:tc>
          <w:tcPr>
            <w:tcW w:w="9541"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314"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Page</w:t>
            </w:r>
          </w:p>
        </w:tc>
      </w:tr>
      <w:tr>
        <w:trPr/>
        <w:tc>
          <w:tcPr>
            <w:tcW w:w="9541" w:type="dxa"/>
            <w:tcBorders/>
            <w:shd w:fill="auto" w:val="clear"/>
          </w:tcPr>
          <w:p>
            <w:pPr>
              <w:pStyle w:val="TableContents"/>
              <w:spacing w:before="0" w:after="283"/>
              <w:rPr/>
            </w:pPr>
            <w:hyperlink w:anchor="tx73093_1">
              <w:r>
                <w:rPr>
                  <w:rStyle w:val="InternetLink"/>
                  <w:rFonts w:ascii="Times New Roman" w:hAnsi="Times New Roman"/>
                  <w:b/>
                  <w:sz w:val="20"/>
                </w:rPr>
                <w:t xml:space="preserve">PART I. FINANCIAL INFORMATION </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r>
      <w:tr>
        <w:trPr/>
        <w:tc>
          <w:tcPr>
            <w:tcW w:w="9541" w:type="dxa"/>
            <w:tcBorders/>
            <w:shd w:fill="auto" w:val="clear"/>
          </w:tcPr>
          <w:p>
            <w:pPr>
              <w:pStyle w:val="TableContents"/>
              <w:spacing w:before="0" w:after="283"/>
              <w:rPr/>
            </w:pPr>
            <w:r>
              <w:rPr>
                <w:rFonts w:ascii="Times New Roman" w:hAnsi="Times New Roman"/>
                <w:sz w:val="20"/>
              </w:rPr>
              <w:t xml:space="preserve">Item 1. </w:t>
            </w:r>
            <w:hyperlink w:anchor="tx73093_2">
              <w:r>
                <w:rPr>
                  <w:rStyle w:val="InternetLink"/>
                  <w:rFonts w:ascii="Times New Roman" w:hAnsi="Times New Roman"/>
                  <w:sz w:val="20"/>
                </w:rPr>
                <w:t xml:space="preserve">UNAUDITED CONDENSED CONSOLIDATED FINANCIAL STATEMENTS: </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r>
      <w:tr>
        <w:trPr/>
        <w:tc>
          <w:tcPr>
            <w:tcW w:w="9541" w:type="dxa"/>
            <w:tcBorders/>
            <w:shd w:fill="auto" w:val="clear"/>
          </w:tcPr>
          <w:p>
            <w:pPr>
              <w:pStyle w:val="TableContents"/>
              <w:spacing w:before="0" w:after="283"/>
              <w:rPr/>
            </w:pPr>
            <w:hyperlink w:anchor="tx73093_3">
              <w:r>
                <w:rPr>
                  <w:rStyle w:val="InternetLink"/>
                  <w:rFonts w:ascii="Times New Roman" w:hAnsi="Times New Roman"/>
                  <w:sz w:val="20"/>
                </w:rPr>
                <w:t>Condensed Consolidated Balance Sheets: June 30, 2010 and December 31, 2009</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r>
      <w:tr>
        <w:trPr/>
        <w:tc>
          <w:tcPr>
            <w:tcW w:w="9541" w:type="dxa"/>
            <w:tcBorders/>
            <w:shd w:fill="auto" w:val="clear"/>
          </w:tcPr>
          <w:p>
            <w:pPr>
              <w:pStyle w:val="TableContents"/>
              <w:spacing w:before="0" w:after="283"/>
              <w:rPr/>
            </w:pPr>
            <w:hyperlink w:anchor="tx73093_4">
              <w:r>
                <w:rPr>
                  <w:rStyle w:val="InternetLink"/>
                  <w:rFonts w:ascii="Times New Roman" w:hAnsi="Times New Roman"/>
                  <w:sz w:val="20"/>
                </w:rPr>
                <w:t>Condensed Consolidated Statements of Operations: For the three and six months ended June  30, 2010 and 2009</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r>
      <w:tr>
        <w:trPr/>
        <w:tc>
          <w:tcPr>
            <w:tcW w:w="9541" w:type="dxa"/>
            <w:tcBorders/>
            <w:shd w:fill="auto" w:val="clear"/>
          </w:tcPr>
          <w:p>
            <w:pPr>
              <w:pStyle w:val="TableContents"/>
              <w:spacing w:before="0" w:after="283"/>
              <w:rPr/>
            </w:pPr>
            <w:hyperlink w:anchor="tx73093_5">
              <w:r>
                <w:rPr>
                  <w:rStyle w:val="InternetLink"/>
                  <w:rFonts w:ascii="Times New Roman" w:hAnsi="Times New Roman"/>
                  <w:sz w:val="20"/>
                </w:rPr>
                <w:t>Condensed Consolidated Statements of Cash Flows: For the six months ended June 30, 2010 and 2009</w:t>
              </w:r>
            </w:hyperlink>
            <w:r>
              <w:rPr>
                <w:rFonts w:ascii="Times New Roman" w:hAnsi="Times New Roman"/>
                <w:sz w:val="20"/>
              </w:rPr>
              <w:t xml:space="preserve"> </w:t>
            </w:r>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r>
      <w:tr>
        <w:trPr/>
        <w:tc>
          <w:tcPr>
            <w:tcW w:w="9541" w:type="dxa"/>
            <w:tcBorders/>
            <w:shd w:fill="auto" w:val="clear"/>
          </w:tcPr>
          <w:p>
            <w:pPr>
              <w:pStyle w:val="TableContents"/>
              <w:spacing w:before="0" w:after="283"/>
              <w:rPr/>
            </w:pPr>
            <w:hyperlink w:anchor="tx73093_6">
              <w:r>
                <w:rPr>
                  <w:rStyle w:val="InternetLink"/>
                  <w:rFonts w:ascii="Times New Roman" w:hAnsi="Times New Roman"/>
                  <w:sz w:val="20"/>
                </w:rPr>
                <w:t>Condensed Consolidated Statement of Partners Capital: For the six months ended June 30, 2010</w:t>
              </w:r>
            </w:hyperlink>
            <w:r>
              <w:rPr>
                <w:rFonts w:ascii="Times New Roman" w:hAnsi="Times New Roman"/>
                <w:sz w:val="20"/>
              </w:rPr>
              <w:t xml:space="preserve"> </w:t>
            </w:r>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r>
      <w:tr>
        <w:trPr/>
        <w:tc>
          <w:tcPr>
            <w:tcW w:w="9541" w:type="dxa"/>
            <w:tcBorders/>
            <w:shd w:fill="auto" w:val="clear"/>
          </w:tcPr>
          <w:p>
            <w:pPr>
              <w:pStyle w:val="TableContents"/>
              <w:spacing w:before="0" w:after="283"/>
              <w:rPr/>
            </w:pPr>
            <w:hyperlink w:anchor="tx73093_7">
              <w:r>
                <w:rPr>
                  <w:rStyle w:val="InternetLink"/>
                  <w:rFonts w:ascii="Times New Roman" w:hAnsi="Times New Roman"/>
                  <w:sz w:val="20"/>
                </w:rPr>
                <w:t>Condensed Consolidated Statements of Comprehensive Income: For the three and six months ended June  30, 2010 and 2009</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r>
      <w:tr>
        <w:trPr/>
        <w:tc>
          <w:tcPr>
            <w:tcW w:w="9541" w:type="dxa"/>
            <w:tcBorders/>
            <w:shd w:fill="auto" w:val="clear"/>
          </w:tcPr>
          <w:p>
            <w:pPr>
              <w:pStyle w:val="TableContents"/>
              <w:spacing w:before="0" w:after="283"/>
              <w:rPr/>
            </w:pPr>
            <w:hyperlink w:anchor="tx73093_8">
              <w:r>
                <w:rPr>
                  <w:rStyle w:val="InternetLink"/>
                  <w:rFonts w:ascii="Times New Roman" w:hAnsi="Times New Roman"/>
                  <w:sz w:val="20"/>
                </w:rPr>
                <w:t>Condensed Consolidated Statement of Changes in Accumulated Other Comprehensive Income: For the six months ended June 30, 2010</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r>
      <w:tr>
        <w:trPr/>
        <w:tc>
          <w:tcPr>
            <w:tcW w:w="9541" w:type="dxa"/>
            <w:tcBorders/>
            <w:shd w:fill="auto" w:val="clear"/>
          </w:tcPr>
          <w:p>
            <w:pPr>
              <w:pStyle w:val="TableContents"/>
              <w:spacing w:before="0" w:after="283"/>
              <w:rPr/>
            </w:pPr>
            <w:hyperlink w:anchor="tx73093_9">
              <w:r>
                <w:rPr>
                  <w:rStyle w:val="InternetLink"/>
                  <w:rFonts w:ascii="Times New Roman" w:hAnsi="Times New Roman"/>
                  <w:sz w:val="20"/>
                </w:rPr>
                <w:t>Notes to the Condensed Consolidated Financial Statements:</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r>
      <w:tr>
        <w:trPr/>
        <w:tc>
          <w:tcPr>
            <w:tcW w:w="9541" w:type="dxa"/>
            <w:tcBorders/>
            <w:shd w:fill="auto" w:val="clear"/>
          </w:tcPr>
          <w:p>
            <w:pPr>
              <w:pStyle w:val="TableContents"/>
              <w:spacing w:before="0" w:after="283"/>
              <w:rPr/>
            </w:pPr>
            <w:hyperlink w:anchor="tx73093_10">
              <w:r>
                <w:rPr>
                  <w:rStyle w:val="InternetLink"/>
                  <w:rFonts w:ascii="Times New Roman" w:hAnsi="Times New Roman"/>
                  <w:sz w:val="20"/>
                </w:rPr>
                <w:t>1. Organization and Basis of Presentation</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r>
      <w:tr>
        <w:trPr/>
        <w:tc>
          <w:tcPr>
            <w:tcW w:w="9541" w:type="dxa"/>
            <w:tcBorders/>
            <w:shd w:fill="auto" w:val="clear"/>
          </w:tcPr>
          <w:p>
            <w:pPr>
              <w:pStyle w:val="TableContents"/>
              <w:spacing w:before="0" w:after="283"/>
              <w:rPr/>
            </w:pPr>
            <w:hyperlink w:anchor="tx73093_11">
              <w:r>
                <w:rPr>
                  <w:rStyle w:val="InternetLink"/>
                  <w:rFonts w:ascii="Times New Roman" w:hAnsi="Times New Roman"/>
                  <w:sz w:val="20"/>
                </w:rPr>
                <w:t>2. Recent Accounting Pronouncements</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r>
      <w:tr>
        <w:trPr/>
        <w:tc>
          <w:tcPr>
            <w:tcW w:w="9541" w:type="dxa"/>
            <w:tcBorders/>
            <w:shd w:fill="auto" w:val="clear"/>
          </w:tcPr>
          <w:p>
            <w:pPr>
              <w:pStyle w:val="TableContents"/>
              <w:spacing w:before="0" w:after="283"/>
              <w:rPr/>
            </w:pPr>
            <w:hyperlink w:anchor="tx73093_12">
              <w:r>
                <w:rPr>
                  <w:rStyle w:val="InternetLink"/>
                  <w:rFonts w:ascii="Times New Roman" w:hAnsi="Times New Roman"/>
                  <w:sz w:val="20"/>
                </w:rPr>
                <w:t>3. Trade Accounts Receivable</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r>
      <w:tr>
        <w:trPr/>
        <w:tc>
          <w:tcPr>
            <w:tcW w:w="9541" w:type="dxa"/>
            <w:tcBorders/>
            <w:shd w:fill="auto" w:val="clear"/>
          </w:tcPr>
          <w:p>
            <w:pPr>
              <w:pStyle w:val="TableContents"/>
              <w:spacing w:before="0" w:after="283"/>
              <w:rPr/>
            </w:pPr>
            <w:hyperlink w:anchor="tx73093_13">
              <w:r>
                <w:rPr>
                  <w:rStyle w:val="InternetLink"/>
                  <w:rFonts w:ascii="Times New Roman" w:hAnsi="Times New Roman"/>
                  <w:sz w:val="20"/>
                </w:rPr>
                <w:t>4. Inventory, Linefill, Base Gas and Long-term Inventory</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r>
      <w:tr>
        <w:trPr/>
        <w:tc>
          <w:tcPr>
            <w:tcW w:w="9541" w:type="dxa"/>
            <w:tcBorders/>
            <w:shd w:fill="auto" w:val="clear"/>
          </w:tcPr>
          <w:p>
            <w:pPr>
              <w:pStyle w:val="TableContents"/>
              <w:spacing w:before="0" w:after="283"/>
              <w:rPr/>
            </w:pPr>
            <w:hyperlink w:anchor="tx73093_14">
              <w:r>
                <w:rPr>
                  <w:rStyle w:val="InternetLink"/>
                  <w:rFonts w:ascii="Times New Roman" w:hAnsi="Times New Roman"/>
                  <w:sz w:val="20"/>
                </w:rPr>
                <w:t>5. Debt</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r>
      <w:tr>
        <w:trPr/>
        <w:tc>
          <w:tcPr>
            <w:tcW w:w="9541" w:type="dxa"/>
            <w:tcBorders/>
            <w:shd w:fill="auto" w:val="clear"/>
          </w:tcPr>
          <w:p>
            <w:pPr>
              <w:pStyle w:val="TableContents"/>
              <w:spacing w:before="0" w:after="283"/>
              <w:rPr/>
            </w:pPr>
            <w:hyperlink w:anchor="tx73093_15">
              <w:r>
                <w:rPr>
                  <w:rStyle w:val="InternetLink"/>
                  <w:rFonts w:ascii="Times New Roman" w:hAnsi="Times New Roman"/>
                  <w:sz w:val="20"/>
                </w:rPr>
                <w:t>6. Net Income Per Limited Partner Unit</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r>
      <w:tr>
        <w:trPr/>
        <w:tc>
          <w:tcPr>
            <w:tcW w:w="9541" w:type="dxa"/>
            <w:tcBorders/>
            <w:shd w:fill="auto" w:val="clear"/>
          </w:tcPr>
          <w:p>
            <w:pPr>
              <w:pStyle w:val="TableContents"/>
              <w:spacing w:before="0" w:after="283"/>
              <w:rPr/>
            </w:pPr>
            <w:hyperlink w:anchor="tx73093_16">
              <w:r>
                <w:rPr>
                  <w:rStyle w:val="InternetLink"/>
                  <w:rFonts w:ascii="Times New Roman" w:hAnsi="Times New Roman"/>
                  <w:sz w:val="20"/>
                </w:rPr>
                <w:t>7. Partners Capital and Distributions</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r>
      <w:tr>
        <w:trPr/>
        <w:tc>
          <w:tcPr>
            <w:tcW w:w="9541" w:type="dxa"/>
            <w:tcBorders/>
            <w:shd w:fill="auto" w:val="clear"/>
          </w:tcPr>
          <w:p>
            <w:pPr>
              <w:pStyle w:val="TableContents"/>
              <w:spacing w:before="0" w:after="283"/>
              <w:rPr/>
            </w:pPr>
            <w:hyperlink w:anchor="tx73093_17">
              <w:r>
                <w:rPr>
                  <w:rStyle w:val="InternetLink"/>
                  <w:rFonts w:ascii="Times New Roman" w:hAnsi="Times New Roman"/>
                  <w:sz w:val="20"/>
                </w:rPr>
                <w:t>8. Equity Compensation Plans</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r>
      <w:tr>
        <w:trPr/>
        <w:tc>
          <w:tcPr>
            <w:tcW w:w="9541" w:type="dxa"/>
            <w:tcBorders/>
            <w:shd w:fill="auto" w:val="clear"/>
          </w:tcPr>
          <w:p>
            <w:pPr>
              <w:pStyle w:val="TableContents"/>
              <w:spacing w:before="0" w:after="283"/>
              <w:rPr/>
            </w:pPr>
            <w:hyperlink w:anchor="tx73093_18">
              <w:r>
                <w:rPr>
                  <w:rStyle w:val="InternetLink"/>
                  <w:rFonts w:ascii="Times New Roman" w:hAnsi="Times New Roman"/>
                  <w:sz w:val="20"/>
                </w:rPr>
                <w:t>9. Derivatives and Risk Management Activities</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r>
      <w:tr>
        <w:trPr/>
        <w:tc>
          <w:tcPr>
            <w:tcW w:w="9541" w:type="dxa"/>
            <w:tcBorders/>
            <w:shd w:fill="auto" w:val="clear"/>
          </w:tcPr>
          <w:p>
            <w:pPr>
              <w:pStyle w:val="TableContents"/>
              <w:spacing w:before="0" w:after="283"/>
              <w:rPr/>
            </w:pPr>
            <w:hyperlink w:anchor="tx73093_19">
              <w:r>
                <w:rPr>
                  <w:rStyle w:val="InternetLink"/>
                  <w:rFonts w:ascii="Times New Roman" w:hAnsi="Times New Roman"/>
                  <w:sz w:val="20"/>
                </w:rPr>
                <w:t xml:space="preserve">10. Commitments and Contingencies </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r>
      <w:tr>
        <w:trPr/>
        <w:tc>
          <w:tcPr>
            <w:tcW w:w="9541" w:type="dxa"/>
            <w:tcBorders/>
            <w:shd w:fill="auto" w:val="clear"/>
          </w:tcPr>
          <w:p>
            <w:pPr>
              <w:pStyle w:val="TableContents"/>
              <w:spacing w:before="0" w:after="283"/>
              <w:rPr/>
            </w:pPr>
            <w:hyperlink w:anchor="tx73093_20">
              <w:r>
                <w:rPr>
                  <w:rStyle w:val="InternetLink"/>
                  <w:rFonts w:ascii="Times New Roman" w:hAnsi="Times New Roman"/>
                  <w:sz w:val="20"/>
                </w:rPr>
                <w:t xml:space="preserve">11. Operating Segments </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r>
      <w:tr>
        <w:trPr/>
        <w:tc>
          <w:tcPr>
            <w:tcW w:w="9541" w:type="dxa"/>
            <w:tcBorders/>
            <w:shd w:fill="auto" w:val="clear"/>
          </w:tcPr>
          <w:p>
            <w:pPr>
              <w:pStyle w:val="TableContents"/>
              <w:spacing w:before="0" w:after="283"/>
              <w:rPr/>
            </w:pPr>
            <w:hyperlink w:anchor="tx73093_21">
              <w:r>
                <w:rPr>
                  <w:rStyle w:val="InternetLink"/>
                  <w:rFonts w:ascii="Times New Roman" w:hAnsi="Times New Roman"/>
                  <w:sz w:val="20"/>
                </w:rPr>
                <w:t xml:space="preserve">12. Supplemental Condensed Consolidating Financial Information </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r>
      <w:tr>
        <w:trPr/>
        <w:tc>
          <w:tcPr>
            <w:tcW w:w="9541" w:type="dxa"/>
            <w:tcBorders/>
            <w:shd w:fill="auto" w:val="clear"/>
          </w:tcPr>
          <w:p>
            <w:pPr>
              <w:pStyle w:val="TableContents"/>
              <w:spacing w:before="0" w:after="283"/>
              <w:rPr/>
            </w:pPr>
            <w:r>
              <w:rPr>
                <w:rFonts w:ascii="Times New Roman" w:hAnsi="Times New Roman"/>
                <w:sz w:val="20"/>
              </w:rPr>
              <w:t xml:space="preserve">Item 2. </w:t>
            </w:r>
            <w:hyperlink w:anchor="tx73093_22">
              <w:r>
                <w:rPr>
                  <w:rStyle w:val="InternetLink"/>
                  <w:rFonts w:ascii="Times New Roman" w:hAnsi="Times New Roman"/>
                  <w:sz w:val="20"/>
                </w:rPr>
                <w:t xml:space="preserve">MANAGEMENTS DISCUSSION AND ANALYSIS OF FINANCIAL CONDITION AND RESULTS OF OPERATIONS </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r>
      <w:tr>
        <w:trPr/>
        <w:tc>
          <w:tcPr>
            <w:tcW w:w="9541" w:type="dxa"/>
            <w:tcBorders/>
            <w:shd w:fill="auto" w:val="clear"/>
          </w:tcPr>
          <w:p>
            <w:pPr>
              <w:pStyle w:val="TableContents"/>
              <w:spacing w:before="0" w:after="283"/>
              <w:rPr/>
            </w:pPr>
            <w:r>
              <w:rPr>
                <w:rFonts w:ascii="Times New Roman" w:hAnsi="Times New Roman"/>
                <w:sz w:val="20"/>
              </w:rPr>
              <w:t xml:space="preserve">Item 3. </w:t>
            </w:r>
            <w:hyperlink w:anchor="tx73093_23">
              <w:r>
                <w:rPr>
                  <w:rStyle w:val="InternetLink"/>
                  <w:rFonts w:ascii="Times New Roman" w:hAnsi="Times New Roman"/>
                  <w:sz w:val="20"/>
                </w:rPr>
                <w:t xml:space="preserve">QUANTITATIVE AND QUALITATIVE DISCLOSURES ABOUT MARKET RISK </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r>
      <w:tr>
        <w:trPr/>
        <w:tc>
          <w:tcPr>
            <w:tcW w:w="9541" w:type="dxa"/>
            <w:tcBorders/>
            <w:shd w:fill="auto" w:val="clear"/>
          </w:tcPr>
          <w:p>
            <w:pPr>
              <w:pStyle w:val="TableContents"/>
              <w:spacing w:before="0" w:after="283"/>
              <w:rPr/>
            </w:pPr>
            <w:r>
              <w:rPr>
                <w:rFonts w:ascii="Times New Roman" w:hAnsi="Times New Roman"/>
                <w:sz w:val="20"/>
              </w:rPr>
              <w:t xml:space="preserve">Item 4. </w:t>
            </w:r>
            <w:hyperlink w:anchor="tx73093_24">
              <w:r>
                <w:rPr>
                  <w:rStyle w:val="InternetLink"/>
                  <w:rFonts w:ascii="Times New Roman" w:hAnsi="Times New Roman"/>
                  <w:sz w:val="20"/>
                </w:rPr>
                <w:t xml:space="preserve">CONTROLS AND PROCEDURES </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r>
      <w:tr>
        <w:trPr>
          <w:trHeight w:val="120" w:hRule="atLeast"/>
        </w:trPr>
        <w:tc>
          <w:tcPr>
            <w:tcW w:w="9541" w:type="dxa"/>
            <w:tcBorders/>
            <w:shd w:fill="auto" w:val="clear"/>
            <w:vAlign w:val="center"/>
          </w:tcPr>
          <w:p>
            <w:pPr>
              <w:pStyle w:val="TableContents"/>
              <w:spacing w:before="0" w:after="283"/>
              <w:rPr>
                <w:sz w:val="4"/>
                <w:szCs w:val="4"/>
              </w:rPr>
            </w:pPr>
            <w:r>
              <w:rPr>
                <w:sz w:val="4"/>
                <w:szCs w:val="4"/>
              </w:rPr>
            </w:r>
          </w:p>
        </w:tc>
        <w:tc>
          <w:tcPr>
            <w:tcW w:w="664" w:type="dxa"/>
            <w:gridSpan w:val="2"/>
            <w:tcBorders/>
            <w:shd w:fill="auto" w:val="clear"/>
            <w:vAlign w:val="center"/>
          </w:tcPr>
          <w:p>
            <w:pPr>
              <w:pStyle w:val="TableContents"/>
              <w:spacing w:before="0" w:after="283"/>
              <w:rPr>
                <w:sz w:val="4"/>
                <w:szCs w:val="4"/>
              </w:rPr>
            </w:pPr>
            <w:r>
              <w:rPr>
                <w:sz w:val="4"/>
                <w:szCs w:val="4"/>
              </w:rPr>
            </w:r>
          </w:p>
        </w:tc>
      </w:tr>
      <w:tr>
        <w:trPr/>
        <w:tc>
          <w:tcPr>
            <w:tcW w:w="9541" w:type="dxa"/>
            <w:tcBorders/>
            <w:shd w:fill="auto" w:val="clear"/>
          </w:tcPr>
          <w:p>
            <w:pPr>
              <w:pStyle w:val="TableContents"/>
              <w:spacing w:before="0" w:after="283"/>
              <w:rPr/>
            </w:pPr>
            <w:hyperlink w:anchor="tx73093_25">
              <w:r>
                <w:rPr>
                  <w:rStyle w:val="InternetLink"/>
                  <w:rFonts w:ascii="Times New Roman" w:hAnsi="Times New Roman"/>
                  <w:b/>
                  <w:sz w:val="20"/>
                </w:rPr>
                <w:t xml:space="preserve">PART II. OTHER INFORMATION </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r>
      <w:tr>
        <w:trPr/>
        <w:tc>
          <w:tcPr>
            <w:tcW w:w="9541" w:type="dxa"/>
            <w:tcBorders/>
            <w:shd w:fill="auto" w:val="clear"/>
          </w:tcPr>
          <w:p>
            <w:pPr>
              <w:pStyle w:val="TableContents"/>
              <w:spacing w:before="0" w:after="283"/>
              <w:rPr/>
            </w:pPr>
            <w:r>
              <w:rPr>
                <w:rFonts w:ascii="Times New Roman" w:hAnsi="Times New Roman"/>
                <w:sz w:val="20"/>
              </w:rPr>
              <w:t xml:space="preserve">Item 1. </w:t>
            </w:r>
            <w:hyperlink w:anchor="tx73093_26">
              <w:r>
                <w:rPr>
                  <w:rStyle w:val="InternetLink"/>
                  <w:rFonts w:ascii="Times New Roman" w:hAnsi="Times New Roman"/>
                  <w:sz w:val="20"/>
                </w:rPr>
                <w:t xml:space="preserve">LEGAL PROCEEDINGS </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r>
      <w:tr>
        <w:trPr/>
        <w:tc>
          <w:tcPr>
            <w:tcW w:w="9541" w:type="dxa"/>
            <w:tcBorders/>
            <w:shd w:fill="auto" w:val="clear"/>
          </w:tcPr>
          <w:p>
            <w:pPr>
              <w:pStyle w:val="TableContents"/>
              <w:spacing w:before="0" w:after="283"/>
              <w:rPr/>
            </w:pPr>
            <w:r>
              <w:rPr>
                <w:rFonts w:ascii="Times New Roman" w:hAnsi="Times New Roman"/>
                <w:sz w:val="20"/>
              </w:rPr>
              <w:t xml:space="preserve">Item 1A. </w:t>
            </w:r>
            <w:hyperlink w:anchor="tx73093_27">
              <w:r>
                <w:rPr>
                  <w:rStyle w:val="InternetLink"/>
                  <w:rFonts w:ascii="Times New Roman" w:hAnsi="Times New Roman"/>
                  <w:sz w:val="20"/>
                </w:rPr>
                <w:t xml:space="preserve">RISK FACTORS </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r>
      <w:tr>
        <w:trPr/>
        <w:tc>
          <w:tcPr>
            <w:tcW w:w="9541" w:type="dxa"/>
            <w:tcBorders/>
            <w:shd w:fill="auto" w:val="clear"/>
          </w:tcPr>
          <w:p>
            <w:pPr>
              <w:pStyle w:val="TableContents"/>
              <w:spacing w:before="0" w:after="283"/>
              <w:rPr/>
            </w:pPr>
            <w:r>
              <w:rPr>
                <w:rFonts w:ascii="Times New Roman" w:hAnsi="Times New Roman"/>
                <w:sz w:val="20"/>
              </w:rPr>
              <w:t xml:space="preserve">Item 2. </w:t>
            </w:r>
            <w:hyperlink w:anchor="tx73093_28">
              <w:r>
                <w:rPr>
                  <w:rStyle w:val="InternetLink"/>
                  <w:rFonts w:ascii="Times New Roman" w:hAnsi="Times New Roman"/>
                  <w:sz w:val="20"/>
                </w:rPr>
                <w:t xml:space="preserve">UNREGISTERED SALES OF EQUITY SECURITIES AND USE OF PROCEEDS </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r>
      <w:tr>
        <w:trPr/>
        <w:tc>
          <w:tcPr>
            <w:tcW w:w="9541" w:type="dxa"/>
            <w:tcBorders/>
            <w:shd w:fill="auto" w:val="clear"/>
          </w:tcPr>
          <w:p>
            <w:pPr>
              <w:pStyle w:val="TableContents"/>
              <w:spacing w:before="0" w:after="283"/>
              <w:rPr/>
            </w:pPr>
            <w:r>
              <w:rPr>
                <w:rFonts w:ascii="Times New Roman" w:hAnsi="Times New Roman"/>
                <w:sz w:val="20"/>
              </w:rPr>
              <w:t xml:space="preserve">Item 3. </w:t>
            </w:r>
            <w:hyperlink w:anchor="tx73093_29">
              <w:r>
                <w:rPr>
                  <w:rStyle w:val="InternetLink"/>
                  <w:rFonts w:ascii="Times New Roman" w:hAnsi="Times New Roman"/>
                  <w:sz w:val="20"/>
                </w:rPr>
                <w:t xml:space="preserve">DEFAULTS UPON SENIOR SECURITIES </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r>
      <w:tr>
        <w:trPr/>
        <w:tc>
          <w:tcPr>
            <w:tcW w:w="9541" w:type="dxa"/>
            <w:tcBorders/>
            <w:shd w:fill="auto" w:val="clear"/>
          </w:tcPr>
          <w:p>
            <w:pPr>
              <w:pStyle w:val="TableContents"/>
              <w:spacing w:before="0" w:after="283"/>
              <w:rPr/>
            </w:pPr>
            <w:r>
              <w:rPr>
                <w:rFonts w:ascii="Times New Roman" w:hAnsi="Times New Roman"/>
                <w:sz w:val="20"/>
              </w:rPr>
              <w:t xml:space="preserve">Item 4. </w:t>
            </w:r>
            <w:hyperlink w:anchor="tx73093_30">
              <w:r>
                <w:rPr>
                  <w:rStyle w:val="InternetLink"/>
                  <w:rFonts w:ascii="Times New Roman" w:hAnsi="Times New Roman"/>
                  <w:sz w:val="20"/>
                </w:rPr>
                <w:t xml:space="preserve">[REMOVED AND RESERVED] </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r>
      <w:tr>
        <w:trPr/>
        <w:tc>
          <w:tcPr>
            <w:tcW w:w="9541" w:type="dxa"/>
            <w:tcBorders/>
            <w:shd w:fill="auto" w:val="clear"/>
          </w:tcPr>
          <w:p>
            <w:pPr>
              <w:pStyle w:val="TableContents"/>
              <w:spacing w:before="0" w:after="283"/>
              <w:rPr/>
            </w:pPr>
            <w:r>
              <w:rPr>
                <w:rFonts w:ascii="Times New Roman" w:hAnsi="Times New Roman"/>
                <w:sz w:val="20"/>
              </w:rPr>
              <w:t xml:space="preserve">Item 5. </w:t>
            </w:r>
            <w:hyperlink w:anchor="tx73093_31">
              <w:r>
                <w:rPr>
                  <w:rStyle w:val="InternetLink"/>
                  <w:rFonts w:ascii="Times New Roman" w:hAnsi="Times New Roman"/>
                  <w:sz w:val="20"/>
                </w:rPr>
                <w:t xml:space="preserve">OTHER INFORMATION </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r>
      <w:tr>
        <w:trPr/>
        <w:tc>
          <w:tcPr>
            <w:tcW w:w="9541" w:type="dxa"/>
            <w:tcBorders/>
            <w:shd w:fill="auto" w:val="clear"/>
          </w:tcPr>
          <w:p>
            <w:pPr>
              <w:pStyle w:val="TableContents"/>
              <w:spacing w:before="0" w:after="283"/>
              <w:rPr/>
            </w:pPr>
            <w:r>
              <w:rPr>
                <w:rFonts w:ascii="Times New Roman" w:hAnsi="Times New Roman"/>
                <w:sz w:val="20"/>
              </w:rPr>
              <w:t xml:space="preserve">Item 6. </w:t>
            </w:r>
            <w:hyperlink w:anchor="tx73093_32">
              <w:r>
                <w:rPr>
                  <w:rStyle w:val="InternetLink"/>
                  <w:rFonts w:ascii="Times New Roman" w:hAnsi="Times New Roman"/>
                  <w:sz w:val="20"/>
                </w:rPr>
                <w:t xml:space="preserve">EXHIBITS </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r>
      <w:tr>
        <w:trPr/>
        <w:tc>
          <w:tcPr>
            <w:tcW w:w="9541" w:type="dxa"/>
            <w:tcBorders/>
            <w:shd w:fill="auto" w:val="clear"/>
          </w:tcPr>
          <w:p>
            <w:pPr>
              <w:pStyle w:val="TableContents"/>
              <w:spacing w:before="0" w:after="283"/>
              <w:rPr/>
            </w:pPr>
            <w:hyperlink w:anchor="tx73093_33">
              <w:r>
                <w:rPr>
                  <w:rStyle w:val="InternetLink"/>
                  <w:rFonts w:ascii="Times New Roman" w:hAnsi="Times New Roman"/>
                  <w:sz w:val="20"/>
                </w:rPr>
                <w:t xml:space="preserve">SIGNATURES </w:t>
              </w:r>
            </w:hyperlink>
          </w:p>
        </w:tc>
        <w:tc>
          <w:tcPr>
            <w:tcW w:w="35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tx73093_1"/>
      <w:bookmarkEnd w:id="3"/>
      <w:r>
        <w:rPr>
          <w:rFonts w:ascii="Times New Roman" w:hAnsi="Times New Roman"/>
          <w:b/>
          <w:sz w:val="20"/>
        </w:rPr>
        <w:t xml:space="preserve">PART I. FINANCIAL INFORMATION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4" w:name="tx73093_2"/>
            <w:bookmarkEnd w:id="4"/>
            <w:r>
              <w:rPr>
                <w:rFonts w:ascii="Times New Roman" w:hAnsi="Times New Roman"/>
                <w:b/>
                <w:sz w:val="20"/>
              </w:rPr>
              <w:t>Item 1.</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UNAUDITED CONDENSED CONSOLIDATED FINANCIAL STATEMENTS </w:t>
            </w:r>
          </w:p>
        </w:tc>
      </w:tr>
    </w:tbl>
    <w:p>
      <w:pPr>
        <w:pStyle w:val="TextBody"/>
        <w:spacing w:before="150" w:after="0"/>
        <w:jc w:val="center"/>
        <w:rPr>
          <w:rFonts w:ascii="Times New Roman" w:hAnsi="Times New Roman"/>
          <w:b/>
          <w:sz w:val="20"/>
        </w:rPr>
      </w:pPr>
      <w:bookmarkStart w:id="5" w:name="tx73093_3"/>
      <w:bookmarkEnd w:id="5"/>
      <w:r>
        <w:rPr>
          <w:rFonts w:ascii="Times New Roman" w:hAnsi="Times New Roman"/>
          <w:b/>
          <w:sz w:val="20"/>
        </w:rPr>
        <w:t xml:space="preserve">PLAINS ALL AMERICAN PIPELINE, L.P. AND SUBSIDIARIES </w:t>
      </w:r>
    </w:p>
    <w:p>
      <w:pPr>
        <w:pStyle w:val="TextBody"/>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spacing w:before="0" w:after="0"/>
        <w:jc w:val="center"/>
        <w:rPr>
          <w:rFonts w:ascii="Times New Roman" w:hAnsi="Times New Roman"/>
          <w:b/>
          <w:sz w:val="20"/>
        </w:rPr>
      </w:pPr>
      <w:r>
        <w:rPr>
          <w:rFonts w:ascii="Times New Roman" w:hAnsi="Times New Roman"/>
          <w:b/>
          <w:sz w:val="20"/>
        </w:rPr>
        <w:t xml:space="preserve">(in millions, except units)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672"/>
        <w:gridCol w:w="216"/>
        <w:gridCol w:w="125"/>
        <w:gridCol w:w="1315"/>
        <w:gridCol w:w="125"/>
        <w:gridCol w:w="184"/>
        <w:gridCol w:w="125"/>
        <w:gridCol w:w="1315"/>
        <w:gridCol w:w="128"/>
      </w:tblGrid>
      <w:tr>
        <w:trPr/>
        <w:tc>
          <w:tcPr>
            <w:tcW w:w="6672"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6672"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4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June 30,</w:t>
              <w:br/>
              <w:t>2010</w:t>
            </w:r>
          </w:p>
        </w:tc>
        <w:tc>
          <w:tcPr>
            <w:tcW w:w="12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44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December 31,</w:t>
              <w:br/>
              <w:t>2009</w:t>
            </w:r>
          </w:p>
        </w:tc>
        <w:tc>
          <w:tcPr>
            <w:tcW w:w="128" w:type="dxa"/>
            <w:tcBorders/>
            <w:shd w:fill="auto" w:val="clear"/>
            <w:vAlign w:val="bottom"/>
          </w:tcPr>
          <w:p>
            <w:pPr>
              <w:pStyle w:val="TableContents"/>
              <w:spacing w:before="0" w:after="283"/>
              <w:rPr/>
            </w:pPr>
            <w:r>
              <w:rPr/>
              <w:t> </w:t>
            </w:r>
          </w:p>
        </w:tc>
      </w:tr>
      <w:tr>
        <w:trPr/>
        <w:tc>
          <w:tcPr>
            <w:tcW w:w="6672"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4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(unaudited)</w:t>
            </w:r>
          </w:p>
        </w:tc>
        <w:tc>
          <w:tcPr>
            <w:tcW w:w="12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44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(unaudited)</w:t>
            </w:r>
          </w:p>
        </w:tc>
        <w:tc>
          <w:tcPr>
            <w:tcW w:w="128" w:type="dxa"/>
            <w:tcBorders/>
            <w:shd w:fill="auto" w:val="clear"/>
            <w:vAlign w:val="bottom"/>
          </w:tcPr>
          <w:p>
            <w:pPr>
              <w:pStyle w:val="TableContents"/>
              <w:spacing w:before="0" w:after="283"/>
              <w:rPr/>
            </w:pPr>
            <w:r>
              <w:rPr/>
              <w:t> </w:t>
            </w:r>
          </w:p>
        </w:tc>
      </w:tr>
      <w:tr>
        <w:trPr/>
        <w:tc>
          <w:tcPr>
            <w:tcW w:w="6672" w:type="dxa"/>
            <w:tcBorders/>
            <w:shd w:fill="CCEEFF" w:val="clear"/>
          </w:tcPr>
          <w:p>
            <w:pPr>
              <w:pStyle w:val="TableContents"/>
              <w:spacing w:before="0" w:after="283"/>
              <w:rPr>
                <w:rFonts w:ascii="Times New Roman" w:hAnsi="Times New Roman"/>
                <w:b/>
                <w:sz w:val="20"/>
              </w:rPr>
            </w:pPr>
            <w:r>
              <w:rPr>
                <w:rFonts w:ascii="Times New Roman" w:hAnsi="Times New Roman"/>
                <w:b/>
                <w:sz w:val="20"/>
              </w:rPr>
              <w:t>ASSETS</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1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15"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6672" w:type="dxa"/>
            <w:tcBorders/>
            <w:shd w:fill="auto" w:val="clea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1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15"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6672" w:type="dxa"/>
            <w:tcBorders/>
            <w:shd w:fill="CCEEFF" w:val="clear"/>
          </w:tcPr>
          <w:p>
            <w:pPr>
              <w:pStyle w:val="TableContents"/>
              <w:spacing w:before="0" w:after="283"/>
              <w:rPr>
                <w:rFonts w:ascii="Times New Roman" w:hAnsi="Times New Roman"/>
                <w:b/>
                <w:sz w:val="20"/>
              </w:rPr>
            </w:pPr>
            <w:r>
              <w:rPr>
                <w:rFonts w:ascii="Times New Roman" w:hAnsi="Times New Roman"/>
                <w:b/>
                <w:sz w:val="20"/>
              </w:rPr>
              <w:t>CURRENT ASSETS</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1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15"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6672"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8" w:type="dxa"/>
            <w:tcBorders/>
            <w:shd w:fill="auto" w:val="clear"/>
            <w:vAlign w:val="bottom"/>
          </w:tcPr>
          <w:p>
            <w:pPr>
              <w:pStyle w:val="TableContents"/>
              <w:spacing w:before="0" w:after="283"/>
              <w:rPr/>
            </w:pPr>
            <w:r>
              <w:rPr/>
              <w:t>  </w:t>
            </w:r>
          </w:p>
        </w:tc>
      </w:tr>
      <w:tr>
        <w:trPr/>
        <w:tc>
          <w:tcPr>
            <w:tcW w:w="6672" w:type="dxa"/>
            <w:tcBorders/>
            <w:shd w:fill="CCEEFF" w:val="clear"/>
          </w:tcPr>
          <w:p>
            <w:pPr>
              <w:pStyle w:val="TableContents"/>
              <w:spacing w:before="0" w:after="283"/>
              <w:rPr>
                <w:rFonts w:ascii="Times New Roman" w:hAnsi="Times New Roman"/>
                <w:sz w:val="20"/>
              </w:rPr>
            </w:pPr>
            <w:r>
              <w:rPr>
                <w:rFonts w:ascii="Times New Roman" w:hAnsi="Times New Roman"/>
                <w:sz w:val="20"/>
              </w:rPr>
              <w:t>Trade accounts receivable and other receivables, net</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1,937</w:t>
            </w:r>
          </w:p>
        </w:tc>
        <w:tc>
          <w:tcPr>
            <w:tcW w:w="12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2,253</w:t>
            </w:r>
          </w:p>
        </w:tc>
        <w:tc>
          <w:tcPr>
            <w:tcW w:w="128" w:type="dxa"/>
            <w:tcBorders/>
            <w:shd w:fill="CCEEFF" w:val="clear"/>
            <w:vAlign w:val="bottom"/>
          </w:tcPr>
          <w:p>
            <w:pPr>
              <w:pStyle w:val="TableContents"/>
              <w:spacing w:before="0" w:after="283"/>
              <w:rPr/>
            </w:pPr>
            <w:r>
              <w:rPr/>
              <w:t>  </w:t>
            </w:r>
          </w:p>
        </w:tc>
      </w:tr>
      <w:tr>
        <w:trPr/>
        <w:tc>
          <w:tcPr>
            <w:tcW w:w="6672" w:type="dxa"/>
            <w:tcBorders/>
            <w:shd w:fill="auto" w:val="clear"/>
          </w:tcPr>
          <w:p>
            <w:pPr>
              <w:pStyle w:val="TableContents"/>
              <w:spacing w:before="0" w:after="283"/>
              <w:rPr>
                <w:rFonts w:ascii="Times New Roman" w:hAnsi="Times New Roman"/>
                <w:sz w:val="20"/>
              </w:rPr>
            </w:pPr>
            <w:r>
              <w:rPr>
                <w:rFonts w:ascii="Times New Roman" w:hAnsi="Times New Roman"/>
                <w:sz w:val="20"/>
              </w:rPr>
              <w:t>Inventory</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1,483</w:t>
            </w:r>
          </w:p>
        </w:tc>
        <w:tc>
          <w:tcPr>
            <w:tcW w:w="12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1,157</w:t>
            </w:r>
          </w:p>
        </w:tc>
        <w:tc>
          <w:tcPr>
            <w:tcW w:w="128" w:type="dxa"/>
            <w:tcBorders/>
            <w:shd w:fill="auto" w:val="clear"/>
            <w:vAlign w:val="bottom"/>
          </w:tcPr>
          <w:p>
            <w:pPr>
              <w:pStyle w:val="TableContents"/>
              <w:spacing w:before="0" w:after="283"/>
              <w:rPr/>
            </w:pPr>
            <w:r>
              <w:rPr/>
              <w:t>  </w:t>
            </w:r>
          </w:p>
        </w:tc>
      </w:tr>
      <w:tr>
        <w:trPr/>
        <w:tc>
          <w:tcPr>
            <w:tcW w:w="6672" w:type="dxa"/>
            <w:tcBorders/>
            <w:shd w:fill="CCEEFF" w:val="clear"/>
          </w:tcPr>
          <w:p>
            <w:pPr>
              <w:pStyle w:val="TableContents"/>
              <w:spacing w:before="0" w:after="283"/>
              <w:rPr>
                <w:rFonts w:ascii="Times New Roman" w:hAnsi="Times New Roman"/>
                <w:sz w:val="20"/>
              </w:rPr>
            </w:pPr>
            <w:r>
              <w:rPr>
                <w:rFonts w:ascii="Times New Roman" w:hAnsi="Times New Roman"/>
                <w:sz w:val="20"/>
              </w:rPr>
              <w:t>Other current assets</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2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223</w:t>
            </w:r>
          </w:p>
        </w:tc>
        <w:tc>
          <w:tcPr>
            <w:tcW w:w="128" w:type="dxa"/>
            <w:tcBorders/>
            <w:shd w:fill="CCEEFF" w:val="clear"/>
            <w:vAlign w:val="bottom"/>
          </w:tcPr>
          <w:p>
            <w:pPr>
              <w:pStyle w:val="TableContents"/>
              <w:spacing w:before="0" w:after="283"/>
              <w:rPr/>
            </w:pPr>
            <w:r>
              <w:rPr/>
              <w:t>  </w:t>
            </w:r>
          </w:p>
        </w:tc>
      </w:tr>
      <w:tr>
        <w:trPr/>
        <w:tc>
          <w:tcPr>
            <w:tcW w:w="6672"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5"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672"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3,498</w:t>
            </w:r>
          </w:p>
        </w:tc>
        <w:tc>
          <w:tcPr>
            <w:tcW w:w="12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3,658</w:t>
            </w:r>
          </w:p>
        </w:tc>
        <w:tc>
          <w:tcPr>
            <w:tcW w:w="128" w:type="dxa"/>
            <w:tcBorders/>
            <w:shd w:fill="auto" w:val="clear"/>
            <w:vAlign w:val="bottom"/>
          </w:tcPr>
          <w:p>
            <w:pPr>
              <w:pStyle w:val="TableContents"/>
              <w:spacing w:before="0" w:after="283"/>
              <w:rPr/>
            </w:pPr>
            <w:r>
              <w:rPr/>
              <w:t>  </w:t>
            </w:r>
          </w:p>
        </w:tc>
      </w:tr>
      <w:tr>
        <w:trPr/>
        <w:tc>
          <w:tcPr>
            <w:tcW w:w="6672"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5"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672" w:type="dxa"/>
            <w:tcBorders/>
            <w:shd w:fill="CCEEFF" w:val="clear"/>
          </w:tcPr>
          <w:p>
            <w:pPr>
              <w:pStyle w:val="TableContents"/>
              <w:spacing w:before="0" w:after="283"/>
              <w:rPr>
                <w:sz w:val="4"/>
                <w:szCs w:val="4"/>
              </w:rPr>
            </w:pPr>
            <w:r>
              <w:rPr>
                <w:sz w:val="4"/>
                <w:szCs w:val="4"/>
              </w:rPr>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1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15"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6672" w:type="dxa"/>
            <w:tcBorders/>
            <w:shd w:fill="auto" w:val="clear"/>
          </w:tcPr>
          <w:p>
            <w:pPr>
              <w:pStyle w:val="TableContents"/>
              <w:spacing w:before="0" w:after="283"/>
              <w:rPr>
                <w:rFonts w:ascii="Times New Roman" w:hAnsi="Times New Roman"/>
                <w:b/>
                <w:sz w:val="20"/>
              </w:rPr>
            </w:pPr>
            <w:r>
              <w:rPr>
                <w:rFonts w:ascii="Times New Roman" w:hAnsi="Times New Roman"/>
                <w:b/>
                <w:sz w:val="20"/>
              </w:rPr>
              <w:t>PROPERTY AND EQUIPMENT</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7,417</w:t>
            </w:r>
          </w:p>
        </w:tc>
        <w:tc>
          <w:tcPr>
            <w:tcW w:w="12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7,240</w:t>
            </w:r>
          </w:p>
        </w:tc>
        <w:tc>
          <w:tcPr>
            <w:tcW w:w="128" w:type="dxa"/>
            <w:tcBorders/>
            <w:shd w:fill="auto" w:val="clear"/>
            <w:vAlign w:val="bottom"/>
          </w:tcPr>
          <w:p>
            <w:pPr>
              <w:pStyle w:val="TableContents"/>
              <w:spacing w:before="0" w:after="283"/>
              <w:rPr/>
            </w:pPr>
            <w:r>
              <w:rPr/>
              <w:t>  </w:t>
            </w:r>
          </w:p>
        </w:tc>
      </w:tr>
      <w:tr>
        <w:trPr/>
        <w:tc>
          <w:tcPr>
            <w:tcW w:w="6672"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depreciation</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(900</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72"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5"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672" w:type="dxa"/>
            <w:tcBorders/>
            <w:shd w:fill="auto" w:val="clea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6,410</w:t>
            </w:r>
          </w:p>
        </w:tc>
        <w:tc>
          <w:tcPr>
            <w:tcW w:w="12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6,340</w:t>
            </w:r>
          </w:p>
        </w:tc>
        <w:tc>
          <w:tcPr>
            <w:tcW w:w="128" w:type="dxa"/>
            <w:tcBorders/>
            <w:shd w:fill="auto" w:val="clear"/>
            <w:vAlign w:val="bottom"/>
          </w:tcPr>
          <w:p>
            <w:pPr>
              <w:pStyle w:val="TableContents"/>
              <w:spacing w:before="0" w:after="283"/>
              <w:rPr/>
            </w:pPr>
            <w:r>
              <w:rPr/>
              <w:t>  </w:t>
            </w:r>
          </w:p>
        </w:tc>
      </w:tr>
      <w:tr>
        <w:trPr/>
        <w:tc>
          <w:tcPr>
            <w:tcW w:w="6672"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5"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672" w:type="dxa"/>
            <w:tcBorders/>
            <w:shd w:fill="CCEEFF" w:val="clear"/>
          </w:tcPr>
          <w:p>
            <w:pPr>
              <w:pStyle w:val="TableContents"/>
              <w:spacing w:before="0" w:after="283"/>
              <w:rPr>
                <w:sz w:val="4"/>
                <w:szCs w:val="4"/>
              </w:rPr>
            </w:pPr>
            <w:r>
              <w:rPr>
                <w:sz w:val="4"/>
                <w:szCs w:val="4"/>
              </w:rPr>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1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15"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6672" w:type="dxa"/>
            <w:tcBorders/>
            <w:shd w:fill="auto" w:val="clear"/>
          </w:tcPr>
          <w:p>
            <w:pPr>
              <w:pStyle w:val="TableContents"/>
              <w:spacing w:before="0" w:after="283"/>
              <w:rPr>
                <w:rFonts w:ascii="Times New Roman" w:hAnsi="Times New Roman"/>
                <w:b/>
                <w:sz w:val="20"/>
              </w:rPr>
            </w:pPr>
            <w:r>
              <w:rPr>
                <w:rFonts w:ascii="Times New Roman" w:hAnsi="Times New Roman"/>
                <w:b/>
                <w:sz w:val="20"/>
              </w:rPr>
              <w:t>OTHER ASSETS</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1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15"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6672" w:type="dxa"/>
            <w:tcBorders/>
            <w:shd w:fill="CCEEFF" w:val="clear"/>
          </w:tcPr>
          <w:p>
            <w:pPr>
              <w:pStyle w:val="TableContents"/>
              <w:spacing w:before="0" w:after="283"/>
              <w:rPr>
                <w:rFonts w:ascii="Times New Roman" w:hAnsi="Times New Roman"/>
                <w:sz w:val="20"/>
              </w:rPr>
            </w:pPr>
            <w:r>
              <w:rPr>
                <w:rFonts w:ascii="Times New Roman" w:hAnsi="Times New Roman"/>
                <w:sz w:val="20"/>
              </w:rPr>
              <w:t>Linefill and base gas</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504</w:t>
            </w:r>
          </w:p>
        </w:tc>
        <w:tc>
          <w:tcPr>
            <w:tcW w:w="12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501</w:t>
            </w:r>
          </w:p>
        </w:tc>
        <w:tc>
          <w:tcPr>
            <w:tcW w:w="128" w:type="dxa"/>
            <w:tcBorders/>
            <w:shd w:fill="CCEEFF" w:val="clear"/>
            <w:vAlign w:val="bottom"/>
          </w:tcPr>
          <w:p>
            <w:pPr>
              <w:pStyle w:val="TableContents"/>
              <w:spacing w:before="0" w:after="283"/>
              <w:rPr/>
            </w:pPr>
            <w:r>
              <w:rPr/>
              <w:t>  </w:t>
            </w:r>
          </w:p>
        </w:tc>
      </w:tr>
      <w:tr>
        <w:trPr/>
        <w:tc>
          <w:tcPr>
            <w:tcW w:w="6672" w:type="dxa"/>
            <w:tcBorders/>
            <w:shd w:fill="auto" w:val="clear"/>
          </w:tcPr>
          <w:p>
            <w:pPr>
              <w:pStyle w:val="TableContents"/>
              <w:spacing w:before="0" w:after="283"/>
              <w:rPr>
                <w:rFonts w:ascii="Times New Roman" w:hAnsi="Times New Roman"/>
                <w:sz w:val="20"/>
              </w:rPr>
            </w:pPr>
            <w:r>
              <w:rPr>
                <w:rFonts w:ascii="Times New Roman" w:hAnsi="Times New Roman"/>
                <w:sz w:val="20"/>
              </w:rPr>
              <w:t>Long-term inventory</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12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w:t>
            </w:r>
          </w:p>
        </w:tc>
        <w:tc>
          <w:tcPr>
            <w:tcW w:w="128" w:type="dxa"/>
            <w:tcBorders/>
            <w:shd w:fill="auto" w:val="clear"/>
            <w:vAlign w:val="bottom"/>
          </w:tcPr>
          <w:p>
            <w:pPr>
              <w:pStyle w:val="TableContents"/>
              <w:spacing w:before="0" w:after="283"/>
              <w:rPr/>
            </w:pPr>
            <w:r>
              <w:rPr/>
              <w:t>  </w:t>
            </w:r>
          </w:p>
        </w:tc>
      </w:tr>
      <w:tr>
        <w:trPr/>
        <w:tc>
          <w:tcPr>
            <w:tcW w:w="6672"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1,285</w:t>
            </w:r>
          </w:p>
        </w:tc>
        <w:tc>
          <w:tcPr>
            <w:tcW w:w="12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1,287</w:t>
            </w:r>
          </w:p>
        </w:tc>
        <w:tc>
          <w:tcPr>
            <w:tcW w:w="128" w:type="dxa"/>
            <w:tcBorders/>
            <w:shd w:fill="CCEEFF" w:val="clear"/>
            <w:vAlign w:val="bottom"/>
          </w:tcPr>
          <w:p>
            <w:pPr>
              <w:pStyle w:val="TableContents"/>
              <w:spacing w:before="0" w:after="283"/>
              <w:rPr/>
            </w:pPr>
            <w:r>
              <w:rPr/>
              <w:t>  </w:t>
            </w:r>
          </w:p>
        </w:tc>
      </w:tr>
      <w:tr>
        <w:trPr/>
        <w:tc>
          <w:tcPr>
            <w:tcW w:w="6672" w:type="dxa"/>
            <w:tcBorders/>
            <w:shd w:fill="auto" w:val="clear"/>
          </w:tcPr>
          <w:p>
            <w:pPr>
              <w:pStyle w:val="TableContents"/>
              <w:spacing w:before="0" w:after="283"/>
              <w:rPr>
                <w:rFonts w:ascii="Times New Roman" w:hAnsi="Times New Roman"/>
                <w:sz w:val="20"/>
              </w:rPr>
            </w:pPr>
            <w:r>
              <w:rPr>
                <w:rFonts w:ascii="Times New Roman" w:hAnsi="Times New Roman"/>
                <w:sz w:val="20"/>
              </w:rPr>
              <w:t>Other, net</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553</w:t>
            </w:r>
          </w:p>
        </w:tc>
        <w:tc>
          <w:tcPr>
            <w:tcW w:w="12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451</w:t>
            </w:r>
          </w:p>
        </w:tc>
        <w:tc>
          <w:tcPr>
            <w:tcW w:w="128" w:type="dxa"/>
            <w:tcBorders/>
            <w:shd w:fill="auto" w:val="clear"/>
            <w:vAlign w:val="bottom"/>
          </w:tcPr>
          <w:p>
            <w:pPr>
              <w:pStyle w:val="TableContents"/>
              <w:spacing w:before="0" w:after="283"/>
              <w:rPr/>
            </w:pPr>
            <w:r>
              <w:rPr/>
              <w:t>  </w:t>
            </w:r>
          </w:p>
        </w:tc>
      </w:tr>
      <w:tr>
        <w:trPr/>
        <w:tc>
          <w:tcPr>
            <w:tcW w:w="6672"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5"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672"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15" w:type="dxa"/>
            <w:tcBorders/>
            <w:shd w:fill="CCEEFF" w:val="clear"/>
            <w:vAlign w:val="bottom"/>
          </w:tcPr>
          <w:p>
            <w:pPr>
              <w:pStyle w:val="TableContents"/>
              <w:spacing w:before="0" w:after="283"/>
              <w:jc w:val="right"/>
              <w:rPr/>
            </w:pPr>
            <w:r>
              <w:rPr/>
              <w:t>            </w:t>
            </w:r>
            <w:r>
              <w:rPr>
                <w:rFonts w:ascii="Times New Roman" w:hAnsi="Times New Roman"/>
                <w:sz w:val="20"/>
              </w:rPr>
              <w:t>12,368</w:t>
            </w:r>
          </w:p>
        </w:tc>
        <w:tc>
          <w:tcPr>
            <w:tcW w:w="12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15" w:type="dxa"/>
            <w:tcBorders/>
            <w:shd w:fill="CCEEFF" w:val="clear"/>
            <w:vAlign w:val="bottom"/>
          </w:tcPr>
          <w:p>
            <w:pPr>
              <w:pStyle w:val="TableContents"/>
              <w:spacing w:before="0" w:after="283"/>
              <w:jc w:val="right"/>
              <w:rPr/>
            </w:pPr>
            <w:r>
              <w:rPr/>
              <w:t>            </w:t>
            </w:r>
            <w:r>
              <w:rPr>
                <w:rFonts w:ascii="Times New Roman" w:hAnsi="Times New Roman"/>
                <w:sz w:val="20"/>
              </w:rPr>
              <w:t>12,358</w:t>
            </w:r>
          </w:p>
        </w:tc>
        <w:tc>
          <w:tcPr>
            <w:tcW w:w="128" w:type="dxa"/>
            <w:tcBorders/>
            <w:shd w:fill="CCEEFF" w:val="clear"/>
            <w:vAlign w:val="bottom"/>
          </w:tcPr>
          <w:p>
            <w:pPr>
              <w:pStyle w:val="TableContents"/>
              <w:spacing w:before="0" w:after="283"/>
              <w:rPr/>
            </w:pPr>
            <w:r>
              <w:rPr/>
              <w:t>  </w:t>
            </w:r>
          </w:p>
        </w:tc>
      </w:tr>
      <w:tr>
        <w:trPr/>
        <w:tc>
          <w:tcPr>
            <w:tcW w:w="6672"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31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315"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672" w:type="dxa"/>
            <w:tcBorders/>
            <w:shd w:fill="auto" w:val="clea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1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15"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6672" w:type="dxa"/>
            <w:tcBorders/>
            <w:shd w:fill="CCEEFF" w:val="clear"/>
          </w:tcPr>
          <w:p>
            <w:pPr>
              <w:pStyle w:val="TableContents"/>
              <w:spacing w:before="0" w:after="283"/>
              <w:rPr>
                <w:rFonts w:ascii="Times New Roman" w:hAnsi="Times New Roman"/>
                <w:b/>
                <w:sz w:val="20"/>
              </w:rPr>
            </w:pPr>
            <w:r>
              <w:rPr>
                <w:rFonts w:ascii="Times New Roman" w:hAnsi="Times New Roman"/>
                <w:b/>
                <w:sz w:val="20"/>
              </w:rPr>
              <w:t>LIABILITIES AND PARTNERS CAPITAL</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1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15"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6672" w:type="dxa"/>
            <w:tcBorders/>
            <w:shd w:fill="auto" w:val="clea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1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15"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6672" w:type="dxa"/>
            <w:tcBorders/>
            <w:shd w:fill="CCEEFF" w:val="clear"/>
          </w:tcPr>
          <w:p>
            <w:pPr>
              <w:pStyle w:val="TableContents"/>
              <w:spacing w:before="0" w:after="283"/>
              <w:rPr>
                <w:rFonts w:ascii="Times New Roman" w:hAnsi="Times New Roman"/>
                <w:b/>
                <w:sz w:val="20"/>
              </w:rPr>
            </w:pPr>
            <w:r>
              <w:rPr>
                <w:rFonts w:ascii="Times New Roman" w:hAnsi="Times New Roman"/>
                <w:b/>
                <w:sz w:val="20"/>
              </w:rPr>
              <w:t>CURRENT LIABILITIES</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1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15"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6672"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liabilities</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2,181</w:t>
            </w:r>
          </w:p>
        </w:tc>
        <w:tc>
          <w:tcPr>
            <w:tcW w:w="12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2,295</w:t>
            </w:r>
          </w:p>
        </w:tc>
        <w:tc>
          <w:tcPr>
            <w:tcW w:w="128" w:type="dxa"/>
            <w:tcBorders/>
            <w:shd w:fill="auto" w:val="clear"/>
            <w:vAlign w:val="bottom"/>
          </w:tcPr>
          <w:p>
            <w:pPr>
              <w:pStyle w:val="TableContents"/>
              <w:spacing w:before="0" w:after="283"/>
              <w:rPr/>
            </w:pPr>
            <w:r>
              <w:rPr/>
              <w:t>  </w:t>
            </w:r>
          </w:p>
        </w:tc>
      </w:tr>
      <w:tr>
        <w:trPr/>
        <w:tc>
          <w:tcPr>
            <w:tcW w:w="6672" w:type="dxa"/>
            <w:tcBorders/>
            <w:shd w:fill="CCEEFF" w:val="clear"/>
          </w:tcPr>
          <w:p>
            <w:pPr>
              <w:pStyle w:val="TableContents"/>
              <w:spacing w:before="0" w:after="283"/>
              <w:rPr>
                <w:rFonts w:ascii="Times New Roman" w:hAnsi="Times New Roman"/>
                <w:sz w:val="20"/>
              </w:rPr>
            </w:pPr>
            <w:r>
              <w:rPr>
                <w:rFonts w:ascii="Times New Roman" w:hAnsi="Times New Roman"/>
                <w:sz w:val="20"/>
              </w:rPr>
              <w:t>Short-term debt</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1,025</w:t>
            </w:r>
          </w:p>
        </w:tc>
        <w:tc>
          <w:tcPr>
            <w:tcW w:w="12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1,074</w:t>
            </w:r>
          </w:p>
        </w:tc>
        <w:tc>
          <w:tcPr>
            <w:tcW w:w="128" w:type="dxa"/>
            <w:tcBorders/>
            <w:shd w:fill="CCEEFF" w:val="clear"/>
            <w:vAlign w:val="bottom"/>
          </w:tcPr>
          <w:p>
            <w:pPr>
              <w:pStyle w:val="TableContents"/>
              <w:spacing w:before="0" w:after="283"/>
              <w:rPr/>
            </w:pPr>
            <w:r>
              <w:rPr/>
              <w:t>  </w:t>
            </w:r>
          </w:p>
        </w:tc>
      </w:tr>
      <w:tr>
        <w:trPr/>
        <w:tc>
          <w:tcPr>
            <w:tcW w:w="6672" w:type="dxa"/>
            <w:tcBorders/>
            <w:shd w:fill="auto" w:val="clear"/>
          </w:tcPr>
          <w:p>
            <w:pPr>
              <w:pStyle w:val="TableContents"/>
              <w:spacing w:before="0" w:after="283"/>
              <w:rPr>
                <w:rFonts w:ascii="Times New Roman" w:hAnsi="Times New Roman"/>
                <w:sz w:val="20"/>
              </w:rPr>
            </w:pPr>
            <w:r>
              <w:rPr>
                <w:rFonts w:ascii="Times New Roman" w:hAnsi="Times New Roman"/>
                <w:sz w:val="20"/>
              </w:rPr>
              <w:t>Other current liabilities</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w:t>
            </w:r>
          </w:p>
        </w:tc>
        <w:tc>
          <w:tcPr>
            <w:tcW w:w="12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413</w:t>
            </w:r>
          </w:p>
        </w:tc>
        <w:tc>
          <w:tcPr>
            <w:tcW w:w="128" w:type="dxa"/>
            <w:tcBorders/>
            <w:shd w:fill="auto" w:val="clear"/>
            <w:vAlign w:val="bottom"/>
          </w:tcPr>
          <w:p>
            <w:pPr>
              <w:pStyle w:val="TableContents"/>
              <w:spacing w:before="0" w:after="283"/>
              <w:rPr/>
            </w:pPr>
            <w:r>
              <w:rPr/>
              <w:t>  </w:t>
            </w:r>
          </w:p>
        </w:tc>
      </w:tr>
      <w:tr>
        <w:trPr/>
        <w:tc>
          <w:tcPr>
            <w:tcW w:w="6672"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5"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672"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3,377</w:t>
            </w:r>
          </w:p>
        </w:tc>
        <w:tc>
          <w:tcPr>
            <w:tcW w:w="12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3,782</w:t>
            </w:r>
          </w:p>
        </w:tc>
        <w:tc>
          <w:tcPr>
            <w:tcW w:w="128" w:type="dxa"/>
            <w:tcBorders/>
            <w:shd w:fill="CCEEFF" w:val="clear"/>
            <w:vAlign w:val="bottom"/>
          </w:tcPr>
          <w:p>
            <w:pPr>
              <w:pStyle w:val="TableContents"/>
              <w:spacing w:before="0" w:after="283"/>
              <w:rPr/>
            </w:pPr>
            <w:r>
              <w:rPr/>
              <w:t>  </w:t>
            </w:r>
          </w:p>
        </w:tc>
      </w:tr>
      <w:tr>
        <w:trPr/>
        <w:tc>
          <w:tcPr>
            <w:tcW w:w="6672"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5"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672" w:type="dxa"/>
            <w:tcBorders/>
            <w:shd w:fill="auto" w:val="clea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1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15"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6672" w:type="dxa"/>
            <w:tcBorders/>
            <w:shd w:fill="CCEEFF" w:val="clear"/>
          </w:tcPr>
          <w:p>
            <w:pPr>
              <w:pStyle w:val="TableContents"/>
              <w:spacing w:before="0" w:after="283"/>
              <w:rPr>
                <w:rFonts w:ascii="Times New Roman" w:hAnsi="Times New Roman"/>
                <w:b/>
                <w:sz w:val="20"/>
              </w:rPr>
            </w:pPr>
            <w:r>
              <w:rPr>
                <w:rFonts w:ascii="Times New Roman" w:hAnsi="Times New Roman"/>
                <w:b/>
                <w:sz w:val="20"/>
              </w:rPr>
              <w:t>LONG-TERM LIABILITIES</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1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15"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6672" w:type="dxa"/>
            <w:tcBorders/>
            <w:shd w:fill="auto" w:val="clear"/>
          </w:tcPr>
          <w:p>
            <w:pPr>
              <w:pStyle w:val="TableContents"/>
              <w:spacing w:before="0" w:after="283"/>
              <w:rPr>
                <w:rFonts w:ascii="Times New Roman" w:hAnsi="Times New Roman"/>
                <w:sz w:val="20"/>
              </w:rPr>
            </w:pPr>
            <w:r>
              <w:rPr>
                <w:rFonts w:ascii="Times New Roman" w:hAnsi="Times New Roman"/>
                <w:sz w:val="20"/>
              </w:rPr>
              <w:t>Senior notes, net of unamortized discount of $13 and $14, respectively</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4,137</w:t>
            </w:r>
          </w:p>
        </w:tc>
        <w:tc>
          <w:tcPr>
            <w:tcW w:w="12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4,136</w:t>
            </w:r>
          </w:p>
        </w:tc>
        <w:tc>
          <w:tcPr>
            <w:tcW w:w="128" w:type="dxa"/>
            <w:tcBorders/>
            <w:shd w:fill="auto" w:val="clear"/>
            <w:vAlign w:val="bottom"/>
          </w:tcPr>
          <w:p>
            <w:pPr>
              <w:pStyle w:val="TableContents"/>
              <w:spacing w:before="0" w:after="283"/>
              <w:rPr/>
            </w:pPr>
            <w:r>
              <w:rPr/>
              <w:t>  </w:t>
            </w:r>
          </w:p>
        </w:tc>
      </w:tr>
      <w:tr>
        <w:trPr/>
        <w:tc>
          <w:tcPr>
            <w:tcW w:w="6672"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 under credit facilities and other</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w:t>
            </w:r>
          </w:p>
        </w:tc>
        <w:tc>
          <w:tcPr>
            <w:tcW w:w="12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8" w:type="dxa"/>
            <w:tcBorders/>
            <w:shd w:fill="CCEEFF" w:val="clear"/>
            <w:vAlign w:val="bottom"/>
          </w:tcPr>
          <w:p>
            <w:pPr>
              <w:pStyle w:val="TableContents"/>
              <w:spacing w:before="0" w:after="283"/>
              <w:rPr/>
            </w:pPr>
            <w:r>
              <w:rPr/>
              <w:t>  </w:t>
            </w:r>
          </w:p>
        </w:tc>
      </w:tr>
      <w:tr>
        <w:trPr/>
        <w:tc>
          <w:tcPr>
            <w:tcW w:w="6672" w:type="dxa"/>
            <w:tcBorders/>
            <w:shd w:fill="auto" w:val="clear"/>
          </w:tcPr>
          <w:p>
            <w:pPr>
              <w:pStyle w:val="TableContents"/>
              <w:spacing w:before="0" w:after="283"/>
              <w:rPr>
                <w:rFonts w:ascii="Times New Roman" w:hAnsi="Times New Roman"/>
                <w:sz w:val="20"/>
              </w:rPr>
            </w:pPr>
            <w:r>
              <w:rPr>
                <w:rFonts w:ascii="Times New Roman" w:hAnsi="Times New Roman"/>
                <w:sz w:val="20"/>
              </w:rPr>
              <w:t>Other long-term liabilities and deferred credits</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226</w:t>
            </w:r>
          </w:p>
        </w:tc>
        <w:tc>
          <w:tcPr>
            <w:tcW w:w="12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w:t>
            </w:r>
          </w:p>
        </w:tc>
        <w:tc>
          <w:tcPr>
            <w:tcW w:w="128" w:type="dxa"/>
            <w:tcBorders/>
            <w:shd w:fill="auto" w:val="clear"/>
            <w:vAlign w:val="bottom"/>
          </w:tcPr>
          <w:p>
            <w:pPr>
              <w:pStyle w:val="TableContents"/>
              <w:spacing w:before="0" w:after="283"/>
              <w:rPr/>
            </w:pPr>
            <w:r>
              <w:rPr/>
              <w:t>  </w:t>
            </w:r>
          </w:p>
        </w:tc>
      </w:tr>
      <w:tr>
        <w:trPr/>
        <w:tc>
          <w:tcPr>
            <w:tcW w:w="6672"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5"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672" w:type="dxa"/>
            <w:tcBorders/>
            <w:shd w:fill="CCEEFF" w:val="clear"/>
          </w:tcPr>
          <w:p>
            <w:pPr>
              <w:pStyle w:val="TableContents"/>
              <w:spacing w:before="0" w:after="283"/>
              <w:rPr>
                <w:rFonts w:ascii="Times New Roman" w:hAnsi="Times New Roman"/>
                <w:sz w:val="20"/>
              </w:rPr>
            </w:pPr>
            <w:r>
              <w:rPr>
                <w:rFonts w:ascii="Times New Roman" w:hAnsi="Times New Roman"/>
                <w:sz w:val="20"/>
              </w:rPr>
              <w:t>Total long-term liabilities</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4,576</w:t>
            </w:r>
          </w:p>
        </w:tc>
        <w:tc>
          <w:tcPr>
            <w:tcW w:w="12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4,417</w:t>
            </w:r>
          </w:p>
        </w:tc>
        <w:tc>
          <w:tcPr>
            <w:tcW w:w="128" w:type="dxa"/>
            <w:tcBorders/>
            <w:shd w:fill="CCEEFF" w:val="clear"/>
            <w:vAlign w:val="bottom"/>
          </w:tcPr>
          <w:p>
            <w:pPr>
              <w:pStyle w:val="TableContents"/>
              <w:spacing w:before="0" w:after="283"/>
              <w:rPr/>
            </w:pPr>
            <w:r>
              <w:rPr/>
              <w:t>  </w:t>
            </w:r>
          </w:p>
        </w:tc>
      </w:tr>
      <w:tr>
        <w:trPr/>
        <w:tc>
          <w:tcPr>
            <w:tcW w:w="6672"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5"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672" w:type="dxa"/>
            <w:tcBorders/>
            <w:shd w:fill="auto" w:val="clea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1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15"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6672" w:type="dxa"/>
            <w:tcBorders/>
            <w:shd w:fill="CCEEFF" w:val="clear"/>
          </w:tcPr>
          <w:p>
            <w:pPr>
              <w:pStyle w:val="TableContents"/>
              <w:spacing w:before="0" w:after="283"/>
              <w:rPr>
                <w:rFonts w:ascii="Times New Roman" w:hAnsi="Times New Roman"/>
                <w:b/>
                <w:sz w:val="20"/>
              </w:rPr>
            </w:pPr>
            <w:r>
              <w:rPr>
                <w:rFonts w:ascii="Times New Roman" w:hAnsi="Times New Roman"/>
                <w:b/>
                <w:sz w:val="20"/>
              </w:rPr>
              <w:t>COMMITMENTS AND CONTINGENCIES (NOTE 10)</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1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15"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6672" w:type="dxa"/>
            <w:tcBorders/>
            <w:shd w:fill="auto" w:val="clea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1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15"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6672" w:type="dxa"/>
            <w:tcBorders/>
            <w:shd w:fill="CCEEFF" w:val="clear"/>
          </w:tcPr>
          <w:p>
            <w:pPr>
              <w:pStyle w:val="TableContents"/>
              <w:spacing w:before="0" w:after="283"/>
              <w:rPr>
                <w:rFonts w:ascii="Times New Roman" w:hAnsi="Times New Roman"/>
                <w:b/>
                <w:sz w:val="20"/>
              </w:rPr>
            </w:pPr>
            <w:r>
              <w:rPr>
                <w:rFonts w:ascii="Times New Roman" w:hAnsi="Times New Roman"/>
                <w:b/>
                <w:sz w:val="20"/>
              </w:rPr>
              <w:t>PARTNERS CAPITAL</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1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15"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6672" w:type="dxa"/>
            <w:tcBorders/>
            <w:shd w:fill="auto" w:val="clear"/>
          </w:tcPr>
          <w:p>
            <w:pPr>
              <w:pStyle w:val="TableContents"/>
              <w:spacing w:before="0" w:after="283"/>
              <w:rPr>
                <w:rFonts w:ascii="Times New Roman" w:hAnsi="Times New Roman"/>
                <w:sz w:val="20"/>
              </w:rPr>
            </w:pPr>
            <w:r>
              <w:rPr>
                <w:rFonts w:ascii="Times New Roman" w:hAnsi="Times New Roman"/>
                <w:sz w:val="20"/>
              </w:rPr>
              <w:t>Common unitholders (136,419,175 and 136,135,988 units outstanding, respectively)</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4,086</w:t>
            </w:r>
          </w:p>
        </w:tc>
        <w:tc>
          <w:tcPr>
            <w:tcW w:w="12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4,002</w:t>
            </w:r>
          </w:p>
        </w:tc>
        <w:tc>
          <w:tcPr>
            <w:tcW w:w="128" w:type="dxa"/>
            <w:tcBorders/>
            <w:shd w:fill="auto" w:val="clear"/>
            <w:vAlign w:val="bottom"/>
          </w:tcPr>
          <w:p>
            <w:pPr>
              <w:pStyle w:val="TableContents"/>
              <w:spacing w:before="0" w:after="283"/>
              <w:rPr/>
            </w:pPr>
            <w:r>
              <w:rPr/>
              <w:t>  </w:t>
            </w:r>
          </w:p>
        </w:tc>
      </w:tr>
      <w:tr>
        <w:trPr/>
        <w:tc>
          <w:tcPr>
            <w:tcW w:w="6672" w:type="dxa"/>
            <w:tcBorders/>
            <w:shd w:fill="CCEEFF" w:val="clear"/>
          </w:tcPr>
          <w:p>
            <w:pPr>
              <w:pStyle w:val="TableContents"/>
              <w:spacing w:before="0" w:after="283"/>
              <w:rPr>
                <w:rFonts w:ascii="Times New Roman" w:hAnsi="Times New Roman"/>
                <w:sz w:val="20"/>
              </w:rPr>
            </w:pPr>
            <w:r>
              <w:rPr>
                <w:rFonts w:ascii="Times New Roman" w:hAnsi="Times New Roman"/>
                <w:sz w:val="20"/>
              </w:rPr>
              <w:t>General partner</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w:t>
            </w:r>
          </w:p>
        </w:tc>
        <w:tc>
          <w:tcPr>
            <w:tcW w:w="12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128" w:type="dxa"/>
            <w:tcBorders/>
            <w:shd w:fill="CCEEFF" w:val="clear"/>
            <w:vAlign w:val="bottom"/>
          </w:tcPr>
          <w:p>
            <w:pPr>
              <w:pStyle w:val="TableContents"/>
              <w:spacing w:before="0" w:after="283"/>
              <w:rPr/>
            </w:pPr>
            <w:r>
              <w:rPr/>
              <w:t>  </w:t>
            </w:r>
          </w:p>
        </w:tc>
      </w:tr>
      <w:tr>
        <w:trPr/>
        <w:tc>
          <w:tcPr>
            <w:tcW w:w="6672"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5"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672" w:type="dxa"/>
            <w:tcBorders/>
            <w:shd w:fill="auto" w:val="clear"/>
          </w:tcPr>
          <w:p>
            <w:pPr>
              <w:pStyle w:val="TableContents"/>
              <w:spacing w:before="0" w:after="283"/>
              <w:rPr>
                <w:rFonts w:ascii="Times New Roman" w:hAnsi="Times New Roman"/>
                <w:sz w:val="20"/>
              </w:rPr>
            </w:pPr>
            <w:r>
              <w:rPr>
                <w:rFonts w:ascii="Times New Roman" w:hAnsi="Times New Roman"/>
                <w:sz w:val="20"/>
              </w:rPr>
              <w:t>Total partners capital excluding noncontrolling interests</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4,184</w:t>
            </w:r>
          </w:p>
        </w:tc>
        <w:tc>
          <w:tcPr>
            <w:tcW w:w="12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4,096</w:t>
            </w:r>
          </w:p>
        </w:tc>
        <w:tc>
          <w:tcPr>
            <w:tcW w:w="128" w:type="dxa"/>
            <w:tcBorders/>
            <w:shd w:fill="auto" w:val="clear"/>
            <w:vAlign w:val="bottom"/>
          </w:tcPr>
          <w:p>
            <w:pPr>
              <w:pStyle w:val="TableContents"/>
              <w:spacing w:before="0" w:after="283"/>
              <w:rPr/>
            </w:pPr>
            <w:r>
              <w:rPr/>
              <w:t>  </w:t>
            </w:r>
          </w:p>
        </w:tc>
      </w:tr>
      <w:tr>
        <w:trPr/>
        <w:tc>
          <w:tcPr>
            <w:tcW w:w="6672" w:type="dxa"/>
            <w:tcBorders/>
            <w:shd w:fill="CCEEFF" w:val="clear"/>
          </w:tcPr>
          <w:p>
            <w:pPr>
              <w:pStyle w:val="TableContents"/>
              <w:spacing w:before="0" w:after="283"/>
              <w:rPr>
                <w:rFonts w:ascii="Times New Roman" w:hAnsi="Times New Roman"/>
                <w:sz w:val="20"/>
              </w:rPr>
            </w:pPr>
            <w:r>
              <w:rPr>
                <w:rFonts w:ascii="Times New Roman" w:hAnsi="Times New Roman"/>
                <w:sz w:val="20"/>
              </w:rPr>
              <w:t>Noncontrolling interests</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w:t>
            </w:r>
          </w:p>
        </w:tc>
        <w:tc>
          <w:tcPr>
            <w:tcW w:w="12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28" w:type="dxa"/>
            <w:tcBorders/>
            <w:shd w:fill="CCEEFF" w:val="clear"/>
            <w:vAlign w:val="bottom"/>
          </w:tcPr>
          <w:p>
            <w:pPr>
              <w:pStyle w:val="TableContents"/>
              <w:spacing w:before="0" w:after="283"/>
              <w:rPr/>
            </w:pPr>
            <w:r>
              <w:rPr/>
              <w:t>  </w:t>
            </w:r>
          </w:p>
        </w:tc>
      </w:tr>
      <w:tr>
        <w:trPr/>
        <w:tc>
          <w:tcPr>
            <w:tcW w:w="6672"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5"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672" w:type="dxa"/>
            <w:tcBorders/>
            <w:shd w:fill="auto" w:val="clear"/>
          </w:tcPr>
          <w:p>
            <w:pPr>
              <w:pStyle w:val="TableContents"/>
              <w:spacing w:before="0" w:after="283"/>
              <w:rPr>
                <w:rFonts w:ascii="Times New Roman" w:hAnsi="Times New Roman"/>
                <w:sz w:val="20"/>
              </w:rPr>
            </w:pPr>
            <w:r>
              <w:rPr>
                <w:rFonts w:ascii="Times New Roman" w:hAnsi="Times New Roman"/>
                <w:sz w:val="20"/>
              </w:rPr>
              <w:t>Total partners capital</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4,415</w:t>
            </w:r>
          </w:p>
        </w:tc>
        <w:tc>
          <w:tcPr>
            <w:tcW w:w="12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4,159</w:t>
            </w:r>
          </w:p>
        </w:tc>
        <w:tc>
          <w:tcPr>
            <w:tcW w:w="128" w:type="dxa"/>
            <w:tcBorders/>
            <w:shd w:fill="auto" w:val="clear"/>
            <w:vAlign w:val="bottom"/>
          </w:tcPr>
          <w:p>
            <w:pPr>
              <w:pStyle w:val="TableContents"/>
              <w:spacing w:before="0" w:after="283"/>
              <w:rPr/>
            </w:pPr>
            <w:r>
              <w:rPr/>
              <w:t>  </w:t>
            </w:r>
          </w:p>
        </w:tc>
      </w:tr>
      <w:tr>
        <w:trPr/>
        <w:tc>
          <w:tcPr>
            <w:tcW w:w="6672"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5"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672"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 and partners capital</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12,368</w:t>
            </w:r>
          </w:p>
        </w:tc>
        <w:tc>
          <w:tcPr>
            <w:tcW w:w="12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12,358</w:t>
            </w:r>
          </w:p>
        </w:tc>
        <w:tc>
          <w:tcPr>
            <w:tcW w:w="128" w:type="dxa"/>
            <w:tcBorders/>
            <w:shd w:fill="CCEEFF" w:val="clear"/>
            <w:vAlign w:val="bottom"/>
          </w:tcPr>
          <w:p>
            <w:pPr>
              <w:pStyle w:val="TableContents"/>
              <w:spacing w:before="0" w:after="283"/>
              <w:rPr/>
            </w:pPr>
            <w:r>
              <w:rPr/>
              <w:t>  </w:t>
            </w:r>
          </w:p>
        </w:tc>
      </w:tr>
      <w:tr>
        <w:trPr/>
        <w:tc>
          <w:tcPr>
            <w:tcW w:w="6672"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31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315"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9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tx73093_4"/>
      <w:bookmarkEnd w:id="6"/>
      <w:r>
        <w:rPr>
          <w:rFonts w:ascii="Times New Roman" w:hAnsi="Times New Roman"/>
          <w:b/>
          <w:sz w:val="20"/>
        </w:rPr>
        <w:t xml:space="preserve">PLAINS ALL AMERICAN PIPELINE, L.P. AND SUBSIDIARIES </w:t>
      </w:r>
    </w:p>
    <w:p>
      <w:pPr>
        <w:pStyle w:val="TextBody"/>
        <w:spacing w:before="0" w:after="0"/>
        <w:jc w:val="center"/>
        <w:rPr>
          <w:rFonts w:ascii="Times New Roman" w:hAnsi="Times New Roman"/>
          <w:b/>
          <w:sz w:val="20"/>
        </w:rPr>
      </w:pPr>
      <w:r>
        <w:rPr>
          <w:rFonts w:ascii="Times New Roman" w:hAnsi="Times New Roman"/>
          <w:b/>
          <w:sz w:val="20"/>
        </w:rPr>
        <w:t xml:space="preserve">CONDENSED CONSOLIDATED STATEMENTS OF OPERATIONS </w:t>
      </w:r>
    </w:p>
    <w:p>
      <w:pPr>
        <w:pStyle w:val="TextBody"/>
        <w:spacing w:before="0" w:after="0"/>
        <w:jc w:val="center"/>
        <w:rPr>
          <w:rFonts w:ascii="Times New Roman" w:hAnsi="Times New Roman"/>
          <w:b/>
          <w:sz w:val="20"/>
        </w:rPr>
      </w:pPr>
      <w:r>
        <w:rPr>
          <w:rFonts w:ascii="Times New Roman" w:hAnsi="Times New Roman"/>
          <w:b/>
          <w:sz w:val="20"/>
        </w:rPr>
        <w:t xml:space="preserve">(in millions, except per unit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476"/>
        <w:gridCol w:w="94"/>
        <w:gridCol w:w="125"/>
        <w:gridCol w:w="1089"/>
        <w:gridCol w:w="125"/>
        <w:gridCol w:w="94"/>
        <w:gridCol w:w="125"/>
        <w:gridCol w:w="1089"/>
        <w:gridCol w:w="125"/>
        <w:gridCol w:w="94"/>
        <w:gridCol w:w="124"/>
        <w:gridCol w:w="1078"/>
        <w:gridCol w:w="125"/>
        <w:gridCol w:w="94"/>
        <w:gridCol w:w="125"/>
        <w:gridCol w:w="1089"/>
        <w:gridCol w:w="134"/>
      </w:tblGrid>
      <w:tr>
        <w:trPr/>
        <w:tc>
          <w:tcPr>
            <w:tcW w:w="4476"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r>
      <w:tr>
        <w:trPr/>
        <w:tc>
          <w:tcPr>
            <w:tcW w:w="447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647"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br/>
              <w:t>June 30,</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635"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w:t>
              <w:br/>
              <w:t>June 30,</w:t>
            </w:r>
          </w:p>
        </w:tc>
        <w:tc>
          <w:tcPr>
            <w:tcW w:w="134" w:type="dxa"/>
            <w:tcBorders/>
            <w:shd w:fill="auto" w:val="clear"/>
            <w:vAlign w:val="bottom"/>
          </w:tcPr>
          <w:p>
            <w:pPr>
              <w:pStyle w:val="TableContents"/>
              <w:spacing w:before="0" w:after="283"/>
              <w:rPr/>
            </w:pPr>
            <w:r>
              <w:rPr/>
              <w:t> </w:t>
            </w:r>
          </w:p>
        </w:tc>
      </w:tr>
      <w:tr>
        <w:trPr/>
        <w:tc>
          <w:tcPr>
            <w:tcW w:w="447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1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1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0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1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34" w:type="dxa"/>
            <w:tcBorders/>
            <w:shd w:fill="auto" w:val="clear"/>
            <w:vAlign w:val="bottom"/>
          </w:tcPr>
          <w:p>
            <w:pPr>
              <w:pStyle w:val="TableContents"/>
              <w:spacing w:before="0" w:after="283"/>
              <w:rPr/>
            </w:pPr>
            <w:r>
              <w:rPr/>
              <w:t> </w:t>
            </w:r>
          </w:p>
        </w:tc>
      </w:tr>
      <w:tr>
        <w:trPr/>
        <w:tc>
          <w:tcPr>
            <w:tcW w:w="447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647"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(unaudited)</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635"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(unaudited)</w:t>
            </w:r>
          </w:p>
        </w:tc>
        <w:tc>
          <w:tcPr>
            <w:tcW w:w="134" w:type="dxa"/>
            <w:tcBorders/>
            <w:shd w:fill="auto" w:val="clear"/>
            <w:vAlign w:val="bottom"/>
          </w:tcPr>
          <w:p>
            <w:pPr>
              <w:pStyle w:val="TableContents"/>
              <w:spacing w:before="0" w:after="283"/>
              <w:rPr/>
            </w:pPr>
            <w:r>
              <w:rPr/>
              <w:t> </w:t>
            </w:r>
          </w:p>
        </w:tc>
      </w:tr>
      <w:tr>
        <w:trPr/>
        <w:tc>
          <w:tcPr>
            <w:tcW w:w="4476" w:type="dxa"/>
            <w:tcBorders/>
            <w:shd w:fill="CCEEFF" w:val="clear"/>
          </w:tcPr>
          <w:p>
            <w:pPr>
              <w:pStyle w:val="TableContents"/>
              <w:spacing w:before="0" w:after="283"/>
              <w:rPr>
                <w:rFonts w:ascii="Times New Roman" w:hAnsi="Times New Roman"/>
                <w:b/>
                <w:sz w:val="20"/>
              </w:rPr>
            </w:pPr>
            <w:r>
              <w:rPr>
                <w:rFonts w:ascii="Times New Roman" w:hAnsi="Times New Roman"/>
                <w:b/>
                <w:sz w:val="20"/>
              </w:rPr>
              <w:t>REVENUES</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8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8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107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89" w:type="dxa"/>
            <w:tcBorders/>
            <w:shd w:fill="CCEEFF" w:val="clear"/>
            <w:vAlign w:val="bottom"/>
          </w:tcPr>
          <w:p>
            <w:pPr>
              <w:pStyle w:val="TableContents"/>
              <w:spacing w:before="0" w:after="283"/>
              <w:rPr>
                <w:sz w:val="4"/>
                <w:szCs w:val="4"/>
              </w:rPr>
            </w:pPr>
            <w:r>
              <w:rPr>
                <w:sz w:val="4"/>
                <w:szCs w:val="4"/>
              </w:rPr>
            </w:r>
          </w:p>
        </w:tc>
        <w:tc>
          <w:tcPr>
            <w:tcW w:w="134" w:type="dxa"/>
            <w:tcBorders/>
            <w:shd w:fill="CCEEFF" w:val="clear"/>
            <w:vAlign w:val="bottom"/>
          </w:tcPr>
          <w:p>
            <w:pPr>
              <w:pStyle w:val="TableContents"/>
              <w:spacing w:before="0" w:after="283"/>
              <w:rPr>
                <w:sz w:val="4"/>
                <w:szCs w:val="4"/>
              </w:rPr>
            </w:pPr>
            <w:r>
              <w:rPr>
                <w:sz w:val="4"/>
                <w:szCs w:val="4"/>
              </w:rPr>
            </w:r>
          </w:p>
        </w:tc>
      </w:tr>
      <w:tr>
        <w:trPr/>
        <w:tc>
          <w:tcPr>
            <w:tcW w:w="4476" w:type="dxa"/>
            <w:tcBorders/>
            <w:shd w:fill="auto" w:val="clear"/>
          </w:tcPr>
          <w:p>
            <w:pPr>
              <w:pStyle w:val="TableContents"/>
              <w:spacing w:before="0" w:after="283"/>
              <w:rPr>
                <w:rFonts w:ascii="Times New Roman" w:hAnsi="Times New Roman"/>
                <w:sz w:val="20"/>
              </w:rPr>
            </w:pPr>
            <w:r>
              <w:rPr>
                <w:rFonts w:ascii="Times New Roman" w:hAnsi="Times New Roman"/>
                <w:sz w:val="20"/>
              </w:rPr>
              <w:t>Supply &amp; Logistics segment revenues</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89" w:type="dxa"/>
            <w:tcBorders/>
            <w:shd w:fill="auto" w:val="clear"/>
            <w:vAlign w:val="bottom"/>
          </w:tcPr>
          <w:p>
            <w:pPr>
              <w:pStyle w:val="TableContents"/>
              <w:spacing w:before="0" w:after="283"/>
              <w:jc w:val="right"/>
              <w:rPr/>
            </w:pPr>
            <w:r>
              <w:rPr/>
              <w:t>          </w:t>
            </w:r>
            <w:r>
              <w:rPr>
                <w:rFonts w:ascii="Times New Roman" w:hAnsi="Times New Roman"/>
                <w:sz w:val="20"/>
              </w:rPr>
              <w:t>5,901</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89" w:type="dxa"/>
            <w:tcBorders/>
            <w:shd w:fill="auto" w:val="clear"/>
            <w:vAlign w:val="bottom"/>
          </w:tcPr>
          <w:p>
            <w:pPr>
              <w:pStyle w:val="TableContents"/>
              <w:spacing w:before="0" w:after="283"/>
              <w:jc w:val="right"/>
              <w:rPr/>
            </w:pPr>
            <w:r>
              <w:rPr/>
              <w:t>          </w:t>
            </w:r>
            <w:r>
              <w:rPr>
                <w:rFonts w:ascii="Times New Roman" w:hAnsi="Times New Roman"/>
                <w:sz w:val="20"/>
              </w:rPr>
              <w:t>4,099</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8" w:type="dxa"/>
            <w:tcBorders/>
            <w:shd w:fill="auto" w:val="clear"/>
            <w:vAlign w:val="bottom"/>
          </w:tcPr>
          <w:p>
            <w:pPr>
              <w:pStyle w:val="TableContents"/>
              <w:spacing w:before="0" w:after="283"/>
              <w:jc w:val="right"/>
              <w:rPr/>
            </w:pPr>
            <w:r>
              <w:rPr/>
              <w:t>        </w:t>
            </w:r>
            <w:r>
              <w:rPr>
                <w:rFonts w:ascii="Times New Roman" w:hAnsi="Times New Roman"/>
                <w:sz w:val="20"/>
              </w:rPr>
              <w:t>11,813</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89" w:type="dxa"/>
            <w:tcBorders/>
            <w:shd w:fill="auto" w:val="clear"/>
            <w:vAlign w:val="bottom"/>
          </w:tcPr>
          <w:p>
            <w:pPr>
              <w:pStyle w:val="TableContents"/>
              <w:spacing w:before="0" w:after="283"/>
              <w:jc w:val="right"/>
              <w:rPr/>
            </w:pPr>
            <w:r>
              <w:rPr/>
              <w:t>          </w:t>
            </w:r>
            <w:r>
              <w:rPr>
                <w:rFonts w:ascii="Times New Roman" w:hAnsi="Times New Roman"/>
                <w:sz w:val="20"/>
              </w:rPr>
              <w:t>7,231</w:t>
            </w:r>
          </w:p>
        </w:tc>
        <w:tc>
          <w:tcPr>
            <w:tcW w:w="134" w:type="dxa"/>
            <w:tcBorders/>
            <w:shd w:fill="auto" w:val="clear"/>
            <w:vAlign w:val="bottom"/>
          </w:tcPr>
          <w:p>
            <w:pPr>
              <w:pStyle w:val="TableContents"/>
              <w:spacing w:before="0" w:after="283"/>
              <w:rPr/>
            </w:pPr>
            <w:r>
              <w:rPr/>
              <w:t>  </w:t>
            </w:r>
          </w:p>
        </w:tc>
      </w:tr>
      <w:tr>
        <w:trPr/>
        <w:tc>
          <w:tcPr>
            <w:tcW w:w="4476" w:type="dxa"/>
            <w:tcBorders/>
            <w:shd w:fill="CCEEFF" w:val="clear"/>
          </w:tcPr>
          <w:p>
            <w:pPr>
              <w:pStyle w:val="TableContents"/>
              <w:spacing w:before="0" w:after="283"/>
              <w:rPr>
                <w:rFonts w:ascii="Times New Roman" w:hAnsi="Times New Roman"/>
                <w:sz w:val="20"/>
              </w:rPr>
            </w:pPr>
            <w:r>
              <w:rPr>
                <w:rFonts w:ascii="Times New Roman" w:hAnsi="Times New Roman"/>
                <w:sz w:val="20"/>
              </w:rPr>
              <w:t>Transportation segment revenues</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277</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254</w:t>
            </w:r>
          </w:p>
        </w:tc>
        <w:tc>
          <w:tcPr>
            <w:tcW w:w="134" w:type="dxa"/>
            <w:tcBorders/>
            <w:shd w:fill="CCEEFF" w:val="clear"/>
            <w:vAlign w:val="bottom"/>
          </w:tcPr>
          <w:p>
            <w:pPr>
              <w:pStyle w:val="TableContents"/>
              <w:spacing w:before="0" w:after="283"/>
              <w:rPr/>
            </w:pPr>
            <w:r>
              <w:rPr/>
              <w:t>  </w:t>
            </w:r>
          </w:p>
        </w:tc>
      </w:tr>
      <w:tr>
        <w:trPr/>
        <w:tc>
          <w:tcPr>
            <w:tcW w:w="4476" w:type="dxa"/>
            <w:tcBorders/>
            <w:shd w:fill="auto" w:val="clear"/>
          </w:tcPr>
          <w:p>
            <w:pPr>
              <w:pStyle w:val="TableContents"/>
              <w:spacing w:before="0" w:after="283"/>
              <w:rPr>
                <w:rFonts w:ascii="Times New Roman" w:hAnsi="Times New Roman"/>
                <w:sz w:val="20"/>
              </w:rPr>
            </w:pPr>
            <w:r>
              <w:rPr>
                <w:rFonts w:ascii="Times New Roman" w:hAnsi="Times New Roman"/>
                <w:sz w:val="20"/>
              </w:rPr>
              <w:t>Facilities segment revenues</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0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158</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34" w:type="dxa"/>
            <w:tcBorders/>
            <w:shd w:fill="auto" w:val="clear"/>
            <w:vAlign w:val="bottom"/>
          </w:tcPr>
          <w:p>
            <w:pPr>
              <w:pStyle w:val="TableContents"/>
              <w:spacing w:before="0" w:after="283"/>
              <w:rPr/>
            </w:pPr>
            <w:r>
              <w:rPr/>
              <w:t>  </w:t>
            </w:r>
          </w:p>
        </w:tc>
      </w:tr>
      <w:tr>
        <w:trPr/>
        <w:tc>
          <w:tcPr>
            <w:tcW w:w="4476"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8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8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107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89" w:type="dxa"/>
            <w:tcBorders>
              <w:top w:val="single" w:sz="2"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76"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6,124</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4,282</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12,248</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7,585</w:t>
            </w:r>
          </w:p>
        </w:tc>
        <w:tc>
          <w:tcPr>
            <w:tcW w:w="134" w:type="dxa"/>
            <w:tcBorders/>
            <w:shd w:fill="CCEEFF" w:val="clear"/>
            <w:vAlign w:val="bottom"/>
          </w:tcPr>
          <w:p>
            <w:pPr>
              <w:pStyle w:val="TableContents"/>
              <w:spacing w:before="0" w:after="283"/>
              <w:rPr/>
            </w:pPr>
            <w:r>
              <w:rPr/>
              <w:t>  </w:t>
            </w:r>
          </w:p>
        </w:tc>
      </w:tr>
      <w:tr>
        <w:trPr/>
        <w:tc>
          <w:tcPr>
            <w:tcW w:w="4476" w:type="dxa"/>
            <w:tcBorders/>
            <w:shd w:fill="auto" w:val="clea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10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r>
      <w:tr>
        <w:trPr/>
        <w:tc>
          <w:tcPr>
            <w:tcW w:w="4476" w:type="dxa"/>
            <w:tcBorders/>
            <w:shd w:fill="CCEEFF" w:val="clear"/>
          </w:tcPr>
          <w:p>
            <w:pPr>
              <w:pStyle w:val="TableContents"/>
              <w:spacing w:before="0" w:after="283"/>
              <w:rPr>
                <w:rFonts w:ascii="Times New Roman" w:hAnsi="Times New Roman"/>
                <w:b/>
                <w:sz w:val="20"/>
              </w:rPr>
            </w:pPr>
            <w:r>
              <w:rPr>
                <w:rFonts w:ascii="Times New Roman" w:hAnsi="Times New Roman"/>
                <w:b/>
                <w:sz w:val="20"/>
              </w:rPr>
              <w:t>COSTS AND EXPENSES</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8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8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107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89" w:type="dxa"/>
            <w:tcBorders/>
            <w:shd w:fill="CCEEFF" w:val="clear"/>
            <w:vAlign w:val="bottom"/>
          </w:tcPr>
          <w:p>
            <w:pPr>
              <w:pStyle w:val="TableContents"/>
              <w:spacing w:before="0" w:after="283"/>
              <w:rPr>
                <w:sz w:val="4"/>
                <w:szCs w:val="4"/>
              </w:rPr>
            </w:pPr>
            <w:r>
              <w:rPr>
                <w:sz w:val="4"/>
                <w:szCs w:val="4"/>
              </w:rPr>
            </w:r>
          </w:p>
        </w:tc>
        <w:tc>
          <w:tcPr>
            <w:tcW w:w="134" w:type="dxa"/>
            <w:tcBorders/>
            <w:shd w:fill="CCEEFF" w:val="clear"/>
            <w:vAlign w:val="bottom"/>
          </w:tcPr>
          <w:p>
            <w:pPr>
              <w:pStyle w:val="TableContents"/>
              <w:spacing w:before="0" w:after="283"/>
              <w:rPr>
                <w:sz w:val="4"/>
                <w:szCs w:val="4"/>
              </w:rPr>
            </w:pPr>
            <w:r>
              <w:rPr>
                <w:sz w:val="4"/>
                <w:szCs w:val="4"/>
              </w:rPr>
            </w:r>
          </w:p>
        </w:tc>
      </w:tr>
      <w:tr>
        <w:trPr/>
        <w:tc>
          <w:tcPr>
            <w:tcW w:w="4476" w:type="dxa"/>
            <w:tcBorders/>
            <w:shd w:fill="auto" w:val="clear"/>
          </w:tcPr>
          <w:p>
            <w:pPr>
              <w:pStyle w:val="TableContents"/>
              <w:spacing w:before="0" w:after="283"/>
              <w:rPr>
                <w:rFonts w:ascii="Times New Roman" w:hAnsi="Times New Roman"/>
                <w:sz w:val="20"/>
              </w:rPr>
            </w:pPr>
            <w:r>
              <w:rPr>
                <w:rFonts w:ascii="Times New Roman" w:hAnsi="Times New Roman"/>
                <w:sz w:val="20"/>
              </w:rPr>
              <w:t>Purchases and related costs</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5,641</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3,829</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0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11,263</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6,619</w:t>
            </w:r>
          </w:p>
        </w:tc>
        <w:tc>
          <w:tcPr>
            <w:tcW w:w="134" w:type="dxa"/>
            <w:tcBorders/>
            <w:shd w:fill="auto" w:val="clear"/>
            <w:vAlign w:val="bottom"/>
          </w:tcPr>
          <w:p>
            <w:pPr>
              <w:pStyle w:val="TableContents"/>
              <w:spacing w:before="0" w:after="283"/>
              <w:rPr/>
            </w:pPr>
            <w:r>
              <w:rPr/>
              <w:t>  </w:t>
            </w:r>
          </w:p>
        </w:tc>
      </w:tr>
      <w:tr>
        <w:trPr/>
        <w:tc>
          <w:tcPr>
            <w:tcW w:w="4476" w:type="dxa"/>
            <w:tcBorders/>
            <w:shd w:fill="CCEEFF" w:val="clear"/>
          </w:tcPr>
          <w:p>
            <w:pPr>
              <w:pStyle w:val="TableContents"/>
              <w:spacing w:before="0" w:after="283"/>
              <w:rPr>
                <w:rFonts w:ascii="Times New Roman" w:hAnsi="Times New Roman"/>
                <w:sz w:val="20"/>
              </w:rPr>
            </w:pPr>
            <w:r>
              <w:rPr>
                <w:rFonts w:ascii="Times New Roman" w:hAnsi="Times New Roman"/>
                <w:sz w:val="20"/>
              </w:rPr>
              <w:t>Field operating costs</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334</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312</w:t>
            </w:r>
          </w:p>
        </w:tc>
        <w:tc>
          <w:tcPr>
            <w:tcW w:w="134" w:type="dxa"/>
            <w:tcBorders/>
            <w:shd w:fill="CCEEFF" w:val="clear"/>
            <w:vAlign w:val="bottom"/>
          </w:tcPr>
          <w:p>
            <w:pPr>
              <w:pStyle w:val="TableContents"/>
              <w:spacing w:before="0" w:after="283"/>
              <w:rPr/>
            </w:pPr>
            <w:r>
              <w:rPr/>
              <w:t>  </w:t>
            </w:r>
          </w:p>
        </w:tc>
      </w:tr>
      <w:tr>
        <w:trPr/>
        <w:tc>
          <w:tcPr>
            <w:tcW w:w="4476" w:type="dxa"/>
            <w:tcBorders/>
            <w:shd w:fill="auto" w:val="clear"/>
          </w:tcPr>
          <w:p>
            <w:pPr>
              <w:pStyle w:val="TableContents"/>
              <w:spacing w:before="0" w:after="283"/>
              <w:rPr>
                <w:rFonts w:ascii="Times New Roman" w:hAnsi="Times New Roman"/>
                <w:sz w:val="20"/>
              </w:rPr>
            </w:pPr>
            <w:r>
              <w:rPr>
                <w:rFonts w:ascii="Times New Roman" w:hAnsi="Times New Roman"/>
                <w:sz w:val="20"/>
              </w:rPr>
              <w:t>General and administrative expenses</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0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34" w:type="dxa"/>
            <w:tcBorders/>
            <w:shd w:fill="auto" w:val="clear"/>
            <w:vAlign w:val="bottom"/>
          </w:tcPr>
          <w:p>
            <w:pPr>
              <w:pStyle w:val="TableContents"/>
              <w:spacing w:before="0" w:after="283"/>
              <w:rPr/>
            </w:pPr>
            <w:r>
              <w:rPr/>
              <w:t>  </w:t>
            </w:r>
          </w:p>
        </w:tc>
      </w:tr>
      <w:tr>
        <w:trPr/>
        <w:tc>
          <w:tcPr>
            <w:tcW w:w="4476"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134" w:type="dxa"/>
            <w:tcBorders/>
            <w:shd w:fill="CCEEFF" w:val="clear"/>
            <w:vAlign w:val="bottom"/>
          </w:tcPr>
          <w:p>
            <w:pPr>
              <w:pStyle w:val="TableContents"/>
              <w:spacing w:before="0" w:after="283"/>
              <w:rPr/>
            </w:pPr>
            <w:r>
              <w:rPr/>
              <w:t>  </w:t>
            </w:r>
          </w:p>
        </w:tc>
      </w:tr>
      <w:tr>
        <w:trPr/>
        <w:tc>
          <w:tcPr>
            <w:tcW w:w="4476"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8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8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107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89" w:type="dxa"/>
            <w:tcBorders>
              <w:top w:val="single" w:sz="2"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76" w:type="dxa"/>
            <w:tcBorders/>
            <w:shd w:fill="auto" w:val="clear"/>
          </w:tcPr>
          <w:p>
            <w:pPr>
              <w:pStyle w:val="TableContents"/>
              <w:spacing w:before="0" w:after="283"/>
              <w:rPr>
                <w:rFonts w:ascii="Times New Roman" w:hAnsi="Times New Roman"/>
                <w:sz w:val="20"/>
              </w:rPr>
            </w:pPr>
            <w:r>
              <w:rPr>
                <w:rFonts w:ascii="Times New Roman" w:hAnsi="Times New Roman"/>
                <w:sz w:val="20"/>
              </w:rPr>
              <w:t>Total costs and expenses</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5,932</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4,099</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0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11,845</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7,145</w:t>
            </w:r>
          </w:p>
        </w:tc>
        <w:tc>
          <w:tcPr>
            <w:tcW w:w="134" w:type="dxa"/>
            <w:tcBorders/>
            <w:shd w:fill="auto" w:val="clear"/>
            <w:vAlign w:val="bottom"/>
          </w:tcPr>
          <w:p>
            <w:pPr>
              <w:pStyle w:val="TableContents"/>
              <w:spacing w:before="0" w:after="283"/>
              <w:rPr/>
            </w:pPr>
            <w:r>
              <w:rPr/>
              <w:t>  </w:t>
            </w:r>
          </w:p>
        </w:tc>
      </w:tr>
      <w:tr>
        <w:trPr/>
        <w:tc>
          <w:tcPr>
            <w:tcW w:w="4476"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8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8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107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89" w:type="dxa"/>
            <w:tcBorders>
              <w:top w:val="single" w:sz="2"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76" w:type="dxa"/>
            <w:tcBorders/>
            <w:shd w:fill="CCEEFF" w:val="clear"/>
          </w:tcPr>
          <w:p>
            <w:pPr>
              <w:pStyle w:val="TableContents"/>
              <w:spacing w:before="0" w:after="283"/>
              <w:rPr>
                <w:sz w:val="4"/>
                <w:szCs w:val="4"/>
              </w:rPr>
            </w:pPr>
            <w:r>
              <w:rPr>
                <w:sz w:val="4"/>
                <w:szCs w:val="4"/>
              </w:rPr>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8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8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107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89" w:type="dxa"/>
            <w:tcBorders/>
            <w:shd w:fill="CCEEFF" w:val="clear"/>
            <w:vAlign w:val="bottom"/>
          </w:tcPr>
          <w:p>
            <w:pPr>
              <w:pStyle w:val="TableContents"/>
              <w:spacing w:before="0" w:after="283"/>
              <w:rPr>
                <w:sz w:val="4"/>
                <w:szCs w:val="4"/>
              </w:rPr>
            </w:pPr>
            <w:r>
              <w:rPr>
                <w:sz w:val="4"/>
                <w:szCs w:val="4"/>
              </w:rPr>
            </w:r>
          </w:p>
        </w:tc>
        <w:tc>
          <w:tcPr>
            <w:tcW w:w="134" w:type="dxa"/>
            <w:tcBorders/>
            <w:shd w:fill="CCEEFF" w:val="clear"/>
            <w:vAlign w:val="bottom"/>
          </w:tcPr>
          <w:p>
            <w:pPr>
              <w:pStyle w:val="TableContents"/>
              <w:spacing w:before="0" w:after="283"/>
              <w:rPr>
                <w:sz w:val="4"/>
                <w:szCs w:val="4"/>
              </w:rPr>
            </w:pPr>
            <w:r>
              <w:rPr>
                <w:sz w:val="4"/>
                <w:szCs w:val="4"/>
              </w:rPr>
            </w:r>
          </w:p>
        </w:tc>
      </w:tr>
      <w:tr>
        <w:trPr/>
        <w:tc>
          <w:tcPr>
            <w:tcW w:w="4476" w:type="dxa"/>
            <w:tcBorders/>
            <w:shd w:fill="auto" w:val="clear"/>
          </w:tcPr>
          <w:p>
            <w:pPr>
              <w:pStyle w:val="TableContents"/>
              <w:spacing w:before="0" w:after="283"/>
              <w:rPr>
                <w:rFonts w:ascii="Times New Roman" w:hAnsi="Times New Roman"/>
                <w:b/>
                <w:sz w:val="20"/>
              </w:rPr>
            </w:pPr>
            <w:r>
              <w:rPr>
                <w:rFonts w:ascii="Times New Roman" w:hAnsi="Times New Roman"/>
                <w:b/>
                <w:sz w:val="20"/>
              </w:rPr>
              <w:t>OPERATING INCOME</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192</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183</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0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403</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440</w:t>
            </w:r>
          </w:p>
        </w:tc>
        <w:tc>
          <w:tcPr>
            <w:tcW w:w="134" w:type="dxa"/>
            <w:tcBorders/>
            <w:shd w:fill="auto" w:val="clear"/>
            <w:vAlign w:val="bottom"/>
          </w:tcPr>
          <w:p>
            <w:pPr>
              <w:pStyle w:val="TableContents"/>
              <w:spacing w:before="0" w:after="283"/>
              <w:rPr/>
            </w:pPr>
            <w:r>
              <w:rPr/>
              <w:t>  </w:t>
            </w:r>
          </w:p>
        </w:tc>
      </w:tr>
      <w:tr>
        <w:trPr/>
        <w:tc>
          <w:tcPr>
            <w:tcW w:w="4476" w:type="dxa"/>
            <w:tcBorders/>
            <w:shd w:fill="CCEEFF" w:val="clear"/>
          </w:tcPr>
          <w:p>
            <w:pPr>
              <w:pStyle w:val="TableContents"/>
              <w:spacing w:before="0" w:after="283"/>
              <w:rPr>
                <w:sz w:val="4"/>
                <w:szCs w:val="4"/>
              </w:rPr>
            </w:pPr>
            <w:r>
              <w:rPr>
                <w:sz w:val="4"/>
                <w:szCs w:val="4"/>
              </w:rPr>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8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8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107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89" w:type="dxa"/>
            <w:tcBorders/>
            <w:shd w:fill="CCEEFF" w:val="clear"/>
            <w:vAlign w:val="bottom"/>
          </w:tcPr>
          <w:p>
            <w:pPr>
              <w:pStyle w:val="TableContents"/>
              <w:spacing w:before="0" w:after="283"/>
              <w:rPr>
                <w:sz w:val="4"/>
                <w:szCs w:val="4"/>
              </w:rPr>
            </w:pPr>
            <w:r>
              <w:rPr>
                <w:sz w:val="4"/>
                <w:szCs w:val="4"/>
              </w:rPr>
            </w:r>
          </w:p>
        </w:tc>
        <w:tc>
          <w:tcPr>
            <w:tcW w:w="134" w:type="dxa"/>
            <w:tcBorders/>
            <w:shd w:fill="CCEEFF" w:val="clear"/>
            <w:vAlign w:val="bottom"/>
          </w:tcPr>
          <w:p>
            <w:pPr>
              <w:pStyle w:val="TableContents"/>
              <w:spacing w:before="0" w:after="283"/>
              <w:rPr>
                <w:sz w:val="4"/>
                <w:szCs w:val="4"/>
              </w:rPr>
            </w:pPr>
            <w:r>
              <w:rPr>
                <w:sz w:val="4"/>
                <w:szCs w:val="4"/>
              </w:rPr>
            </w:r>
          </w:p>
        </w:tc>
      </w:tr>
      <w:tr>
        <w:trPr/>
        <w:tc>
          <w:tcPr>
            <w:tcW w:w="4476" w:type="dxa"/>
            <w:tcBorders/>
            <w:shd w:fill="auto" w:val="clear"/>
          </w:tcPr>
          <w:p>
            <w:pPr>
              <w:pStyle w:val="TableContents"/>
              <w:spacing w:before="0" w:after="283"/>
              <w:rPr>
                <w:rFonts w:ascii="Times New Roman" w:hAnsi="Times New Roman"/>
                <w:b/>
                <w:sz w:val="20"/>
              </w:rPr>
            </w:pPr>
            <w:r>
              <w:rPr>
                <w:rFonts w:ascii="Times New Roman" w:hAnsi="Times New Roman"/>
                <w:b/>
                <w:sz w:val="20"/>
              </w:rPr>
              <w:t>OTHER INCOME/(EXPENSE)</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10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r>
      <w:tr>
        <w:trPr/>
        <w:tc>
          <w:tcPr>
            <w:tcW w:w="4476" w:type="dxa"/>
            <w:tcBorders/>
            <w:shd w:fill="CCEEFF" w:val="clear"/>
          </w:tcPr>
          <w:p>
            <w:pPr>
              <w:pStyle w:val="TableContents"/>
              <w:spacing w:before="0" w:after="283"/>
              <w:rPr>
                <w:rFonts w:ascii="Times New Roman" w:hAnsi="Times New Roman"/>
                <w:sz w:val="20"/>
              </w:rPr>
            </w:pPr>
            <w:r>
              <w:rPr>
                <w:rFonts w:ascii="Times New Roman" w:hAnsi="Times New Roman"/>
                <w:sz w:val="20"/>
              </w:rPr>
              <w:t>Equity earnings in unconsolidated entities</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34" w:type="dxa"/>
            <w:tcBorders/>
            <w:shd w:fill="CCEEFF" w:val="clear"/>
            <w:vAlign w:val="bottom"/>
          </w:tcPr>
          <w:p>
            <w:pPr>
              <w:pStyle w:val="TableContents"/>
              <w:spacing w:before="0" w:after="283"/>
              <w:rPr/>
            </w:pPr>
            <w:r>
              <w:rPr/>
              <w:t>  </w:t>
            </w:r>
          </w:p>
        </w:tc>
      </w:tr>
      <w:tr>
        <w:trPr/>
        <w:tc>
          <w:tcPr>
            <w:tcW w:w="4476"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 (net of capitalized interest of $3, $2, $9 and $5, respectively)</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0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76" w:type="dxa"/>
            <w:tcBorders/>
            <w:shd w:fill="CCEEFF" w:val="clear"/>
          </w:tcPr>
          <w:p>
            <w:pPr>
              <w:pStyle w:val="TableContents"/>
              <w:spacing w:before="0" w:after="283"/>
              <w:rPr>
                <w:rFonts w:ascii="Times New Roman" w:hAnsi="Times New Roman"/>
                <w:sz w:val="20"/>
              </w:rPr>
            </w:pPr>
            <w:r>
              <w:rPr>
                <w:rFonts w:ascii="Times New Roman" w:hAnsi="Times New Roman"/>
                <w:sz w:val="20"/>
              </w:rPr>
              <w:t>Other income, net</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34" w:type="dxa"/>
            <w:tcBorders/>
            <w:shd w:fill="CCEEFF" w:val="clear"/>
            <w:vAlign w:val="bottom"/>
          </w:tcPr>
          <w:p>
            <w:pPr>
              <w:pStyle w:val="TableContents"/>
              <w:spacing w:before="0" w:after="283"/>
              <w:rPr/>
            </w:pPr>
            <w:r>
              <w:rPr/>
              <w:t>  </w:t>
            </w:r>
          </w:p>
        </w:tc>
      </w:tr>
      <w:tr>
        <w:trPr/>
        <w:tc>
          <w:tcPr>
            <w:tcW w:w="4476"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8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8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107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89" w:type="dxa"/>
            <w:tcBorders>
              <w:top w:val="single" w:sz="2"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76" w:type="dxa"/>
            <w:tcBorders/>
            <w:shd w:fill="auto" w:val="clea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10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r>
      <w:tr>
        <w:trPr/>
        <w:tc>
          <w:tcPr>
            <w:tcW w:w="4476" w:type="dxa"/>
            <w:tcBorders/>
            <w:shd w:fill="CCEEFF" w:val="clear"/>
          </w:tcPr>
          <w:p>
            <w:pPr>
              <w:pStyle w:val="TableContents"/>
              <w:spacing w:before="0" w:after="283"/>
              <w:rPr>
                <w:rFonts w:ascii="Times New Roman" w:hAnsi="Times New Roman"/>
                <w:b/>
                <w:sz w:val="20"/>
              </w:rPr>
            </w:pPr>
            <w:r>
              <w:rPr>
                <w:rFonts w:ascii="Times New Roman" w:hAnsi="Times New Roman"/>
                <w:b/>
                <w:sz w:val="20"/>
              </w:rPr>
              <w:t>INCOME BEFORE TAX</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284</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346</w:t>
            </w:r>
          </w:p>
        </w:tc>
        <w:tc>
          <w:tcPr>
            <w:tcW w:w="134" w:type="dxa"/>
            <w:tcBorders/>
            <w:shd w:fill="CCEEFF" w:val="clear"/>
            <w:vAlign w:val="bottom"/>
          </w:tcPr>
          <w:p>
            <w:pPr>
              <w:pStyle w:val="TableContents"/>
              <w:spacing w:before="0" w:after="283"/>
              <w:rPr/>
            </w:pPr>
            <w:r>
              <w:rPr/>
              <w:t>  </w:t>
            </w:r>
          </w:p>
        </w:tc>
      </w:tr>
      <w:tr>
        <w:trPr/>
        <w:tc>
          <w:tcPr>
            <w:tcW w:w="4476" w:type="dxa"/>
            <w:tcBorders/>
            <w:shd w:fill="auto" w:val="clear"/>
          </w:tcPr>
          <w:p>
            <w:pPr>
              <w:pStyle w:val="TableContents"/>
              <w:spacing w:before="0" w:after="283"/>
              <w:rPr>
                <w:rFonts w:ascii="Times New Roman" w:hAnsi="Times New Roman"/>
                <w:sz w:val="20"/>
              </w:rPr>
            </w:pPr>
            <w:r>
              <w:rPr>
                <w:rFonts w:ascii="Times New Roman" w:hAnsi="Times New Roman"/>
                <w:sz w:val="20"/>
              </w:rPr>
              <w:t>Current income tax (expense)/benefit</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0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76"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income tax (expense)/benefit</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34" w:type="dxa"/>
            <w:tcBorders/>
            <w:shd w:fill="CCEEFF" w:val="clear"/>
            <w:vAlign w:val="bottom"/>
          </w:tcPr>
          <w:p>
            <w:pPr>
              <w:pStyle w:val="TableContents"/>
              <w:spacing w:before="0" w:after="283"/>
              <w:rPr/>
            </w:pPr>
            <w:r>
              <w:rPr/>
              <w:t>  </w:t>
            </w:r>
          </w:p>
        </w:tc>
      </w:tr>
      <w:tr>
        <w:trPr/>
        <w:tc>
          <w:tcPr>
            <w:tcW w:w="4476"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8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8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107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89" w:type="dxa"/>
            <w:tcBorders>
              <w:top w:val="single" w:sz="2"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76" w:type="dxa"/>
            <w:tcBorders/>
            <w:shd w:fill="auto" w:val="clea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10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r>
      <w:tr>
        <w:trPr/>
        <w:tc>
          <w:tcPr>
            <w:tcW w:w="4476"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INCOME</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284</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347</w:t>
            </w:r>
          </w:p>
        </w:tc>
        <w:tc>
          <w:tcPr>
            <w:tcW w:w="134" w:type="dxa"/>
            <w:tcBorders/>
            <w:shd w:fill="CCEEFF" w:val="clear"/>
            <w:vAlign w:val="bottom"/>
          </w:tcPr>
          <w:p>
            <w:pPr>
              <w:pStyle w:val="TableContents"/>
              <w:spacing w:before="0" w:after="283"/>
              <w:rPr/>
            </w:pPr>
            <w:r>
              <w:rPr/>
              <w:t>  </w:t>
            </w:r>
          </w:p>
        </w:tc>
      </w:tr>
      <w:tr>
        <w:trPr/>
        <w:tc>
          <w:tcPr>
            <w:tcW w:w="4476" w:type="dxa"/>
            <w:tcBorders/>
            <w:shd w:fill="auto" w:val="clear"/>
          </w:tcPr>
          <w:p>
            <w:pPr>
              <w:pStyle w:val="TableContents"/>
              <w:spacing w:before="0" w:after="283"/>
              <w:rPr>
                <w:rFonts w:ascii="Times New Roman" w:hAnsi="Times New Roman"/>
                <w:sz w:val="20"/>
              </w:rPr>
            </w:pPr>
            <w:r>
              <w:rPr>
                <w:rFonts w:ascii="Times New Roman" w:hAnsi="Times New Roman"/>
                <w:sz w:val="20"/>
              </w:rPr>
              <w:t>Less: Net income attributable to noncontrolling interests</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0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4" w:type="dxa"/>
            <w:tcBorders/>
            <w:shd w:fill="auto" w:val="clear"/>
            <w:vAlign w:val="bottom"/>
          </w:tcPr>
          <w:p>
            <w:pPr>
              <w:pStyle w:val="TableContents"/>
              <w:spacing w:before="0" w:after="283"/>
              <w:rPr/>
            </w:pPr>
            <w:r>
              <w:rPr/>
              <w:t>  </w:t>
            </w:r>
          </w:p>
        </w:tc>
      </w:tr>
      <w:tr>
        <w:trPr/>
        <w:tc>
          <w:tcPr>
            <w:tcW w:w="4476"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8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8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107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89" w:type="dxa"/>
            <w:tcBorders>
              <w:top w:val="single" w:sz="2"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76"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INCOME ATTRIBUTABLE TO PLAINS</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282</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347</w:t>
            </w:r>
          </w:p>
        </w:tc>
        <w:tc>
          <w:tcPr>
            <w:tcW w:w="134" w:type="dxa"/>
            <w:tcBorders/>
            <w:shd w:fill="CCEEFF" w:val="clear"/>
            <w:vAlign w:val="bottom"/>
          </w:tcPr>
          <w:p>
            <w:pPr>
              <w:pStyle w:val="TableContents"/>
              <w:spacing w:before="0" w:after="283"/>
              <w:rPr/>
            </w:pPr>
            <w:r>
              <w:rPr/>
              <w:t>  </w:t>
            </w:r>
          </w:p>
        </w:tc>
      </w:tr>
      <w:tr>
        <w:trPr/>
        <w:tc>
          <w:tcPr>
            <w:tcW w:w="4476"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8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8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1078"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89" w:type="dxa"/>
            <w:tcBorders>
              <w:top w:val="double" w:sz="6"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76" w:type="dxa"/>
            <w:tcBorders/>
            <w:shd w:fill="auto" w:val="clea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10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r>
      <w:tr>
        <w:trPr/>
        <w:tc>
          <w:tcPr>
            <w:tcW w:w="4476"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INCOME ATTRIBUTABLE TO PLAINS:</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8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8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107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89" w:type="dxa"/>
            <w:tcBorders/>
            <w:shd w:fill="CCEEFF" w:val="clear"/>
            <w:vAlign w:val="bottom"/>
          </w:tcPr>
          <w:p>
            <w:pPr>
              <w:pStyle w:val="TableContents"/>
              <w:spacing w:before="0" w:after="283"/>
              <w:rPr>
                <w:sz w:val="4"/>
                <w:szCs w:val="4"/>
              </w:rPr>
            </w:pPr>
            <w:r>
              <w:rPr>
                <w:sz w:val="4"/>
                <w:szCs w:val="4"/>
              </w:rPr>
            </w:r>
          </w:p>
        </w:tc>
        <w:tc>
          <w:tcPr>
            <w:tcW w:w="134" w:type="dxa"/>
            <w:tcBorders/>
            <w:shd w:fill="CCEEFF" w:val="clear"/>
            <w:vAlign w:val="bottom"/>
          </w:tcPr>
          <w:p>
            <w:pPr>
              <w:pStyle w:val="TableContents"/>
              <w:spacing w:before="0" w:after="283"/>
              <w:rPr>
                <w:sz w:val="4"/>
                <w:szCs w:val="4"/>
              </w:rPr>
            </w:pPr>
            <w:r>
              <w:rPr>
                <w:sz w:val="4"/>
                <w:szCs w:val="4"/>
              </w:rPr>
            </w:r>
          </w:p>
        </w:tc>
      </w:tr>
      <w:tr>
        <w:trPr/>
        <w:tc>
          <w:tcPr>
            <w:tcW w:w="4476" w:type="dxa"/>
            <w:tcBorders/>
            <w:shd w:fill="auto" w:val="clea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10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r>
      <w:tr>
        <w:trPr/>
        <w:tc>
          <w:tcPr>
            <w:tcW w:w="4476" w:type="dxa"/>
            <w:tcBorders/>
            <w:shd w:fill="CCEEFF" w:val="clear"/>
          </w:tcPr>
          <w:p>
            <w:pPr>
              <w:pStyle w:val="TableContents"/>
              <w:spacing w:before="0" w:after="283"/>
              <w:rPr>
                <w:rFonts w:ascii="Times New Roman" w:hAnsi="Times New Roman"/>
                <w:b/>
                <w:sz w:val="20"/>
              </w:rPr>
            </w:pPr>
            <w:r>
              <w:rPr>
                <w:rFonts w:ascii="Times New Roman" w:hAnsi="Times New Roman"/>
                <w:b/>
                <w:sz w:val="20"/>
              </w:rPr>
              <w:t>LIMITED PARTNERS</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282</w:t>
            </w:r>
          </w:p>
        </w:tc>
        <w:tc>
          <w:tcPr>
            <w:tcW w:w="134" w:type="dxa"/>
            <w:tcBorders/>
            <w:shd w:fill="CCEEFF" w:val="clear"/>
            <w:vAlign w:val="bottom"/>
          </w:tcPr>
          <w:p>
            <w:pPr>
              <w:pStyle w:val="TableContents"/>
              <w:spacing w:before="0" w:after="283"/>
              <w:rPr/>
            </w:pPr>
            <w:r>
              <w:rPr/>
              <w:t>  </w:t>
            </w:r>
          </w:p>
        </w:tc>
      </w:tr>
      <w:tr>
        <w:trPr/>
        <w:tc>
          <w:tcPr>
            <w:tcW w:w="4476"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8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8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1078"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89" w:type="dxa"/>
            <w:tcBorders>
              <w:top w:val="double" w:sz="6"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76" w:type="dxa"/>
            <w:tcBorders/>
            <w:shd w:fill="auto" w:val="clea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10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r>
      <w:tr>
        <w:trPr/>
        <w:tc>
          <w:tcPr>
            <w:tcW w:w="4476" w:type="dxa"/>
            <w:tcBorders/>
            <w:shd w:fill="CCEEFF" w:val="clear"/>
          </w:tcPr>
          <w:p>
            <w:pPr>
              <w:pStyle w:val="TableContents"/>
              <w:spacing w:before="0" w:after="283"/>
              <w:rPr>
                <w:rFonts w:ascii="Times New Roman" w:hAnsi="Times New Roman"/>
                <w:b/>
                <w:sz w:val="20"/>
              </w:rPr>
            </w:pPr>
            <w:r>
              <w:rPr>
                <w:rFonts w:ascii="Times New Roman" w:hAnsi="Times New Roman"/>
                <w:b/>
                <w:sz w:val="20"/>
              </w:rPr>
              <w:t>GENERAL PARTNER</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134" w:type="dxa"/>
            <w:tcBorders/>
            <w:shd w:fill="CCEEFF" w:val="clear"/>
            <w:vAlign w:val="bottom"/>
          </w:tcPr>
          <w:p>
            <w:pPr>
              <w:pStyle w:val="TableContents"/>
              <w:spacing w:before="0" w:after="283"/>
              <w:rPr/>
            </w:pPr>
            <w:r>
              <w:rPr/>
              <w:t>  </w:t>
            </w:r>
          </w:p>
        </w:tc>
      </w:tr>
      <w:tr>
        <w:trPr/>
        <w:tc>
          <w:tcPr>
            <w:tcW w:w="4476"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8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8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1078"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89" w:type="dxa"/>
            <w:tcBorders>
              <w:top w:val="double" w:sz="6"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76" w:type="dxa"/>
            <w:tcBorders/>
            <w:shd w:fill="auto" w:val="clea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10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r>
      <w:tr>
        <w:trPr/>
        <w:tc>
          <w:tcPr>
            <w:tcW w:w="4476" w:type="dxa"/>
            <w:tcBorders/>
            <w:shd w:fill="CCEEFF" w:val="clear"/>
          </w:tcPr>
          <w:p>
            <w:pPr>
              <w:pStyle w:val="TableContents"/>
              <w:spacing w:before="0" w:after="283"/>
              <w:rPr>
                <w:rFonts w:ascii="Times New Roman" w:hAnsi="Times New Roman"/>
                <w:b/>
                <w:sz w:val="20"/>
              </w:rPr>
            </w:pPr>
            <w:r>
              <w:rPr>
                <w:rFonts w:ascii="Times New Roman" w:hAnsi="Times New Roman"/>
                <w:b/>
                <w:sz w:val="20"/>
              </w:rPr>
              <w:t>BASIC NET INCOME PER LIMITED PARTNER UNIT</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0.65</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0.79</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w:t>
            </w:r>
          </w:p>
        </w:tc>
        <w:tc>
          <w:tcPr>
            <w:tcW w:w="134" w:type="dxa"/>
            <w:tcBorders/>
            <w:shd w:fill="CCEEFF" w:val="clear"/>
            <w:vAlign w:val="bottom"/>
          </w:tcPr>
          <w:p>
            <w:pPr>
              <w:pStyle w:val="TableContents"/>
              <w:spacing w:before="0" w:after="283"/>
              <w:rPr/>
            </w:pPr>
            <w:r>
              <w:rPr/>
              <w:t>  </w:t>
            </w:r>
          </w:p>
        </w:tc>
      </w:tr>
      <w:tr>
        <w:trPr/>
        <w:tc>
          <w:tcPr>
            <w:tcW w:w="4476"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8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8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1078"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89" w:type="dxa"/>
            <w:tcBorders>
              <w:top w:val="double" w:sz="6"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76" w:type="dxa"/>
            <w:tcBorders/>
            <w:shd w:fill="auto" w:val="clea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10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r>
      <w:tr>
        <w:trPr/>
        <w:tc>
          <w:tcPr>
            <w:tcW w:w="4476" w:type="dxa"/>
            <w:tcBorders/>
            <w:shd w:fill="CCEEFF" w:val="clear"/>
          </w:tcPr>
          <w:p>
            <w:pPr>
              <w:pStyle w:val="TableContents"/>
              <w:spacing w:before="0" w:after="283"/>
              <w:rPr>
                <w:rFonts w:ascii="Times New Roman" w:hAnsi="Times New Roman"/>
                <w:b/>
                <w:sz w:val="20"/>
              </w:rPr>
            </w:pPr>
            <w:r>
              <w:rPr>
                <w:rFonts w:ascii="Times New Roman" w:hAnsi="Times New Roman"/>
                <w:b/>
                <w:sz w:val="20"/>
              </w:rPr>
              <w:t>DILUTED NET INCOME PER LIMITED PARTNER UNIT</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0.65</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0.78</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2.18</w:t>
            </w:r>
          </w:p>
        </w:tc>
        <w:tc>
          <w:tcPr>
            <w:tcW w:w="134" w:type="dxa"/>
            <w:tcBorders/>
            <w:shd w:fill="CCEEFF" w:val="clear"/>
            <w:vAlign w:val="bottom"/>
          </w:tcPr>
          <w:p>
            <w:pPr>
              <w:pStyle w:val="TableContents"/>
              <w:spacing w:before="0" w:after="283"/>
              <w:rPr/>
            </w:pPr>
            <w:r>
              <w:rPr/>
              <w:t>  </w:t>
            </w:r>
          </w:p>
        </w:tc>
      </w:tr>
      <w:tr>
        <w:trPr/>
        <w:tc>
          <w:tcPr>
            <w:tcW w:w="4476"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8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8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1078"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89" w:type="dxa"/>
            <w:tcBorders>
              <w:top w:val="double" w:sz="6"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76" w:type="dxa"/>
            <w:tcBorders/>
            <w:shd w:fill="auto" w:val="clea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10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r>
      <w:tr>
        <w:trPr/>
        <w:tc>
          <w:tcPr>
            <w:tcW w:w="4476" w:type="dxa"/>
            <w:tcBorders/>
            <w:shd w:fill="CCEEFF" w:val="clear"/>
          </w:tcPr>
          <w:p>
            <w:pPr>
              <w:pStyle w:val="TableContents"/>
              <w:spacing w:before="0" w:after="283"/>
              <w:rPr>
                <w:rFonts w:ascii="Times New Roman" w:hAnsi="Times New Roman"/>
                <w:b/>
                <w:sz w:val="20"/>
              </w:rPr>
            </w:pPr>
            <w:r>
              <w:rPr>
                <w:rFonts w:ascii="Times New Roman" w:hAnsi="Times New Roman"/>
                <w:b/>
                <w:sz w:val="20"/>
              </w:rPr>
              <w:t>BASIC WEIGHTED AVERAGE UNITS OUTSTANDING</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w:t>
            </w:r>
          </w:p>
        </w:tc>
        <w:tc>
          <w:tcPr>
            <w:tcW w:w="134" w:type="dxa"/>
            <w:tcBorders/>
            <w:shd w:fill="CCEEFF" w:val="clear"/>
            <w:vAlign w:val="bottom"/>
          </w:tcPr>
          <w:p>
            <w:pPr>
              <w:pStyle w:val="TableContents"/>
              <w:spacing w:before="0" w:after="283"/>
              <w:rPr/>
            </w:pPr>
            <w:r>
              <w:rPr/>
              <w:t>  </w:t>
            </w:r>
          </w:p>
        </w:tc>
      </w:tr>
      <w:tr>
        <w:trPr/>
        <w:tc>
          <w:tcPr>
            <w:tcW w:w="4476"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8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8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1078"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89" w:type="dxa"/>
            <w:tcBorders>
              <w:top w:val="double" w:sz="6"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76" w:type="dxa"/>
            <w:tcBorders/>
            <w:shd w:fill="auto" w:val="clea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10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r>
      <w:tr>
        <w:trPr/>
        <w:tc>
          <w:tcPr>
            <w:tcW w:w="4476" w:type="dxa"/>
            <w:tcBorders/>
            <w:shd w:fill="CCEEFF" w:val="clear"/>
          </w:tcPr>
          <w:p>
            <w:pPr>
              <w:pStyle w:val="TableContents"/>
              <w:spacing w:before="0" w:after="283"/>
              <w:rPr>
                <w:rFonts w:ascii="Times New Roman" w:hAnsi="Times New Roman"/>
                <w:b/>
                <w:sz w:val="20"/>
              </w:rPr>
            </w:pPr>
            <w:r>
              <w:rPr>
                <w:rFonts w:ascii="Times New Roman" w:hAnsi="Times New Roman"/>
                <w:b/>
                <w:sz w:val="20"/>
              </w:rPr>
              <w:t>DILUTED WEIGHTED AVERAGE UNITS OUTSTANDING</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0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2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w:t>
            </w:r>
          </w:p>
        </w:tc>
        <w:tc>
          <w:tcPr>
            <w:tcW w:w="134" w:type="dxa"/>
            <w:tcBorders/>
            <w:shd w:fill="CCEEFF" w:val="clear"/>
            <w:vAlign w:val="bottom"/>
          </w:tcPr>
          <w:p>
            <w:pPr>
              <w:pStyle w:val="TableContents"/>
              <w:spacing w:before="0" w:after="283"/>
              <w:rPr/>
            </w:pPr>
            <w:r>
              <w:rPr/>
              <w:t>  </w:t>
            </w:r>
          </w:p>
        </w:tc>
      </w:tr>
      <w:tr>
        <w:trPr/>
        <w:tc>
          <w:tcPr>
            <w:tcW w:w="4476"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8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8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1078"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89" w:type="dxa"/>
            <w:tcBorders>
              <w:top w:val="double" w:sz="6"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tx73093_5"/>
      <w:bookmarkEnd w:id="7"/>
      <w:r>
        <w:rPr>
          <w:rFonts w:ascii="Times New Roman" w:hAnsi="Times New Roman"/>
          <w:b/>
          <w:sz w:val="20"/>
        </w:rPr>
        <w:t xml:space="preserve">PLAINS ALL AMERICAN PIPELINE, L.P. AND SUBSIDIARIES </w:t>
      </w:r>
    </w:p>
    <w:p>
      <w:pPr>
        <w:pStyle w:val="TextBody"/>
        <w:spacing w:before="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spacing w:before="0" w:after="0"/>
        <w:jc w:val="center"/>
        <w:rPr>
          <w:rFonts w:ascii="Times New Roman" w:hAnsi="Times New Roman"/>
          <w:b/>
          <w:sz w:val="20"/>
        </w:rPr>
      </w:pPr>
      <w:r>
        <w:rPr>
          <w:rFonts w:ascii="Times New Roman" w:hAnsi="Times New Roman"/>
          <w:b/>
          <w:sz w:val="20"/>
        </w:rPr>
        <w:t xml:space="preserve">(in millions)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677"/>
        <w:gridCol w:w="223"/>
        <w:gridCol w:w="125"/>
        <w:gridCol w:w="1307"/>
        <w:gridCol w:w="125"/>
        <w:gridCol w:w="187"/>
        <w:gridCol w:w="125"/>
        <w:gridCol w:w="1307"/>
        <w:gridCol w:w="129"/>
      </w:tblGrid>
      <w:tr>
        <w:trPr/>
        <w:tc>
          <w:tcPr>
            <w:tcW w:w="6677"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667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3176"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Six Months Ended</w:t>
            </w:r>
            <w:r>
              <w:rPr/>
              <w:br/>
            </w:r>
            <w:r>
              <w:rPr>
                <w:rFonts w:ascii="Times New Roman" w:hAnsi="Times New Roman"/>
                <w:b/>
                <w:sz w:val="14"/>
              </w:rPr>
              <w:t>June  30,</w:t>
            </w:r>
          </w:p>
        </w:tc>
        <w:tc>
          <w:tcPr>
            <w:tcW w:w="129" w:type="dxa"/>
            <w:tcBorders/>
            <w:shd w:fill="auto" w:val="clear"/>
            <w:vAlign w:val="bottom"/>
          </w:tcPr>
          <w:p>
            <w:pPr>
              <w:pStyle w:val="TableContents"/>
              <w:spacing w:before="0" w:after="283"/>
              <w:rPr/>
            </w:pPr>
            <w:r>
              <w:rPr/>
              <w:t> </w:t>
            </w:r>
          </w:p>
        </w:tc>
      </w:tr>
      <w:tr>
        <w:trPr/>
        <w:tc>
          <w:tcPr>
            <w:tcW w:w="667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43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43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9" w:type="dxa"/>
            <w:tcBorders/>
            <w:shd w:fill="auto" w:val="clear"/>
            <w:vAlign w:val="bottom"/>
          </w:tcPr>
          <w:p>
            <w:pPr>
              <w:pStyle w:val="TableContents"/>
              <w:spacing w:before="0" w:after="283"/>
              <w:rPr/>
            </w:pPr>
            <w:r>
              <w:rPr/>
              <w:t> </w:t>
            </w:r>
          </w:p>
        </w:tc>
      </w:tr>
      <w:tr>
        <w:trPr/>
        <w:tc>
          <w:tcPr>
            <w:tcW w:w="667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3176"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(unaudited)</w:t>
            </w:r>
          </w:p>
        </w:tc>
        <w:tc>
          <w:tcPr>
            <w:tcW w:w="129" w:type="dxa"/>
            <w:tcBorders/>
            <w:shd w:fill="auto" w:val="clear"/>
            <w:vAlign w:val="bottom"/>
          </w:tcPr>
          <w:p>
            <w:pPr>
              <w:pStyle w:val="TableContents"/>
              <w:spacing w:before="0" w:after="283"/>
              <w:rPr/>
            </w:pPr>
            <w:r>
              <w:rPr/>
              <w:t> </w:t>
            </w:r>
          </w:p>
        </w:tc>
      </w:tr>
      <w:tr>
        <w:trPr/>
        <w:tc>
          <w:tcPr>
            <w:tcW w:w="6677" w:type="dxa"/>
            <w:tcBorders/>
            <w:shd w:fill="CCEEFF" w:val="clear"/>
          </w:tcPr>
          <w:p>
            <w:pPr>
              <w:pStyle w:val="TableContents"/>
              <w:spacing w:before="0" w:after="283"/>
              <w:rPr>
                <w:rFonts w:ascii="Times New Roman" w:hAnsi="Times New Roman"/>
                <w:b/>
                <w:sz w:val="20"/>
              </w:rPr>
            </w:pPr>
            <w:r>
              <w:rPr>
                <w:rFonts w:ascii="Times New Roman" w:hAnsi="Times New Roman"/>
                <w:b/>
                <w:sz w:val="20"/>
              </w:rPr>
              <w:t>CASH FLOWS FROM OPERATING ACTIVITIES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0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07"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6677"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7" w:type="dxa"/>
            <w:tcBorders/>
            <w:shd w:fill="auto" w:val="clear"/>
            <w:vAlign w:val="bottom"/>
          </w:tcPr>
          <w:p>
            <w:pPr>
              <w:pStyle w:val="TableContents"/>
              <w:spacing w:before="0" w:after="283"/>
              <w:jc w:val="right"/>
              <w:rPr/>
            </w:pPr>
            <w:r>
              <w:rPr/>
              <w:t>                </w:t>
            </w:r>
            <w:r>
              <w:rPr>
                <w:rFonts w:ascii="Times New Roman" w:hAnsi="Times New Roman"/>
                <w:sz w:val="20"/>
              </w:rPr>
              <w:t>284</w:t>
            </w:r>
          </w:p>
        </w:tc>
        <w:tc>
          <w:tcPr>
            <w:tcW w:w="12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7" w:type="dxa"/>
            <w:tcBorders/>
            <w:shd w:fill="auto" w:val="clear"/>
            <w:vAlign w:val="bottom"/>
          </w:tcPr>
          <w:p>
            <w:pPr>
              <w:pStyle w:val="TableContents"/>
              <w:spacing w:before="0" w:after="283"/>
              <w:jc w:val="right"/>
              <w:rPr/>
            </w:pPr>
            <w:r>
              <w:rPr/>
              <w:t>                </w:t>
            </w:r>
            <w:r>
              <w:rPr>
                <w:rFonts w:ascii="Times New Roman" w:hAnsi="Times New Roman"/>
                <w:sz w:val="20"/>
              </w:rPr>
              <w:t>347</w:t>
            </w:r>
          </w:p>
        </w:tc>
        <w:tc>
          <w:tcPr>
            <w:tcW w:w="129" w:type="dxa"/>
            <w:tcBorders/>
            <w:shd w:fill="auto" w:val="clear"/>
            <w:vAlign w:val="bottom"/>
          </w:tcPr>
          <w:p>
            <w:pPr>
              <w:pStyle w:val="TableContents"/>
              <w:spacing w:before="0" w:after="283"/>
              <w:rPr/>
            </w:pPr>
            <w:r>
              <w:rPr/>
              <w:t>  </w:t>
            </w:r>
          </w:p>
        </w:tc>
      </w:tr>
      <w:tr>
        <w:trPr/>
        <w:tc>
          <w:tcPr>
            <w:tcW w:w="6677" w:type="dxa"/>
            <w:tcBorders/>
            <w:shd w:fill="CCEEFF" w:val="clear"/>
          </w:tcPr>
          <w:p>
            <w:pPr>
              <w:pStyle w:val="TableContents"/>
              <w:spacing w:before="0" w:after="283"/>
              <w:rPr>
                <w:rFonts w:ascii="Times New Roman" w:hAnsi="Times New Roman"/>
                <w:sz w:val="20"/>
              </w:rPr>
            </w:pPr>
            <w:r>
              <w:rPr>
                <w:rFonts w:ascii="Times New Roman" w:hAnsi="Times New Roman"/>
                <w:sz w:val="20"/>
              </w:rPr>
              <w:t>Reconciliation of net income to net cash provided by operating activities: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0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07"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6677"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2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129" w:type="dxa"/>
            <w:tcBorders/>
            <w:shd w:fill="auto" w:val="clear"/>
            <w:vAlign w:val="bottom"/>
          </w:tcPr>
          <w:p>
            <w:pPr>
              <w:pStyle w:val="TableContents"/>
              <w:spacing w:before="0" w:after="283"/>
              <w:rPr/>
            </w:pPr>
            <w:r>
              <w:rPr/>
              <w:t>  </w:t>
            </w:r>
          </w:p>
        </w:tc>
      </w:tr>
      <w:tr>
        <w:trPr/>
        <w:tc>
          <w:tcPr>
            <w:tcW w:w="6677" w:type="dxa"/>
            <w:tcBorders/>
            <w:shd w:fill="CCEEFF" w:val="clear"/>
          </w:tcPr>
          <w:p>
            <w:pPr>
              <w:pStyle w:val="TableContents"/>
              <w:spacing w:before="0" w:after="283"/>
              <w:rPr>
                <w:rFonts w:ascii="Times New Roman" w:hAnsi="Times New Roman"/>
                <w:sz w:val="20"/>
              </w:rPr>
            </w:pPr>
            <w:r>
              <w:rPr>
                <w:rFonts w:ascii="Times New Roman" w:hAnsi="Times New Roman"/>
                <w:sz w:val="20"/>
              </w:rPr>
              <w:t>Equity compensation charge</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12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9" w:type="dxa"/>
            <w:tcBorders/>
            <w:shd w:fill="CCEEFF" w:val="clear"/>
            <w:vAlign w:val="bottom"/>
          </w:tcPr>
          <w:p>
            <w:pPr>
              <w:pStyle w:val="TableContents"/>
              <w:spacing w:before="0" w:after="283"/>
              <w:rPr/>
            </w:pPr>
            <w:r>
              <w:rPr/>
              <w:t>  </w:t>
            </w:r>
          </w:p>
        </w:tc>
      </w:tr>
      <w:tr>
        <w:trPr/>
        <w:tc>
          <w:tcPr>
            <w:tcW w:w="6677" w:type="dxa"/>
            <w:tcBorders/>
            <w:shd w:fill="auto" w:val="clear"/>
          </w:tcPr>
          <w:p>
            <w:pPr>
              <w:pStyle w:val="TableContents"/>
              <w:spacing w:before="0" w:after="283"/>
              <w:rPr>
                <w:rFonts w:ascii="Times New Roman" w:hAnsi="Times New Roman"/>
                <w:sz w:val="20"/>
              </w:rPr>
            </w:pPr>
            <w:r>
              <w:rPr>
                <w:rFonts w:ascii="Times New Roman" w:hAnsi="Times New Roman"/>
                <w:sz w:val="20"/>
              </w:rPr>
              <w:t>Gain on sale of linefill</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9" w:type="dxa"/>
            <w:tcBorders/>
            <w:shd w:fill="auto" w:val="clear"/>
            <w:vAlign w:val="bottom"/>
          </w:tcPr>
          <w:p>
            <w:pPr>
              <w:pStyle w:val="TableContents"/>
              <w:spacing w:before="0" w:after="283"/>
              <w:rPr/>
            </w:pPr>
            <w:r>
              <w:rPr/>
              <w:t>  </w:t>
            </w:r>
          </w:p>
        </w:tc>
      </w:tr>
      <w:tr>
        <w:trPr/>
        <w:tc>
          <w:tcPr>
            <w:tcW w:w="6677" w:type="dxa"/>
            <w:tcBorders/>
            <w:shd w:fill="CCEEFF" w:val="clear"/>
          </w:tcPr>
          <w:p>
            <w:pPr>
              <w:pStyle w:val="TableContents"/>
              <w:spacing w:before="0" w:after="283"/>
              <w:rPr>
                <w:rFonts w:ascii="Times New Roman" w:hAnsi="Times New Roman"/>
                <w:sz w:val="20"/>
              </w:rPr>
            </w:pPr>
            <w:r>
              <w:rPr>
                <w:rFonts w:ascii="Times New Roman" w:hAnsi="Times New Roman"/>
                <w:sz w:val="20"/>
              </w:rPr>
              <w:t>Inventory valuation adjustments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9" w:type="dxa"/>
            <w:tcBorders/>
            <w:shd w:fill="CCEEFF" w:val="clear"/>
            <w:vAlign w:val="bottom"/>
          </w:tcPr>
          <w:p>
            <w:pPr>
              <w:pStyle w:val="TableContents"/>
              <w:spacing w:before="0" w:after="283"/>
              <w:rPr/>
            </w:pPr>
            <w:r>
              <w:rPr/>
              <w:t>  </w:t>
            </w:r>
          </w:p>
        </w:tc>
      </w:tr>
      <w:tr>
        <w:trPr/>
        <w:tc>
          <w:tcPr>
            <w:tcW w:w="6677"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77" w:type="dxa"/>
            <w:tcBorders/>
            <w:shd w:fill="CCEEFF" w:val="clear"/>
          </w:tcPr>
          <w:p>
            <w:pPr>
              <w:pStyle w:val="TableContents"/>
              <w:spacing w:before="0" w:after="283"/>
              <w:rPr>
                <w:rFonts w:ascii="Times New Roman" w:hAnsi="Times New Roman"/>
                <w:sz w:val="20"/>
              </w:rPr>
            </w:pPr>
            <w:r>
              <w:rPr>
                <w:rFonts w:ascii="Times New Roman" w:hAnsi="Times New Roman"/>
                <w:sz w:val="20"/>
              </w:rPr>
              <w:t>Changes in assets and liabilities, net of acquisitions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77"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0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07"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677" w:type="dxa"/>
            <w:tcBorders/>
            <w:shd w:fill="auto" w:val="clear"/>
          </w:tcPr>
          <w:p>
            <w:pPr>
              <w:pStyle w:val="TableContents"/>
              <w:spacing w:before="0" w:after="283"/>
              <w:rPr>
                <w:rFonts w:ascii="Times New Roman" w:hAnsi="Times New Roman"/>
                <w:sz w:val="20"/>
              </w:rPr>
            </w:pPr>
            <w:r>
              <w:rPr>
                <w:rFonts w:ascii="Times New Roman" w:hAnsi="Times New Roman"/>
                <w:sz w:val="20"/>
              </w:rPr>
              <w:t>Net cash provided by operating activities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283</w:t>
            </w:r>
          </w:p>
        </w:tc>
        <w:tc>
          <w:tcPr>
            <w:tcW w:w="12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287</w:t>
            </w:r>
          </w:p>
        </w:tc>
        <w:tc>
          <w:tcPr>
            <w:tcW w:w="129" w:type="dxa"/>
            <w:tcBorders/>
            <w:shd w:fill="auto" w:val="clear"/>
            <w:vAlign w:val="bottom"/>
          </w:tcPr>
          <w:p>
            <w:pPr>
              <w:pStyle w:val="TableContents"/>
              <w:spacing w:before="0" w:after="283"/>
              <w:rPr/>
            </w:pPr>
            <w:r>
              <w:rPr/>
              <w:t>  </w:t>
            </w:r>
          </w:p>
        </w:tc>
      </w:tr>
      <w:tr>
        <w:trPr/>
        <w:tc>
          <w:tcPr>
            <w:tcW w:w="6677"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0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07"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677" w:type="dxa"/>
            <w:tcBorders/>
            <w:shd w:fill="CCEEFF" w:val="clear"/>
          </w:tcPr>
          <w:p>
            <w:pPr>
              <w:pStyle w:val="TableContents"/>
              <w:spacing w:before="0" w:after="283"/>
              <w:rPr>
                <w:sz w:val="4"/>
                <w:szCs w:val="4"/>
              </w:rPr>
            </w:pPr>
            <w:r>
              <w:rPr>
                <w:sz w:val="4"/>
                <w:szCs w:val="4"/>
              </w:rPr>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0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07"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6677" w:type="dxa"/>
            <w:tcBorders/>
            <w:shd w:fill="auto" w:val="clear"/>
          </w:tcPr>
          <w:p>
            <w:pPr>
              <w:pStyle w:val="TableContents"/>
              <w:spacing w:before="0" w:after="283"/>
              <w:rPr>
                <w:rFonts w:ascii="Times New Roman" w:hAnsi="Times New Roman"/>
                <w:b/>
                <w:sz w:val="20"/>
              </w:rPr>
            </w:pPr>
            <w:r>
              <w:rPr>
                <w:rFonts w:ascii="Times New Roman" w:hAnsi="Times New Roman"/>
                <w:b/>
                <w:sz w:val="20"/>
              </w:rPr>
              <w:t>CASH FLOWS FROM INVESTING ACTIVITIES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0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07"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6677" w:type="dxa"/>
            <w:tcBorders/>
            <w:shd w:fill="CCEEFF" w:val="clear"/>
          </w:tcPr>
          <w:p>
            <w:pPr>
              <w:pStyle w:val="TableContents"/>
              <w:spacing w:before="0" w:after="283"/>
              <w:rPr>
                <w:rFonts w:ascii="Times New Roman" w:hAnsi="Times New Roman"/>
                <w:sz w:val="20"/>
              </w:rPr>
            </w:pPr>
            <w:r>
              <w:rPr>
                <w:rFonts w:ascii="Times New Roman" w:hAnsi="Times New Roman"/>
                <w:sz w:val="20"/>
              </w:rPr>
              <w:t>Cash paid in connection with acquisitions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77" w:type="dxa"/>
            <w:tcBorders/>
            <w:shd w:fill="auto" w:val="clear"/>
          </w:tcPr>
          <w:p>
            <w:pPr>
              <w:pStyle w:val="TableContents"/>
              <w:spacing w:before="0" w:after="283"/>
              <w:rPr>
                <w:rFonts w:ascii="Times New Roman" w:hAnsi="Times New Roman"/>
                <w:sz w:val="20"/>
              </w:rPr>
            </w:pPr>
            <w:r>
              <w:rPr>
                <w:rFonts w:ascii="Times New Roman" w:hAnsi="Times New Roman"/>
                <w:sz w:val="20"/>
              </w:rPr>
              <w:t>Additions to property, equipment and other</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(228</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77" w:type="dxa"/>
            <w:tcBorders/>
            <w:shd w:fill="CCEEFF" w:val="clear"/>
          </w:tcPr>
          <w:p>
            <w:pPr>
              <w:pStyle w:val="TableContents"/>
              <w:spacing w:before="0" w:after="283"/>
              <w:rPr>
                <w:rFonts w:ascii="Times New Roman" w:hAnsi="Times New Roman"/>
                <w:sz w:val="20"/>
              </w:rPr>
            </w:pPr>
            <w:r>
              <w:rPr>
                <w:rFonts w:ascii="Times New Roman" w:hAnsi="Times New Roman"/>
                <w:sz w:val="20"/>
              </w:rPr>
              <w:t>Cash received for sale of noncontrolling interest in a subsidiary</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w:t>
            </w:r>
          </w:p>
        </w:tc>
        <w:tc>
          <w:tcPr>
            <w:tcW w:w="12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9" w:type="dxa"/>
            <w:tcBorders/>
            <w:shd w:fill="CCEEFF" w:val="clear"/>
            <w:vAlign w:val="bottom"/>
          </w:tcPr>
          <w:p>
            <w:pPr>
              <w:pStyle w:val="TableContents"/>
              <w:spacing w:before="0" w:after="283"/>
              <w:rPr/>
            </w:pPr>
            <w:r>
              <w:rPr/>
              <w:t>  </w:t>
            </w:r>
          </w:p>
        </w:tc>
      </w:tr>
      <w:tr>
        <w:trPr/>
        <w:tc>
          <w:tcPr>
            <w:tcW w:w="6677" w:type="dxa"/>
            <w:tcBorders/>
            <w:shd w:fill="auto" w:val="clear"/>
          </w:tcPr>
          <w:p>
            <w:pPr>
              <w:pStyle w:val="TableContents"/>
              <w:spacing w:before="0" w:after="283"/>
              <w:rPr>
                <w:rFonts w:ascii="Times New Roman" w:hAnsi="Times New Roman"/>
                <w:sz w:val="20"/>
              </w:rPr>
            </w:pPr>
            <w:r>
              <w:rPr>
                <w:rFonts w:ascii="Times New Roman" w:hAnsi="Times New Roman"/>
                <w:sz w:val="20"/>
              </w:rPr>
              <w:t>Net cash received for linefill</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9" w:type="dxa"/>
            <w:tcBorders/>
            <w:shd w:fill="auto" w:val="clear"/>
            <w:vAlign w:val="bottom"/>
          </w:tcPr>
          <w:p>
            <w:pPr>
              <w:pStyle w:val="TableContents"/>
              <w:spacing w:before="0" w:after="283"/>
              <w:rPr/>
            </w:pPr>
            <w:r>
              <w:rPr/>
              <w:t>  </w:t>
            </w:r>
          </w:p>
        </w:tc>
      </w:tr>
      <w:tr>
        <w:trPr/>
        <w:tc>
          <w:tcPr>
            <w:tcW w:w="6677" w:type="dxa"/>
            <w:tcBorders/>
            <w:shd w:fill="CCEEFF" w:val="clear"/>
          </w:tcPr>
          <w:p>
            <w:pPr>
              <w:pStyle w:val="TableContents"/>
              <w:spacing w:before="0" w:after="283"/>
              <w:rPr>
                <w:rFonts w:ascii="Times New Roman" w:hAnsi="Times New Roman"/>
                <w:sz w:val="20"/>
              </w:rPr>
            </w:pPr>
            <w:r>
              <w:rPr>
                <w:rFonts w:ascii="Times New Roman" w:hAnsi="Times New Roman"/>
                <w:sz w:val="20"/>
              </w:rPr>
              <w:t>Investment in unconsolidated entities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77" w:type="dxa"/>
            <w:tcBorders/>
            <w:shd w:fill="auto" w:val="clear"/>
          </w:tcPr>
          <w:p>
            <w:pPr>
              <w:pStyle w:val="TableContents"/>
              <w:spacing w:before="0" w:after="283"/>
              <w:rPr>
                <w:rFonts w:ascii="Times New Roman" w:hAnsi="Times New Roman"/>
                <w:sz w:val="20"/>
              </w:rPr>
            </w:pPr>
            <w:r>
              <w:rPr>
                <w:rFonts w:ascii="Times New Roman" w:hAnsi="Times New Roman"/>
                <w:sz w:val="20"/>
              </w:rPr>
              <w:t>Other investing activities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9" w:type="dxa"/>
            <w:tcBorders/>
            <w:shd w:fill="auto" w:val="clear"/>
            <w:vAlign w:val="bottom"/>
          </w:tcPr>
          <w:p>
            <w:pPr>
              <w:pStyle w:val="TableContents"/>
              <w:spacing w:before="0" w:after="283"/>
              <w:rPr/>
            </w:pPr>
            <w:r>
              <w:rPr/>
              <w:t>  </w:t>
            </w:r>
          </w:p>
        </w:tc>
      </w:tr>
      <w:tr>
        <w:trPr/>
        <w:tc>
          <w:tcPr>
            <w:tcW w:w="6677"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0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07"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677"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investing activities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(253</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77"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0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07"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677" w:type="dxa"/>
            <w:tcBorders/>
            <w:shd w:fill="auto" w:val="clea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0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07"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6677" w:type="dxa"/>
            <w:tcBorders/>
            <w:shd w:fill="CCEEFF" w:val="clear"/>
          </w:tcPr>
          <w:p>
            <w:pPr>
              <w:pStyle w:val="TableContents"/>
              <w:spacing w:before="0" w:after="283"/>
              <w:rPr>
                <w:rFonts w:ascii="Times New Roman" w:hAnsi="Times New Roman"/>
                <w:b/>
                <w:sz w:val="20"/>
              </w:rPr>
            </w:pPr>
            <w:r>
              <w:rPr>
                <w:rFonts w:ascii="Times New Roman" w:hAnsi="Times New Roman"/>
                <w:b/>
                <w:sz w:val="20"/>
              </w:rPr>
              <w:t>CASH FLOWS FROM FINANCING ACTIVITIES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0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07"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6677" w:type="dxa"/>
            <w:tcBorders/>
            <w:shd w:fill="auto" w:val="clear"/>
          </w:tcPr>
          <w:p>
            <w:pPr>
              <w:pStyle w:val="TableContents"/>
              <w:spacing w:before="0" w:after="283"/>
              <w:rPr>
                <w:rFonts w:ascii="Times New Roman" w:hAnsi="Times New Roman"/>
                <w:sz w:val="20"/>
              </w:rPr>
            </w:pPr>
            <w:r>
              <w:rPr>
                <w:rFonts w:ascii="Times New Roman" w:hAnsi="Times New Roman"/>
                <w:sz w:val="20"/>
              </w:rPr>
              <w:t>Net repayments on Plains revolving credit facility</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(459</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77" w:type="dxa"/>
            <w:tcBorders/>
            <w:shd w:fill="CCEEFF" w:val="clear"/>
          </w:tcPr>
          <w:p>
            <w:pPr>
              <w:pStyle w:val="TableContents"/>
              <w:spacing w:before="0" w:after="283"/>
              <w:rPr>
                <w:rFonts w:ascii="Times New Roman" w:hAnsi="Times New Roman"/>
                <w:sz w:val="20"/>
              </w:rPr>
            </w:pPr>
            <w:r>
              <w:rPr>
                <w:rFonts w:ascii="Times New Roman" w:hAnsi="Times New Roman"/>
                <w:sz w:val="20"/>
              </w:rPr>
              <w:t>Net borrowings on PNG revolving credit facility</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w:t>
            </w:r>
          </w:p>
        </w:tc>
        <w:tc>
          <w:tcPr>
            <w:tcW w:w="12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9" w:type="dxa"/>
            <w:tcBorders/>
            <w:shd w:fill="CCEEFF" w:val="clear"/>
            <w:vAlign w:val="bottom"/>
          </w:tcPr>
          <w:p>
            <w:pPr>
              <w:pStyle w:val="TableContents"/>
              <w:spacing w:before="0" w:after="283"/>
              <w:rPr/>
            </w:pPr>
            <w:r>
              <w:rPr/>
              <w:t>  </w:t>
            </w:r>
          </w:p>
        </w:tc>
      </w:tr>
      <w:tr>
        <w:trPr/>
        <w:tc>
          <w:tcPr>
            <w:tcW w:w="6677" w:type="dxa"/>
            <w:tcBorders/>
            <w:shd w:fill="auto" w:val="clear"/>
          </w:tcPr>
          <w:p>
            <w:pPr>
              <w:pStyle w:val="TableContents"/>
              <w:spacing w:before="0" w:after="283"/>
              <w:rPr>
                <w:rFonts w:ascii="Times New Roman" w:hAnsi="Times New Roman"/>
                <w:sz w:val="20"/>
              </w:rPr>
            </w:pPr>
            <w:r>
              <w:rPr>
                <w:rFonts w:ascii="Times New Roman" w:hAnsi="Times New Roman"/>
                <w:sz w:val="20"/>
              </w:rPr>
              <w:t>Net borrowings on short-term letter of credit and hedged inventory facility</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2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129" w:type="dxa"/>
            <w:tcBorders/>
            <w:shd w:fill="auto" w:val="clear"/>
            <w:vAlign w:val="bottom"/>
          </w:tcPr>
          <w:p>
            <w:pPr>
              <w:pStyle w:val="TableContents"/>
              <w:spacing w:before="0" w:after="283"/>
              <w:rPr/>
            </w:pPr>
            <w:r>
              <w:rPr/>
              <w:t>  </w:t>
            </w:r>
          </w:p>
        </w:tc>
      </w:tr>
      <w:tr>
        <w:trPr/>
        <w:tc>
          <w:tcPr>
            <w:tcW w:w="6677" w:type="dxa"/>
            <w:tcBorders/>
            <w:shd w:fill="CCEEFF" w:val="clear"/>
          </w:tcPr>
          <w:p>
            <w:pPr>
              <w:pStyle w:val="TableContents"/>
              <w:spacing w:before="0" w:after="283"/>
              <w:rPr>
                <w:rFonts w:ascii="Times New Roman" w:hAnsi="Times New Roman"/>
                <w:sz w:val="20"/>
              </w:rPr>
            </w:pPr>
            <w:r>
              <w:rPr>
                <w:rFonts w:ascii="Times New Roman" w:hAnsi="Times New Roman"/>
                <w:sz w:val="20"/>
              </w:rPr>
              <w:t>Net proceeds from the issuance of senior notes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w:t>
            </w:r>
          </w:p>
        </w:tc>
        <w:tc>
          <w:tcPr>
            <w:tcW w:w="129" w:type="dxa"/>
            <w:tcBorders/>
            <w:shd w:fill="CCEEFF" w:val="clear"/>
            <w:vAlign w:val="bottom"/>
          </w:tcPr>
          <w:p>
            <w:pPr>
              <w:pStyle w:val="TableContents"/>
              <w:spacing w:before="0" w:after="283"/>
              <w:rPr/>
            </w:pPr>
            <w:r>
              <w:rPr/>
              <w:t>  </w:t>
            </w:r>
          </w:p>
        </w:tc>
      </w:tr>
      <w:tr>
        <w:trPr/>
        <w:tc>
          <w:tcPr>
            <w:tcW w:w="6677" w:type="dxa"/>
            <w:tcBorders/>
            <w:shd w:fill="auto" w:val="clear"/>
          </w:tcPr>
          <w:p>
            <w:pPr>
              <w:pStyle w:val="TableContents"/>
              <w:spacing w:before="0" w:after="283"/>
              <w:rPr>
                <w:rFonts w:ascii="Times New Roman" w:hAnsi="Times New Roman"/>
                <w:sz w:val="20"/>
              </w:rPr>
            </w:pPr>
            <w:r>
              <w:rPr>
                <w:rFonts w:ascii="Times New Roman" w:hAnsi="Times New Roman"/>
                <w:sz w:val="20"/>
              </w:rPr>
              <w:t>Net proceeds from the issuance of common units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w:t>
            </w:r>
          </w:p>
        </w:tc>
        <w:tc>
          <w:tcPr>
            <w:tcW w:w="129" w:type="dxa"/>
            <w:tcBorders/>
            <w:shd w:fill="auto" w:val="clear"/>
            <w:vAlign w:val="bottom"/>
          </w:tcPr>
          <w:p>
            <w:pPr>
              <w:pStyle w:val="TableContents"/>
              <w:spacing w:before="0" w:after="283"/>
              <w:rPr/>
            </w:pPr>
            <w:r>
              <w:rPr/>
              <w:t>  </w:t>
            </w:r>
          </w:p>
        </w:tc>
      </w:tr>
      <w:tr>
        <w:trPr/>
        <w:tc>
          <w:tcPr>
            <w:tcW w:w="6677" w:type="dxa"/>
            <w:tcBorders/>
            <w:shd w:fill="CCEEFF" w:val="clear"/>
          </w:tcPr>
          <w:p>
            <w:pPr>
              <w:pStyle w:val="TableContents"/>
              <w:spacing w:before="0" w:after="283"/>
              <w:rPr>
                <w:rFonts w:ascii="Times New Roman" w:hAnsi="Times New Roman"/>
                <w:sz w:val="20"/>
              </w:rPr>
            </w:pPr>
            <w:r>
              <w:rPr>
                <w:rFonts w:ascii="Times New Roman" w:hAnsi="Times New Roman"/>
                <w:sz w:val="20"/>
              </w:rPr>
              <w:t>Distributions paid to common unitholders (Note 7)</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77" w:type="dxa"/>
            <w:tcBorders/>
            <w:shd w:fill="auto" w:val="clear"/>
          </w:tcPr>
          <w:p>
            <w:pPr>
              <w:pStyle w:val="TableContents"/>
              <w:spacing w:before="0" w:after="283"/>
              <w:rPr>
                <w:rFonts w:ascii="Times New Roman" w:hAnsi="Times New Roman"/>
                <w:sz w:val="20"/>
              </w:rPr>
            </w:pPr>
            <w:r>
              <w:rPr>
                <w:rFonts w:ascii="Times New Roman" w:hAnsi="Times New Roman"/>
                <w:sz w:val="20"/>
              </w:rPr>
              <w:t>Distributions paid to general partner (Note 7)</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77" w:type="dxa"/>
            <w:tcBorders/>
            <w:shd w:fill="CCEEFF" w:val="clear"/>
          </w:tcPr>
          <w:p>
            <w:pPr>
              <w:pStyle w:val="TableContents"/>
              <w:spacing w:before="0" w:after="283"/>
              <w:rPr>
                <w:rFonts w:ascii="Times New Roman" w:hAnsi="Times New Roman"/>
                <w:sz w:val="20"/>
              </w:rPr>
            </w:pPr>
            <w:r>
              <w:rPr>
                <w:rFonts w:ascii="Times New Roman" w:hAnsi="Times New Roman"/>
                <w:sz w:val="20"/>
              </w:rPr>
              <w:t>Other financing activities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77"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0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07"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677" w:type="dxa"/>
            <w:tcBorders/>
            <w:shd w:fill="auto" w:val="clear"/>
          </w:tcPr>
          <w:p>
            <w:pPr>
              <w:pStyle w:val="TableContents"/>
              <w:spacing w:before="0" w:after="283"/>
              <w:rPr>
                <w:rFonts w:ascii="Times New Roman" w:hAnsi="Times New Roman"/>
                <w:sz w:val="20"/>
              </w:rPr>
            </w:pPr>
            <w:r>
              <w:rPr>
                <w:rFonts w:ascii="Times New Roman" w:hAnsi="Times New Roman"/>
                <w:sz w:val="20"/>
              </w:rPr>
              <w:t>Net cash used in financing activities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77"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0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07"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677" w:type="dxa"/>
            <w:tcBorders/>
            <w:shd w:fill="CCEEFF" w:val="clear"/>
          </w:tcPr>
          <w:p>
            <w:pPr>
              <w:pStyle w:val="TableContents"/>
              <w:spacing w:before="0" w:after="283"/>
              <w:rPr>
                <w:sz w:val="4"/>
                <w:szCs w:val="4"/>
              </w:rPr>
            </w:pPr>
            <w:r>
              <w:rPr>
                <w:sz w:val="4"/>
                <w:szCs w:val="4"/>
              </w:rPr>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0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07"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6677" w:type="dxa"/>
            <w:tcBorders/>
            <w:shd w:fill="auto" w:val="clear"/>
          </w:tcPr>
          <w:p>
            <w:pPr>
              <w:pStyle w:val="TableContents"/>
              <w:spacing w:before="0" w:after="283"/>
              <w:rPr>
                <w:rFonts w:ascii="Times New Roman" w:hAnsi="Times New Roman"/>
                <w:sz w:val="20"/>
              </w:rPr>
            </w:pPr>
            <w:r>
              <w:rPr>
                <w:rFonts w:ascii="Times New Roman" w:hAnsi="Times New Roman"/>
                <w:sz w:val="20"/>
              </w:rPr>
              <w:t>Effect of translation adjustment on cash</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9" w:type="dxa"/>
            <w:tcBorders/>
            <w:shd w:fill="auto" w:val="clear"/>
            <w:vAlign w:val="bottom"/>
          </w:tcPr>
          <w:p>
            <w:pPr>
              <w:pStyle w:val="TableContents"/>
              <w:spacing w:before="0" w:after="283"/>
              <w:rPr/>
            </w:pPr>
            <w:r>
              <w:rPr/>
              <w:t>  </w:t>
            </w:r>
          </w:p>
        </w:tc>
      </w:tr>
      <w:tr>
        <w:trPr/>
        <w:tc>
          <w:tcPr>
            <w:tcW w:w="6677" w:type="dxa"/>
            <w:tcBorders/>
            <w:shd w:fill="CCEEFF" w:val="clear"/>
          </w:tcPr>
          <w:p>
            <w:pPr>
              <w:pStyle w:val="TableContents"/>
              <w:spacing w:before="0" w:after="283"/>
              <w:rPr>
                <w:sz w:val="4"/>
                <w:szCs w:val="4"/>
              </w:rPr>
            </w:pPr>
            <w:r>
              <w:rPr>
                <w:sz w:val="4"/>
                <w:szCs w:val="4"/>
              </w:rPr>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0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07"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6677" w:type="dxa"/>
            <w:tcBorders/>
            <w:shd w:fill="auto" w:val="clear"/>
          </w:tcPr>
          <w:p>
            <w:pPr>
              <w:pStyle w:val="TableContents"/>
              <w:spacing w:before="0" w:after="283"/>
              <w:rPr>
                <w:rFonts w:ascii="Times New Roman" w:hAnsi="Times New Roman"/>
                <w:sz w:val="20"/>
              </w:rPr>
            </w:pPr>
            <w:r>
              <w:rPr>
                <w:rFonts w:ascii="Times New Roman" w:hAnsi="Times New Roman"/>
                <w:sz w:val="20"/>
              </w:rPr>
              <w:t>Net decrease in cash and cash equivalents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77"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beginning of period</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9" w:type="dxa"/>
            <w:tcBorders/>
            <w:shd w:fill="CCEEFF" w:val="clear"/>
            <w:vAlign w:val="bottom"/>
          </w:tcPr>
          <w:p>
            <w:pPr>
              <w:pStyle w:val="TableContents"/>
              <w:spacing w:before="0" w:after="283"/>
              <w:rPr/>
            </w:pPr>
            <w:r>
              <w:rPr/>
              <w:t>  </w:t>
            </w:r>
          </w:p>
        </w:tc>
      </w:tr>
      <w:tr>
        <w:trPr/>
        <w:tc>
          <w:tcPr>
            <w:tcW w:w="6677"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0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07"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677"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end of period</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9" w:type="dxa"/>
            <w:tcBorders/>
            <w:shd w:fill="auto" w:val="clear"/>
            <w:vAlign w:val="bottom"/>
          </w:tcPr>
          <w:p>
            <w:pPr>
              <w:pStyle w:val="TableContents"/>
              <w:spacing w:before="0" w:after="283"/>
              <w:rPr/>
            </w:pPr>
            <w:r>
              <w:rPr/>
              <w:t>  </w:t>
            </w:r>
          </w:p>
        </w:tc>
      </w:tr>
      <w:tr>
        <w:trPr/>
        <w:tc>
          <w:tcPr>
            <w:tcW w:w="6677"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307"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307"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rHeight w:val="120" w:hRule="atLeast"/>
        </w:trPr>
        <w:tc>
          <w:tcPr>
            <w:tcW w:w="6677" w:type="dxa"/>
            <w:tcBorders/>
            <w:shd w:fill="auto" w:val="clear"/>
            <w:vAlign w:val="center"/>
          </w:tcPr>
          <w:p>
            <w:pPr>
              <w:pStyle w:val="TableContents"/>
              <w:spacing w:before="0" w:after="283"/>
              <w:rPr>
                <w:sz w:val="4"/>
                <w:szCs w:val="4"/>
              </w:rPr>
            </w:pPr>
            <w:r>
              <w:rPr>
                <w:sz w:val="4"/>
                <w:szCs w:val="4"/>
              </w:rPr>
            </w:r>
          </w:p>
        </w:tc>
        <w:tc>
          <w:tcPr>
            <w:tcW w:w="1780" w:type="dxa"/>
            <w:gridSpan w:val="4"/>
            <w:tcBorders/>
            <w:shd w:fill="auto" w:val="clear"/>
            <w:vAlign w:val="center"/>
          </w:tcPr>
          <w:p>
            <w:pPr>
              <w:pStyle w:val="TableContents"/>
              <w:spacing w:before="0" w:after="283"/>
              <w:rPr>
                <w:sz w:val="4"/>
                <w:szCs w:val="4"/>
              </w:rPr>
            </w:pPr>
            <w:r>
              <w:rPr>
                <w:sz w:val="4"/>
                <w:szCs w:val="4"/>
              </w:rPr>
            </w:r>
          </w:p>
        </w:tc>
        <w:tc>
          <w:tcPr>
            <w:tcW w:w="1748" w:type="dxa"/>
            <w:gridSpan w:val="4"/>
            <w:tcBorders/>
            <w:shd w:fill="auto" w:val="clear"/>
            <w:vAlign w:val="center"/>
          </w:tcPr>
          <w:p>
            <w:pPr>
              <w:pStyle w:val="TableContents"/>
              <w:spacing w:before="0" w:after="283"/>
              <w:rPr>
                <w:sz w:val="4"/>
                <w:szCs w:val="4"/>
              </w:rPr>
            </w:pPr>
            <w:r>
              <w:rPr>
                <w:sz w:val="4"/>
                <w:szCs w:val="4"/>
              </w:rPr>
            </w:r>
          </w:p>
        </w:tc>
      </w:tr>
      <w:tr>
        <w:trPr/>
        <w:tc>
          <w:tcPr>
            <w:tcW w:w="6677" w:type="dxa"/>
            <w:tcBorders/>
            <w:shd w:fill="CCEEFF" w:val="clear"/>
          </w:tcPr>
          <w:p>
            <w:pPr>
              <w:pStyle w:val="TableContents"/>
              <w:spacing w:before="0" w:after="283"/>
              <w:rPr>
                <w:rFonts w:ascii="Times New Roman" w:hAnsi="Times New Roman"/>
                <w:sz w:val="20"/>
              </w:rPr>
            </w:pPr>
            <w:r>
              <w:rPr>
                <w:rFonts w:ascii="Times New Roman" w:hAnsi="Times New Roman"/>
                <w:sz w:val="20"/>
              </w:rPr>
              <w:t>Cash paid for interest, net of amounts capitalized</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25"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w:t>
            </w:r>
          </w:p>
        </w:tc>
        <w:tc>
          <w:tcPr>
            <w:tcW w:w="129" w:type="dxa"/>
            <w:tcBorders/>
            <w:shd w:fill="CCEEFF" w:val="clear"/>
            <w:vAlign w:val="bottom"/>
          </w:tcPr>
          <w:p>
            <w:pPr>
              <w:pStyle w:val="TableContents"/>
              <w:spacing w:before="0" w:after="283"/>
              <w:rPr/>
            </w:pPr>
            <w:r>
              <w:rPr/>
              <w:t>  </w:t>
            </w:r>
          </w:p>
        </w:tc>
      </w:tr>
      <w:tr>
        <w:trPr>
          <w:trHeight w:val="120" w:hRule="atLeast"/>
        </w:trPr>
        <w:tc>
          <w:tcPr>
            <w:tcW w:w="6677" w:type="dxa"/>
            <w:tcBorders/>
            <w:shd w:fill="auto" w:val="clear"/>
            <w:vAlign w:val="center"/>
          </w:tcPr>
          <w:p>
            <w:pPr>
              <w:pStyle w:val="TableContents"/>
              <w:spacing w:before="0" w:after="283"/>
              <w:rPr>
                <w:sz w:val="4"/>
                <w:szCs w:val="4"/>
              </w:rPr>
            </w:pPr>
            <w:r>
              <w:rPr>
                <w:sz w:val="4"/>
                <w:szCs w:val="4"/>
              </w:rPr>
            </w:r>
          </w:p>
        </w:tc>
        <w:tc>
          <w:tcPr>
            <w:tcW w:w="1780" w:type="dxa"/>
            <w:gridSpan w:val="4"/>
            <w:tcBorders/>
            <w:shd w:fill="auto" w:val="clear"/>
            <w:vAlign w:val="center"/>
          </w:tcPr>
          <w:p>
            <w:pPr>
              <w:pStyle w:val="TableContents"/>
              <w:spacing w:before="0" w:after="283"/>
              <w:rPr>
                <w:sz w:val="4"/>
                <w:szCs w:val="4"/>
              </w:rPr>
            </w:pPr>
            <w:r>
              <w:rPr>
                <w:sz w:val="4"/>
                <w:szCs w:val="4"/>
              </w:rPr>
            </w:r>
          </w:p>
        </w:tc>
        <w:tc>
          <w:tcPr>
            <w:tcW w:w="1748" w:type="dxa"/>
            <w:gridSpan w:val="4"/>
            <w:tcBorders/>
            <w:shd w:fill="auto" w:val="clear"/>
            <w:vAlign w:val="center"/>
          </w:tcPr>
          <w:p>
            <w:pPr>
              <w:pStyle w:val="TableContents"/>
              <w:spacing w:before="0" w:after="283"/>
              <w:rPr>
                <w:sz w:val="4"/>
                <w:szCs w:val="4"/>
              </w:rPr>
            </w:pPr>
            <w:r>
              <w:rPr>
                <w:sz w:val="4"/>
                <w:szCs w:val="4"/>
              </w:rPr>
            </w:r>
          </w:p>
        </w:tc>
      </w:tr>
      <w:tr>
        <w:trPr/>
        <w:tc>
          <w:tcPr>
            <w:tcW w:w="6677" w:type="dxa"/>
            <w:tcBorders/>
            <w:shd w:fill="auto" w:val="clear"/>
          </w:tcPr>
          <w:p>
            <w:pPr>
              <w:pStyle w:val="TableContents"/>
              <w:spacing w:before="0" w:after="283"/>
              <w:rPr>
                <w:rFonts w:ascii="Times New Roman" w:hAnsi="Times New Roman"/>
                <w:sz w:val="20"/>
              </w:rPr>
            </w:pPr>
            <w:r>
              <w:rPr>
                <w:rFonts w:ascii="Times New Roman" w:hAnsi="Times New Roman"/>
                <w:sz w:val="20"/>
              </w:rPr>
              <w:t>Cash paid/(refunded) for income taxes, net</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5"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9" w:type="dxa"/>
            <w:tcBorders/>
            <w:shd w:fill="auto" w:val="clear"/>
            <w:vAlign w:val="bottom"/>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tx73093_6"/>
      <w:bookmarkEnd w:id="8"/>
      <w:r>
        <w:rPr>
          <w:rFonts w:ascii="Times New Roman" w:hAnsi="Times New Roman"/>
          <w:b/>
          <w:sz w:val="20"/>
        </w:rPr>
        <w:t xml:space="preserve">PLAINS ALL AMERICAN PIPELINE, L.P. AND SUBSIDIARIES </w:t>
      </w:r>
    </w:p>
    <w:p>
      <w:pPr>
        <w:pStyle w:val="TextBody"/>
        <w:spacing w:before="0" w:after="0"/>
        <w:jc w:val="center"/>
        <w:rPr>
          <w:rFonts w:ascii="Times New Roman" w:hAnsi="Times New Roman"/>
          <w:b/>
          <w:sz w:val="20"/>
        </w:rPr>
      </w:pPr>
      <w:r>
        <w:rPr>
          <w:rFonts w:ascii="Times New Roman" w:hAnsi="Times New Roman"/>
          <w:b/>
          <w:sz w:val="20"/>
        </w:rPr>
        <w:t xml:space="preserve">CONDENSED CONSOLIDATED STATEMENT OF PARTNERS CAPITAL </w:t>
      </w:r>
    </w:p>
    <w:p>
      <w:pPr>
        <w:pStyle w:val="TextBody"/>
        <w:spacing w:before="0" w:after="0"/>
        <w:jc w:val="center"/>
        <w:rPr>
          <w:rFonts w:ascii="Times New Roman" w:hAnsi="Times New Roman"/>
          <w:b/>
          <w:sz w:val="20"/>
        </w:rPr>
      </w:pPr>
      <w:r>
        <w:rPr>
          <w:rFonts w:ascii="Times New Roman" w:hAnsi="Times New Roman"/>
          <w:b/>
          <w:sz w:val="20"/>
        </w:rPr>
        <w:t xml:space="preserve">(in millions) </w:t>
      </w:r>
    </w:p>
    <w:p>
      <w:pPr>
        <w:pStyle w:val="TextBody"/>
        <w:spacing w:before="0" w:after="0"/>
        <w:rPr/>
      </w:pPr>
      <w:r>
        <w:rPr/>
        <w:t> </w:t>
      </w:r>
    </w:p>
    <w:tbl>
      <w:tblPr>
        <w:tblW w:w="11010" w:type="dxa"/>
        <w:jc w:val="center"/>
        <w:tblInd w:w="0" w:type="dxa"/>
        <w:tblCellMar>
          <w:top w:w="0" w:type="dxa"/>
          <w:left w:w="0" w:type="dxa"/>
          <w:bottom w:w="0" w:type="dxa"/>
          <w:right w:w="0" w:type="dxa"/>
        </w:tblCellMar>
      </w:tblPr>
      <w:tblGrid>
        <w:gridCol w:w="4925"/>
        <w:gridCol w:w="60"/>
        <w:gridCol w:w="635"/>
        <w:gridCol w:w="60"/>
        <w:gridCol w:w="125"/>
        <w:gridCol w:w="725"/>
        <w:gridCol w:w="125"/>
        <w:gridCol w:w="60"/>
        <w:gridCol w:w="125"/>
        <w:gridCol w:w="590"/>
        <w:gridCol w:w="125"/>
        <w:gridCol w:w="60"/>
        <w:gridCol w:w="163"/>
        <w:gridCol w:w="952"/>
        <w:gridCol w:w="125"/>
        <w:gridCol w:w="60"/>
        <w:gridCol w:w="178"/>
        <w:gridCol w:w="757"/>
        <w:gridCol w:w="125"/>
        <w:gridCol w:w="60"/>
        <w:gridCol w:w="125"/>
        <w:gridCol w:w="725"/>
        <w:gridCol w:w="125"/>
      </w:tblGrid>
      <w:tr>
        <w:trPr/>
        <w:tc>
          <w:tcPr>
            <w:tcW w:w="49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49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Partners Capital</w:t>
              <w:br/>
              <w:t>Excluding</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r>
      <w:tr>
        <w:trPr/>
        <w:tc>
          <w:tcPr>
            <w:tcW w:w="49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5" w:type="dxa"/>
            <w:gridSpan w:val="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Common Units</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General</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Noncontrolling</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Noncontrolling</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Partners</w:t>
            </w:r>
          </w:p>
        </w:tc>
        <w:tc>
          <w:tcPr>
            <w:tcW w:w="125" w:type="dxa"/>
            <w:tcBorders/>
            <w:shd w:fill="auto" w:val="clear"/>
            <w:vAlign w:val="bottom"/>
          </w:tcPr>
          <w:p>
            <w:pPr>
              <w:pStyle w:val="TableContents"/>
              <w:spacing w:before="0" w:after="283"/>
              <w:rPr/>
            </w:pPr>
            <w:r>
              <w:rPr/>
              <w:t> </w:t>
            </w:r>
          </w:p>
        </w:tc>
      </w:tr>
      <w:tr>
        <w:trPr/>
        <w:tc>
          <w:tcPr>
            <w:tcW w:w="49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Units</w:t>
            </w:r>
          </w:p>
        </w:tc>
        <w:tc>
          <w:tcPr>
            <w:tcW w:w="60" w:type="dxa"/>
            <w:tcBorders/>
            <w:shd w:fill="auto" w:val="clear"/>
            <w:vAlign w:val="bottom"/>
          </w:tcPr>
          <w:p>
            <w:pPr>
              <w:pStyle w:val="TableContents"/>
              <w:spacing w:before="0" w:after="283"/>
              <w:rPr/>
            </w:pPr>
            <w:r>
              <w:rPr/>
              <w:t> </w:t>
            </w:r>
          </w:p>
        </w:tc>
        <w:tc>
          <w:tcPr>
            <w:tcW w:w="8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Amount</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Partner</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Interests</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Interests</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Capital</w:t>
            </w:r>
          </w:p>
        </w:tc>
        <w:tc>
          <w:tcPr>
            <w:tcW w:w="125" w:type="dxa"/>
            <w:tcBorders/>
            <w:shd w:fill="auto" w:val="clear"/>
            <w:vAlign w:val="bottom"/>
          </w:tcPr>
          <w:p>
            <w:pPr>
              <w:pStyle w:val="TableContents"/>
              <w:spacing w:before="0" w:after="283"/>
              <w:rPr/>
            </w:pPr>
            <w:r>
              <w:rPr/>
              <w:t> </w:t>
            </w:r>
          </w:p>
        </w:tc>
      </w:tr>
      <w:tr>
        <w:trPr/>
        <w:tc>
          <w:tcPr>
            <w:tcW w:w="49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00" w:type="dxa"/>
            <w:gridSpan w:val="2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(unaudited)</w:t>
            </w:r>
          </w:p>
        </w:tc>
        <w:tc>
          <w:tcPr>
            <w:tcW w:w="125" w:type="dxa"/>
            <w:tcBorders/>
            <w:shd w:fill="auto" w:val="clear"/>
            <w:vAlign w:val="bottom"/>
          </w:tcPr>
          <w:p>
            <w:pPr>
              <w:pStyle w:val="TableContents"/>
              <w:spacing w:before="0" w:after="283"/>
              <w:rPr/>
            </w:pPr>
            <w:r>
              <w:rPr/>
              <w:t> </w:t>
            </w:r>
          </w:p>
        </w:tc>
      </w:tr>
      <w:tr>
        <w:trPr/>
        <w:tc>
          <w:tcPr>
            <w:tcW w:w="4925"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December 31, 2009</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pPr>
            <w:r>
              <w:rPr/>
              <w:t>     </w:t>
            </w:r>
            <w:r>
              <w:rPr>
                <w:rFonts w:ascii="Times New Roman" w:hAnsi="Times New Roman"/>
                <w:sz w:val="20"/>
              </w:rPr>
              <w:t>136</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CCEEFF" w:val="clear"/>
            <w:vAlign w:val="bottom"/>
          </w:tcPr>
          <w:p>
            <w:pPr>
              <w:pStyle w:val="TableContents"/>
              <w:spacing w:before="0" w:after="283"/>
              <w:jc w:val="right"/>
              <w:rPr/>
            </w:pPr>
            <w:r>
              <w:rPr/>
              <w:t>    </w:t>
            </w:r>
            <w:r>
              <w:rPr>
                <w:rFonts w:ascii="Times New Roman" w:hAnsi="Times New Roman"/>
                <w:sz w:val="20"/>
              </w:rPr>
              <w:t>4,002</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pPr>
            <w:r>
              <w:rPr/>
              <w:t>      </w:t>
            </w:r>
            <w:r>
              <w:rPr>
                <w:rFonts w:ascii="Times New Roman" w:hAnsi="Times New Roman"/>
                <w:sz w:val="20"/>
              </w:rPr>
              <w:t>94</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2" w:type="dxa"/>
            <w:tcBorders/>
            <w:shd w:fill="CCEEFF" w:val="clear"/>
            <w:vAlign w:val="bottom"/>
          </w:tcPr>
          <w:p>
            <w:pPr>
              <w:pStyle w:val="TableContents"/>
              <w:spacing w:before="0" w:after="283"/>
              <w:jc w:val="right"/>
              <w:rPr/>
            </w:pPr>
            <w:r>
              <w:rPr/>
              <w:t>    </w:t>
            </w:r>
            <w:r>
              <w:rPr>
                <w:rFonts w:ascii="Times New Roman" w:hAnsi="Times New Roman"/>
                <w:sz w:val="20"/>
              </w:rPr>
              <w:t>4,096</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7" w:type="dxa"/>
            <w:tcBorders/>
            <w:shd w:fill="CCEEFF" w:val="clear"/>
            <w:vAlign w:val="bottom"/>
          </w:tcPr>
          <w:p>
            <w:pPr>
              <w:pStyle w:val="TableContents"/>
              <w:spacing w:before="0" w:after="283"/>
              <w:jc w:val="right"/>
              <w:rPr/>
            </w:pPr>
            <w:r>
              <w:rPr/>
              <w:t>     </w:t>
            </w:r>
            <w:r>
              <w:rPr>
                <w:rFonts w:ascii="Times New Roman" w:hAnsi="Times New Roman"/>
                <w:sz w:val="20"/>
              </w:rPr>
              <w:t>63</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CCEEFF" w:val="clear"/>
            <w:vAlign w:val="bottom"/>
          </w:tcPr>
          <w:p>
            <w:pPr>
              <w:pStyle w:val="TableContents"/>
              <w:spacing w:before="0" w:after="283"/>
              <w:jc w:val="right"/>
              <w:rPr/>
            </w:pPr>
            <w:r>
              <w:rPr/>
              <w:t>    </w:t>
            </w:r>
            <w:r>
              <w:rPr>
                <w:rFonts w:ascii="Times New Roman" w:hAnsi="Times New Roman"/>
                <w:sz w:val="20"/>
              </w:rPr>
              <w:t>4,159</w:t>
            </w:r>
          </w:p>
        </w:tc>
        <w:tc>
          <w:tcPr>
            <w:tcW w:w="125" w:type="dxa"/>
            <w:tcBorders/>
            <w:shd w:fill="CCEEFF" w:val="clear"/>
            <w:vAlign w:val="bottom"/>
          </w:tcPr>
          <w:p>
            <w:pPr>
              <w:pStyle w:val="TableContents"/>
              <w:spacing w:before="0" w:after="283"/>
              <w:rPr/>
            </w:pPr>
            <w:r>
              <w:rPr/>
              <w:t>  </w:t>
            </w:r>
          </w:p>
        </w:tc>
      </w:tr>
      <w:tr>
        <w:trPr/>
        <w:tc>
          <w:tcPr>
            <w:tcW w:w="492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35" w:type="dxa"/>
            <w:tcBorders>
              <w:top w:val="double" w:sz="6"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3" w:type="dxa"/>
            <w:tcBorders>
              <w:top w:val="double" w:sz="6" w:space="0" w:color="000000"/>
            </w:tcBorders>
            <w:shd w:fill="auto" w:val="clear"/>
            <w:tcMar>
              <w:top w:w="28" w:type="dxa"/>
            </w:tcMar>
            <w:vAlign w:val="bottom"/>
          </w:tcPr>
          <w:p>
            <w:pPr>
              <w:pStyle w:val="TableContents"/>
              <w:spacing w:before="0" w:after="283"/>
              <w:rPr/>
            </w:pPr>
            <w:r>
              <w:rPr/>
              <w:t> </w:t>
            </w:r>
          </w:p>
        </w:tc>
        <w:tc>
          <w:tcPr>
            <w:tcW w:w="952"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8" w:type="dxa"/>
            <w:tcBorders>
              <w:top w:val="double" w:sz="6" w:space="0" w:color="000000"/>
            </w:tcBorders>
            <w:shd w:fill="auto" w:val="clear"/>
            <w:tcMar>
              <w:top w:w="28" w:type="dxa"/>
            </w:tcMar>
            <w:vAlign w:val="bottom"/>
          </w:tcPr>
          <w:p>
            <w:pPr>
              <w:pStyle w:val="TableContents"/>
              <w:spacing w:before="0" w:after="283"/>
              <w:rPr/>
            </w:pPr>
            <w:r>
              <w:rPr/>
              <w:t> </w:t>
            </w:r>
          </w:p>
        </w:tc>
        <w:tc>
          <w:tcPr>
            <w:tcW w:w="757"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r>
      <w:tr>
        <w:trPr/>
        <w:tc>
          <w:tcPr>
            <w:tcW w:w="4925"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282</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284</w:t>
            </w:r>
          </w:p>
        </w:tc>
        <w:tc>
          <w:tcPr>
            <w:tcW w:w="125" w:type="dxa"/>
            <w:tcBorders/>
            <w:shd w:fill="auto" w:val="clear"/>
            <w:vAlign w:val="bottom"/>
          </w:tcPr>
          <w:p>
            <w:pPr>
              <w:pStyle w:val="TableContents"/>
              <w:spacing w:before="0" w:after="283"/>
              <w:rPr/>
            </w:pPr>
            <w:r>
              <w:rPr/>
              <w:t>  </w:t>
            </w:r>
          </w:p>
        </w:tc>
      </w:tr>
      <w:tr>
        <w:trPr/>
        <w:tc>
          <w:tcPr>
            <w:tcW w:w="4925" w:type="dxa"/>
            <w:tcBorders/>
            <w:shd w:fill="CCEEFF" w:val="clear"/>
          </w:tcPr>
          <w:p>
            <w:pPr>
              <w:pStyle w:val="TableContents"/>
              <w:spacing w:before="0" w:after="283"/>
              <w:rPr>
                <w:rFonts w:ascii="Times New Roman" w:hAnsi="Times New Roman"/>
                <w:sz w:val="20"/>
              </w:rPr>
            </w:pPr>
            <w:r>
              <w:rPr>
                <w:rFonts w:ascii="Times New Roman" w:hAnsi="Times New Roman"/>
                <w:sz w:val="20"/>
              </w:rPr>
              <w:t>Sale of noncontrolling interest in a subsidiary (Note 7)</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w:t>
            </w:r>
          </w:p>
        </w:tc>
        <w:tc>
          <w:tcPr>
            <w:tcW w:w="125" w:type="dxa"/>
            <w:tcBorders/>
            <w:shd w:fill="CCEEFF" w:val="clear"/>
            <w:vAlign w:val="bottom"/>
          </w:tcPr>
          <w:p>
            <w:pPr>
              <w:pStyle w:val="TableContents"/>
              <w:spacing w:before="0" w:after="283"/>
              <w:rPr/>
            </w:pPr>
            <w:r>
              <w:rPr/>
              <w:t>  </w:t>
            </w:r>
          </w:p>
        </w:tc>
      </w:tr>
      <w:tr>
        <w:trPr/>
        <w:tc>
          <w:tcPr>
            <w:tcW w:w="4925" w:type="dxa"/>
            <w:tcBorders/>
            <w:shd w:fill="auto" w:val="clear"/>
          </w:tcPr>
          <w:p>
            <w:pPr>
              <w:pStyle w:val="TableContents"/>
              <w:spacing w:before="0" w:after="283"/>
              <w:rPr>
                <w:rFonts w:ascii="Times New Roman" w:hAnsi="Times New Roman"/>
                <w:sz w:val="20"/>
              </w:rPr>
            </w:pPr>
            <w:r>
              <w:rPr>
                <w:rFonts w:ascii="Times New Roman" w:hAnsi="Times New Roman"/>
                <w:sz w:val="20"/>
              </w:rPr>
              <w:t>Distributions to limited partners and general partner (Note 7)</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925" w:type="dxa"/>
            <w:tcBorders/>
            <w:shd w:fill="CCEEFF" w:val="clear"/>
          </w:tcPr>
          <w:p>
            <w:pPr>
              <w:pStyle w:val="TableContents"/>
              <w:spacing w:before="0" w:after="283"/>
              <w:rPr>
                <w:rFonts w:ascii="Times New Roman" w:hAnsi="Times New Roman"/>
                <w:sz w:val="20"/>
              </w:rPr>
            </w:pPr>
            <w:r>
              <w:rPr>
                <w:rFonts w:ascii="Times New Roman" w:hAnsi="Times New Roman"/>
                <w:sz w:val="20"/>
              </w:rPr>
              <w:t>Issuance of common units under LTIP</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5" w:type="dxa"/>
            <w:tcBorders/>
            <w:shd w:fill="CCEEFF" w:val="clear"/>
            <w:vAlign w:val="bottom"/>
          </w:tcPr>
          <w:p>
            <w:pPr>
              <w:pStyle w:val="TableContents"/>
              <w:spacing w:before="0" w:after="283"/>
              <w:rPr/>
            </w:pPr>
            <w:r>
              <w:rPr/>
              <w:t>  </w:t>
            </w:r>
          </w:p>
        </w:tc>
      </w:tr>
      <w:tr>
        <w:trPr/>
        <w:tc>
          <w:tcPr>
            <w:tcW w:w="4925" w:type="dxa"/>
            <w:tcBorders/>
            <w:shd w:fill="auto" w:val="clear"/>
          </w:tcPr>
          <w:p>
            <w:pPr>
              <w:pStyle w:val="TableContents"/>
              <w:spacing w:before="0" w:after="283"/>
              <w:rPr>
                <w:rFonts w:ascii="Times New Roman" w:hAnsi="Times New Roman"/>
                <w:sz w:val="20"/>
              </w:rPr>
            </w:pPr>
            <w:r>
              <w:rPr>
                <w:rFonts w:ascii="Times New Roman" w:hAnsi="Times New Roman"/>
                <w:sz w:val="20"/>
              </w:rPr>
              <w:t>Other comprehensive income</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5" w:type="dxa"/>
            <w:tcBorders/>
            <w:shd w:fill="auto" w:val="clear"/>
            <w:vAlign w:val="bottom"/>
          </w:tcPr>
          <w:p>
            <w:pPr>
              <w:pStyle w:val="TableContents"/>
              <w:spacing w:before="0" w:after="283"/>
              <w:rPr/>
            </w:pPr>
            <w:r>
              <w:rPr/>
              <w:t>  </w:t>
            </w:r>
          </w:p>
        </w:tc>
      </w:tr>
      <w:tr>
        <w:trPr/>
        <w:tc>
          <w:tcPr>
            <w:tcW w:w="4925"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6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CCEEFF" w:val="clear"/>
            <w:vAlign w:val="bottom"/>
          </w:tcPr>
          <w:p>
            <w:pPr>
              <w:pStyle w:val="TableContents"/>
              <w:spacing w:before="0" w:after="283"/>
              <w:rPr/>
            </w:pPr>
            <w:r>
              <w:rPr/>
              <w:t>  </w:t>
            </w:r>
          </w:p>
        </w:tc>
      </w:tr>
      <w:tr>
        <w:trPr/>
        <w:tc>
          <w:tcPr>
            <w:tcW w:w="492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35" w:type="dxa"/>
            <w:tcBorders>
              <w:top w:val="sing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3" w:type="dxa"/>
            <w:tcBorders>
              <w:top w:val="single" w:sz="2" w:space="0" w:color="000000"/>
            </w:tcBorders>
            <w:shd w:fill="auto" w:val="clear"/>
            <w:tcMar>
              <w:top w:w="28" w:type="dxa"/>
            </w:tcMar>
            <w:vAlign w:val="bottom"/>
          </w:tcPr>
          <w:p>
            <w:pPr>
              <w:pStyle w:val="TableContents"/>
              <w:spacing w:before="0" w:after="283"/>
              <w:rPr/>
            </w:pPr>
            <w:r>
              <w:rPr/>
              <w:t> </w:t>
            </w:r>
          </w:p>
        </w:tc>
        <w:tc>
          <w:tcPr>
            <w:tcW w:w="95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8" w:type="dxa"/>
            <w:tcBorders>
              <w:top w:val="single" w:sz="2" w:space="0" w:color="000000"/>
            </w:tcBorders>
            <w:shd w:fill="auto" w:val="clear"/>
            <w:tcMar>
              <w:top w:w="28" w:type="dxa"/>
            </w:tcMar>
            <w:vAlign w:val="bottom"/>
          </w:tcPr>
          <w:p>
            <w:pPr>
              <w:pStyle w:val="TableContents"/>
              <w:spacing w:before="0" w:after="283"/>
              <w:rPr/>
            </w:pPr>
            <w:r>
              <w:rPr/>
              <w:t> </w:t>
            </w:r>
          </w:p>
        </w:tc>
        <w:tc>
          <w:tcPr>
            <w:tcW w:w="75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r>
      <w:tr>
        <w:trPr/>
        <w:tc>
          <w:tcPr>
            <w:tcW w:w="4925" w:type="dxa"/>
            <w:tcBorders/>
            <w:shd w:fill="auto" w:val="clear"/>
          </w:tcPr>
          <w:p>
            <w:pPr>
              <w:pStyle w:val="TableContents"/>
              <w:spacing w:before="0" w:after="283"/>
              <w:rPr>
                <w:rFonts w:ascii="Times New Roman" w:hAnsi="Times New Roman"/>
                <w:sz w:val="20"/>
              </w:rPr>
            </w:pPr>
            <w:r>
              <w:rPr>
                <w:rFonts w:ascii="Times New Roman" w:hAnsi="Times New Roman"/>
                <w:sz w:val="20"/>
              </w:rPr>
              <w:t>Balance, June 30, 2010</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4,086</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4,184</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231</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4,415</w:t>
            </w:r>
          </w:p>
        </w:tc>
        <w:tc>
          <w:tcPr>
            <w:tcW w:w="125" w:type="dxa"/>
            <w:tcBorders/>
            <w:shd w:fill="auto" w:val="clear"/>
            <w:vAlign w:val="bottom"/>
          </w:tcPr>
          <w:p>
            <w:pPr>
              <w:pStyle w:val="TableContents"/>
              <w:spacing w:before="0" w:after="283"/>
              <w:rPr/>
            </w:pPr>
            <w:r>
              <w:rPr/>
              <w:t>  </w:t>
            </w:r>
          </w:p>
        </w:tc>
      </w:tr>
      <w:tr>
        <w:trPr/>
        <w:tc>
          <w:tcPr>
            <w:tcW w:w="492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35" w:type="dxa"/>
            <w:tcBorders>
              <w:top w:val="double" w:sz="6"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3" w:type="dxa"/>
            <w:tcBorders>
              <w:top w:val="double" w:sz="6" w:space="0" w:color="000000"/>
            </w:tcBorders>
            <w:shd w:fill="auto" w:val="clear"/>
            <w:tcMar>
              <w:top w:w="28" w:type="dxa"/>
            </w:tcMar>
            <w:vAlign w:val="bottom"/>
          </w:tcPr>
          <w:p>
            <w:pPr>
              <w:pStyle w:val="TableContents"/>
              <w:spacing w:before="0" w:after="283"/>
              <w:rPr/>
            </w:pPr>
            <w:r>
              <w:rPr/>
              <w:t> </w:t>
            </w:r>
          </w:p>
        </w:tc>
        <w:tc>
          <w:tcPr>
            <w:tcW w:w="952"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8" w:type="dxa"/>
            <w:tcBorders>
              <w:top w:val="double" w:sz="6" w:space="0" w:color="000000"/>
            </w:tcBorders>
            <w:shd w:fill="auto" w:val="clear"/>
            <w:tcMar>
              <w:top w:w="28" w:type="dxa"/>
            </w:tcMar>
            <w:vAlign w:val="bottom"/>
          </w:tcPr>
          <w:p>
            <w:pPr>
              <w:pStyle w:val="TableContents"/>
              <w:spacing w:before="0" w:after="283"/>
              <w:rPr/>
            </w:pPr>
            <w:r>
              <w:rPr/>
              <w:t> </w:t>
            </w:r>
          </w:p>
        </w:tc>
        <w:tc>
          <w:tcPr>
            <w:tcW w:w="757"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r>
    </w:tbl>
    <w:p>
      <w:pPr>
        <w:pStyle w:val="TextBody"/>
        <w:spacing w:before="360" w:after="0"/>
        <w:jc w:val="center"/>
        <w:rPr>
          <w:rFonts w:ascii="Times New Roman" w:hAnsi="Times New Roman"/>
          <w:b/>
          <w:sz w:val="20"/>
        </w:rPr>
      </w:pPr>
      <w:bookmarkStart w:id="9" w:name="tx73093_7"/>
      <w:bookmarkEnd w:id="9"/>
      <w:r>
        <w:rPr>
          <w:rFonts w:ascii="Times New Roman" w:hAnsi="Times New Roman"/>
          <w:b/>
          <w:sz w:val="20"/>
        </w:rPr>
        <w:t xml:space="preserve">CONDENSED CONSOLIDATED STATEMENTS OF COMPREHENSIVE INCOME </w:t>
      </w:r>
    </w:p>
    <w:p>
      <w:pPr>
        <w:pStyle w:val="TextBody"/>
        <w:spacing w:before="0" w:after="0"/>
        <w:jc w:val="center"/>
        <w:rPr>
          <w:rFonts w:ascii="Times New Roman" w:hAnsi="Times New Roman"/>
          <w:b/>
          <w:sz w:val="20"/>
        </w:rPr>
      </w:pPr>
      <w:r>
        <w:rPr>
          <w:rFonts w:ascii="Times New Roman" w:hAnsi="Times New Roman"/>
          <w:b/>
          <w:sz w:val="20"/>
        </w:rPr>
        <w:t xml:space="preserve">(in millions)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641"/>
        <w:gridCol w:w="120"/>
        <w:gridCol w:w="125"/>
        <w:gridCol w:w="815"/>
        <w:gridCol w:w="125"/>
        <w:gridCol w:w="60"/>
        <w:gridCol w:w="125"/>
        <w:gridCol w:w="815"/>
        <w:gridCol w:w="125"/>
        <w:gridCol w:w="60"/>
        <w:gridCol w:w="124"/>
        <w:gridCol w:w="815"/>
        <w:gridCol w:w="125"/>
        <w:gridCol w:w="60"/>
        <w:gridCol w:w="125"/>
        <w:gridCol w:w="815"/>
        <w:gridCol w:w="130"/>
      </w:tblGrid>
      <w:tr>
        <w:trPr/>
        <w:tc>
          <w:tcPr>
            <w:tcW w:w="564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564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065"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Three Months Ended</w:t>
            </w:r>
            <w:r>
              <w:rPr/>
              <w:br/>
            </w:r>
            <w:r>
              <w:rPr>
                <w:rFonts w:ascii="Times New Roman" w:hAnsi="Times New Roman"/>
                <w:b/>
                <w:sz w:val="14"/>
              </w:rPr>
              <w:t>June  30,</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4"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Six Months Ended</w:t>
            </w:r>
            <w:r>
              <w:rPr/>
              <w:br/>
            </w:r>
            <w:r>
              <w:rPr>
                <w:rFonts w:ascii="Times New Roman" w:hAnsi="Times New Roman"/>
                <w:b/>
                <w:sz w:val="14"/>
              </w:rPr>
              <w:t>June  30,</w:t>
            </w:r>
          </w:p>
        </w:tc>
        <w:tc>
          <w:tcPr>
            <w:tcW w:w="130" w:type="dxa"/>
            <w:tcBorders/>
            <w:shd w:fill="auto" w:val="clear"/>
            <w:vAlign w:val="bottom"/>
          </w:tcPr>
          <w:p>
            <w:pPr>
              <w:pStyle w:val="TableContents"/>
              <w:spacing w:before="0" w:after="283"/>
              <w:rPr/>
            </w:pPr>
            <w:r>
              <w:rPr/>
              <w:t> </w:t>
            </w:r>
          </w:p>
        </w:tc>
      </w:tr>
      <w:tr>
        <w:trPr/>
        <w:tc>
          <w:tcPr>
            <w:tcW w:w="564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94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30" w:type="dxa"/>
            <w:tcBorders/>
            <w:shd w:fill="auto" w:val="clear"/>
            <w:vAlign w:val="bottom"/>
          </w:tcPr>
          <w:p>
            <w:pPr>
              <w:pStyle w:val="TableContents"/>
              <w:spacing w:before="0" w:after="283"/>
              <w:rPr/>
            </w:pPr>
            <w:r>
              <w:rPr/>
              <w:t> </w:t>
            </w:r>
          </w:p>
        </w:tc>
      </w:tr>
      <w:tr>
        <w:trPr/>
        <w:tc>
          <w:tcPr>
            <w:tcW w:w="564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065"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(unaudited)</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4"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(unaudited)</w:t>
            </w:r>
          </w:p>
        </w:tc>
        <w:tc>
          <w:tcPr>
            <w:tcW w:w="130" w:type="dxa"/>
            <w:tcBorders/>
            <w:shd w:fill="auto" w:val="clear"/>
            <w:vAlign w:val="bottom"/>
          </w:tcPr>
          <w:p>
            <w:pPr>
              <w:pStyle w:val="TableContents"/>
              <w:spacing w:before="0" w:after="283"/>
              <w:rPr/>
            </w:pPr>
            <w:r>
              <w:rPr/>
              <w:t> </w:t>
            </w:r>
          </w:p>
        </w:tc>
      </w:tr>
      <w:tr>
        <w:trPr/>
        <w:tc>
          <w:tcPr>
            <w:tcW w:w="5641"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5" w:type="dxa"/>
            <w:tcBorders/>
            <w:shd w:fill="CCEEFF" w:val="clear"/>
            <w:vAlign w:val="bottom"/>
          </w:tcPr>
          <w:p>
            <w:pPr>
              <w:pStyle w:val="TableContents"/>
              <w:spacing w:before="0" w:after="283"/>
              <w:jc w:val="right"/>
              <w:rPr/>
            </w:pPr>
            <w:r>
              <w:rPr/>
              <w:t>        </w:t>
            </w:r>
            <w:r>
              <w:rPr>
                <w:rFonts w:ascii="Times New Roman" w:hAnsi="Times New Roman"/>
                <w:sz w:val="20"/>
              </w:rPr>
              <w:t>133</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5" w:type="dxa"/>
            <w:tcBorders/>
            <w:shd w:fill="CCEEFF" w:val="clear"/>
            <w:vAlign w:val="bottom"/>
          </w:tcPr>
          <w:p>
            <w:pPr>
              <w:pStyle w:val="TableContents"/>
              <w:spacing w:before="0" w:after="283"/>
              <w:jc w:val="right"/>
              <w:rPr/>
            </w:pPr>
            <w:r>
              <w:rPr/>
              <w:t>        </w:t>
            </w:r>
            <w:r>
              <w:rPr>
                <w:rFonts w:ascii="Times New Roman" w:hAnsi="Times New Roman"/>
                <w:sz w:val="20"/>
              </w:rPr>
              <w:t>136</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5" w:type="dxa"/>
            <w:tcBorders/>
            <w:shd w:fill="CCEEFF" w:val="clear"/>
            <w:vAlign w:val="bottom"/>
          </w:tcPr>
          <w:p>
            <w:pPr>
              <w:pStyle w:val="TableContents"/>
              <w:spacing w:before="0" w:after="283"/>
              <w:jc w:val="right"/>
              <w:rPr/>
            </w:pPr>
            <w:r>
              <w:rPr/>
              <w:t>        </w:t>
            </w:r>
            <w:r>
              <w:rPr>
                <w:rFonts w:ascii="Times New Roman" w:hAnsi="Times New Roman"/>
                <w:sz w:val="20"/>
              </w:rPr>
              <w:t>284</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5" w:type="dxa"/>
            <w:tcBorders/>
            <w:shd w:fill="CCEEFF" w:val="clear"/>
            <w:vAlign w:val="bottom"/>
          </w:tcPr>
          <w:p>
            <w:pPr>
              <w:pStyle w:val="TableContents"/>
              <w:spacing w:before="0" w:after="283"/>
              <w:jc w:val="right"/>
              <w:rPr/>
            </w:pPr>
            <w:r>
              <w:rPr/>
              <w:t>        </w:t>
            </w:r>
            <w:r>
              <w:rPr>
                <w:rFonts w:ascii="Times New Roman" w:hAnsi="Times New Roman"/>
                <w:sz w:val="20"/>
              </w:rPr>
              <w:t>347</w:t>
            </w:r>
          </w:p>
        </w:tc>
        <w:tc>
          <w:tcPr>
            <w:tcW w:w="130" w:type="dxa"/>
            <w:tcBorders/>
            <w:shd w:fill="CCEEFF" w:val="clear"/>
            <w:vAlign w:val="bottom"/>
          </w:tcPr>
          <w:p>
            <w:pPr>
              <w:pStyle w:val="TableContents"/>
              <w:spacing w:before="0" w:after="283"/>
              <w:rPr/>
            </w:pPr>
            <w:r>
              <w:rPr/>
              <w:t>  </w:t>
            </w:r>
          </w:p>
        </w:tc>
      </w:tr>
      <w:tr>
        <w:trPr/>
        <w:tc>
          <w:tcPr>
            <w:tcW w:w="5641" w:type="dxa"/>
            <w:tcBorders/>
            <w:shd w:fill="auto" w:val="clear"/>
          </w:tcPr>
          <w:p>
            <w:pPr>
              <w:pStyle w:val="TableContents"/>
              <w:spacing w:before="0" w:after="283"/>
              <w:rPr>
                <w:rFonts w:ascii="Times New Roman" w:hAnsi="Times New Roman"/>
                <w:sz w:val="20"/>
              </w:rPr>
            </w:pPr>
            <w:r>
              <w:rPr>
                <w:rFonts w:ascii="Times New Roman" w:hAnsi="Times New Roman"/>
                <w:sz w:val="20"/>
              </w:rPr>
              <w:t>Other comprehensive income/(loss)</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4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1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1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81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15" w:type="dxa"/>
            <w:tcBorders>
              <w:top w:val="single" w:sz="2"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5641" w:type="dxa"/>
            <w:tcBorders/>
            <w:shd w:fill="CCEEFF" w:val="clear"/>
          </w:tcPr>
          <w:p>
            <w:pPr>
              <w:pStyle w:val="TableContents"/>
              <w:spacing w:before="0" w:after="283"/>
              <w:rPr>
                <w:rFonts w:ascii="Times New Roman" w:hAnsi="Times New Roman"/>
                <w:sz w:val="20"/>
              </w:rPr>
            </w:pPr>
            <w:r>
              <w:rPr>
                <w:rFonts w:ascii="Times New Roman" w:hAnsi="Times New Roman"/>
                <w:sz w:val="20"/>
              </w:rPr>
              <w:t>Comprehensive income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303</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w:t>
            </w:r>
          </w:p>
        </w:tc>
        <w:tc>
          <w:tcPr>
            <w:tcW w:w="130" w:type="dxa"/>
            <w:tcBorders/>
            <w:shd w:fill="CCEEFF" w:val="clear"/>
            <w:vAlign w:val="bottom"/>
          </w:tcPr>
          <w:p>
            <w:pPr>
              <w:pStyle w:val="TableContents"/>
              <w:spacing w:before="0" w:after="283"/>
              <w:rPr/>
            </w:pPr>
            <w:r>
              <w:rPr/>
              <w:t>  </w:t>
            </w:r>
          </w:p>
        </w:tc>
      </w:tr>
      <w:tr>
        <w:trPr/>
        <w:tc>
          <w:tcPr>
            <w:tcW w:w="5641" w:type="dxa"/>
            <w:tcBorders/>
            <w:shd w:fill="auto" w:val="clear"/>
          </w:tcPr>
          <w:p>
            <w:pPr>
              <w:pStyle w:val="TableContents"/>
              <w:spacing w:before="0" w:after="283"/>
              <w:rPr>
                <w:rFonts w:ascii="Times New Roman" w:hAnsi="Times New Roman"/>
                <w:sz w:val="20"/>
              </w:rPr>
            </w:pPr>
            <w:r>
              <w:rPr>
                <w:rFonts w:ascii="Times New Roman" w:hAnsi="Times New Roman"/>
                <w:sz w:val="20"/>
              </w:rPr>
              <w:t>Less: Comprehensive income attributable to noncontrolling interests</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0" w:type="dxa"/>
            <w:tcBorders/>
            <w:shd w:fill="auto" w:val="clear"/>
            <w:vAlign w:val="bottom"/>
          </w:tcPr>
          <w:p>
            <w:pPr>
              <w:pStyle w:val="TableContents"/>
              <w:spacing w:before="0" w:after="283"/>
              <w:rPr/>
            </w:pPr>
            <w:r>
              <w:rPr/>
              <w:t>  </w:t>
            </w:r>
          </w:p>
        </w:tc>
      </w:tr>
      <w:tr>
        <w:trPr/>
        <w:tc>
          <w:tcPr>
            <w:tcW w:w="564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1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1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81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15" w:type="dxa"/>
            <w:tcBorders>
              <w:top w:val="single" w:sz="2"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5641" w:type="dxa"/>
            <w:tcBorders/>
            <w:shd w:fill="CCEEFF" w:val="clear"/>
          </w:tcPr>
          <w:p>
            <w:pPr>
              <w:pStyle w:val="TableContents"/>
              <w:spacing w:before="0" w:after="283"/>
              <w:rPr>
                <w:rFonts w:ascii="Times New Roman" w:hAnsi="Times New Roman"/>
                <w:sz w:val="20"/>
              </w:rPr>
            </w:pPr>
            <w:r>
              <w:rPr>
                <w:rFonts w:ascii="Times New Roman" w:hAnsi="Times New Roman"/>
                <w:sz w:val="20"/>
              </w:rPr>
              <w:t>Comprehensive income attributable to Plains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w:t>
            </w:r>
          </w:p>
        </w:tc>
        <w:tc>
          <w:tcPr>
            <w:tcW w:w="130" w:type="dxa"/>
            <w:tcBorders/>
            <w:shd w:fill="CCEEFF" w:val="clear"/>
            <w:vAlign w:val="bottom"/>
          </w:tcPr>
          <w:p>
            <w:pPr>
              <w:pStyle w:val="TableContents"/>
              <w:spacing w:before="0" w:after="283"/>
              <w:rPr/>
            </w:pPr>
            <w:r>
              <w:rPr/>
              <w:t>  </w:t>
            </w:r>
          </w:p>
        </w:tc>
      </w:tr>
      <w:tr>
        <w:trPr/>
        <w:tc>
          <w:tcPr>
            <w:tcW w:w="564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1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1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81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15" w:type="dxa"/>
            <w:tcBorders>
              <w:top w:val="double" w:sz="6"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bl>
    <w:p>
      <w:pPr>
        <w:pStyle w:val="TextBody"/>
        <w:spacing w:before="360" w:after="0"/>
        <w:jc w:val="center"/>
        <w:rPr>
          <w:rFonts w:ascii="Times New Roman" w:hAnsi="Times New Roman"/>
          <w:b/>
          <w:sz w:val="20"/>
        </w:rPr>
      </w:pPr>
      <w:bookmarkStart w:id="10" w:name="tx73093_8"/>
      <w:bookmarkEnd w:id="10"/>
      <w:r>
        <w:rPr>
          <w:rFonts w:ascii="Times New Roman" w:hAnsi="Times New Roman"/>
          <w:b/>
          <w:sz w:val="20"/>
        </w:rPr>
        <w:t xml:space="preserve">CONDENSED CONSOLIDATED STATEMENT OF </w:t>
      </w:r>
    </w:p>
    <w:p>
      <w:pPr>
        <w:pStyle w:val="TextBody"/>
        <w:spacing w:before="0" w:after="0"/>
        <w:jc w:val="center"/>
        <w:rPr>
          <w:rFonts w:ascii="Times New Roman" w:hAnsi="Times New Roman"/>
          <w:b/>
          <w:sz w:val="20"/>
        </w:rPr>
      </w:pPr>
      <w:r>
        <w:rPr>
          <w:rFonts w:ascii="Times New Roman" w:hAnsi="Times New Roman"/>
          <w:b/>
          <w:sz w:val="20"/>
        </w:rPr>
        <w:t xml:space="preserve">CHANGES IN ACCUMULATED OTHER COMPREHENSIVE INCOME </w:t>
      </w:r>
    </w:p>
    <w:p>
      <w:pPr>
        <w:pStyle w:val="TextBody"/>
        <w:spacing w:before="0" w:after="0"/>
        <w:jc w:val="center"/>
        <w:rPr>
          <w:rFonts w:ascii="Times New Roman" w:hAnsi="Times New Roman"/>
          <w:b/>
          <w:sz w:val="20"/>
        </w:rPr>
      </w:pPr>
      <w:r>
        <w:rPr>
          <w:rFonts w:ascii="Times New Roman" w:hAnsi="Times New Roman"/>
          <w:b/>
          <w:sz w:val="20"/>
        </w:rPr>
        <w:t xml:space="preserve">(in millions)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129"/>
        <w:gridCol w:w="247"/>
        <w:gridCol w:w="125"/>
        <w:gridCol w:w="1321"/>
        <w:gridCol w:w="247"/>
        <w:gridCol w:w="125"/>
        <w:gridCol w:w="1308"/>
        <w:gridCol w:w="125"/>
        <w:gridCol w:w="197"/>
        <w:gridCol w:w="125"/>
        <w:gridCol w:w="1371"/>
        <w:gridCol w:w="125"/>
        <w:gridCol w:w="197"/>
        <w:gridCol w:w="124"/>
        <w:gridCol w:w="1308"/>
        <w:gridCol w:w="131"/>
      </w:tblGrid>
      <w:tr>
        <w:trPr/>
        <w:tc>
          <w:tcPr>
            <w:tcW w:w="312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312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446"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Derivative</w:t>
            </w:r>
            <w:r>
              <w:rPr/>
              <w:br/>
            </w:r>
            <w:r>
              <w:rPr>
                <w:rFonts w:ascii="Times New Roman" w:hAnsi="Times New Roman"/>
                <w:b/>
                <w:sz w:val="14"/>
              </w:rPr>
              <w:t>Instruments</w:t>
            </w:r>
          </w:p>
        </w:tc>
        <w:tc>
          <w:tcPr>
            <w:tcW w:w="247" w:type="dxa"/>
            <w:tcBorders/>
            <w:shd w:fill="auto" w:val="clear"/>
            <w:vAlign w:val="bottom"/>
          </w:tcPr>
          <w:p>
            <w:pPr>
              <w:pStyle w:val="TableContents"/>
              <w:spacing w:before="0" w:after="283"/>
              <w:rPr/>
            </w:pPr>
            <w:r>
              <w:rPr/>
              <w:t>  </w:t>
            </w:r>
          </w:p>
        </w:tc>
        <w:tc>
          <w:tcPr>
            <w:tcW w:w="1433"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Translation</w:t>
            </w:r>
            <w:r>
              <w:rPr/>
              <w:br/>
            </w:r>
            <w:r>
              <w:rPr>
                <w:rFonts w:ascii="Times New Roman" w:hAnsi="Times New Roman"/>
                <w:b/>
                <w:sz w:val="14"/>
              </w:rPr>
              <w:t>Adjustments</w:t>
            </w:r>
          </w:p>
        </w:tc>
        <w:tc>
          <w:tcPr>
            <w:tcW w:w="125"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49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Other</w:t>
            </w:r>
          </w:p>
        </w:tc>
        <w:tc>
          <w:tcPr>
            <w:tcW w:w="125"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43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131" w:type="dxa"/>
            <w:tcBorders/>
            <w:shd w:fill="auto" w:val="clear"/>
            <w:vAlign w:val="bottom"/>
          </w:tcPr>
          <w:p>
            <w:pPr>
              <w:pStyle w:val="TableContents"/>
              <w:spacing w:before="0" w:after="283"/>
              <w:rPr/>
            </w:pPr>
            <w:r>
              <w:rPr/>
              <w:t> </w:t>
            </w:r>
          </w:p>
        </w:tc>
      </w:tr>
      <w:tr>
        <w:trPr/>
        <w:tc>
          <w:tcPr>
            <w:tcW w:w="312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6698" w:type="dxa"/>
            <w:gridSpan w:val="1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(unaudited)</w:t>
            </w:r>
          </w:p>
        </w:tc>
        <w:tc>
          <w:tcPr>
            <w:tcW w:w="131" w:type="dxa"/>
            <w:tcBorders/>
            <w:shd w:fill="auto" w:val="clear"/>
            <w:vAlign w:val="bottom"/>
          </w:tcPr>
          <w:p>
            <w:pPr>
              <w:pStyle w:val="TableContents"/>
              <w:spacing w:before="0" w:after="283"/>
              <w:rPr/>
            </w:pPr>
            <w:r>
              <w:rPr/>
              <w:t> </w:t>
            </w:r>
          </w:p>
        </w:tc>
      </w:tr>
      <w:tr>
        <w:trPr/>
        <w:tc>
          <w:tcPr>
            <w:tcW w:w="3129"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December 31, 2009</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21" w:type="dxa"/>
            <w:tcBorders/>
            <w:shd w:fill="CCEEFF" w:val="clear"/>
            <w:vAlign w:val="bottom"/>
          </w:tcPr>
          <w:p>
            <w:pPr>
              <w:pStyle w:val="TableContents"/>
              <w:spacing w:before="0" w:after="283"/>
              <w:jc w:val="right"/>
              <w:rPr/>
            </w:pPr>
            <w:r>
              <w:rPr/>
              <w:t>                  </w:t>
            </w:r>
            <w:r>
              <w:rPr>
                <w:rFonts w:ascii="Times New Roman" w:hAnsi="Times New Roman"/>
                <w:sz w:val="20"/>
              </w:rPr>
              <w:t>18</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8" w:type="dxa"/>
            <w:tcBorders/>
            <w:shd w:fill="CCEEFF" w:val="clear"/>
            <w:vAlign w:val="bottom"/>
          </w:tcPr>
          <w:p>
            <w:pPr>
              <w:pStyle w:val="TableContents"/>
              <w:spacing w:before="0" w:after="283"/>
              <w:jc w:val="right"/>
              <w:rPr/>
            </w:pPr>
            <w:r>
              <w:rPr/>
              <w:t>                </w:t>
            </w:r>
            <w:r>
              <w:rPr>
                <w:rFonts w:ascii="Times New Roman" w:hAnsi="Times New Roman"/>
                <w:sz w:val="20"/>
              </w:rPr>
              <w:t>106</w:t>
            </w:r>
          </w:p>
        </w:tc>
        <w:tc>
          <w:tcPr>
            <w:tcW w:w="12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8" w:type="dxa"/>
            <w:tcBorders/>
            <w:shd w:fill="CCEEFF" w:val="clear"/>
            <w:vAlign w:val="bottom"/>
          </w:tcPr>
          <w:p>
            <w:pPr>
              <w:pStyle w:val="TableContents"/>
              <w:spacing w:before="0" w:after="283"/>
              <w:jc w:val="right"/>
              <w:rPr/>
            </w:pPr>
            <w:r>
              <w:rPr/>
              <w:t>                </w:t>
            </w:r>
            <w:r>
              <w:rPr>
                <w:rFonts w:ascii="Times New Roman" w:hAnsi="Times New Roman"/>
                <w:sz w:val="20"/>
              </w:rPr>
              <w:t>123</w:t>
            </w:r>
          </w:p>
        </w:tc>
        <w:tc>
          <w:tcPr>
            <w:tcW w:w="131" w:type="dxa"/>
            <w:tcBorders/>
            <w:shd w:fill="CCEEFF" w:val="clear"/>
            <w:vAlign w:val="bottom"/>
          </w:tcPr>
          <w:p>
            <w:pPr>
              <w:pStyle w:val="TableContents"/>
              <w:spacing w:before="0" w:after="283"/>
              <w:rPr/>
            </w:pPr>
            <w:r>
              <w:rPr/>
              <w:t>  </w:t>
            </w:r>
          </w:p>
        </w:tc>
      </w:tr>
      <w:tr>
        <w:trPr/>
        <w:tc>
          <w:tcPr>
            <w:tcW w:w="3129"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321" w:type="dxa"/>
            <w:tcBorders>
              <w:top w:val="double" w:sz="6" w:space="0" w:color="000000"/>
            </w:tcBorders>
            <w:shd w:fill="auto" w:val="clear"/>
            <w:tcMar>
              <w:top w:w="28" w:type="dxa"/>
            </w:tcM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308"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371"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1308" w:type="dxa"/>
            <w:tcBorders>
              <w:top w:val="double" w:sz="6"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3129" w:type="dxa"/>
            <w:tcBorders/>
            <w:shd w:fill="auto" w:val="clear"/>
          </w:tcPr>
          <w:p>
            <w:pPr>
              <w:pStyle w:val="TableContents"/>
              <w:spacing w:before="0" w:after="283"/>
              <w:rPr>
                <w:rFonts w:ascii="Times New Roman" w:hAnsi="Times New Roman"/>
                <w:sz w:val="20"/>
              </w:rPr>
            </w:pPr>
            <w:r>
              <w:rPr>
                <w:rFonts w:ascii="Times New Roman" w:hAnsi="Times New Roman"/>
                <w:sz w:val="20"/>
              </w:rPr>
              <w:t>Reclassification adjustments</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jc w:val="right"/>
              <w:rPr/>
            </w:pPr>
            <w:r>
              <w:rPr/>
              <w:t>                    </w:t>
            </w: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3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31" w:type="dxa"/>
            <w:tcBorders/>
            <w:shd w:fill="auto" w:val="clear"/>
            <w:vAlign w:val="bottom"/>
          </w:tcPr>
          <w:p>
            <w:pPr>
              <w:pStyle w:val="TableContents"/>
              <w:spacing w:before="0" w:after="283"/>
              <w:rPr/>
            </w:pPr>
            <w:r>
              <w:rPr/>
              <w:t>  </w:t>
            </w:r>
          </w:p>
        </w:tc>
      </w:tr>
      <w:tr>
        <w:trPr/>
        <w:tc>
          <w:tcPr>
            <w:tcW w:w="3129" w:type="dxa"/>
            <w:tcBorders/>
            <w:shd w:fill="CCEEFF" w:val="clear"/>
          </w:tcPr>
          <w:p>
            <w:pPr>
              <w:pStyle w:val="TableContents"/>
              <w:spacing w:before="0" w:after="283"/>
              <w:rPr>
                <w:rFonts w:ascii="Times New Roman" w:hAnsi="Times New Roman"/>
                <w:sz w:val="20"/>
              </w:rPr>
            </w:pPr>
            <w:r>
              <w:rPr>
                <w:rFonts w:ascii="Times New Roman" w:hAnsi="Times New Roman"/>
                <w:sz w:val="20"/>
              </w:rPr>
              <w:t>Net deferred gains on cash flow hedges</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3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31" w:type="dxa"/>
            <w:tcBorders/>
            <w:shd w:fill="CCEEFF" w:val="clear"/>
            <w:vAlign w:val="bottom"/>
          </w:tcPr>
          <w:p>
            <w:pPr>
              <w:pStyle w:val="TableContents"/>
              <w:spacing w:before="0" w:after="283"/>
              <w:rPr/>
            </w:pPr>
            <w:r>
              <w:rPr/>
              <w:t>  </w:t>
            </w:r>
          </w:p>
        </w:tc>
      </w:tr>
      <w:tr>
        <w:trPr/>
        <w:tc>
          <w:tcPr>
            <w:tcW w:w="3129" w:type="dxa"/>
            <w:tcBorders/>
            <w:shd w:fill="auto" w:val="clear"/>
          </w:tcPr>
          <w:p>
            <w:pPr>
              <w:pStyle w:val="TableContents"/>
              <w:spacing w:before="0" w:after="283"/>
              <w:rPr>
                <w:rFonts w:ascii="Times New Roman" w:hAnsi="Times New Roman"/>
                <w:sz w:val="20"/>
              </w:rPr>
            </w:pPr>
            <w:r>
              <w:rPr>
                <w:rFonts w:ascii="Times New Roman" w:hAnsi="Times New Roman"/>
                <w:sz w:val="20"/>
              </w:rPr>
              <w:t>Currency translation adjustment</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3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129"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21" w:type="dxa"/>
            <w:tcBorders>
              <w:top w:val="single" w:sz="2" w:space="0" w:color="000000"/>
            </w:tcBorders>
            <w:shd w:fill="auto" w:val="clear"/>
            <w:tcMar>
              <w:top w:w="28" w:type="dxa"/>
            </w:tcM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0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7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1308" w:type="dxa"/>
            <w:tcBorders>
              <w:top w:val="single" w:sz="2"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3129" w:type="dxa"/>
            <w:tcBorders/>
            <w:shd w:fill="CCEEFF" w:val="clear"/>
          </w:tcPr>
          <w:p>
            <w:pPr>
              <w:pStyle w:val="TableContents"/>
              <w:spacing w:before="0" w:after="283"/>
              <w:rPr>
                <w:rFonts w:ascii="Times New Roman" w:hAnsi="Times New Roman"/>
                <w:sz w:val="20"/>
              </w:rPr>
            </w:pPr>
            <w:r>
              <w:rPr>
                <w:rFonts w:ascii="Times New Roman" w:hAnsi="Times New Roman"/>
                <w:sz w:val="20"/>
              </w:rPr>
              <w:t>Total period activity</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3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31" w:type="dxa"/>
            <w:tcBorders/>
            <w:shd w:fill="CCEEFF" w:val="clear"/>
            <w:vAlign w:val="bottom"/>
          </w:tcPr>
          <w:p>
            <w:pPr>
              <w:pStyle w:val="TableContents"/>
              <w:spacing w:before="0" w:after="283"/>
              <w:rPr/>
            </w:pPr>
            <w:r>
              <w:rPr/>
              <w:t>  </w:t>
            </w:r>
          </w:p>
        </w:tc>
      </w:tr>
      <w:tr>
        <w:trPr/>
        <w:tc>
          <w:tcPr>
            <w:tcW w:w="3129"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21" w:type="dxa"/>
            <w:tcBorders>
              <w:top w:val="single" w:sz="2" w:space="0" w:color="000000"/>
            </w:tcBorders>
            <w:shd w:fill="auto" w:val="clear"/>
            <w:tcMar>
              <w:top w:w="28" w:type="dxa"/>
            </w:tcM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0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7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1308" w:type="dxa"/>
            <w:tcBorders>
              <w:top w:val="single" w:sz="2"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3129" w:type="dxa"/>
            <w:tcBorders/>
            <w:shd w:fill="auto" w:val="clear"/>
          </w:tcPr>
          <w:p>
            <w:pPr>
              <w:pStyle w:val="TableContents"/>
              <w:spacing w:before="0" w:after="283"/>
              <w:rPr>
                <w:rFonts w:ascii="Times New Roman" w:hAnsi="Times New Roman"/>
                <w:sz w:val="20"/>
              </w:rPr>
            </w:pPr>
            <w:r>
              <w:rPr>
                <w:rFonts w:ascii="Times New Roman" w:hAnsi="Times New Roman"/>
                <w:sz w:val="20"/>
              </w:rPr>
              <w:t>Balance, June 30, 2010</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5"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w:t>
            </w:r>
          </w:p>
        </w:tc>
        <w:tc>
          <w:tcPr>
            <w:tcW w:w="131" w:type="dxa"/>
            <w:tcBorders/>
            <w:shd w:fill="auto" w:val="clear"/>
            <w:vAlign w:val="bottom"/>
          </w:tcPr>
          <w:p>
            <w:pPr>
              <w:pStyle w:val="TableContents"/>
              <w:spacing w:before="0" w:after="283"/>
              <w:rPr/>
            </w:pPr>
            <w:r>
              <w:rPr/>
              <w:t>  </w:t>
            </w:r>
          </w:p>
        </w:tc>
      </w:tr>
      <w:tr>
        <w:trPr/>
        <w:tc>
          <w:tcPr>
            <w:tcW w:w="3129"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321" w:type="dxa"/>
            <w:tcBorders>
              <w:top w:val="double" w:sz="6" w:space="0" w:color="000000"/>
            </w:tcBorders>
            <w:shd w:fill="auto" w:val="clear"/>
            <w:tcMar>
              <w:top w:w="28" w:type="dxa"/>
            </w:tcM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308"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371"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1308" w:type="dxa"/>
            <w:tcBorders>
              <w:top w:val="double" w:sz="6"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tx73093_9"/>
      <w:bookmarkEnd w:id="11"/>
      <w:r>
        <w:rPr>
          <w:rFonts w:ascii="Times New Roman" w:hAnsi="Times New Roman"/>
          <w:b/>
          <w:sz w:val="20"/>
        </w:rPr>
        <w:t xml:space="preserve">PLAINS ALL AMERICAN PIPELINE, L.P. AND SUBSIDIARIES </w:t>
      </w:r>
    </w:p>
    <w:p>
      <w:pPr>
        <w:pStyle w:val="TextBody"/>
        <w:spacing w:before="18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spacing w:before="180" w:after="0"/>
        <w:jc w:val="center"/>
        <w:rPr>
          <w:rFonts w:ascii="Times New Roman" w:hAnsi="Times New Roman"/>
          <w:b/>
          <w:sz w:val="20"/>
        </w:rPr>
      </w:pPr>
      <w:r>
        <w:rPr>
          <w:rFonts w:ascii="Times New Roman" w:hAnsi="Times New Roman"/>
          <w:b/>
          <w:sz w:val="20"/>
        </w:rPr>
        <w:t xml:space="preserve">(unaudited) </w:t>
      </w:r>
    </w:p>
    <w:p>
      <w:pPr>
        <w:pStyle w:val="TextBody"/>
        <w:spacing w:before="180" w:after="0"/>
        <w:rPr>
          <w:rFonts w:ascii="Times New Roman" w:hAnsi="Times New Roman"/>
          <w:b/>
          <w:sz w:val="20"/>
        </w:rPr>
      </w:pPr>
      <w:bookmarkStart w:id="12" w:name="tx73093_10"/>
      <w:bookmarkEnd w:id="12"/>
      <w:r>
        <w:rPr>
          <w:rFonts w:ascii="Times New Roman" w:hAnsi="Times New Roman"/>
          <w:b/>
          <w:sz w:val="20"/>
        </w:rPr>
        <w:t xml:space="preserve">Note 1Organization and Basis of Presentation </w:t>
      </w:r>
    </w:p>
    <w:p>
      <w:pPr>
        <w:pStyle w:val="TextBody"/>
        <w:spacing w:before="90" w:after="0"/>
        <w:rPr>
          <w:rFonts w:ascii="Times New Roman" w:hAnsi="Times New Roman"/>
          <w:b/>
          <w:i/>
          <w:sz w:val="20"/>
        </w:rPr>
      </w:pPr>
      <w:r>
        <w:rPr>
          <w:rFonts w:ascii="Times New Roman" w:hAnsi="Times New Roman"/>
          <w:b/>
          <w:i/>
          <w:sz w:val="20"/>
        </w:rPr>
        <w:t xml:space="preserve">Organization </w:t>
      </w:r>
    </w:p>
    <w:p>
      <w:pPr>
        <w:pStyle w:val="TextBody"/>
        <w:spacing w:before="90" w:after="0"/>
        <w:rPr>
          <w:rFonts w:ascii="Times New Roman" w:hAnsi="Times New Roman"/>
          <w:sz w:val="20"/>
        </w:rPr>
      </w:pPr>
      <w:r>
        <w:rPr>
          <w:rFonts w:ascii="Times New Roman" w:hAnsi="Times New Roman"/>
          <w:sz w:val="20"/>
        </w:rPr>
        <w:t xml:space="preserve">We engage in the transportation, storage, terminalling and marketing of crude oil, refined products and LPG. We also engage in the development and operation of natural gas storage facilities. We manage our operations through three operating segments: (i) Transportation, (ii) Facilities and (iii) Supply and Logistics. See Note 11 for further detail of our operating segments. </w:t>
      </w:r>
    </w:p>
    <w:p>
      <w:pPr>
        <w:pStyle w:val="TextBody"/>
        <w:spacing w:before="180" w:after="0"/>
        <w:rPr>
          <w:rFonts w:ascii="Times New Roman" w:hAnsi="Times New Roman"/>
          <w:sz w:val="20"/>
        </w:rPr>
      </w:pPr>
      <w:r>
        <w:rPr>
          <w:rFonts w:ascii="Times New Roman" w:hAnsi="Times New Roman"/>
          <w:sz w:val="20"/>
        </w:rPr>
        <w:t xml:space="preserve">As used in this Form 10-Q, the terms Partnership, Plains, we, us, our, ours and similar terms refer to Plains All American Pipeline, L.P. and its subsidiaries, unless the context indicates otherwise. References to our general partner, as the context requires, include any or all of PAA GP LLC, Plains AAP, L.P. and Plains All American GP LLC. </w:t>
      </w:r>
    </w:p>
    <w:p>
      <w:pPr>
        <w:pStyle w:val="TextBody"/>
        <w:spacing w:before="270" w:after="0"/>
        <w:rPr>
          <w:rFonts w:ascii="Times New Roman" w:hAnsi="Times New Roman"/>
          <w:b/>
          <w:i/>
          <w:sz w:val="20"/>
        </w:rPr>
      </w:pPr>
      <w:r>
        <w:rPr>
          <w:rFonts w:ascii="Times New Roman" w:hAnsi="Times New Roman"/>
          <w:b/>
          <w:i/>
          <w:sz w:val="20"/>
        </w:rPr>
        <w:t xml:space="preserve">Definitions </w:t>
      </w:r>
    </w:p>
    <w:p>
      <w:pPr>
        <w:pStyle w:val="TextBody"/>
        <w:spacing w:before="90" w:after="0"/>
        <w:rPr>
          <w:rFonts w:ascii="Times New Roman" w:hAnsi="Times New Roman"/>
          <w:sz w:val="20"/>
        </w:rPr>
      </w:pPr>
      <w:r>
        <w:rPr>
          <w:rFonts w:ascii="Times New Roman" w:hAnsi="Times New Roman"/>
          <w:sz w:val="20"/>
        </w:rPr>
        <w:t xml:space="preserve">The following additional defined terms are used in this Form 10-Q and shall have the meanings indicated below: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1100"/>
        <w:gridCol w:w="99"/>
        <w:gridCol w:w="8189"/>
      </w:tblGrid>
      <w:tr>
        <w:trPr/>
        <w:tc>
          <w:tcPr>
            <w:tcW w:w="1100"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c>
          <w:tcPr>
            <w:tcW w:w="8189" w:type="dxa"/>
            <w:tcBorders/>
            <w:shd w:fill="auto" w:val="clear"/>
            <w:vAlign w:val="center"/>
          </w:tcPr>
          <w:p>
            <w:pPr>
              <w:pStyle w:val="TableContents"/>
              <w:spacing w:before="0" w:after="283"/>
              <w:rPr>
                <w:sz w:val="4"/>
                <w:szCs w:val="4"/>
              </w:rPr>
            </w:pPr>
            <w:r>
              <w:rPr>
                <w:sz w:val="4"/>
                <w:szCs w:val="4"/>
              </w:rPr>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AOCI</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Accumulated other comprehensive income</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API 653</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American Petroleum Institute Standard 653</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Bcf</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Billion cubic feet</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CAA</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Clean Air Act</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CAD</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Canadian Dollar</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Class B units</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Class B units of Plains AAP, L.P.</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DCP</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Disclosure controls and procedures</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DERs</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Distribution Equivalent Rights</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DOJ</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United States Department of Justice</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EPA</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United States Environmental Protection Agency</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FERC</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Federal Energy Regulation Commission</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FASB</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Financial Accounting Standards Board</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ICE</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IntercontinentalExchange</w:t>
            </w:r>
          </w:p>
        </w:tc>
      </w:tr>
      <w:tr>
        <w:trPr/>
        <w:tc>
          <w:tcPr>
            <w:tcW w:w="1100" w:type="dxa"/>
            <w:tcBorders/>
            <w:shd w:fill="auto" w:val="clear"/>
          </w:tcPr>
          <w:p>
            <w:pPr>
              <w:pStyle w:val="TableContents"/>
              <w:spacing w:before="0" w:after="0"/>
              <w:rPr>
                <w:rFonts w:ascii="Times New Roman" w:hAnsi="Times New Roman"/>
                <w:sz w:val="20"/>
              </w:rPr>
            </w:pPr>
            <w:r>
              <w:rPr>
                <w:rFonts w:ascii="Times New Roman" w:hAnsi="Times New Roman"/>
                <w:sz w:val="20"/>
              </w:rPr>
              <w:t>IPO</w:t>
            </w:r>
          </w:p>
          <w:p>
            <w:pPr>
              <w:pStyle w:val="TableContents"/>
              <w:spacing w:before="0" w:after="15"/>
              <w:rPr>
                <w:rFonts w:ascii="Times New Roman" w:hAnsi="Times New Roman"/>
                <w:sz w:val="20"/>
              </w:rPr>
            </w:pPr>
            <w:r>
              <w:rPr>
                <w:rFonts w:ascii="Times New Roman" w:hAnsi="Times New Roman"/>
                <w:sz w:val="20"/>
              </w:rPr>
              <w:t>LIBOR</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 Initial Public Offering</w:t>
            </w:r>
          </w:p>
          <w:p>
            <w:pPr>
              <w:pStyle w:val="TableContents"/>
              <w:spacing w:before="0" w:after="15"/>
              <w:rPr>
                <w:rFonts w:ascii="Times New Roman" w:hAnsi="Times New Roman"/>
                <w:sz w:val="20"/>
              </w:rPr>
            </w:pPr>
            <w:r>
              <w:rPr>
                <w:rFonts w:ascii="Times New Roman" w:hAnsi="Times New Roman"/>
                <w:sz w:val="20"/>
              </w:rPr>
              <w:t>= London Interbank Offered Rate</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LPG</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Liquefied petroleum gas and other natural gas-related petroleum products</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LTIP</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Long term incentive plan</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Mcf</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Thousand cubic feet</w:t>
            </w:r>
          </w:p>
        </w:tc>
      </w:tr>
      <w:tr>
        <w:trPr/>
        <w:tc>
          <w:tcPr>
            <w:tcW w:w="1100" w:type="dxa"/>
            <w:tcBorders/>
            <w:shd w:fill="auto" w:val="clear"/>
          </w:tcPr>
          <w:p>
            <w:pPr>
              <w:pStyle w:val="TableContents"/>
              <w:spacing w:before="0" w:after="0"/>
              <w:rPr>
                <w:rFonts w:ascii="Times New Roman" w:hAnsi="Times New Roman"/>
                <w:sz w:val="20"/>
              </w:rPr>
            </w:pPr>
            <w:r>
              <w:rPr>
                <w:rFonts w:ascii="Times New Roman" w:hAnsi="Times New Roman"/>
                <w:sz w:val="20"/>
              </w:rPr>
              <w:t>MLP</w:t>
            </w:r>
          </w:p>
          <w:p>
            <w:pPr>
              <w:pStyle w:val="TableContents"/>
              <w:spacing w:before="0" w:after="15"/>
              <w:rPr>
                <w:rFonts w:ascii="Times New Roman" w:hAnsi="Times New Roman"/>
                <w:sz w:val="20"/>
              </w:rPr>
            </w:pPr>
            <w:r>
              <w:rPr>
                <w:rFonts w:ascii="Times New Roman" w:hAnsi="Times New Roman"/>
                <w:sz w:val="20"/>
              </w:rPr>
              <w:t>MTBE</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 Master limited partnership</w:t>
            </w:r>
          </w:p>
          <w:p>
            <w:pPr>
              <w:pStyle w:val="TableContents"/>
              <w:spacing w:before="0" w:after="15"/>
              <w:rPr>
                <w:rFonts w:ascii="Times New Roman" w:hAnsi="Times New Roman"/>
                <w:sz w:val="20"/>
              </w:rPr>
            </w:pPr>
            <w:r>
              <w:rPr>
                <w:rFonts w:ascii="Times New Roman" w:hAnsi="Times New Roman"/>
                <w:sz w:val="20"/>
              </w:rPr>
              <w:t>= Methyl tertiary-butyl ether</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NJDEP</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New Jersey Department of Environmental Protection</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NYMEX</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New York Mercantile Exchange</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NPNS</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Normal purchase and normal sale</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PNG</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PAA Natural Gas Storage, L.P.</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PNGS</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PAA Natural Gas Storage, LLC</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PAT</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Pacific Atlantic Terminals, LLC</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Rainbow</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Rainbow Pipe Line Company Ltd.</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RMPS</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Rocky Mountain Pipeline System</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SEC</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Securities and Exchange Commission</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U.S. GAAP</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United States generally accepted accounting principles</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USD</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United States Dollar</w:t>
            </w:r>
          </w:p>
        </w:tc>
      </w:tr>
      <w:tr>
        <w:trPr/>
        <w:tc>
          <w:tcPr>
            <w:tcW w:w="1100" w:type="dxa"/>
            <w:tcBorders/>
            <w:shd w:fill="auto" w:val="clear"/>
          </w:tcPr>
          <w:p>
            <w:pPr>
              <w:pStyle w:val="TableContents"/>
              <w:spacing w:before="0" w:after="283"/>
              <w:rPr>
                <w:rFonts w:ascii="Times New Roman" w:hAnsi="Times New Roman"/>
                <w:sz w:val="20"/>
              </w:rPr>
            </w:pPr>
            <w:r>
              <w:rPr>
                <w:rFonts w:ascii="Times New Roman" w:hAnsi="Times New Roman"/>
                <w:sz w:val="20"/>
              </w:rPr>
              <w:t>WTI</w:t>
            </w:r>
          </w:p>
        </w:tc>
        <w:tc>
          <w:tcPr>
            <w:tcW w:w="99" w:type="dxa"/>
            <w:tcBorders/>
            <w:shd w:fill="auto" w:val="clear"/>
            <w:vAlign w:val="bottom"/>
          </w:tcPr>
          <w:p>
            <w:pPr>
              <w:pStyle w:val="TableContents"/>
              <w:spacing w:before="0" w:after="283"/>
              <w:rPr/>
            </w:pPr>
            <w:r>
              <w:rPr/>
              <w:t> </w:t>
            </w:r>
          </w:p>
        </w:tc>
        <w:tc>
          <w:tcPr>
            <w:tcW w:w="8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West Texas Intermediate</w:t>
            </w:r>
          </w:p>
        </w:tc>
      </w:tr>
    </w:tbl>
    <w:p>
      <w:pPr>
        <w:pStyle w:val="TextBody"/>
        <w:spacing w:before="270" w:after="0"/>
        <w:rPr>
          <w:rFonts w:ascii="Times New Roman" w:hAnsi="Times New Roman"/>
          <w:b/>
          <w:i/>
          <w:sz w:val="20"/>
        </w:rPr>
      </w:pPr>
      <w:r>
        <w:rPr>
          <w:rFonts w:ascii="Times New Roman" w:hAnsi="Times New Roman"/>
          <w:b/>
          <w:i/>
          <w:sz w:val="20"/>
        </w:rPr>
        <w:t xml:space="preserve">Basis of Consolidation and Presentation </w:t>
      </w:r>
    </w:p>
    <w:p>
      <w:pPr>
        <w:pStyle w:val="TextBody"/>
        <w:spacing w:before="90" w:after="0"/>
        <w:rPr>
          <w:rFonts w:ascii="Times New Roman" w:hAnsi="Times New Roman"/>
          <w:sz w:val="20"/>
        </w:rPr>
      </w:pPr>
      <w:r>
        <w:rPr>
          <w:rFonts w:ascii="Times New Roman" w:hAnsi="Times New Roman"/>
          <w:sz w:val="20"/>
        </w:rPr>
        <w:t xml:space="preserve">The accompanying condensed consolidated interim financial statements should be read in conjunction with our consolidated financial statements and notes thereto presented in our 2009 Annual Report on Form 10-K. The financial statements have been prepared in accordance with the instructions for interim reporting as prescribed by the SEC. All adjustments (consisting only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These reclassifications do not affect net income attributable to Plains. The condensed balance sheet data as of December 31, 2009 was derived from audited financial statements, but does not include all disclosures required by U.S. GAAP. The results of operations for the three and six months ended June 30, 2010 should not be taken as indicative of the results to be expected for the full year. </w:t>
      </w:r>
    </w:p>
    <w:p>
      <w:pPr>
        <w:pStyle w:val="TextBody"/>
        <w:spacing w:before="180" w:after="0"/>
        <w:rPr>
          <w:rFonts w:ascii="Times New Roman" w:hAnsi="Times New Roman"/>
          <w:sz w:val="20"/>
        </w:rPr>
      </w:pPr>
      <w:r>
        <w:rPr>
          <w:rFonts w:ascii="Times New Roman" w:hAnsi="Times New Roman"/>
          <w:sz w:val="20"/>
        </w:rPr>
        <w:t xml:space="preserve">Subsequent events have been evaluated through the financial statements issuance date and have been included within the following footnotes where applicable. </w:t>
      </w:r>
    </w:p>
    <w:p>
      <w:pPr>
        <w:pStyle w:val="TextBody"/>
        <w:spacing w:before="270" w:after="0"/>
        <w:rPr>
          <w:rFonts w:ascii="Times New Roman" w:hAnsi="Times New Roman"/>
          <w:b/>
          <w:sz w:val="20"/>
        </w:rPr>
      </w:pPr>
      <w:bookmarkStart w:id="13" w:name="tx73093_11"/>
      <w:bookmarkEnd w:id="13"/>
      <w:r>
        <w:rPr>
          <w:rFonts w:ascii="Times New Roman" w:hAnsi="Times New Roman"/>
          <w:b/>
          <w:sz w:val="20"/>
        </w:rPr>
        <w:t xml:space="preserve">Note 2Recent Accounting Pronouncements </w:t>
      </w:r>
    </w:p>
    <w:p>
      <w:pPr>
        <w:pStyle w:val="TextBody"/>
        <w:spacing w:before="90" w:after="0"/>
        <w:rPr>
          <w:rFonts w:ascii="Times New Roman" w:hAnsi="Times New Roman"/>
          <w:sz w:val="20"/>
        </w:rPr>
      </w:pPr>
      <w:r>
        <w:rPr>
          <w:rFonts w:ascii="Times New Roman" w:hAnsi="Times New Roman"/>
          <w:i/>
          <w:sz w:val="20"/>
        </w:rPr>
        <w:t>Fair Value Measurement Disclosure Requirements.</w:t>
      </w:r>
      <w:r>
        <w:rPr>
          <w:rFonts w:ascii="Times New Roman" w:hAnsi="Times New Roman"/>
          <w:sz w:val="20"/>
        </w:rPr>
        <w:t xml:space="preserve"> In January 2010, the FASB issued guidance relating to fair value measurements. This new guidance requires additional disclosures regarding transfers in and out of Level 1 and Level 2 measurements and requires a gross presentation of activities within the Level 3 roll forward. This guidance is effective for the first interim or annual reporting period beginning after December 15, 2009, except for the gross presentation of the Level 3 roll forward, which is required for annual reporting periods beginning after December 15, 2010 and for interim reporting periods within those years. We adopted the guidance, which is effective for the first interim or annual reporting period beginning after December 15, 2009, on January 1, 2010. Our adoption did not have any material impact on our financial position, results of operations, or cash flows. See Note 9 for applicable disclosure. We will adopt the guidance that will be effective for annual reporting periods beginning after December 15, 2010 on January 1, 2011. We do not expect that adoption of this guidance will have any material impact on our financial position, results of operations, or cash flows. </w:t>
      </w:r>
    </w:p>
    <w:p>
      <w:pPr>
        <w:pStyle w:val="TextBody"/>
        <w:spacing w:before="270" w:after="0"/>
        <w:rPr>
          <w:rFonts w:ascii="Times New Roman" w:hAnsi="Times New Roman"/>
          <w:b/>
          <w:sz w:val="20"/>
        </w:rPr>
      </w:pPr>
      <w:bookmarkStart w:id="14" w:name="tx73093_12"/>
      <w:bookmarkEnd w:id="14"/>
      <w:r>
        <w:rPr>
          <w:rFonts w:ascii="Times New Roman" w:hAnsi="Times New Roman"/>
          <w:b/>
          <w:sz w:val="20"/>
        </w:rPr>
        <w:t xml:space="preserve">Note 3Trade Accounts Receivable </w:t>
      </w:r>
    </w:p>
    <w:p>
      <w:pPr>
        <w:pStyle w:val="TextBody"/>
        <w:spacing w:before="90" w:after="0"/>
        <w:rPr>
          <w:rFonts w:ascii="Times New Roman" w:hAnsi="Times New Roman"/>
          <w:sz w:val="20"/>
        </w:rPr>
      </w:pPr>
      <w:r>
        <w:rPr>
          <w:rFonts w:ascii="Times New Roman" w:hAnsi="Times New Roman"/>
          <w:sz w:val="20"/>
        </w:rPr>
        <w:t xml:space="preserve">We review all outstanding accounts receivable balances on a monthly basis and record a reserve for amounts that we expect will not be fully recovered. We do not apply actual balances against the reserve until we have exhausted substantially all collection efforts. At June 30, 2010 and December 31, 2009, substantially all of our accounts receivable (net of allowance for doubtful accounts) were less than 60 days past their scheduled invoice date. Our allowance for doubtful accounts receivable totaled $4 million and $9 million at June 30, 2010 and December 31, 2009, respectively. The decrease in our allowance for doubtful accounts receivable balance during the six months ended June 30, 2010 primarily is due to the collection and related settlement of claims for receivables that had been reserved for during the years ended December 31, 2009 and 2008. Although we consider our allowance for doubtful accounts receivable to be adequate, actual amounts could vary significantly from estimated amounts. </w:t>
      </w:r>
    </w:p>
    <w:p>
      <w:pPr>
        <w:pStyle w:val="TextBody"/>
        <w:spacing w:before="180" w:after="0"/>
        <w:rPr>
          <w:rFonts w:ascii="Times New Roman" w:hAnsi="Times New Roman"/>
          <w:sz w:val="20"/>
        </w:rPr>
      </w:pPr>
      <w:r>
        <w:rPr>
          <w:rFonts w:ascii="Times New Roman" w:hAnsi="Times New Roman"/>
          <w:sz w:val="20"/>
        </w:rPr>
        <w:t xml:space="preserve">At June 30, 2010 and December 31, 2009, we had received approximately $201 million and $212 million, respectively, of advance cash payments from third parties to mitigate credit risk. In addition, we enter into netting arrangements (contractual agreements that allow us and the counterparty to offset receivables and payables between the two) that cover a significant part of our transactions and also serve to mitigate credit risk.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bookmarkStart w:id="15" w:name="tx73093_13"/>
      <w:bookmarkEnd w:id="15"/>
      <w:r>
        <w:rPr>
          <w:rFonts w:ascii="Times New Roman" w:hAnsi="Times New Roman"/>
          <w:b/>
          <w:sz w:val="20"/>
        </w:rPr>
        <w:t>Note 4Inventory, Linefill, Base Gas and Long-term Inventory</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Inventory, linefill, base gas and long-term inventory consisted of the following (barrels in thousands, natural gas volumes in millions and total value in millions):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746"/>
        <w:gridCol w:w="181"/>
        <w:gridCol w:w="590"/>
        <w:gridCol w:w="181"/>
        <w:gridCol w:w="570"/>
        <w:gridCol w:w="181"/>
        <w:gridCol w:w="125"/>
        <w:gridCol w:w="729"/>
        <w:gridCol w:w="181"/>
        <w:gridCol w:w="125"/>
        <w:gridCol w:w="729"/>
        <w:gridCol w:w="180"/>
        <w:gridCol w:w="849"/>
        <w:gridCol w:w="181"/>
        <w:gridCol w:w="570"/>
        <w:gridCol w:w="181"/>
        <w:gridCol w:w="125"/>
        <w:gridCol w:w="729"/>
        <w:gridCol w:w="181"/>
        <w:gridCol w:w="125"/>
        <w:gridCol w:w="746"/>
      </w:tblGrid>
      <w:tr>
        <w:trPr/>
        <w:tc>
          <w:tcPr>
            <w:tcW w:w="27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r>
      <w:tr>
        <w:trPr/>
        <w:tc>
          <w:tcPr>
            <w:tcW w:w="274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3411" w:type="dxa"/>
            <w:gridSpan w:val="9"/>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June 30, 2010</w:t>
            </w:r>
          </w:p>
        </w:tc>
        <w:tc>
          <w:tcPr>
            <w:tcW w:w="180" w:type="dxa"/>
            <w:tcBorders/>
            <w:shd w:fill="auto" w:val="clear"/>
            <w:vAlign w:val="bottom"/>
          </w:tcPr>
          <w:p>
            <w:pPr>
              <w:pStyle w:val="TableContents"/>
              <w:spacing w:before="0" w:after="283"/>
              <w:rPr/>
            </w:pPr>
            <w:r>
              <w:rPr/>
              <w:t>  </w:t>
            </w:r>
          </w:p>
        </w:tc>
        <w:tc>
          <w:tcPr>
            <w:tcW w:w="3687" w:type="dxa"/>
            <w:gridSpan w:val="9"/>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December 31, 2009</w:t>
            </w:r>
          </w:p>
        </w:tc>
      </w:tr>
      <w:tr>
        <w:trPr/>
        <w:tc>
          <w:tcPr>
            <w:tcW w:w="274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59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Volumes</w:t>
            </w:r>
          </w:p>
        </w:tc>
        <w:tc>
          <w:tcPr>
            <w:tcW w:w="181" w:type="dxa"/>
            <w:tcBorders/>
            <w:shd w:fill="auto" w:val="clear"/>
            <w:vAlign w:val="bottom"/>
          </w:tcPr>
          <w:p>
            <w:pPr>
              <w:pStyle w:val="TableContents"/>
              <w:spacing w:before="0" w:after="283"/>
              <w:rPr/>
            </w:pPr>
            <w:r>
              <w:rPr/>
              <w:t>  </w:t>
            </w:r>
          </w:p>
        </w:tc>
        <w:tc>
          <w:tcPr>
            <w:tcW w:w="57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Unit of</w:t>
              <w:br/>
              <w:t>Measure</w:t>
            </w:r>
          </w:p>
        </w:tc>
        <w:tc>
          <w:tcPr>
            <w:tcW w:w="181" w:type="dxa"/>
            <w:tcBorders/>
            <w:shd w:fill="auto" w:val="clear"/>
            <w:vAlign w:val="bottom"/>
          </w:tcPr>
          <w:p>
            <w:pPr>
              <w:pStyle w:val="TableContents"/>
              <w:spacing w:before="0" w:after="283"/>
              <w:rPr/>
            </w:pPr>
            <w:r>
              <w:rPr/>
              <w:t>  </w:t>
            </w:r>
          </w:p>
        </w:tc>
        <w:tc>
          <w:tcPr>
            <w:tcW w:w="85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br/>
              <w:t>Value</w:t>
            </w:r>
          </w:p>
        </w:tc>
        <w:tc>
          <w:tcPr>
            <w:tcW w:w="181" w:type="dxa"/>
            <w:tcBorders/>
            <w:shd w:fill="auto" w:val="clear"/>
            <w:vAlign w:val="bottom"/>
          </w:tcPr>
          <w:p>
            <w:pPr>
              <w:pStyle w:val="TableContents"/>
              <w:spacing w:before="0" w:after="283"/>
              <w:rPr/>
            </w:pPr>
            <w:r>
              <w:rPr/>
              <w:t>  </w:t>
            </w:r>
          </w:p>
        </w:tc>
        <w:tc>
          <w:tcPr>
            <w:tcW w:w="85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Price/</w:t>
            </w:r>
            <w:r>
              <w:rPr/>
              <w:br/>
            </w:r>
            <w:r>
              <w:rPr>
                <w:rFonts w:ascii="Times New Roman" w:hAnsi="Times New Roman"/>
                <w:b/>
                <w:sz w:val="14"/>
              </w:rPr>
              <w:t>Unit  (1)</w:t>
            </w:r>
          </w:p>
        </w:tc>
        <w:tc>
          <w:tcPr>
            <w:tcW w:w="180" w:type="dxa"/>
            <w:tcBorders/>
            <w:shd w:fill="auto" w:val="clear"/>
            <w:vAlign w:val="bottom"/>
          </w:tcPr>
          <w:p>
            <w:pPr>
              <w:pStyle w:val="TableContents"/>
              <w:spacing w:before="0" w:after="283"/>
              <w:rPr/>
            </w:pPr>
            <w:r>
              <w:rPr/>
              <w:t>  </w:t>
            </w:r>
          </w:p>
        </w:tc>
        <w:tc>
          <w:tcPr>
            <w:tcW w:w="849"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Volumes</w:t>
            </w:r>
          </w:p>
        </w:tc>
        <w:tc>
          <w:tcPr>
            <w:tcW w:w="181" w:type="dxa"/>
            <w:tcBorders/>
            <w:shd w:fill="auto" w:val="clear"/>
            <w:vAlign w:val="bottom"/>
          </w:tcPr>
          <w:p>
            <w:pPr>
              <w:pStyle w:val="TableContents"/>
              <w:spacing w:before="0" w:after="283"/>
              <w:rPr/>
            </w:pPr>
            <w:r>
              <w:rPr/>
              <w:t>  </w:t>
            </w:r>
          </w:p>
        </w:tc>
        <w:tc>
          <w:tcPr>
            <w:tcW w:w="57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Unit of</w:t>
              <w:br/>
              <w:t>Measure</w:t>
            </w:r>
          </w:p>
        </w:tc>
        <w:tc>
          <w:tcPr>
            <w:tcW w:w="181" w:type="dxa"/>
            <w:tcBorders/>
            <w:shd w:fill="auto" w:val="clear"/>
            <w:vAlign w:val="bottom"/>
          </w:tcPr>
          <w:p>
            <w:pPr>
              <w:pStyle w:val="TableContents"/>
              <w:spacing w:before="0" w:after="283"/>
              <w:rPr/>
            </w:pPr>
            <w:r>
              <w:rPr/>
              <w:t>  </w:t>
            </w:r>
          </w:p>
        </w:tc>
        <w:tc>
          <w:tcPr>
            <w:tcW w:w="85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br/>
              <w:t>Value</w:t>
            </w:r>
          </w:p>
        </w:tc>
        <w:tc>
          <w:tcPr>
            <w:tcW w:w="181" w:type="dxa"/>
            <w:tcBorders/>
            <w:shd w:fill="auto" w:val="clear"/>
            <w:vAlign w:val="bottom"/>
          </w:tcPr>
          <w:p>
            <w:pPr>
              <w:pStyle w:val="TableContents"/>
              <w:spacing w:before="0" w:after="283"/>
              <w:rPr/>
            </w:pPr>
            <w:r>
              <w:rPr/>
              <w:t>  </w:t>
            </w:r>
          </w:p>
        </w:tc>
        <w:tc>
          <w:tcPr>
            <w:tcW w:w="871"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Price/</w:t>
            </w:r>
            <w:r>
              <w:rPr/>
              <w:br/>
            </w:r>
            <w:r>
              <w:rPr>
                <w:rFonts w:ascii="Times New Roman" w:hAnsi="Times New Roman"/>
                <w:b/>
                <w:sz w:val="14"/>
              </w:rPr>
              <w:t>Unit  (1)</w:t>
            </w:r>
          </w:p>
        </w:tc>
      </w:tr>
      <w:tr>
        <w:trPr/>
        <w:tc>
          <w:tcPr>
            <w:tcW w:w="2746" w:type="dxa"/>
            <w:tcBorders/>
            <w:shd w:fill="CCEEFF" w:val="clear"/>
          </w:tcPr>
          <w:p>
            <w:pPr>
              <w:pStyle w:val="TableContents"/>
              <w:spacing w:before="0" w:after="283"/>
              <w:rPr>
                <w:rFonts w:ascii="Times New Roman" w:hAnsi="Times New Roman"/>
                <w:b/>
                <w:sz w:val="20"/>
              </w:rPr>
            </w:pPr>
            <w:r>
              <w:rPr>
                <w:rFonts w:ascii="Times New Roman" w:hAnsi="Times New Roman"/>
                <w:b/>
                <w:sz w:val="20"/>
              </w:rPr>
              <w:t>Inventory</w:t>
            </w:r>
          </w:p>
        </w:tc>
        <w:tc>
          <w:tcPr>
            <w:tcW w:w="181"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9"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9" w:type="dxa"/>
            <w:tcBorders/>
            <w:shd w:fill="CCEEFF" w:val="clear"/>
            <w:vAlign w:val="bottom"/>
          </w:tcPr>
          <w:p>
            <w:pPr>
              <w:pStyle w:val="TableContents"/>
              <w:spacing w:before="0" w:after="283"/>
              <w:rPr>
                <w:sz w:val="4"/>
                <w:szCs w:val="4"/>
              </w:rPr>
            </w:pPr>
            <w:r>
              <w:rPr>
                <w:sz w:val="4"/>
                <w:szCs w:val="4"/>
              </w:rPr>
            </w:r>
          </w:p>
        </w:tc>
        <w:tc>
          <w:tcPr>
            <w:tcW w:w="180"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9"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6" w:type="dxa"/>
            <w:tcBorders/>
            <w:shd w:fill="CCEEFF" w:val="clear"/>
            <w:vAlign w:val="bottom"/>
          </w:tcPr>
          <w:p>
            <w:pPr>
              <w:pStyle w:val="TableContents"/>
              <w:spacing w:before="0" w:after="283"/>
              <w:rPr>
                <w:sz w:val="4"/>
                <w:szCs w:val="4"/>
              </w:rPr>
            </w:pPr>
            <w:r>
              <w:rPr>
                <w:sz w:val="4"/>
                <w:szCs w:val="4"/>
              </w:rPr>
            </w:r>
          </w:p>
        </w:tc>
      </w:tr>
      <w:tr>
        <w:trPr/>
        <w:tc>
          <w:tcPr>
            <w:tcW w:w="2746" w:type="dxa"/>
            <w:tcBorders/>
            <w:shd w:fill="auto" w:val="clear"/>
          </w:tcPr>
          <w:p>
            <w:pPr>
              <w:pStyle w:val="TableContents"/>
              <w:spacing w:before="0" w:after="283"/>
              <w:rPr>
                <w:rFonts w:ascii="Times New Roman" w:hAnsi="Times New Roman"/>
                <w:sz w:val="20"/>
              </w:rPr>
            </w:pPr>
            <w:r>
              <w:rPr>
                <w:rFonts w:ascii="Times New Roman" w:hAnsi="Times New Roman"/>
                <w:sz w:val="20"/>
              </w:rPr>
              <w:t>Crude oil</w:t>
            </w:r>
          </w:p>
        </w:tc>
        <w:tc>
          <w:tcPr>
            <w:tcW w:w="181"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16,233</w:t>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barrels</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9" w:type="dxa"/>
            <w:tcBorders/>
            <w:shd w:fill="auto" w:val="clear"/>
            <w:vAlign w:val="bottom"/>
          </w:tcPr>
          <w:p>
            <w:pPr>
              <w:pStyle w:val="TableContents"/>
              <w:spacing w:before="0" w:after="283"/>
              <w:jc w:val="right"/>
              <w:rPr/>
            </w:pPr>
            <w:r>
              <w:rPr/>
              <w:t>    </w:t>
            </w:r>
            <w:r>
              <w:rPr>
                <w:rFonts w:ascii="Times New Roman" w:hAnsi="Times New Roman"/>
                <w:sz w:val="20"/>
              </w:rPr>
              <w:t>1,179</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9" w:type="dxa"/>
            <w:tcBorders/>
            <w:shd w:fill="auto" w:val="clear"/>
            <w:vAlign w:val="bottom"/>
          </w:tcPr>
          <w:p>
            <w:pPr>
              <w:pStyle w:val="TableContents"/>
              <w:spacing w:before="0" w:after="283"/>
              <w:jc w:val="right"/>
              <w:rPr/>
            </w:pPr>
            <w:r>
              <w:rPr/>
              <w:t>    </w:t>
            </w:r>
            <w:r>
              <w:rPr>
                <w:rFonts w:ascii="Times New Roman" w:hAnsi="Times New Roman"/>
                <w:sz w:val="20"/>
              </w:rPr>
              <w:t>72.63</w:t>
            </w:r>
          </w:p>
        </w:tc>
        <w:tc>
          <w:tcPr>
            <w:tcW w:w="180"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    </w:t>
            </w:r>
            <w:r>
              <w:rPr>
                <w:rFonts w:ascii="Times New Roman" w:hAnsi="Times New Roman"/>
                <w:sz w:val="20"/>
              </w:rPr>
              <w:t>12,232</w:t>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barrels</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886</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6" w:type="dxa"/>
            <w:tcBorders/>
            <w:shd w:fill="auto" w:val="clear"/>
            <w:vAlign w:val="bottom"/>
          </w:tcPr>
          <w:p>
            <w:pPr>
              <w:pStyle w:val="TableContents"/>
              <w:spacing w:before="0" w:after="283"/>
              <w:jc w:val="right"/>
              <w:rPr/>
            </w:pPr>
            <w:r>
              <w:rPr/>
              <w:t>    </w:t>
            </w:r>
            <w:r>
              <w:rPr>
                <w:rFonts w:ascii="Times New Roman" w:hAnsi="Times New Roman"/>
                <w:sz w:val="20"/>
              </w:rPr>
              <w:t>72.43</w:t>
            </w:r>
          </w:p>
        </w:tc>
      </w:tr>
      <w:tr>
        <w:trPr/>
        <w:tc>
          <w:tcPr>
            <w:tcW w:w="2746" w:type="dxa"/>
            <w:tcBorders/>
            <w:shd w:fill="CCEEFF" w:val="clear"/>
          </w:tcPr>
          <w:p>
            <w:pPr>
              <w:pStyle w:val="TableContents"/>
              <w:spacing w:before="0" w:after="283"/>
              <w:rPr>
                <w:rFonts w:ascii="Times New Roman" w:hAnsi="Times New Roman"/>
                <w:sz w:val="20"/>
              </w:rPr>
            </w:pPr>
            <w:r>
              <w:rPr>
                <w:rFonts w:ascii="Times New Roman" w:hAnsi="Times New Roman"/>
                <w:sz w:val="20"/>
              </w:rPr>
              <w:t>LPG</w:t>
            </w:r>
          </w:p>
        </w:tc>
        <w:tc>
          <w:tcPr>
            <w:tcW w:w="181"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6,195</w:t>
            </w:r>
          </w:p>
        </w:tc>
        <w:tc>
          <w:tcPr>
            <w:tcW w:w="181"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barrels</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48.59</w:t>
            </w:r>
          </w:p>
        </w:tc>
        <w:tc>
          <w:tcPr>
            <w:tcW w:w="180"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6,051</w:t>
            </w:r>
          </w:p>
        </w:tc>
        <w:tc>
          <w:tcPr>
            <w:tcW w:w="181"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barrels</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40.82</w:t>
            </w:r>
          </w:p>
        </w:tc>
      </w:tr>
      <w:tr>
        <w:trPr/>
        <w:tc>
          <w:tcPr>
            <w:tcW w:w="2746" w:type="dxa"/>
            <w:tcBorders/>
            <w:shd w:fill="auto" w:val="clear"/>
          </w:tcPr>
          <w:p>
            <w:pPr>
              <w:pStyle w:val="TableContents"/>
              <w:spacing w:before="0" w:after="283"/>
              <w:rPr>
                <w:rFonts w:ascii="Times New Roman" w:hAnsi="Times New Roman"/>
                <w:sz w:val="20"/>
              </w:rPr>
            </w:pPr>
            <w:r>
              <w:rPr>
                <w:rFonts w:ascii="Times New Roman" w:hAnsi="Times New Roman"/>
                <w:sz w:val="20"/>
              </w:rPr>
              <w:t>Refined products</w:t>
            </w:r>
          </w:p>
        </w:tc>
        <w:tc>
          <w:tcPr>
            <w:tcW w:w="181"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barrels</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54.05</w:t>
            </w:r>
          </w:p>
        </w:tc>
        <w:tc>
          <w:tcPr>
            <w:tcW w:w="180"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283</w:t>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barrels</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74.20</w:t>
            </w:r>
          </w:p>
        </w:tc>
      </w:tr>
      <w:tr>
        <w:trPr/>
        <w:tc>
          <w:tcPr>
            <w:tcW w:w="2746" w:type="dxa"/>
            <w:tcBorders/>
            <w:shd w:fill="CCEEFF" w:val="clear"/>
          </w:tcPr>
          <w:p>
            <w:pPr>
              <w:pStyle w:val="TableContents"/>
              <w:spacing w:before="0" w:after="283"/>
              <w:rPr/>
            </w:pPr>
            <w:r>
              <w:rPr>
                <w:rFonts w:ascii="Times New Roman" w:hAnsi="Times New Roman"/>
                <w:sz w:val="20"/>
              </w:rPr>
              <w:t xml:space="preserve">Natural gas </w:t>
            </w:r>
            <w:r>
              <w:rPr>
                <w:rFonts w:ascii="Times New Roman" w:hAnsi="Times New Roman"/>
                <w:sz w:val="14"/>
              </w:rPr>
              <w:t xml:space="preserve">(2) </w:t>
            </w:r>
          </w:p>
        </w:tc>
        <w:tc>
          <w:tcPr>
            <w:tcW w:w="181"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w:t>
            </w:r>
          </w:p>
        </w:tc>
        <w:tc>
          <w:tcPr>
            <w:tcW w:w="181"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mcf</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3.36</w:t>
            </w:r>
          </w:p>
        </w:tc>
        <w:tc>
          <w:tcPr>
            <w:tcW w:w="180"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w:t>
            </w:r>
          </w:p>
        </w:tc>
        <w:tc>
          <w:tcPr>
            <w:tcW w:w="181"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mcf</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w:t>
            </w:r>
          </w:p>
        </w:tc>
      </w:tr>
      <w:tr>
        <w:trPr/>
        <w:tc>
          <w:tcPr>
            <w:tcW w:w="2746" w:type="dxa"/>
            <w:tcBorders/>
            <w:shd w:fill="auto" w:val="clear"/>
          </w:tcPr>
          <w:p>
            <w:pPr>
              <w:pStyle w:val="TableContents"/>
              <w:spacing w:before="0" w:after="283"/>
              <w:rPr>
                <w:rFonts w:ascii="Times New Roman" w:hAnsi="Times New Roman"/>
                <w:sz w:val="20"/>
              </w:rPr>
            </w:pPr>
            <w:r>
              <w:rPr>
                <w:rFonts w:ascii="Times New Roman" w:hAnsi="Times New Roman"/>
                <w:sz w:val="20"/>
              </w:rPr>
              <w:t>Parts and supplies</w:t>
            </w:r>
          </w:p>
        </w:tc>
        <w:tc>
          <w:tcPr>
            <w:tcW w:w="181"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80"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r>
      <w:tr>
        <w:trPr/>
        <w:tc>
          <w:tcPr>
            <w:tcW w:w="2746"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9" w:type="dxa"/>
            <w:tcBorders>
              <w:top w:val="single" w:sz="2" w:space="0" w:color="000000"/>
            </w:tcBorders>
            <w:shd w:fill="auto" w:val="clear"/>
            <w:tcMar>
              <w:top w:w="28" w:type="dxa"/>
            </w:tcM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9"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9" w:type="dxa"/>
            <w:tcBorders>
              <w:top w:val="single" w:sz="2" w:space="0" w:color="000000"/>
            </w:tcBorders>
            <w:shd w:fill="auto" w:val="clear"/>
            <w:tcMar>
              <w:top w:w="28" w:type="dxa"/>
            </w:tcM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r>
      <w:tr>
        <w:trPr/>
        <w:tc>
          <w:tcPr>
            <w:tcW w:w="2746" w:type="dxa"/>
            <w:tcBorders/>
            <w:shd w:fill="CCEEFF" w:val="clear"/>
          </w:tcPr>
          <w:p>
            <w:pPr>
              <w:pStyle w:val="TableContents"/>
              <w:spacing w:before="0" w:after="283"/>
              <w:rPr>
                <w:rFonts w:ascii="Times New Roman" w:hAnsi="Times New Roman"/>
                <w:sz w:val="20"/>
              </w:rPr>
            </w:pPr>
            <w:r>
              <w:rPr>
                <w:rFonts w:ascii="Times New Roman" w:hAnsi="Times New Roman"/>
                <w:sz w:val="20"/>
              </w:rPr>
              <w:t>Inventory subtotal</w:t>
            </w:r>
          </w:p>
        </w:tc>
        <w:tc>
          <w:tcPr>
            <w:tcW w:w="181"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1,483</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9" w:type="dxa"/>
            <w:tcBorders/>
            <w:shd w:fill="CCEEFF" w:val="clear"/>
            <w:vAlign w:val="bottom"/>
          </w:tcPr>
          <w:p>
            <w:pPr>
              <w:pStyle w:val="TableContents"/>
              <w:spacing w:before="0" w:after="283"/>
              <w:rPr>
                <w:sz w:val="4"/>
                <w:szCs w:val="4"/>
              </w:rPr>
            </w:pPr>
            <w:r>
              <w:rPr>
                <w:sz w:val="4"/>
                <w:szCs w:val="4"/>
              </w:rPr>
            </w:r>
          </w:p>
        </w:tc>
        <w:tc>
          <w:tcPr>
            <w:tcW w:w="180"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pPr>
            <w:r>
              <w:rPr/>
              <w:t>    </w:t>
            </w:r>
            <w:r>
              <w:rPr>
                <w:rFonts w:ascii="Times New Roman" w:hAnsi="Times New Roman"/>
                <w:sz w:val="20"/>
              </w:rPr>
              <w:t>1,157</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6" w:type="dxa"/>
            <w:tcBorders/>
            <w:shd w:fill="CCEEFF" w:val="clear"/>
            <w:vAlign w:val="bottom"/>
          </w:tcPr>
          <w:p>
            <w:pPr>
              <w:pStyle w:val="TableContents"/>
              <w:spacing w:before="0" w:after="283"/>
              <w:rPr>
                <w:sz w:val="4"/>
                <w:szCs w:val="4"/>
              </w:rPr>
            </w:pPr>
            <w:r>
              <w:rPr>
                <w:sz w:val="4"/>
                <w:szCs w:val="4"/>
              </w:rPr>
            </w:r>
          </w:p>
        </w:tc>
      </w:tr>
      <w:tr>
        <w:trPr/>
        <w:tc>
          <w:tcPr>
            <w:tcW w:w="2746"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9" w:type="dxa"/>
            <w:tcBorders>
              <w:top w:val="single" w:sz="2" w:space="0" w:color="000000"/>
            </w:tcBorders>
            <w:shd w:fill="auto" w:val="clear"/>
            <w:tcMar>
              <w:top w:w="28" w:type="dxa"/>
            </w:tcM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9"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9" w:type="dxa"/>
            <w:tcBorders>
              <w:top w:val="single" w:sz="2" w:space="0" w:color="000000"/>
            </w:tcBorders>
            <w:shd w:fill="auto" w:val="clear"/>
            <w:tcMar>
              <w:top w:w="28" w:type="dxa"/>
            </w:tcM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r>
      <w:tr>
        <w:trPr/>
        <w:tc>
          <w:tcPr>
            <w:tcW w:w="2746" w:type="dxa"/>
            <w:tcBorders/>
            <w:shd w:fill="auto" w:val="clea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9"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9"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9"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r>
      <w:tr>
        <w:trPr/>
        <w:tc>
          <w:tcPr>
            <w:tcW w:w="2746" w:type="dxa"/>
            <w:tcBorders/>
            <w:shd w:fill="CCEEFF" w:val="clear"/>
          </w:tcPr>
          <w:p>
            <w:pPr>
              <w:pStyle w:val="TableContents"/>
              <w:spacing w:before="0" w:after="283"/>
              <w:rPr>
                <w:rFonts w:ascii="Times New Roman" w:hAnsi="Times New Roman"/>
                <w:b/>
                <w:sz w:val="20"/>
              </w:rPr>
            </w:pPr>
            <w:r>
              <w:rPr>
                <w:rFonts w:ascii="Times New Roman" w:hAnsi="Times New Roman"/>
                <w:b/>
                <w:sz w:val="20"/>
              </w:rPr>
              <w:t>Linefill and base gas</w:t>
            </w:r>
          </w:p>
        </w:tc>
        <w:tc>
          <w:tcPr>
            <w:tcW w:w="181"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9"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9" w:type="dxa"/>
            <w:tcBorders/>
            <w:shd w:fill="CCEEFF" w:val="clear"/>
            <w:vAlign w:val="bottom"/>
          </w:tcPr>
          <w:p>
            <w:pPr>
              <w:pStyle w:val="TableContents"/>
              <w:spacing w:before="0" w:after="283"/>
              <w:rPr>
                <w:sz w:val="4"/>
                <w:szCs w:val="4"/>
              </w:rPr>
            </w:pPr>
            <w:r>
              <w:rPr>
                <w:sz w:val="4"/>
                <w:szCs w:val="4"/>
              </w:rPr>
            </w:r>
          </w:p>
        </w:tc>
        <w:tc>
          <w:tcPr>
            <w:tcW w:w="180"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9"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6" w:type="dxa"/>
            <w:tcBorders/>
            <w:shd w:fill="CCEEFF" w:val="clear"/>
            <w:vAlign w:val="bottom"/>
          </w:tcPr>
          <w:p>
            <w:pPr>
              <w:pStyle w:val="TableContents"/>
              <w:spacing w:before="0" w:after="283"/>
              <w:rPr>
                <w:sz w:val="4"/>
                <w:szCs w:val="4"/>
              </w:rPr>
            </w:pPr>
            <w:r>
              <w:rPr>
                <w:sz w:val="4"/>
                <w:szCs w:val="4"/>
              </w:rPr>
            </w:r>
          </w:p>
        </w:tc>
      </w:tr>
      <w:tr>
        <w:trPr/>
        <w:tc>
          <w:tcPr>
            <w:tcW w:w="2746" w:type="dxa"/>
            <w:tcBorders/>
            <w:shd w:fill="auto" w:val="clear"/>
          </w:tcPr>
          <w:p>
            <w:pPr>
              <w:pStyle w:val="TableContents"/>
              <w:spacing w:before="0" w:after="283"/>
              <w:rPr>
                <w:rFonts w:ascii="Times New Roman" w:hAnsi="Times New Roman"/>
                <w:sz w:val="20"/>
              </w:rPr>
            </w:pPr>
            <w:r>
              <w:rPr>
                <w:rFonts w:ascii="Times New Roman" w:hAnsi="Times New Roman"/>
                <w:sz w:val="20"/>
              </w:rPr>
              <w:t>Crude oil</w:t>
            </w:r>
          </w:p>
        </w:tc>
        <w:tc>
          <w:tcPr>
            <w:tcW w:w="181"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9,162</w:t>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barrels</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462</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50.43</w:t>
            </w:r>
          </w:p>
        </w:tc>
        <w:tc>
          <w:tcPr>
            <w:tcW w:w="180"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9,404</w:t>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barrels</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471</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50.09</w:t>
            </w:r>
          </w:p>
        </w:tc>
      </w:tr>
      <w:tr>
        <w:trPr/>
        <w:tc>
          <w:tcPr>
            <w:tcW w:w="2746" w:type="dxa"/>
            <w:tcBorders/>
            <w:shd w:fill="CCEEFF" w:val="clear"/>
          </w:tcPr>
          <w:p>
            <w:pPr>
              <w:pStyle w:val="TableContents"/>
              <w:spacing w:before="0" w:after="283"/>
              <w:rPr/>
            </w:pPr>
            <w:r>
              <w:rPr>
                <w:rFonts w:ascii="Times New Roman" w:hAnsi="Times New Roman"/>
                <w:sz w:val="20"/>
              </w:rPr>
              <w:t>Natural gas</w:t>
            </w:r>
            <w:r>
              <w:rPr/>
              <w:t xml:space="preserve"> </w:t>
            </w:r>
            <w:r>
              <w:rPr>
                <w:rFonts w:ascii="Times New Roman" w:hAnsi="Times New Roman"/>
                <w:sz w:val="14"/>
              </w:rPr>
              <w:t>(2)</w:t>
            </w:r>
          </w:p>
        </w:tc>
        <w:tc>
          <w:tcPr>
            <w:tcW w:w="181"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11,194</w:t>
            </w:r>
          </w:p>
        </w:tc>
        <w:tc>
          <w:tcPr>
            <w:tcW w:w="181"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mcf</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3.39</w:t>
            </w:r>
          </w:p>
        </w:tc>
        <w:tc>
          <w:tcPr>
            <w:tcW w:w="180"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9,194</w:t>
            </w:r>
          </w:p>
        </w:tc>
        <w:tc>
          <w:tcPr>
            <w:tcW w:w="181"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mcf</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3.04</w:t>
            </w:r>
          </w:p>
        </w:tc>
      </w:tr>
      <w:tr>
        <w:trPr/>
        <w:tc>
          <w:tcPr>
            <w:tcW w:w="2746" w:type="dxa"/>
            <w:tcBorders/>
            <w:shd w:fill="auto" w:val="clear"/>
          </w:tcPr>
          <w:p>
            <w:pPr>
              <w:pStyle w:val="TableContents"/>
              <w:spacing w:before="0" w:after="283"/>
              <w:rPr>
                <w:rFonts w:ascii="Times New Roman" w:hAnsi="Times New Roman"/>
                <w:sz w:val="20"/>
              </w:rPr>
            </w:pPr>
            <w:r>
              <w:rPr>
                <w:rFonts w:ascii="Times New Roman" w:hAnsi="Times New Roman"/>
                <w:sz w:val="20"/>
              </w:rPr>
              <w:t>LPG</w:t>
            </w:r>
          </w:p>
        </w:tc>
        <w:tc>
          <w:tcPr>
            <w:tcW w:w="181"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barrels</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50.63</w:t>
            </w:r>
          </w:p>
        </w:tc>
        <w:tc>
          <w:tcPr>
            <w:tcW w:w="180"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barrels</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38.46</w:t>
            </w:r>
          </w:p>
        </w:tc>
      </w:tr>
      <w:tr>
        <w:trPr/>
        <w:tc>
          <w:tcPr>
            <w:tcW w:w="2746"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9" w:type="dxa"/>
            <w:tcBorders>
              <w:top w:val="single" w:sz="2" w:space="0" w:color="000000"/>
            </w:tcBorders>
            <w:shd w:fill="auto" w:val="clear"/>
            <w:tcMar>
              <w:top w:w="28" w:type="dxa"/>
            </w:tcM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9"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9" w:type="dxa"/>
            <w:tcBorders>
              <w:top w:val="single" w:sz="2" w:space="0" w:color="000000"/>
            </w:tcBorders>
            <w:shd w:fill="auto" w:val="clear"/>
            <w:tcMar>
              <w:top w:w="28" w:type="dxa"/>
            </w:tcM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r>
      <w:tr>
        <w:trPr/>
        <w:tc>
          <w:tcPr>
            <w:tcW w:w="2746" w:type="dxa"/>
            <w:tcBorders/>
            <w:shd w:fill="CCEEFF" w:val="clear"/>
          </w:tcPr>
          <w:p>
            <w:pPr>
              <w:pStyle w:val="TableContents"/>
              <w:spacing w:before="0" w:after="283"/>
              <w:rPr>
                <w:rFonts w:ascii="Times New Roman" w:hAnsi="Times New Roman"/>
                <w:sz w:val="20"/>
              </w:rPr>
            </w:pPr>
            <w:r>
              <w:rPr>
                <w:rFonts w:ascii="Times New Roman" w:hAnsi="Times New Roman"/>
                <w:sz w:val="20"/>
              </w:rPr>
              <w:t>Linefill and base gas subtotal</w:t>
            </w:r>
          </w:p>
        </w:tc>
        <w:tc>
          <w:tcPr>
            <w:tcW w:w="181"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504</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9" w:type="dxa"/>
            <w:tcBorders/>
            <w:shd w:fill="CCEEFF" w:val="clear"/>
            <w:vAlign w:val="bottom"/>
          </w:tcPr>
          <w:p>
            <w:pPr>
              <w:pStyle w:val="TableContents"/>
              <w:spacing w:before="0" w:after="283"/>
              <w:rPr>
                <w:sz w:val="4"/>
                <w:szCs w:val="4"/>
              </w:rPr>
            </w:pPr>
            <w:r>
              <w:rPr>
                <w:sz w:val="4"/>
                <w:szCs w:val="4"/>
              </w:rPr>
            </w:r>
          </w:p>
        </w:tc>
        <w:tc>
          <w:tcPr>
            <w:tcW w:w="180"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501</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6" w:type="dxa"/>
            <w:tcBorders/>
            <w:shd w:fill="CCEEFF" w:val="clear"/>
            <w:vAlign w:val="bottom"/>
          </w:tcPr>
          <w:p>
            <w:pPr>
              <w:pStyle w:val="TableContents"/>
              <w:spacing w:before="0" w:after="283"/>
              <w:rPr>
                <w:sz w:val="4"/>
                <w:szCs w:val="4"/>
              </w:rPr>
            </w:pPr>
            <w:r>
              <w:rPr>
                <w:sz w:val="4"/>
                <w:szCs w:val="4"/>
              </w:rPr>
            </w:r>
          </w:p>
        </w:tc>
      </w:tr>
      <w:tr>
        <w:trPr/>
        <w:tc>
          <w:tcPr>
            <w:tcW w:w="2746"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9" w:type="dxa"/>
            <w:tcBorders>
              <w:top w:val="single" w:sz="2" w:space="0" w:color="000000"/>
            </w:tcBorders>
            <w:shd w:fill="auto" w:val="clear"/>
            <w:tcMar>
              <w:top w:w="28" w:type="dxa"/>
            </w:tcM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9"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9" w:type="dxa"/>
            <w:tcBorders>
              <w:top w:val="single" w:sz="2" w:space="0" w:color="000000"/>
            </w:tcBorders>
            <w:shd w:fill="auto" w:val="clear"/>
            <w:tcMar>
              <w:top w:w="28" w:type="dxa"/>
            </w:tcM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r>
      <w:tr>
        <w:trPr/>
        <w:tc>
          <w:tcPr>
            <w:tcW w:w="2746" w:type="dxa"/>
            <w:tcBorders/>
            <w:shd w:fill="auto" w:val="clea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9"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9"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9"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r>
      <w:tr>
        <w:trPr/>
        <w:tc>
          <w:tcPr>
            <w:tcW w:w="2746" w:type="dxa"/>
            <w:tcBorders/>
            <w:shd w:fill="CCEEFF" w:val="clear"/>
          </w:tcPr>
          <w:p>
            <w:pPr>
              <w:pStyle w:val="TableContents"/>
              <w:spacing w:before="0" w:after="283"/>
              <w:rPr>
                <w:rFonts w:ascii="Times New Roman" w:hAnsi="Times New Roman"/>
                <w:b/>
                <w:sz w:val="20"/>
              </w:rPr>
            </w:pPr>
            <w:r>
              <w:rPr>
                <w:rFonts w:ascii="Times New Roman" w:hAnsi="Times New Roman"/>
                <w:b/>
                <w:sz w:val="20"/>
              </w:rPr>
              <w:t>Long-term inventory</w:t>
            </w:r>
          </w:p>
        </w:tc>
        <w:tc>
          <w:tcPr>
            <w:tcW w:w="181"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9"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9" w:type="dxa"/>
            <w:tcBorders/>
            <w:shd w:fill="CCEEFF" w:val="clear"/>
            <w:vAlign w:val="bottom"/>
          </w:tcPr>
          <w:p>
            <w:pPr>
              <w:pStyle w:val="TableContents"/>
              <w:spacing w:before="0" w:after="283"/>
              <w:rPr>
                <w:sz w:val="4"/>
                <w:szCs w:val="4"/>
              </w:rPr>
            </w:pPr>
            <w:r>
              <w:rPr>
                <w:sz w:val="4"/>
                <w:szCs w:val="4"/>
              </w:rPr>
            </w:r>
          </w:p>
        </w:tc>
        <w:tc>
          <w:tcPr>
            <w:tcW w:w="180"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9"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6" w:type="dxa"/>
            <w:tcBorders/>
            <w:shd w:fill="CCEEFF" w:val="clear"/>
            <w:vAlign w:val="bottom"/>
          </w:tcPr>
          <w:p>
            <w:pPr>
              <w:pStyle w:val="TableContents"/>
              <w:spacing w:before="0" w:after="283"/>
              <w:rPr>
                <w:sz w:val="4"/>
                <w:szCs w:val="4"/>
              </w:rPr>
            </w:pPr>
            <w:r>
              <w:rPr>
                <w:sz w:val="4"/>
                <w:szCs w:val="4"/>
              </w:rPr>
            </w:r>
          </w:p>
        </w:tc>
      </w:tr>
      <w:tr>
        <w:trPr/>
        <w:tc>
          <w:tcPr>
            <w:tcW w:w="2746" w:type="dxa"/>
            <w:tcBorders/>
            <w:shd w:fill="auto" w:val="clear"/>
          </w:tcPr>
          <w:p>
            <w:pPr>
              <w:pStyle w:val="TableContents"/>
              <w:spacing w:before="0" w:after="283"/>
              <w:rPr>
                <w:rFonts w:ascii="Times New Roman" w:hAnsi="Times New Roman"/>
                <w:sz w:val="20"/>
              </w:rPr>
            </w:pPr>
            <w:r>
              <w:rPr>
                <w:rFonts w:ascii="Times New Roman" w:hAnsi="Times New Roman"/>
                <w:sz w:val="20"/>
              </w:rPr>
              <w:t>Crude oil</w:t>
            </w:r>
          </w:p>
        </w:tc>
        <w:tc>
          <w:tcPr>
            <w:tcW w:w="181"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1,425</w:t>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barrels</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68.07</w:t>
            </w:r>
          </w:p>
        </w:tc>
        <w:tc>
          <w:tcPr>
            <w:tcW w:w="180"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1,497</w:t>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barrels</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68.80</w:t>
            </w:r>
          </w:p>
        </w:tc>
      </w:tr>
      <w:tr>
        <w:trPr/>
        <w:tc>
          <w:tcPr>
            <w:tcW w:w="2746" w:type="dxa"/>
            <w:tcBorders/>
            <w:shd w:fill="CCEEFF" w:val="clear"/>
          </w:tcPr>
          <w:p>
            <w:pPr>
              <w:pStyle w:val="TableContents"/>
              <w:spacing w:before="0" w:after="283"/>
              <w:rPr>
                <w:rFonts w:ascii="Times New Roman" w:hAnsi="Times New Roman"/>
                <w:sz w:val="20"/>
              </w:rPr>
            </w:pPr>
            <w:r>
              <w:rPr>
                <w:rFonts w:ascii="Times New Roman" w:hAnsi="Times New Roman"/>
                <w:sz w:val="20"/>
              </w:rPr>
              <w:t>LPG</w:t>
            </w:r>
          </w:p>
        </w:tc>
        <w:tc>
          <w:tcPr>
            <w:tcW w:w="181"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487</w:t>
            </w:r>
          </w:p>
        </w:tc>
        <w:tc>
          <w:tcPr>
            <w:tcW w:w="181"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barrels</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43.12</w:t>
            </w:r>
          </w:p>
        </w:tc>
        <w:tc>
          <w:tcPr>
            <w:tcW w:w="180"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458</w:t>
            </w:r>
          </w:p>
        </w:tc>
        <w:tc>
          <w:tcPr>
            <w:tcW w:w="181"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barrels</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39.30</w:t>
            </w:r>
          </w:p>
        </w:tc>
      </w:tr>
      <w:tr>
        <w:trPr/>
        <w:tc>
          <w:tcPr>
            <w:tcW w:w="2746"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9" w:type="dxa"/>
            <w:tcBorders>
              <w:top w:val="single" w:sz="2" w:space="0" w:color="000000"/>
            </w:tcBorders>
            <w:shd w:fill="auto" w:val="clear"/>
            <w:tcMar>
              <w:top w:w="28" w:type="dxa"/>
            </w:tcM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9"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9" w:type="dxa"/>
            <w:tcBorders>
              <w:top w:val="single" w:sz="2" w:space="0" w:color="000000"/>
            </w:tcBorders>
            <w:shd w:fill="auto" w:val="clear"/>
            <w:tcMar>
              <w:top w:w="28" w:type="dxa"/>
            </w:tcM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r>
      <w:tr>
        <w:trPr/>
        <w:tc>
          <w:tcPr>
            <w:tcW w:w="2746" w:type="dxa"/>
            <w:tcBorders/>
            <w:shd w:fill="auto" w:val="clear"/>
          </w:tcPr>
          <w:p>
            <w:pPr>
              <w:pStyle w:val="TableContents"/>
              <w:spacing w:before="0" w:after="283"/>
              <w:rPr>
                <w:rFonts w:ascii="Times New Roman" w:hAnsi="Times New Roman"/>
                <w:sz w:val="20"/>
              </w:rPr>
            </w:pPr>
            <w:r>
              <w:rPr>
                <w:rFonts w:ascii="Times New Roman" w:hAnsi="Times New Roman"/>
                <w:sz w:val="20"/>
              </w:rPr>
              <w:t>Long-term inventory subtotal</w:t>
            </w:r>
          </w:p>
        </w:tc>
        <w:tc>
          <w:tcPr>
            <w:tcW w:w="181"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9"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r>
      <w:tr>
        <w:trPr/>
        <w:tc>
          <w:tcPr>
            <w:tcW w:w="2746"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9" w:type="dxa"/>
            <w:tcBorders>
              <w:top w:val="single" w:sz="2" w:space="0" w:color="000000"/>
            </w:tcBorders>
            <w:shd w:fill="auto" w:val="clear"/>
            <w:tcMar>
              <w:top w:w="28" w:type="dxa"/>
            </w:tcM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9"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9" w:type="dxa"/>
            <w:tcBorders>
              <w:top w:val="single" w:sz="2" w:space="0" w:color="000000"/>
            </w:tcBorders>
            <w:shd w:fill="auto" w:val="clear"/>
            <w:tcMar>
              <w:top w:w="28" w:type="dxa"/>
            </w:tcM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r>
      <w:tr>
        <w:trPr/>
        <w:tc>
          <w:tcPr>
            <w:tcW w:w="2746" w:type="dxa"/>
            <w:tcBorders/>
            <w:shd w:fill="CCEEFF" w:val="clear"/>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9"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9" w:type="dxa"/>
            <w:tcBorders/>
            <w:shd w:fill="CCEEFF" w:val="clear"/>
            <w:vAlign w:val="bottom"/>
          </w:tcPr>
          <w:p>
            <w:pPr>
              <w:pStyle w:val="TableContents"/>
              <w:spacing w:before="0" w:after="283"/>
              <w:rPr>
                <w:sz w:val="4"/>
                <w:szCs w:val="4"/>
              </w:rPr>
            </w:pPr>
            <w:r>
              <w:rPr>
                <w:sz w:val="4"/>
                <w:szCs w:val="4"/>
              </w:rPr>
            </w:r>
          </w:p>
        </w:tc>
        <w:tc>
          <w:tcPr>
            <w:tcW w:w="180"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9"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6" w:type="dxa"/>
            <w:tcBorders/>
            <w:shd w:fill="CCEEFF" w:val="clear"/>
            <w:vAlign w:val="bottom"/>
          </w:tcPr>
          <w:p>
            <w:pPr>
              <w:pStyle w:val="TableContents"/>
              <w:spacing w:before="0" w:after="283"/>
              <w:rPr>
                <w:sz w:val="4"/>
                <w:szCs w:val="4"/>
              </w:rPr>
            </w:pPr>
            <w:r>
              <w:rPr>
                <w:sz w:val="4"/>
                <w:szCs w:val="4"/>
              </w:rPr>
            </w:r>
          </w:p>
        </w:tc>
      </w:tr>
      <w:tr>
        <w:trPr/>
        <w:tc>
          <w:tcPr>
            <w:tcW w:w="2746" w:type="dxa"/>
            <w:tcBorders/>
            <w:shd w:fill="auto" w:val="clear"/>
          </w:tcPr>
          <w:p>
            <w:pPr>
              <w:pStyle w:val="TableContents"/>
              <w:spacing w:before="0" w:after="283"/>
              <w:rPr>
                <w:rFonts w:ascii="Times New Roman" w:hAnsi="Times New Roman"/>
                <w:b/>
                <w:sz w:val="20"/>
              </w:rPr>
            </w:pPr>
            <w:r>
              <w:rPr>
                <w:rFonts w:ascii="Times New Roman" w:hAnsi="Times New Roman"/>
                <w:b/>
                <w:sz w:val="20"/>
              </w:rPr>
              <w:t>Total</w:t>
            </w:r>
          </w:p>
        </w:tc>
        <w:tc>
          <w:tcPr>
            <w:tcW w:w="181"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2,105</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9"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1,779</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r>
      <w:tr>
        <w:trPr/>
        <w:tc>
          <w:tcPr>
            <w:tcW w:w="2746"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9" w:type="dxa"/>
            <w:tcBorders>
              <w:top w:val="double" w:sz="6" w:space="0" w:color="000000"/>
            </w:tcBorders>
            <w:shd w:fill="auto" w:val="clear"/>
            <w:tcMar>
              <w:top w:w="28" w:type="dxa"/>
            </w:tcM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9"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9" w:type="dxa"/>
            <w:tcBorders>
              <w:top w:val="double" w:sz="6" w:space="0" w:color="000000"/>
            </w:tcBorders>
            <w:shd w:fill="auto" w:val="clear"/>
            <w:tcMar>
              <w:top w:w="28" w:type="dxa"/>
            </w:tcM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r>
    </w:tbl>
    <w:p>
      <w:pPr>
        <w:pStyle w:val="TextBody"/>
        <w:pBdr>
          <w:bottom w:val="single" w:sz="16"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rFonts w:ascii="Times New Roman" w:hAnsi="Times New Roman"/>
                <w:sz w:val="14"/>
              </w:rPr>
              <w:t>(1)</w:t>
            </w:r>
            <w:r>
              <w:rPr/>
              <w:t xml:space="preserve">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Price per unit represents a weighted average associated with various grades, qualities, and locations; accordingly, these prices may not be comparable to published benchmarks for such products.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rFonts w:ascii="Times New Roman" w:hAnsi="Times New Roman"/>
                <w:sz w:val="14"/>
              </w:rPr>
              <w:t>(2)</w:t>
            </w:r>
            <w:r>
              <w:rPr/>
              <w:t xml:space="preserve">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volumetric ratio of mcf of natural gas to barrels of crude oil is 6:1; thus, natural gas volumes can be converted to barrels by dividing by 6. </w:t>
            </w:r>
          </w:p>
        </w:tc>
      </w:tr>
    </w:tbl>
    <w:p>
      <w:pPr>
        <w:pStyle w:val="TextBody"/>
        <w:spacing w:before="180" w:after="0"/>
        <w:rPr>
          <w:rFonts w:ascii="Times New Roman" w:hAnsi="Times New Roman"/>
          <w:sz w:val="20"/>
        </w:rPr>
      </w:pPr>
      <w:r>
        <w:rPr>
          <w:rFonts w:ascii="Times New Roman" w:hAnsi="Times New Roman"/>
          <w:sz w:val="20"/>
        </w:rPr>
        <w:t xml:space="preserve">The inventory balances at June 30, 2010 include an inventory valuation adjustment, which resulted in a loss of approximately $3 million, related to certain crude oil inventories that were revalued to market prices at June 30, 2010.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bookmarkStart w:id="16" w:name="tx73093_14"/>
      <w:bookmarkEnd w:id="16"/>
      <w:r>
        <w:rPr>
          <w:rFonts w:ascii="Times New Roman" w:hAnsi="Times New Roman"/>
          <w:b/>
          <w:sz w:val="20"/>
        </w:rPr>
        <w:t xml:space="preserve">Note 5Debt </w:t>
      </w:r>
    </w:p>
    <w:p>
      <w:pPr>
        <w:pStyle w:val="TextBody"/>
        <w:spacing w:before="90" w:after="0"/>
        <w:rPr>
          <w:rFonts w:ascii="Times New Roman" w:hAnsi="Times New Roman"/>
          <w:sz w:val="20"/>
        </w:rPr>
      </w:pPr>
      <w:r>
        <w:rPr>
          <w:rFonts w:ascii="Times New Roman" w:hAnsi="Times New Roman"/>
          <w:sz w:val="20"/>
        </w:rPr>
        <w:t xml:space="preserve">Debt consists of the following (in millions):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060"/>
        <w:gridCol w:w="222"/>
        <w:gridCol w:w="125"/>
        <w:gridCol w:w="1223"/>
        <w:gridCol w:w="222"/>
        <w:gridCol w:w="125"/>
        <w:gridCol w:w="1228"/>
      </w:tblGrid>
      <w:tr>
        <w:trPr/>
        <w:tc>
          <w:tcPr>
            <w:tcW w:w="706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r>
      <w:tr>
        <w:trPr/>
        <w:tc>
          <w:tcPr>
            <w:tcW w:w="70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348"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June 30,</w:t>
            </w:r>
            <w:r>
              <w:rPr/>
              <w:br/>
            </w:r>
            <w:r>
              <w:rPr>
                <w:rFonts w:ascii="Times New Roman" w:hAnsi="Times New Roman"/>
                <w:b/>
                <w:sz w:val="14"/>
              </w:rPr>
              <w:t>2010</w:t>
            </w:r>
          </w:p>
        </w:tc>
        <w:tc>
          <w:tcPr>
            <w:tcW w:w="222" w:type="dxa"/>
            <w:tcBorders/>
            <w:shd w:fill="auto" w:val="clear"/>
            <w:vAlign w:val="bottom"/>
          </w:tcPr>
          <w:p>
            <w:pPr>
              <w:pStyle w:val="TableContents"/>
              <w:spacing w:before="0" w:after="283"/>
              <w:rPr/>
            </w:pPr>
            <w:r>
              <w:rPr/>
              <w:t>  </w:t>
            </w:r>
          </w:p>
        </w:tc>
        <w:tc>
          <w:tcPr>
            <w:tcW w:w="1353"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December  31,</w:t>
            </w:r>
            <w:r>
              <w:rPr/>
              <w:br/>
            </w:r>
            <w:r>
              <w:rPr>
                <w:rFonts w:ascii="Times New Roman" w:hAnsi="Times New Roman"/>
                <w:b/>
                <w:sz w:val="14"/>
              </w:rPr>
              <w:t>2009</w:t>
            </w:r>
          </w:p>
        </w:tc>
      </w:tr>
      <w:tr>
        <w:trPr/>
        <w:tc>
          <w:tcPr>
            <w:tcW w:w="7060" w:type="dxa"/>
            <w:tcBorders/>
            <w:shd w:fill="CCEEFF" w:val="clear"/>
          </w:tcPr>
          <w:p>
            <w:pPr>
              <w:pStyle w:val="TableContents"/>
              <w:spacing w:before="0" w:after="283"/>
              <w:rPr>
                <w:rFonts w:ascii="Times New Roman" w:hAnsi="Times New Roman"/>
                <w:i/>
                <w:sz w:val="20"/>
              </w:rPr>
            </w:pPr>
            <w:r>
              <w:rPr>
                <w:rFonts w:ascii="Times New Roman" w:hAnsi="Times New Roman"/>
                <w:i/>
                <w:sz w:val="20"/>
              </w:rPr>
              <w:t>Short-term debt:</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223" w:type="dxa"/>
            <w:tcBorders/>
            <w:shd w:fill="CCEEFF" w:val="clear"/>
            <w:vAlign w:val="bottom"/>
          </w:tcPr>
          <w:p>
            <w:pPr>
              <w:pStyle w:val="TableContents"/>
              <w:spacing w:before="0" w:after="283"/>
              <w:rPr>
                <w:sz w:val="4"/>
                <w:szCs w:val="4"/>
              </w:rPr>
            </w:pPr>
            <w:r>
              <w:rPr>
                <w:sz w:val="4"/>
                <w:szCs w:val="4"/>
              </w:rPr>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228" w:type="dxa"/>
            <w:tcBorders/>
            <w:shd w:fill="CCEEFF" w:val="clear"/>
            <w:vAlign w:val="bottom"/>
          </w:tcPr>
          <w:p>
            <w:pPr>
              <w:pStyle w:val="TableContents"/>
              <w:spacing w:before="0" w:after="283"/>
              <w:rPr>
                <w:sz w:val="4"/>
                <w:szCs w:val="4"/>
              </w:rPr>
            </w:pPr>
            <w:r>
              <w:rPr>
                <w:sz w:val="4"/>
                <w:szCs w:val="4"/>
              </w:rPr>
            </w:r>
          </w:p>
        </w:tc>
      </w:tr>
      <w:tr>
        <w:trPr/>
        <w:tc>
          <w:tcPr>
            <w:tcW w:w="7060" w:type="dxa"/>
            <w:tcBorders/>
            <w:shd w:fill="auto" w:val="clear"/>
          </w:tcPr>
          <w:p>
            <w:pPr>
              <w:pStyle w:val="TableContents"/>
              <w:spacing w:before="0" w:after="283"/>
              <w:rPr>
                <w:rFonts w:ascii="Times New Roman" w:hAnsi="Times New Roman"/>
                <w:sz w:val="20"/>
              </w:rPr>
            </w:pPr>
            <w:r>
              <w:rPr>
                <w:rFonts w:ascii="Times New Roman" w:hAnsi="Times New Roman"/>
                <w:sz w:val="20"/>
              </w:rPr>
              <w:t>Senior secured hedged inventory facility bearing interest at a rate of 2.6% and 2.5% as of June 30, 2010 and December 31, 2009, respectively</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r>
      <w:tr>
        <w:trPr/>
        <w:tc>
          <w:tcPr>
            <w:tcW w:w="7060" w:type="dxa"/>
            <w:tcBorders/>
            <w:shd w:fill="CCEEFF" w:val="clear"/>
          </w:tcPr>
          <w:p>
            <w:pPr>
              <w:pStyle w:val="TableContents"/>
              <w:spacing w:before="0" w:after="283"/>
              <w:rPr/>
            </w:pPr>
            <w:r>
              <w:rPr>
                <w:rFonts w:ascii="Times New Roman" w:hAnsi="Times New Roman"/>
                <w:sz w:val="20"/>
              </w:rPr>
              <w:t>Senior unsecured revolving credit facility, bearing interest at a rate of 0.8% for both periods presented</w:t>
            </w:r>
            <w:r>
              <w:rPr/>
              <w:t> </w:t>
            </w:r>
            <w:r>
              <w:rPr>
                <w:rFonts w:ascii="Times New Roman" w:hAnsi="Times New Roman"/>
                <w:sz w:val="14"/>
              </w:rPr>
              <w:t>(1)</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623</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772</w:t>
            </w:r>
          </w:p>
        </w:tc>
      </w:tr>
      <w:tr>
        <w:trPr/>
        <w:tc>
          <w:tcPr>
            <w:tcW w:w="7060"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r>
      <w:tr>
        <w:trPr/>
        <w:tc>
          <w:tcPr>
            <w:tcW w:w="706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23" w:type="dxa"/>
            <w:tcBorders>
              <w:top w:val="single" w:sz="2" w:space="0" w:color="000000"/>
            </w:tcBorders>
            <w:shd w:fill="auto" w:val="clear"/>
            <w:tcMar>
              <w:top w:w="28" w:type="dxa"/>
            </w:tcM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28"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7060" w:type="dxa"/>
            <w:tcBorders/>
            <w:shd w:fill="CCEEFF" w:val="clear"/>
          </w:tcPr>
          <w:p>
            <w:pPr>
              <w:pStyle w:val="TableContents"/>
              <w:spacing w:before="0" w:after="283"/>
              <w:rPr>
                <w:rFonts w:ascii="Times New Roman" w:hAnsi="Times New Roman"/>
                <w:sz w:val="20"/>
              </w:rPr>
            </w:pPr>
            <w:r>
              <w:rPr>
                <w:rFonts w:ascii="Times New Roman" w:hAnsi="Times New Roman"/>
                <w:sz w:val="20"/>
              </w:rPr>
              <w:t>Total short-term debt</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1,025</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1,074</w:t>
            </w:r>
          </w:p>
        </w:tc>
      </w:tr>
      <w:tr>
        <w:trPr/>
        <w:tc>
          <w:tcPr>
            <w:tcW w:w="7060" w:type="dxa"/>
            <w:tcBorders/>
            <w:shd w:fill="auto" w:val="clea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223"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228" w:type="dxa"/>
            <w:tcBorders/>
            <w:shd w:fill="auto" w:val="clear"/>
            <w:vAlign w:val="bottom"/>
          </w:tcPr>
          <w:p>
            <w:pPr>
              <w:pStyle w:val="TableContents"/>
              <w:spacing w:before="0" w:after="283"/>
              <w:rPr>
                <w:sz w:val="4"/>
                <w:szCs w:val="4"/>
              </w:rPr>
            </w:pPr>
            <w:r>
              <w:rPr>
                <w:sz w:val="4"/>
                <w:szCs w:val="4"/>
              </w:rPr>
            </w:r>
          </w:p>
        </w:tc>
      </w:tr>
      <w:tr>
        <w:trPr/>
        <w:tc>
          <w:tcPr>
            <w:tcW w:w="7060" w:type="dxa"/>
            <w:tcBorders/>
            <w:shd w:fill="CCEEFF" w:val="clear"/>
          </w:tcPr>
          <w:p>
            <w:pPr>
              <w:pStyle w:val="TableContents"/>
              <w:spacing w:before="0" w:after="283"/>
              <w:rPr>
                <w:rFonts w:ascii="Times New Roman" w:hAnsi="Times New Roman"/>
                <w:i/>
                <w:sz w:val="20"/>
              </w:rPr>
            </w:pPr>
            <w:r>
              <w:rPr>
                <w:rFonts w:ascii="Times New Roman" w:hAnsi="Times New Roman"/>
                <w:i/>
                <w:sz w:val="20"/>
              </w:rPr>
              <w:t>Long-term debt:</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223" w:type="dxa"/>
            <w:tcBorders/>
            <w:shd w:fill="CCEEFF" w:val="clear"/>
            <w:vAlign w:val="bottom"/>
          </w:tcPr>
          <w:p>
            <w:pPr>
              <w:pStyle w:val="TableContents"/>
              <w:spacing w:before="0" w:after="283"/>
              <w:rPr>
                <w:sz w:val="4"/>
                <w:szCs w:val="4"/>
              </w:rPr>
            </w:pPr>
            <w:r>
              <w:rPr>
                <w:sz w:val="4"/>
                <w:szCs w:val="4"/>
              </w:rPr>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228" w:type="dxa"/>
            <w:tcBorders/>
            <w:shd w:fill="CCEEFF" w:val="clear"/>
            <w:vAlign w:val="bottom"/>
          </w:tcPr>
          <w:p>
            <w:pPr>
              <w:pStyle w:val="TableContents"/>
              <w:spacing w:before="0" w:after="283"/>
              <w:rPr>
                <w:sz w:val="4"/>
                <w:szCs w:val="4"/>
              </w:rPr>
            </w:pPr>
            <w:r>
              <w:rPr>
                <w:sz w:val="4"/>
                <w:szCs w:val="4"/>
              </w:rPr>
            </w:r>
          </w:p>
        </w:tc>
      </w:tr>
      <w:tr>
        <w:trPr/>
        <w:tc>
          <w:tcPr>
            <w:tcW w:w="7060" w:type="dxa"/>
            <w:tcBorders/>
            <w:shd w:fill="auto" w:val="clear"/>
          </w:tcPr>
          <w:p>
            <w:pPr>
              <w:pStyle w:val="TableContents"/>
              <w:spacing w:before="0" w:after="283"/>
              <w:rPr/>
            </w:pPr>
            <w:r>
              <w:rPr>
                <w:rFonts w:ascii="Times New Roman" w:hAnsi="Times New Roman"/>
                <w:sz w:val="20"/>
              </w:rPr>
              <w:t xml:space="preserve">Senior notes, net of unamortized discounts </w:t>
            </w:r>
            <w:r>
              <w:rPr>
                <w:rFonts w:ascii="Times New Roman" w:hAnsi="Times New Roman"/>
                <w:sz w:val="14"/>
              </w:rPr>
              <w:t>(2)</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4,137</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4,136</w:t>
            </w:r>
          </w:p>
        </w:tc>
      </w:tr>
      <w:tr>
        <w:trPr/>
        <w:tc>
          <w:tcPr>
            <w:tcW w:w="7060" w:type="dxa"/>
            <w:tcBorders/>
            <w:shd w:fill="CCEEFF" w:val="clear"/>
          </w:tcPr>
          <w:p>
            <w:pPr>
              <w:pStyle w:val="TableContents"/>
              <w:spacing w:before="0" w:after="283"/>
              <w:rPr/>
            </w:pPr>
            <w:r>
              <w:rPr>
                <w:rFonts w:ascii="Times New Roman" w:hAnsi="Times New Roman"/>
                <w:sz w:val="20"/>
              </w:rPr>
              <w:t xml:space="preserve">Long-term debt under credit facilities and other </w:t>
            </w:r>
            <w:r>
              <w:rPr>
                <w:rFonts w:ascii="Times New Roman" w:hAnsi="Times New Roman"/>
                <w:sz w:val="14"/>
              </w:rPr>
              <w:t>(3)</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r>
      <w:tr>
        <w:trPr/>
        <w:tc>
          <w:tcPr>
            <w:tcW w:w="706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23" w:type="dxa"/>
            <w:tcBorders>
              <w:top w:val="single" w:sz="2" w:space="0" w:color="000000"/>
            </w:tcBorders>
            <w:shd w:fill="auto" w:val="clear"/>
            <w:tcMar>
              <w:top w:w="28" w:type="dxa"/>
            </w:tcM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28"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7060" w:type="dxa"/>
            <w:tcBorders/>
            <w:shd w:fill="auto" w:val="clear"/>
          </w:tcPr>
          <w:p>
            <w:pPr>
              <w:pStyle w:val="TableContents"/>
              <w:spacing w:before="0" w:after="283"/>
              <w:rPr/>
            </w:pPr>
            <w:r>
              <w:rPr>
                <w:rFonts w:ascii="Times New Roman" w:hAnsi="Times New Roman"/>
                <w:sz w:val="20"/>
              </w:rPr>
              <w:t xml:space="preserve">Total long-term debt </w:t>
            </w:r>
            <w:r>
              <w:rPr>
                <w:rFonts w:ascii="Times New Roman" w:hAnsi="Times New Roman"/>
                <w:sz w:val="14"/>
              </w:rPr>
              <w:t>(1) (4)</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4,350</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4,142</w:t>
            </w:r>
          </w:p>
        </w:tc>
      </w:tr>
      <w:tr>
        <w:trPr/>
        <w:tc>
          <w:tcPr>
            <w:tcW w:w="706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23" w:type="dxa"/>
            <w:tcBorders>
              <w:top w:val="single" w:sz="2" w:space="0" w:color="000000"/>
            </w:tcBorders>
            <w:shd w:fill="auto" w:val="clear"/>
            <w:tcMar>
              <w:top w:w="28" w:type="dxa"/>
            </w:tcM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28"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7060" w:type="dxa"/>
            <w:tcBorders/>
            <w:shd w:fill="CCEEFF" w:val="clear"/>
          </w:tcPr>
          <w:p>
            <w:pPr>
              <w:pStyle w:val="TableContents"/>
              <w:spacing w:before="0" w:after="283"/>
              <w:rPr>
                <w:rFonts w:ascii="Times New Roman" w:hAnsi="Times New Roman"/>
                <w:sz w:val="20"/>
              </w:rPr>
            </w:pPr>
            <w:r>
              <w:rPr>
                <w:rFonts w:ascii="Times New Roman" w:hAnsi="Times New Roman"/>
                <w:sz w:val="20"/>
              </w:rPr>
              <w:t>Total debt</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23" w:type="dxa"/>
            <w:tcBorders/>
            <w:shd w:fill="CCEEFF" w:val="clear"/>
            <w:vAlign w:val="bottom"/>
          </w:tcPr>
          <w:p>
            <w:pPr>
              <w:pStyle w:val="TableContents"/>
              <w:spacing w:before="0" w:after="283"/>
              <w:jc w:val="right"/>
              <w:rPr/>
            </w:pPr>
            <w:r>
              <w:rPr/>
              <w:t>            </w:t>
            </w:r>
            <w:r>
              <w:rPr>
                <w:rFonts w:ascii="Times New Roman" w:hAnsi="Times New Roman"/>
                <w:sz w:val="20"/>
              </w:rPr>
              <w:t>5,375</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28" w:type="dxa"/>
            <w:tcBorders/>
            <w:shd w:fill="CCEEFF" w:val="clear"/>
            <w:vAlign w:val="bottom"/>
          </w:tcPr>
          <w:p>
            <w:pPr>
              <w:pStyle w:val="TableContents"/>
              <w:spacing w:before="0" w:after="283"/>
              <w:jc w:val="right"/>
              <w:rPr/>
            </w:pPr>
            <w:r>
              <w:rPr/>
              <w:t>            </w:t>
            </w:r>
            <w:r>
              <w:rPr>
                <w:rFonts w:ascii="Times New Roman" w:hAnsi="Times New Roman"/>
                <w:sz w:val="20"/>
              </w:rPr>
              <w:t>5,216</w:t>
            </w:r>
          </w:p>
        </w:tc>
      </w:tr>
      <w:tr>
        <w:trPr/>
        <w:tc>
          <w:tcPr>
            <w:tcW w:w="706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223" w:type="dxa"/>
            <w:tcBorders>
              <w:top w:val="double" w:sz="6" w:space="0" w:color="000000"/>
            </w:tcBorders>
            <w:shd w:fill="auto" w:val="clear"/>
            <w:tcMar>
              <w:top w:w="28" w:type="dxa"/>
            </w:tcM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228"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pBdr>
          <w:bottom w:val="single" w:sz="16"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rFonts w:ascii="Times New Roman" w:hAnsi="Times New Roman"/>
                <w:sz w:val="14"/>
              </w:rPr>
              <w:t>(1)</w:t>
            </w:r>
            <w:r>
              <w:rPr/>
              <w:t xml:space="preserve"> </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classify borrowings under our senior unsecured revolving credit facility as short-term. These borrowings are designated as working capital borrowings, must be repaid within one year and are primarily for hedged LPG and crude oil inventory and NYMEX and ICE margin deposits.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rFonts w:ascii="Times New Roman" w:hAnsi="Times New Roman"/>
                <w:sz w:val="14"/>
              </w:rPr>
              <w:t>(2)</w:t>
            </w:r>
            <w:r>
              <w:rPr/>
              <w:t xml:space="preserve">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portion of this balance consists of our $500 million of 4.25% senior notes due September 2012 that were issued in July 2009 and the proceeds from which are being used to supplement capital available from our hedged inventory facility. At June 30, 2010 and December 31, 2009, approximately $500 million and $222 million, respectively, had been used to fund hedged inventory and would be classified as short-term debt if funded on our credit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rFonts w:ascii="Times New Roman" w:hAnsi="Times New Roman"/>
                <w:sz w:val="14"/>
              </w:rPr>
              <w:t>(3)</w:t>
            </w:r>
            <w:r>
              <w:rPr/>
              <w:t xml:space="preserve"> </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In April 2010, our consolidated subsidiary PNG entered into a three year, $400 million senior unsecured revolving credit facility that matures in May 2013. This credit facility, which bears interest based on LIBOR plus an applicable margin (as defined by the credit agreement), may be expanded to $600 million, subject to additional lender commitments and with approval of the administrative agent for the credit facility. At June 30, 2010, borrowings of approximately $205 million were outstanding under this facility. See the </w:t>
            </w:r>
            <w:r>
              <w:rPr>
                <w:rFonts w:ascii="Times New Roman" w:hAnsi="Times New Roman"/>
                <w:i/>
                <w:sz w:val="20"/>
              </w:rPr>
              <w:t>Sale of Noncontrolling Interest in a Subsidiary</w:t>
            </w:r>
            <w:r>
              <w:rPr>
                <w:rFonts w:ascii="Times New Roman" w:hAnsi="Times New Roman"/>
                <w:sz w:val="20"/>
              </w:rPr>
              <w:t xml:space="preserve"> section of Note 7 for additional discussion regarding PNG.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rFonts w:ascii="Times New Roman" w:hAnsi="Times New Roman"/>
                <w:sz w:val="14"/>
              </w:rPr>
              <w:t>(4)</w:t>
            </w:r>
            <w:r>
              <w:rPr/>
              <w:t xml:space="preserve">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fixed-rate senior notes have a face value of approximately $4.2 billion as of June 30, 2010. We estimate the aggregate fair value of these notes as of June 30, 2010 to be approximately $4.4 billion. Our fixed-rate senior notes are traded among institutions, which trades are routinely published by a reporting service. Our determination of fair value is based on reported trading activity near quarter end. </w:t>
            </w:r>
          </w:p>
        </w:tc>
      </w:tr>
    </w:tbl>
    <w:p>
      <w:pPr>
        <w:pStyle w:val="TextBody"/>
        <w:spacing w:before="270" w:after="0"/>
        <w:rPr>
          <w:rFonts w:ascii="Times New Roman" w:hAnsi="Times New Roman"/>
          <w:b/>
          <w:i/>
          <w:sz w:val="20"/>
        </w:rPr>
      </w:pPr>
      <w:r>
        <w:rPr>
          <w:rFonts w:ascii="Times New Roman" w:hAnsi="Times New Roman"/>
          <w:b/>
          <w:i/>
          <w:sz w:val="20"/>
        </w:rPr>
        <w:t xml:space="preserve">Senior Notes </w:t>
      </w:r>
    </w:p>
    <w:p>
      <w:pPr>
        <w:pStyle w:val="TextBody"/>
        <w:spacing w:before="90" w:after="0"/>
        <w:rPr>
          <w:rFonts w:ascii="Times New Roman" w:hAnsi="Times New Roman"/>
          <w:sz w:val="20"/>
        </w:rPr>
      </w:pPr>
      <w:r>
        <w:rPr>
          <w:rFonts w:ascii="Times New Roman" w:hAnsi="Times New Roman"/>
          <w:sz w:val="20"/>
        </w:rPr>
        <w:t xml:space="preserve">In July 2010, we completed the issuance of $400 million of 3.95% Senior Notes due September 15, 2015. The senior notes were sold at 99.889% of face value. Interest payments are due on March 15 and September 15 of each year, beginning on September 15, 2010. We used the net proceeds from this offering to repay outstanding indebtedness under our credit facilities, which may be reborrowed to fund our ongoing expansion capital program, potential future acquisitions or the potential redemption of our outstanding 6.25% senior notes that mature in September 2015. </w:t>
      </w:r>
    </w:p>
    <w:p>
      <w:pPr>
        <w:pStyle w:val="TextBody"/>
        <w:spacing w:before="270" w:after="0"/>
        <w:rPr>
          <w:rFonts w:ascii="Times New Roman" w:hAnsi="Times New Roman"/>
          <w:b/>
          <w:i/>
          <w:sz w:val="20"/>
        </w:rPr>
      </w:pPr>
      <w:r>
        <w:rPr>
          <w:rFonts w:ascii="Times New Roman" w:hAnsi="Times New Roman"/>
          <w:b/>
          <w:i/>
          <w:sz w:val="20"/>
        </w:rPr>
        <w:t xml:space="preserve">Letters of Credit </w:t>
      </w:r>
    </w:p>
    <w:p>
      <w:pPr>
        <w:pStyle w:val="TextBody"/>
        <w:spacing w:before="90" w:after="0"/>
        <w:rPr>
          <w:rFonts w:ascii="Times New Roman" w:hAnsi="Times New Roman"/>
          <w:sz w:val="20"/>
        </w:rPr>
      </w:pPr>
      <w:r>
        <w:rPr>
          <w:rFonts w:ascii="Times New Roman" w:hAnsi="Times New Roman"/>
          <w:sz w:val="20"/>
        </w:rPr>
        <w:t xml:space="preserve">In connection with our crude oil supply and logistics activities, we provide certain suppliers with irrevocable standby letters of credit to secure our obligation for the purchase of crude oil. At June 30, 2010 and December 31, 2009, we had outstanding letters of credit of approximately $103 million and $76 million, respectively.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bookmarkStart w:id="17" w:name="tx73093_15"/>
      <w:bookmarkEnd w:id="17"/>
      <w:r>
        <w:rPr>
          <w:rFonts w:ascii="Times New Roman" w:hAnsi="Times New Roman"/>
          <w:b/>
          <w:sz w:val="20"/>
        </w:rPr>
        <w:t>Note 6Net Income Per Limited Partner Unit</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The following table sets forth the computation of basic and diluted earnings per limited partner unit for the three and six months ended June 30, 2010 and 2009 (amounts in millions, except per unit data):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102"/>
        <w:gridCol w:w="245"/>
        <w:gridCol w:w="125"/>
        <w:gridCol w:w="860"/>
        <w:gridCol w:w="125"/>
        <w:gridCol w:w="199"/>
        <w:gridCol w:w="125"/>
        <w:gridCol w:w="860"/>
        <w:gridCol w:w="124"/>
        <w:gridCol w:w="199"/>
        <w:gridCol w:w="125"/>
        <w:gridCol w:w="860"/>
        <w:gridCol w:w="125"/>
        <w:gridCol w:w="199"/>
        <w:gridCol w:w="125"/>
        <w:gridCol w:w="860"/>
        <w:gridCol w:w="130"/>
      </w:tblGrid>
      <w:tr>
        <w:trPr/>
        <w:tc>
          <w:tcPr>
            <w:tcW w:w="4102"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410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94"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br/>
              <w:t>June 30,</w:t>
            </w:r>
          </w:p>
        </w:tc>
        <w:tc>
          <w:tcPr>
            <w:tcW w:w="124"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294"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Six Months Ended</w:t>
            </w:r>
            <w:r>
              <w:rPr/>
              <w:br/>
            </w:r>
            <w:r>
              <w:rPr>
                <w:rFonts w:ascii="Times New Roman" w:hAnsi="Times New Roman"/>
                <w:b/>
                <w:sz w:val="14"/>
              </w:rPr>
              <w:t>June  30,</w:t>
            </w:r>
          </w:p>
        </w:tc>
        <w:tc>
          <w:tcPr>
            <w:tcW w:w="130" w:type="dxa"/>
            <w:tcBorders/>
            <w:shd w:fill="auto" w:val="clear"/>
            <w:vAlign w:val="bottom"/>
          </w:tcPr>
          <w:p>
            <w:pPr>
              <w:pStyle w:val="TableContents"/>
              <w:spacing w:before="0" w:after="283"/>
              <w:rPr/>
            </w:pPr>
            <w:r>
              <w:rPr/>
              <w:t> </w:t>
            </w:r>
          </w:p>
        </w:tc>
      </w:tr>
      <w:tr>
        <w:trPr/>
        <w:tc>
          <w:tcPr>
            <w:tcW w:w="410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98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98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4"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98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98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30" w:type="dxa"/>
            <w:tcBorders/>
            <w:shd w:fill="auto" w:val="clear"/>
            <w:vAlign w:val="bottom"/>
          </w:tcPr>
          <w:p>
            <w:pPr>
              <w:pStyle w:val="TableContents"/>
              <w:spacing w:before="0" w:after="283"/>
              <w:rPr/>
            </w:pPr>
            <w:r>
              <w:rPr/>
              <w:t> </w:t>
            </w:r>
          </w:p>
        </w:tc>
      </w:tr>
      <w:tr>
        <w:trPr/>
        <w:tc>
          <w:tcPr>
            <w:tcW w:w="4102" w:type="dxa"/>
            <w:tcBorders/>
            <w:shd w:fill="CCEEFF" w:val="clear"/>
          </w:tcPr>
          <w:p>
            <w:pPr>
              <w:pStyle w:val="TableContents"/>
              <w:spacing w:before="0" w:after="283"/>
              <w:rPr>
                <w:rFonts w:ascii="Times New Roman" w:hAnsi="Times New Roman"/>
                <w:sz w:val="20"/>
              </w:rPr>
            </w:pPr>
            <w:r>
              <w:rPr>
                <w:rFonts w:ascii="Times New Roman" w:hAnsi="Times New Roman"/>
                <w:sz w:val="20"/>
              </w:rPr>
              <w:t>Numerator for basic and diluted earnings per limited partner unit:</w:t>
            </w:r>
          </w:p>
        </w:tc>
        <w:tc>
          <w:tcPr>
            <w:tcW w:w="2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0"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102"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Plains</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2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24"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282</w:t>
            </w:r>
          </w:p>
        </w:tc>
        <w:tc>
          <w:tcPr>
            <w:tcW w:w="12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347</w:t>
            </w:r>
          </w:p>
        </w:tc>
        <w:tc>
          <w:tcPr>
            <w:tcW w:w="130" w:type="dxa"/>
            <w:tcBorders/>
            <w:shd w:fill="auto" w:val="clear"/>
            <w:vAlign w:val="bottom"/>
          </w:tcPr>
          <w:p>
            <w:pPr>
              <w:pStyle w:val="TableContents"/>
              <w:spacing w:before="0" w:after="283"/>
              <w:rPr/>
            </w:pPr>
            <w:r>
              <w:rPr/>
              <w:t>  </w:t>
            </w:r>
          </w:p>
        </w:tc>
      </w:tr>
      <w:tr>
        <w:trPr/>
        <w:tc>
          <w:tcPr>
            <w:tcW w:w="4102" w:type="dxa"/>
            <w:tcBorders/>
            <w:shd w:fill="CCEEFF" w:val="clear"/>
          </w:tcPr>
          <w:p>
            <w:pPr>
              <w:pStyle w:val="TableContents"/>
              <w:spacing w:before="0" w:after="283"/>
              <w:rPr/>
            </w:pPr>
            <w:r>
              <w:rPr>
                <w:rFonts w:ascii="Times New Roman" w:hAnsi="Times New Roman"/>
                <w:sz w:val="20"/>
              </w:rPr>
              <w:t xml:space="preserve">Less: General partners incentive distribution paid </w:t>
            </w:r>
            <w:r>
              <w:rPr>
                <w:rFonts w:ascii="Times New Roman" w:hAnsi="Times New Roman"/>
                <w:sz w:val="14"/>
              </w:rPr>
              <w:t>(1)</w:t>
            </w:r>
          </w:p>
        </w:tc>
        <w:tc>
          <w:tcPr>
            <w:tcW w:w="2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102"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0"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0" w:type="dxa"/>
            <w:tcBorders>
              <w:top w:val="single" w:sz="2"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102" w:type="dxa"/>
            <w:tcBorders/>
            <w:shd w:fill="auto" w:val="clear"/>
          </w:tcPr>
          <w:p>
            <w:pPr>
              <w:pStyle w:val="TableContents"/>
              <w:spacing w:before="0" w:after="283"/>
              <w:rPr>
                <w:rFonts w:ascii="Times New Roman" w:hAnsi="Times New Roman"/>
                <w:sz w:val="20"/>
              </w:rPr>
            </w:pPr>
            <w:r>
              <w:rPr>
                <w:rFonts w:ascii="Times New Roman" w:hAnsi="Times New Roman"/>
                <w:sz w:val="20"/>
              </w:rPr>
              <w:t>Subtotal</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12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24"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w:t>
            </w:r>
          </w:p>
        </w:tc>
        <w:tc>
          <w:tcPr>
            <w:tcW w:w="12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287</w:t>
            </w:r>
          </w:p>
        </w:tc>
        <w:tc>
          <w:tcPr>
            <w:tcW w:w="130" w:type="dxa"/>
            <w:tcBorders/>
            <w:shd w:fill="auto" w:val="clear"/>
            <w:vAlign w:val="bottom"/>
          </w:tcPr>
          <w:p>
            <w:pPr>
              <w:pStyle w:val="TableContents"/>
              <w:spacing w:before="0" w:after="283"/>
              <w:rPr/>
            </w:pPr>
            <w:r>
              <w:rPr/>
              <w:t>  </w:t>
            </w:r>
          </w:p>
        </w:tc>
      </w:tr>
      <w:tr>
        <w:trPr/>
        <w:tc>
          <w:tcPr>
            <w:tcW w:w="4102" w:type="dxa"/>
            <w:tcBorders/>
            <w:shd w:fill="CCEEFF" w:val="clear"/>
          </w:tcPr>
          <w:p>
            <w:pPr>
              <w:pStyle w:val="TableContents"/>
              <w:spacing w:before="0" w:after="283"/>
              <w:rPr/>
            </w:pPr>
            <w:r>
              <w:rPr>
                <w:rFonts w:ascii="Times New Roman" w:hAnsi="Times New Roman"/>
                <w:sz w:val="20"/>
              </w:rPr>
              <w:t>Less: General partner 2% ownership</w:t>
            </w:r>
            <w:r>
              <w:rPr/>
              <w:t xml:space="preserve"> </w:t>
            </w:r>
            <w:r>
              <w:rPr>
                <w:rFonts w:ascii="Times New Roman" w:hAnsi="Times New Roman"/>
                <w:sz w:val="14"/>
              </w:rPr>
              <w:t xml:space="preserve">(1) </w:t>
            </w:r>
          </w:p>
        </w:tc>
        <w:tc>
          <w:tcPr>
            <w:tcW w:w="2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102"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0"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0" w:type="dxa"/>
            <w:tcBorders>
              <w:top w:val="single" w:sz="2"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102"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available to limited partners</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12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w:t>
            </w:r>
          </w:p>
        </w:tc>
        <w:tc>
          <w:tcPr>
            <w:tcW w:w="124"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2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282</w:t>
            </w:r>
          </w:p>
        </w:tc>
        <w:tc>
          <w:tcPr>
            <w:tcW w:w="130" w:type="dxa"/>
            <w:tcBorders/>
            <w:shd w:fill="auto" w:val="clear"/>
            <w:vAlign w:val="bottom"/>
          </w:tcPr>
          <w:p>
            <w:pPr>
              <w:pStyle w:val="TableContents"/>
              <w:spacing w:before="0" w:after="283"/>
              <w:rPr/>
            </w:pPr>
            <w:r>
              <w:rPr/>
              <w:t>  </w:t>
            </w:r>
          </w:p>
        </w:tc>
      </w:tr>
      <w:tr>
        <w:trPr/>
        <w:tc>
          <w:tcPr>
            <w:tcW w:w="4102" w:type="dxa"/>
            <w:tcBorders/>
            <w:shd w:fill="CCEEFF" w:val="clear"/>
          </w:tcPr>
          <w:p>
            <w:pPr>
              <w:pStyle w:val="TableContents"/>
              <w:spacing w:before="0" w:after="283"/>
              <w:rPr/>
            </w:pPr>
            <w:r>
              <w:rPr>
                <w:rFonts w:ascii="Times New Roman" w:hAnsi="Times New Roman"/>
                <w:sz w:val="20"/>
              </w:rPr>
              <w:t xml:space="preserve">Adjustment in accordance with application of the two-class method for MLPs </w:t>
            </w:r>
            <w:r>
              <w:rPr>
                <w:rFonts w:ascii="Times New Roman" w:hAnsi="Times New Roman"/>
                <w:sz w:val="14"/>
              </w:rPr>
              <w:t>(1)</w:t>
            </w:r>
          </w:p>
        </w:tc>
        <w:tc>
          <w:tcPr>
            <w:tcW w:w="2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102"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0"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0" w:type="dxa"/>
            <w:tcBorders>
              <w:top w:val="single" w:sz="2"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102"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available to limited partners in accordance with the application of the two-class method for MLPs</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w:t>
            </w:r>
          </w:p>
        </w:tc>
        <w:tc>
          <w:tcPr>
            <w:tcW w:w="12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w:t>
            </w:r>
          </w:p>
        </w:tc>
        <w:tc>
          <w:tcPr>
            <w:tcW w:w="124"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w:t>
            </w:r>
          </w:p>
        </w:tc>
        <w:tc>
          <w:tcPr>
            <w:tcW w:w="12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277</w:t>
            </w:r>
          </w:p>
        </w:tc>
        <w:tc>
          <w:tcPr>
            <w:tcW w:w="130" w:type="dxa"/>
            <w:tcBorders/>
            <w:shd w:fill="auto" w:val="clear"/>
            <w:vAlign w:val="bottom"/>
          </w:tcPr>
          <w:p>
            <w:pPr>
              <w:pStyle w:val="TableContents"/>
              <w:spacing w:before="0" w:after="283"/>
              <w:rPr/>
            </w:pPr>
            <w:r>
              <w:rPr/>
              <w:t>  </w:t>
            </w:r>
          </w:p>
        </w:tc>
      </w:tr>
      <w:tr>
        <w:trPr/>
        <w:tc>
          <w:tcPr>
            <w:tcW w:w="4102"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6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60" w:type="dxa"/>
            <w:tcBorders>
              <w:top w:val="double" w:sz="6"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6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60" w:type="dxa"/>
            <w:tcBorders>
              <w:top w:val="double" w:sz="6"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102" w:type="dxa"/>
            <w:tcBorders/>
            <w:shd w:fill="CCEEFF" w:val="clear"/>
          </w:tcPr>
          <w:p>
            <w:pPr>
              <w:pStyle w:val="TableContents"/>
              <w:spacing w:before="0" w:after="283"/>
              <w:rPr>
                <w:sz w:val="4"/>
                <w:szCs w:val="4"/>
              </w:rPr>
            </w:pPr>
            <w:r>
              <w:rPr>
                <w:sz w:val="4"/>
                <w:szCs w:val="4"/>
              </w:rPr>
            </w:r>
          </w:p>
        </w:tc>
        <w:tc>
          <w:tcPr>
            <w:tcW w:w="2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0"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102" w:type="dxa"/>
            <w:tcBorders/>
            <w:shd w:fill="auto" w:val="clear"/>
          </w:tcPr>
          <w:p>
            <w:pPr>
              <w:pStyle w:val="TableContents"/>
              <w:spacing w:before="0" w:after="283"/>
              <w:rPr>
                <w:rFonts w:ascii="Times New Roman" w:hAnsi="Times New Roman"/>
                <w:sz w:val="20"/>
              </w:rPr>
            </w:pPr>
            <w:r>
              <w:rPr>
                <w:rFonts w:ascii="Times New Roman" w:hAnsi="Times New Roman"/>
                <w:sz w:val="20"/>
              </w:rPr>
              <w:t>Denominator:</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4102" w:type="dxa"/>
            <w:tcBorders/>
            <w:shd w:fill="CCEEFF" w:val="clear"/>
          </w:tcPr>
          <w:p>
            <w:pPr>
              <w:pStyle w:val="TableContents"/>
              <w:spacing w:before="0" w:after="283"/>
              <w:rPr>
                <w:rFonts w:ascii="Times New Roman" w:hAnsi="Times New Roman"/>
                <w:sz w:val="20"/>
              </w:rPr>
            </w:pPr>
            <w:r>
              <w:rPr>
                <w:rFonts w:ascii="Times New Roman" w:hAnsi="Times New Roman"/>
                <w:sz w:val="20"/>
              </w:rPr>
              <w:t>Basic weighted average number of limited partner units outstanding</w:t>
            </w:r>
          </w:p>
        </w:tc>
        <w:tc>
          <w:tcPr>
            <w:tcW w:w="2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25"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w:t>
            </w:r>
          </w:p>
        </w:tc>
        <w:tc>
          <w:tcPr>
            <w:tcW w:w="124"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25"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w:t>
            </w:r>
          </w:p>
        </w:tc>
        <w:tc>
          <w:tcPr>
            <w:tcW w:w="130" w:type="dxa"/>
            <w:tcBorders/>
            <w:shd w:fill="CCEEFF" w:val="clear"/>
            <w:vAlign w:val="bottom"/>
          </w:tcPr>
          <w:p>
            <w:pPr>
              <w:pStyle w:val="TableContents"/>
              <w:spacing w:before="0" w:after="283"/>
              <w:rPr/>
            </w:pPr>
            <w:r>
              <w:rPr/>
              <w:t>  </w:t>
            </w:r>
          </w:p>
        </w:tc>
      </w:tr>
      <w:tr>
        <w:trPr/>
        <w:tc>
          <w:tcPr>
            <w:tcW w:w="4102" w:type="dxa"/>
            <w:tcBorders/>
            <w:shd w:fill="auto" w:val="clear"/>
          </w:tcPr>
          <w:p>
            <w:pPr>
              <w:pStyle w:val="TableContents"/>
              <w:spacing w:before="0" w:after="283"/>
              <w:rPr>
                <w:rFonts w:ascii="Times New Roman" w:hAnsi="Times New Roman"/>
                <w:sz w:val="20"/>
              </w:rPr>
            </w:pPr>
            <w:r>
              <w:rPr>
                <w:rFonts w:ascii="Times New Roman" w:hAnsi="Times New Roman"/>
                <w:sz w:val="20"/>
              </w:rPr>
              <w:t>Effect of dilutive securities:</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4102" w:type="dxa"/>
            <w:tcBorders/>
            <w:shd w:fill="CCEEFF" w:val="clear"/>
          </w:tcPr>
          <w:p>
            <w:pPr>
              <w:pStyle w:val="TableContents"/>
              <w:spacing w:before="0" w:after="283"/>
              <w:rPr/>
            </w:pPr>
            <w:r>
              <w:rPr>
                <w:rFonts w:ascii="Times New Roman" w:hAnsi="Times New Roman"/>
                <w:sz w:val="20"/>
              </w:rPr>
              <w:t>Weighted average LTIP units</w:t>
            </w:r>
            <w:r>
              <w:rPr/>
              <w:t xml:space="preserve"> </w:t>
            </w:r>
            <w:r>
              <w:rPr>
                <w:rFonts w:ascii="Times New Roman" w:hAnsi="Times New Roman"/>
                <w:sz w:val="14"/>
              </w:rPr>
              <w:t>(2)</w:t>
            </w:r>
          </w:p>
        </w:tc>
        <w:tc>
          <w:tcPr>
            <w:tcW w:w="2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4"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0" w:type="dxa"/>
            <w:tcBorders/>
            <w:shd w:fill="CCEEFF" w:val="clear"/>
            <w:vAlign w:val="bottom"/>
          </w:tcPr>
          <w:p>
            <w:pPr>
              <w:pStyle w:val="TableContents"/>
              <w:spacing w:before="0" w:after="283"/>
              <w:rPr/>
            </w:pPr>
            <w:r>
              <w:rPr/>
              <w:t>  </w:t>
            </w:r>
          </w:p>
        </w:tc>
      </w:tr>
      <w:tr>
        <w:trPr/>
        <w:tc>
          <w:tcPr>
            <w:tcW w:w="4102"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0"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0" w:type="dxa"/>
            <w:tcBorders>
              <w:top w:val="single" w:sz="2"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102" w:type="dxa"/>
            <w:tcBorders/>
            <w:shd w:fill="auto" w:val="clear"/>
          </w:tcPr>
          <w:p>
            <w:pPr>
              <w:pStyle w:val="TableContents"/>
              <w:spacing w:before="0" w:after="283"/>
              <w:rPr>
                <w:rFonts w:ascii="Times New Roman" w:hAnsi="Times New Roman"/>
                <w:sz w:val="20"/>
              </w:rPr>
            </w:pPr>
            <w:r>
              <w:rPr>
                <w:rFonts w:ascii="Times New Roman" w:hAnsi="Times New Roman"/>
                <w:sz w:val="20"/>
              </w:rPr>
              <w:t>Diluted weighted average number of limited partner units outstanding</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2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24"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2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127</w:t>
            </w:r>
          </w:p>
        </w:tc>
        <w:tc>
          <w:tcPr>
            <w:tcW w:w="130" w:type="dxa"/>
            <w:tcBorders/>
            <w:shd w:fill="auto" w:val="clear"/>
            <w:vAlign w:val="bottom"/>
          </w:tcPr>
          <w:p>
            <w:pPr>
              <w:pStyle w:val="TableContents"/>
              <w:spacing w:before="0" w:after="283"/>
              <w:rPr/>
            </w:pPr>
            <w:r>
              <w:rPr/>
              <w:t>  </w:t>
            </w:r>
          </w:p>
        </w:tc>
      </w:tr>
      <w:tr>
        <w:trPr/>
        <w:tc>
          <w:tcPr>
            <w:tcW w:w="4102"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6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60" w:type="dxa"/>
            <w:tcBorders>
              <w:top w:val="double" w:sz="6"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6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60" w:type="dxa"/>
            <w:tcBorders>
              <w:top w:val="double" w:sz="6"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102" w:type="dxa"/>
            <w:tcBorders/>
            <w:shd w:fill="CCEEFF" w:val="clear"/>
          </w:tcPr>
          <w:p>
            <w:pPr>
              <w:pStyle w:val="TableContents"/>
              <w:spacing w:before="0" w:after="283"/>
              <w:rPr>
                <w:sz w:val="4"/>
                <w:szCs w:val="4"/>
              </w:rPr>
            </w:pPr>
            <w:r>
              <w:rPr>
                <w:sz w:val="4"/>
                <w:szCs w:val="4"/>
              </w:rPr>
            </w:r>
          </w:p>
        </w:tc>
        <w:tc>
          <w:tcPr>
            <w:tcW w:w="2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0"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102" w:type="dxa"/>
            <w:tcBorders/>
            <w:shd w:fill="auto" w:val="clear"/>
          </w:tcPr>
          <w:p>
            <w:pPr>
              <w:pStyle w:val="TableContents"/>
              <w:spacing w:before="0" w:after="283"/>
              <w:rPr>
                <w:rFonts w:ascii="Times New Roman" w:hAnsi="Times New Roman"/>
                <w:sz w:val="20"/>
              </w:rPr>
            </w:pPr>
            <w:r>
              <w:rPr>
                <w:rFonts w:ascii="Times New Roman" w:hAnsi="Times New Roman"/>
                <w:sz w:val="20"/>
              </w:rPr>
              <w:t>Basic net income per limited partner unit</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0.65</w:t>
            </w:r>
          </w:p>
        </w:tc>
        <w:tc>
          <w:tcPr>
            <w:tcW w:w="12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0.79</w:t>
            </w:r>
          </w:p>
        </w:tc>
        <w:tc>
          <w:tcPr>
            <w:tcW w:w="124"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w:t>
            </w:r>
          </w:p>
        </w:tc>
        <w:tc>
          <w:tcPr>
            <w:tcW w:w="12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2.20</w:t>
            </w:r>
          </w:p>
        </w:tc>
        <w:tc>
          <w:tcPr>
            <w:tcW w:w="130" w:type="dxa"/>
            <w:tcBorders/>
            <w:shd w:fill="auto" w:val="clear"/>
            <w:vAlign w:val="bottom"/>
          </w:tcPr>
          <w:p>
            <w:pPr>
              <w:pStyle w:val="TableContents"/>
              <w:spacing w:before="0" w:after="283"/>
              <w:rPr/>
            </w:pPr>
            <w:r>
              <w:rPr/>
              <w:t>  </w:t>
            </w:r>
          </w:p>
        </w:tc>
      </w:tr>
      <w:tr>
        <w:trPr/>
        <w:tc>
          <w:tcPr>
            <w:tcW w:w="4102"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6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60" w:type="dxa"/>
            <w:tcBorders>
              <w:top w:val="double" w:sz="6"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6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60" w:type="dxa"/>
            <w:tcBorders>
              <w:top w:val="double" w:sz="6"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102" w:type="dxa"/>
            <w:tcBorders/>
            <w:shd w:fill="CCEEFF" w:val="clear"/>
          </w:tcPr>
          <w:p>
            <w:pPr>
              <w:pStyle w:val="TableContents"/>
              <w:spacing w:before="0" w:after="283"/>
              <w:rPr>
                <w:sz w:val="4"/>
                <w:szCs w:val="4"/>
              </w:rPr>
            </w:pPr>
            <w:r>
              <w:rPr>
                <w:sz w:val="4"/>
                <w:szCs w:val="4"/>
              </w:rPr>
            </w:r>
          </w:p>
        </w:tc>
        <w:tc>
          <w:tcPr>
            <w:tcW w:w="2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0"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102" w:type="dxa"/>
            <w:tcBorders/>
            <w:shd w:fill="auto" w:val="clear"/>
          </w:tcPr>
          <w:p>
            <w:pPr>
              <w:pStyle w:val="TableContents"/>
              <w:spacing w:before="0" w:after="283"/>
              <w:rPr>
                <w:rFonts w:ascii="Times New Roman" w:hAnsi="Times New Roman"/>
                <w:sz w:val="20"/>
              </w:rPr>
            </w:pPr>
            <w:r>
              <w:rPr>
                <w:rFonts w:ascii="Times New Roman" w:hAnsi="Times New Roman"/>
                <w:sz w:val="20"/>
              </w:rPr>
              <w:t>Diluted net income per limited partner unit</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auto" w:val="clear"/>
            <w:vAlign w:val="bottom"/>
          </w:tcPr>
          <w:p>
            <w:pPr>
              <w:pStyle w:val="TableContents"/>
              <w:spacing w:before="0" w:after="283"/>
              <w:jc w:val="right"/>
              <w:rPr/>
            </w:pPr>
            <w:r>
              <w:rPr/>
              <w:t>        </w:t>
            </w:r>
            <w:r>
              <w:rPr>
                <w:rFonts w:ascii="Times New Roman" w:hAnsi="Times New Roman"/>
                <w:sz w:val="20"/>
              </w:rPr>
              <w:t>0.65</w:t>
            </w:r>
          </w:p>
        </w:tc>
        <w:tc>
          <w:tcPr>
            <w:tcW w:w="12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auto" w:val="clear"/>
            <w:vAlign w:val="bottom"/>
          </w:tcPr>
          <w:p>
            <w:pPr>
              <w:pStyle w:val="TableContents"/>
              <w:spacing w:before="0" w:after="283"/>
              <w:jc w:val="right"/>
              <w:rPr/>
            </w:pPr>
            <w:r>
              <w:rPr/>
              <w:t>        </w:t>
            </w:r>
            <w:r>
              <w:rPr>
                <w:rFonts w:ascii="Times New Roman" w:hAnsi="Times New Roman"/>
                <w:sz w:val="20"/>
              </w:rPr>
              <w:t>0.78</w:t>
            </w:r>
          </w:p>
        </w:tc>
        <w:tc>
          <w:tcPr>
            <w:tcW w:w="124"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auto" w:val="clear"/>
            <w:vAlign w:val="bottom"/>
          </w:tcPr>
          <w:p>
            <w:pPr>
              <w:pStyle w:val="TableContents"/>
              <w:spacing w:before="0" w:after="283"/>
              <w:jc w:val="right"/>
              <w:rPr/>
            </w:pPr>
            <w:r>
              <w:rPr/>
              <w:t>        </w:t>
            </w:r>
            <w:r>
              <w:rPr>
                <w:rFonts w:ascii="Times New Roman" w:hAnsi="Times New Roman"/>
                <w:sz w:val="20"/>
              </w:rPr>
              <w:t>1.45</w:t>
            </w:r>
          </w:p>
        </w:tc>
        <w:tc>
          <w:tcPr>
            <w:tcW w:w="12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auto" w:val="clear"/>
            <w:vAlign w:val="bottom"/>
          </w:tcPr>
          <w:p>
            <w:pPr>
              <w:pStyle w:val="TableContents"/>
              <w:spacing w:before="0" w:after="283"/>
              <w:jc w:val="right"/>
              <w:rPr/>
            </w:pPr>
            <w:r>
              <w:rPr/>
              <w:t>        </w:t>
            </w:r>
            <w:r>
              <w:rPr>
                <w:rFonts w:ascii="Times New Roman" w:hAnsi="Times New Roman"/>
                <w:sz w:val="20"/>
              </w:rPr>
              <w:t>2.18</w:t>
            </w:r>
          </w:p>
        </w:tc>
        <w:tc>
          <w:tcPr>
            <w:tcW w:w="130" w:type="dxa"/>
            <w:tcBorders/>
            <w:shd w:fill="auto" w:val="clear"/>
            <w:vAlign w:val="bottom"/>
          </w:tcPr>
          <w:p>
            <w:pPr>
              <w:pStyle w:val="TableContents"/>
              <w:spacing w:before="0" w:after="283"/>
              <w:rPr/>
            </w:pPr>
            <w:r>
              <w:rPr/>
              <w:t>  </w:t>
            </w:r>
          </w:p>
        </w:tc>
      </w:tr>
      <w:tr>
        <w:trPr/>
        <w:tc>
          <w:tcPr>
            <w:tcW w:w="4102"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6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60" w:type="dxa"/>
            <w:tcBorders>
              <w:top w:val="double" w:sz="6"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6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60" w:type="dxa"/>
            <w:tcBorders>
              <w:top w:val="double" w:sz="6"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bl>
    <w:p>
      <w:pPr>
        <w:pStyle w:val="TextBody"/>
        <w:pBdr>
          <w:bottom w:val="single" w:sz="16"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rFonts w:ascii="Times New Roman" w:hAnsi="Times New Roman"/>
                <w:sz w:val="14"/>
              </w:rPr>
              <w:t>(1)</w:t>
            </w:r>
            <w:r>
              <w:rPr/>
              <w:t xml:space="preserve">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calculate net income available to limited partners based on the distribution paid during the current quarter (including the incentive distribution interest in excess of the 2% general partner interest). However, FASB guidance requires that the distribution pertaining to the current periods net income, which is to be paid in the subsequent quarter, be utilized in the earnings per unit calculation. After adjusting for this distribution, the remaining undistributed earnings or excess distributions over earnings, if any, are allocated to the general partner and limited partners in accordance with the contractual terms of the partnership agreement for earnings per unit calculation purposes. We reflect the impact of the difference in (i) the distribution utilized and (ii) the calculation of the excess 2% general partner interest as the Adjustment in accordance with application of the two-class method for MLPs.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rFonts w:ascii="Times New Roman" w:hAnsi="Times New Roman"/>
                <w:sz w:val="14"/>
              </w:rPr>
              <w:t>(2)</w:t>
            </w:r>
            <w:r>
              <w:rPr/>
              <w:t xml:space="preserve">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LTIP awards (described in Note 8)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bookmarkStart w:id="18" w:name="tx73093_16"/>
      <w:bookmarkEnd w:id="18"/>
      <w:r>
        <w:rPr>
          <w:rFonts w:ascii="Times New Roman" w:hAnsi="Times New Roman"/>
          <w:b/>
          <w:sz w:val="20"/>
        </w:rPr>
        <w:t xml:space="preserve">Note 7Partners Capital and Distributions </w:t>
      </w:r>
    </w:p>
    <w:p>
      <w:pPr>
        <w:pStyle w:val="TextBody"/>
        <w:spacing w:before="90" w:after="0"/>
        <w:rPr>
          <w:rFonts w:ascii="Times New Roman" w:hAnsi="Times New Roman"/>
          <w:b/>
          <w:i/>
          <w:sz w:val="20"/>
        </w:rPr>
      </w:pPr>
      <w:r>
        <w:rPr>
          <w:rFonts w:ascii="Times New Roman" w:hAnsi="Times New Roman"/>
          <w:b/>
          <w:i/>
          <w:sz w:val="20"/>
        </w:rPr>
        <w:t xml:space="preserve">Sale of Noncontrolling Interest in a Subsidiary </w:t>
      </w:r>
    </w:p>
    <w:p>
      <w:pPr>
        <w:pStyle w:val="TextBody"/>
        <w:spacing w:before="90" w:after="0"/>
        <w:rPr>
          <w:rFonts w:ascii="Times New Roman" w:hAnsi="Times New Roman"/>
          <w:sz w:val="20"/>
        </w:rPr>
      </w:pPr>
      <w:r>
        <w:rPr>
          <w:rFonts w:ascii="Times New Roman" w:hAnsi="Times New Roman"/>
          <w:sz w:val="20"/>
        </w:rPr>
        <w:t xml:space="preserve">On May 5, 2010, PNG completed its IPO of 13,478,000 common units representing limited partner interests at $21.50 per common unit. The number of units issued at closing included 1,758,000 common units issued pursuant to the full exercise of the underwriters over-allotment option. Net proceeds received by PNG from the sale of the 13,478,000 common units were approximately $268 million and were used to repay amounts outstanding under our credit facilities and for general partnership purposes. The common units offered represent approximately 23% of the outstanding equity of PNG. We own the remaining 77% equity interest in PNG and control the entity, and therefore, continue to consolidate the financial results. </w:t>
      </w:r>
    </w:p>
    <w:p>
      <w:pPr>
        <w:pStyle w:val="TextBody"/>
        <w:spacing w:before="180" w:after="0"/>
        <w:rPr>
          <w:rFonts w:ascii="Times New Roman" w:hAnsi="Times New Roman"/>
          <w:sz w:val="20"/>
        </w:rPr>
      </w:pPr>
      <w:r>
        <w:rPr>
          <w:rFonts w:ascii="Times New Roman" w:hAnsi="Times New Roman"/>
          <w:sz w:val="20"/>
        </w:rPr>
        <w:t xml:space="preserve">Prior to the PNG IPO, we owned 100% of PNGS natural gas storage business, the predecessor of PNG, and related operating entities. Immediately prior to the closing of the IPO, we contributed 100% of the equity interests in PNGS and its subsidiaries to PNG in exchange for approximately 18.1 million common units, approximately 13.9 million Series A subordinated units, 11.5 million Series B subordinated units and a 2% general partner interest and incentive distribution rights. In conjunction with the offering, we recorded non-controlling interest of $167 million associated with the book value of PNG sold to the public. We also recorded an increase to our partners capital of approximately $101 million associated with the net increase from our share of the proceeds received in the offering partially offset by the dilution of our interest in PNG resulting from the IPO. </w:t>
      </w:r>
    </w:p>
    <w:p>
      <w:pPr>
        <w:pStyle w:val="TextBody"/>
        <w:spacing w:before="180" w:after="0"/>
        <w:rPr>
          <w:rFonts w:ascii="Times New Roman" w:hAnsi="Times New Roman"/>
          <w:sz w:val="20"/>
        </w:rPr>
      </w:pPr>
      <w:r>
        <w:rPr>
          <w:rFonts w:ascii="Times New Roman" w:hAnsi="Times New Roman"/>
          <w:sz w:val="20"/>
        </w:rPr>
        <w:t xml:space="preserve">The Series A subordinated units are not entitled to receive any distributions until the common units have received the minimum quarterly distribution ($1.35 on an annualized basis) plus any arrearages in the payment of the minimum quarterly distribution from prior quarters. The Series A subordinated units will convert to common units once certain earnings and distribution targets are met for three consecutive, non-overlapping four quarter periods. The Series B subordinated units are not entitled to participate in quarterly distributions until they convert into Series A subordinated units. The Series B subordinated units will convert into Series A subordinated units upon satisfaction of the following operational and financial conditions: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6"/>
        <w:gridCol w:w="101"/>
        <w:gridCol w:w="8880"/>
      </w:tblGrid>
      <w:tr>
        <w:trPr/>
        <w:tc>
          <w:tcPr>
            <w:tcW w:w="91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4,600,000 Series B subordinated units will convert into Series A subordinated units on a one-for-one basis if (a) the aggregate amount of working gas storage capacity at Pine Prairie that has been placed into service totals at least 29.6 Bcf, (b) PNG generates distributable cash flow for two consecutive quarters sufficient to pay a quarterly distribution of at least $0.36 per unit (representing an annualized distribution of $1.44 per unit) on the weighted average number of outstanding common units and Series A subordinated units and all of such Series B subordinated units and (c) PNG makes a quarterly distribution of available cash of at least $0.36 per quarter for two consecutive quarters on all outstanding common units and Series A subordinated units and the corresponding distributions on PNGs general partners 2.0% interest and the related distributions on the incentive distribution rights;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6"/>
        <w:gridCol w:w="101"/>
        <w:gridCol w:w="8880"/>
      </w:tblGrid>
      <w:tr>
        <w:trPr/>
        <w:tc>
          <w:tcPr>
            <w:tcW w:w="91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3,833,333 Series B subordinated units will convert into Series A subordinated units on a one-for-one basis if (a) the aggregate amount of working gas storage capacity at Pine Prairie that has been placed into service totals at least 35.6 Bcf, (b) PNG generates distributable cash flow for two consecutive quarters sufficient to pay a quarterly distribution of at least $0.3825 per unit (representing an annualized distribution of $1.53 per unit) on the weighted average number of outstanding common units and Series A subordinated units and all of such Series B subordinated units and, if any, the Series B subordinated units described in the prior bullet, and (c) PNG makes a quarterly distribution of available cash of at least $0.3825 per quarter for two consecutive quarters on all outstanding common units and Series A subordinated units and the corresponding distributions on PNGs general partners 2.0% interest and the related distributions on the incentive distribution rights;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6"/>
        <w:gridCol w:w="101"/>
        <w:gridCol w:w="8880"/>
      </w:tblGrid>
      <w:tr>
        <w:trPr/>
        <w:tc>
          <w:tcPr>
            <w:tcW w:w="91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3,066,667 Series B subordinated units will convert into Series A subordinated units on a one-for-one basis if (a) the aggregate amount of working gas storage capacity at Pine Prairie that has been placed into service totals at least 41.6 Bcf, (b) PNG generates distributable cash flow for two consecutive quarters sufficient to pay a quarterly distribution of at least $0.4075 per unit (representing an annualized distribution of $1.63 per unit) on the weighted average number of outstanding common units and Series A subordinated units and all of such Series B subordinated units and, if any, the Series B subordinated units described in the prior two bullets, and (c) PNG makes a quarterly distribution of available cash of at least $0.4075 per quarter for two consecutive quarters on all outstanding common units and Series A subordinated units and the corresponding distributions on PNGs general partners 2.0% interest and the related distributions on the incentive distribution rights. </w:t>
            </w:r>
          </w:p>
        </w:tc>
      </w:tr>
    </w:tbl>
    <w:p>
      <w:pPr>
        <w:pStyle w:val="TextBody"/>
        <w:spacing w:before="180" w:after="0"/>
        <w:rPr>
          <w:rFonts w:ascii="Times New Roman" w:hAnsi="Times New Roman"/>
          <w:sz w:val="20"/>
        </w:rPr>
      </w:pPr>
      <w:r>
        <w:rPr>
          <w:rFonts w:ascii="Times New Roman" w:hAnsi="Times New Roman"/>
          <w:sz w:val="20"/>
        </w:rPr>
        <w:t xml:space="preserve">PNGs general partner will determine whether the in-service operational tests set forth above have been satisfied. To the extent that the operational tests described above are satisfied prior to or during the two-quarter period applicable to the financial tests described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above, the holder of the Series B subordinated units subject to conversion will be entitled to receive the quarterly distribution payable with respect to the second quarter of such two-quarter period. In all other circumstances, where the operational tests are satisfied following the two-quarter period applicable to the financial tests, the holder of the Series B subordinated units subject to conversion will be entitled to receive any distribution payable following the satisfaction of such operational tests. </w:t>
      </w:r>
    </w:p>
    <w:p>
      <w:pPr>
        <w:pStyle w:val="TextBody"/>
        <w:spacing w:before="180" w:after="0"/>
        <w:rPr>
          <w:rFonts w:ascii="Times New Roman" w:hAnsi="Times New Roman"/>
          <w:sz w:val="20"/>
        </w:rPr>
      </w:pPr>
      <w:r>
        <w:rPr>
          <w:rFonts w:ascii="Times New Roman" w:hAnsi="Times New Roman"/>
          <w:sz w:val="20"/>
        </w:rPr>
        <w:t xml:space="preserve">Any Series B subordinated units that remain outstanding as of December 31, 2018 will automatically be cancelled. </w:t>
      </w:r>
    </w:p>
    <w:p>
      <w:pPr>
        <w:pStyle w:val="TextBody"/>
        <w:spacing w:before="180" w:after="0"/>
        <w:rPr>
          <w:rFonts w:ascii="Times New Roman" w:hAnsi="Times New Roman"/>
          <w:sz w:val="20"/>
        </w:rPr>
      </w:pPr>
      <w:r>
        <w:rPr>
          <w:rFonts w:ascii="Times New Roman" w:hAnsi="Times New Roman"/>
          <w:sz w:val="20"/>
        </w:rPr>
        <w:t xml:space="preserve">The following table reflects the changes in the noncontrolling interests in partners capital (in millions):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875"/>
        <w:gridCol w:w="307"/>
        <w:gridCol w:w="125"/>
        <w:gridCol w:w="1303"/>
        <w:gridCol w:w="125"/>
        <w:gridCol w:w="271"/>
        <w:gridCol w:w="125"/>
        <w:gridCol w:w="1312"/>
        <w:gridCol w:w="129"/>
      </w:tblGrid>
      <w:tr>
        <w:trPr/>
        <w:tc>
          <w:tcPr>
            <w:tcW w:w="4875"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4875"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3261"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For the Six Months Ended June 30,</w:t>
            </w:r>
          </w:p>
        </w:tc>
        <w:tc>
          <w:tcPr>
            <w:tcW w:w="129" w:type="dxa"/>
            <w:tcBorders/>
            <w:shd w:fill="auto" w:val="clear"/>
            <w:vAlign w:val="bottom"/>
          </w:tcPr>
          <w:p>
            <w:pPr>
              <w:pStyle w:val="TableContents"/>
              <w:spacing w:before="0" w:after="283"/>
              <w:rPr/>
            </w:pPr>
            <w:r>
              <w:rPr/>
              <w:t> </w:t>
            </w:r>
          </w:p>
        </w:tc>
      </w:tr>
      <w:tr>
        <w:trPr/>
        <w:tc>
          <w:tcPr>
            <w:tcW w:w="4875"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4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43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9" w:type="dxa"/>
            <w:tcBorders/>
            <w:shd w:fill="auto" w:val="clear"/>
            <w:vAlign w:val="bottom"/>
          </w:tcPr>
          <w:p>
            <w:pPr>
              <w:pStyle w:val="TableContents"/>
              <w:spacing w:before="0" w:after="283"/>
              <w:rPr/>
            </w:pPr>
            <w:r>
              <w:rPr/>
              <w:t> </w:t>
            </w:r>
          </w:p>
        </w:tc>
      </w:tr>
      <w:tr>
        <w:trPr/>
        <w:tc>
          <w:tcPr>
            <w:tcW w:w="4875" w:type="dxa"/>
            <w:tcBorders/>
            <w:shd w:fill="CCEEFF" w:val="clear"/>
          </w:tcPr>
          <w:p>
            <w:pPr>
              <w:pStyle w:val="TableContents"/>
              <w:spacing w:before="0" w:after="283"/>
              <w:rPr>
                <w:rFonts w:ascii="Times New Roman" w:hAnsi="Times New Roman"/>
                <w:sz w:val="20"/>
              </w:rPr>
            </w:pPr>
            <w:r>
              <w:rPr>
                <w:rFonts w:ascii="Times New Roman" w:hAnsi="Times New Roman"/>
                <w:sz w:val="20"/>
              </w:rPr>
              <w:t>Beginning balance</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25"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9" w:type="dxa"/>
            <w:tcBorders/>
            <w:shd w:fill="CCEEFF" w:val="clear"/>
            <w:vAlign w:val="bottom"/>
          </w:tcPr>
          <w:p>
            <w:pPr>
              <w:pStyle w:val="TableContents"/>
              <w:spacing w:before="0" w:after="283"/>
              <w:rPr/>
            </w:pPr>
            <w:r>
              <w:rPr/>
              <w:t>  </w:t>
            </w:r>
          </w:p>
        </w:tc>
      </w:tr>
      <w:tr>
        <w:trPr/>
        <w:tc>
          <w:tcPr>
            <w:tcW w:w="4875" w:type="dxa"/>
            <w:tcBorders/>
            <w:shd w:fill="auto" w:val="clear"/>
          </w:tcPr>
          <w:p>
            <w:pPr>
              <w:pStyle w:val="TableContents"/>
              <w:spacing w:before="0" w:after="283"/>
              <w:rPr>
                <w:rFonts w:ascii="Times New Roman" w:hAnsi="Times New Roman"/>
                <w:sz w:val="20"/>
              </w:rPr>
            </w:pPr>
            <w:r>
              <w:rPr>
                <w:rFonts w:ascii="Times New Roman" w:hAnsi="Times New Roman"/>
                <w:sz w:val="20"/>
              </w:rPr>
              <w:t>Sale of noncontrolling interests in subsidiaries</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w:t>
            </w:r>
          </w:p>
        </w:tc>
        <w:tc>
          <w:tcPr>
            <w:tcW w:w="125"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29" w:type="dxa"/>
            <w:tcBorders/>
            <w:shd w:fill="auto" w:val="clear"/>
            <w:vAlign w:val="bottom"/>
          </w:tcPr>
          <w:p>
            <w:pPr>
              <w:pStyle w:val="TableContents"/>
              <w:spacing w:before="0" w:after="283"/>
              <w:rPr/>
            </w:pPr>
            <w:r>
              <w:rPr/>
              <w:t>  </w:t>
            </w:r>
          </w:p>
        </w:tc>
      </w:tr>
      <w:tr>
        <w:trPr/>
        <w:tc>
          <w:tcPr>
            <w:tcW w:w="4875"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noncontrolling interests</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9" w:type="dxa"/>
            <w:tcBorders/>
            <w:shd w:fill="CCEEFF" w:val="clear"/>
            <w:vAlign w:val="bottom"/>
          </w:tcPr>
          <w:p>
            <w:pPr>
              <w:pStyle w:val="TableContents"/>
              <w:spacing w:before="0" w:after="283"/>
              <w:rPr/>
            </w:pPr>
            <w:r>
              <w:rPr/>
              <w:t>  </w:t>
            </w:r>
          </w:p>
        </w:tc>
      </w:tr>
      <w:tr>
        <w:trPr/>
        <w:tc>
          <w:tcPr>
            <w:tcW w:w="4875" w:type="dxa"/>
            <w:tcBorders/>
            <w:shd w:fill="auto" w:val="clear"/>
          </w:tcPr>
          <w:p>
            <w:pPr>
              <w:pStyle w:val="TableContents"/>
              <w:spacing w:before="0" w:after="15"/>
              <w:rPr>
                <w:rFonts w:ascii="Times New Roman" w:hAnsi="Times New Roman"/>
                <w:sz w:val="20"/>
              </w:rPr>
            </w:pPr>
            <w:r>
              <w:rPr>
                <w:rFonts w:ascii="Times New Roman" w:hAnsi="Times New Roman"/>
                <w:sz w:val="20"/>
              </w:rPr>
              <w:t>Other</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875"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0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12"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4875" w:type="dxa"/>
            <w:tcBorders/>
            <w:shd w:fill="CCEEFF" w:val="clear"/>
          </w:tcPr>
          <w:p>
            <w:pPr>
              <w:pStyle w:val="TableContents"/>
              <w:spacing w:before="0" w:after="283"/>
              <w:rPr>
                <w:rFonts w:ascii="Times New Roman" w:hAnsi="Times New Roman"/>
                <w:sz w:val="20"/>
              </w:rPr>
            </w:pPr>
            <w:r>
              <w:rPr>
                <w:rFonts w:ascii="Times New Roman" w:hAnsi="Times New Roman"/>
                <w:sz w:val="20"/>
              </w:rPr>
              <w:t>Ending Balance</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3" w:type="dxa"/>
            <w:tcBorders/>
            <w:shd w:fill="CCEEFF" w:val="clear"/>
            <w:vAlign w:val="bottom"/>
          </w:tcPr>
          <w:p>
            <w:pPr>
              <w:pStyle w:val="TableContents"/>
              <w:spacing w:before="0" w:after="283"/>
              <w:jc w:val="right"/>
              <w:rPr/>
            </w:pPr>
            <w:r>
              <w:rPr/>
              <w:t>                </w:t>
            </w:r>
            <w:r>
              <w:rPr>
                <w:rFonts w:ascii="Times New Roman" w:hAnsi="Times New Roman"/>
                <w:sz w:val="20"/>
              </w:rPr>
              <w:t>231</w:t>
            </w:r>
          </w:p>
        </w:tc>
        <w:tc>
          <w:tcPr>
            <w:tcW w:w="125"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12" w:type="dxa"/>
            <w:tcBorders/>
            <w:shd w:fill="CCEEFF" w:val="clear"/>
            <w:vAlign w:val="bottom"/>
          </w:tcPr>
          <w:p>
            <w:pPr>
              <w:pStyle w:val="TableContents"/>
              <w:spacing w:before="0" w:after="283"/>
              <w:jc w:val="right"/>
              <w:rPr/>
            </w:pPr>
            <w:r>
              <w:rPr/>
              <w:t>                  </w:t>
            </w:r>
            <w:r>
              <w:rPr>
                <w:rFonts w:ascii="Times New Roman" w:hAnsi="Times New Roman"/>
                <w:sz w:val="20"/>
              </w:rPr>
              <w:t>63</w:t>
            </w:r>
          </w:p>
        </w:tc>
        <w:tc>
          <w:tcPr>
            <w:tcW w:w="129" w:type="dxa"/>
            <w:tcBorders/>
            <w:shd w:fill="CCEEFF" w:val="clear"/>
            <w:vAlign w:val="bottom"/>
          </w:tcPr>
          <w:p>
            <w:pPr>
              <w:pStyle w:val="TableContents"/>
              <w:spacing w:before="0" w:after="283"/>
              <w:rPr/>
            </w:pPr>
            <w:r>
              <w:rPr/>
              <w:t>  </w:t>
            </w:r>
          </w:p>
        </w:tc>
      </w:tr>
      <w:tr>
        <w:trPr/>
        <w:tc>
          <w:tcPr>
            <w:tcW w:w="4875"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30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312"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270" w:after="0"/>
        <w:rPr>
          <w:rFonts w:ascii="Times New Roman" w:hAnsi="Times New Roman"/>
          <w:b/>
          <w:i/>
          <w:sz w:val="20"/>
        </w:rPr>
      </w:pPr>
      <w:r>
        <w:rPr>
          <w:rFonts w:ascii="Times New Roman" w:hAnsi="Times New Roman"/>
          <w:b/>
          <w:i/>
          <w:sz w:val="20"/>
        </w:rPr>
        <w:t xml:space="preserve">PAA Equity Offerings </w:t>
      </w:r>
    </w:p>
    <w:p>
      <w:pPr>
        <w:pStyle w:val="TextBody"/>
        <w:spacing w:before="90" w:after="0"/>
        <w:rPr>
          <w:rFonts w:ascii="Times New Roman" w:hAnsi="Times New Roman"/>
          <w:sz w:val="20"/>
        </w:rPr>
      </w:pPr>
      <w:r>
        <w:rPr>
          <w:rFonts w:ascii="Times New Roman" w:hAnsi="Times New Roman"/>
          <w:sz w:val="20"/>
        </w:rPr>
        <w:t xml:space="preserve">We did not complete any equity offerings during the six months ended June 30, 2010; however, we completed the following equity offering of our common units during the six months ended June 30, 2009 (in millions, except unit and per unit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56"/>
        <w:gridCol w:w="196"/>
        <w:gridCol w:w="851"/>
        <w:gridCol w:w="196"/>
        <w:gridCol w:w="125"/>
        <w:gridCol w:w="989"/>
        <w:gridCol w:w="196"/>
        <w:gridCol w:w="125"/>
        <w:gridCol w:w="831"/>
        <w:gridCol w:w="196"/>
        <w:gridCol w:w="135"/>
        <w:gridCol w:w="672"/>
        <w:gridCol w:w="196"/>
        <w:gridCol w:w="125"/>
        <w:gridCol w:w="673"/>
        <w:gridCol w:w="125"/>
        <w:gridCol w:w="156"/>
        <w:gridCol w:w="125"/>
        <w:gridCol w:w="837"/>
      </w:tblGrid>
      <w:tr>
        <w:trPr/>
        <w:tc>
          <w:tcPr>
            <w:tcW w:w="345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r>
      <w:tr>
        <w:trPr/>
        <w:tc>
          <w:tcPr>
            <w:tcW w:w="3456"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Period</w:t>
            </w:r>
          </w:p>
        </w:tc>
        <w:tc>
          <w:tcPr>
            <w:tcW w:w="196" w:type="dxa"/>
            <w:tcBorders/>
            <w:shd w:fill="auto" w:val="clear"/>
            <w:vAlign w:val="bottom"/>
          </w:tcPr>
          <w:p>
            <w:pPr>
              <w:pStyle w:val="TableContents"/>
              <w:spacing w:before="0" w:after="283"/>
              <w:rPr/>
            </w:pPr>
            <w:r>
              <w:rPr/>
              <w:t>  </w:t>
            </w:r>
          </w:p>
        </w:tc>
        <w:tc>
          <w:tcPr>
            <w:tcW w:w="85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Units Issued</w:t>
            </w:r>
          </w:p>
        </w:tc>
        <w:tc>
          <w:tcPr>
            <w:tcW w:w="196" w:type="dxa"/>
            <w:tcBorders/>
            <w:shd w:fill="auto" w:val="clear"/>
            <w:vAlign w:val="bottom"/>
          </w:tcPr>
          <w:p>
            <w:pPr>
              <w:pStyle w:val="TableContents"/>
              <w:spacing w:before="0" w:after="283"/>
              <w:rPr/>
            </w:pPr>
            <w:r>
              <w:rPr/>
              <w:t>  </w:t>
            </w:r>
          </w:p>
        </w:tc>
        <w:tc>
          <w:tcPr>
            <w:tcW w:w="111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Gross</w:t>
              <w:br/>
              <w:t>Unit Price</w:t>
            </w:r>
          </w:p>
        </w:tc>
        <w:tc>
          <w:tcPr>
            <w:tcW w:w="196" w:type="dxa"/>
            <w:tcBorders/>
            <w:shd w:fill="auto" w:val="clear"/>
            <w:vAlign w:val="bottom"/>
          </w:tcPr>
          <w:p>
            <w:pPr>
              <w:pStyle w:val="TableContents"/>
              <w:spacing w:before="0" w:after="283"/>
              <w:rPr/>
            </w:pPr>
            <w:r>
              <w:rPr/>
              <w:t>  </w:t>
            </w:r>
          </w:p>
        </w:tc>
        <w:tc>
          <w:tcPr>
            <w:tcW w:w="95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Proceeds</w:t>
              <w:br/>
              <w:t>from Sale</w:t>
            </w:r>
          </w:p>
        </w:tc>
        <w:tc>
          <w:tcPr>
            <w:tcW w:w="196" w:type="dxa"/>
            <w:tcBorders/>
            <w:shd w:fill="auto" w:val="clear"/>
            <w:vAlign w:val="bottom"/>
          </w:tcPr>
          <w:p>
            <w:pPr>
              <w:pStyle w:val="TableContents"/>
              <w:spacing w:before="0" w:after="283"/>
              <w:rPr/>
            </w:pPr>
            <w:r>
              <w:rPr/>
              <w:t>  </w:t>
            </w:r>
          </w:p>
        </w:tc>
        <w:tc>
          <w:tcPr>
            <w:tcW w:w="80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General</w:t>
              <w:br/>
              <w:t>Partner</w:t>
              <w:br/>
              <w:t>Contribution</w:t>
            </w:r>
          </w:p>
        </w:tc>
        <w:tc>
          <w:tcPr>
            <w:tcW w:w="196" w:type="dxa"/>
            <w:tcBorders/>
            <w:shd w:fill="auto" w:val="clear"/>
            <w:vAlign w:val="bottom"/>
          </w:tcPr>
          <w:p>
            <w:pPr>
              <w:pStyle w:val="TableContents"/>
              <w:spacing w:before="0" w:after="283"/>
              <w:rPr/>
            </w:pPr>
            <w:r>
              <w:rPr/>
              <w:t>  </w:t>
            </w:r>
          </w:p>
        </w:tc>
        <w:tc>
          <w:tcPr>
            <w:tcW w:w="79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Costs</w:t>
            </w:r>
          </w:p>
        </w:tc>
        <w:tc>
          <w:tcPr>
            <w:tcW w:w="12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96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Net</w:t>
              <w:br/>
              <w:t>Proceeds</w:t>
            </w:r>
          </w:p>
        </w:tc>
      </w:tr>
      <w:tr>
        <w:trPr/>
        <w:tc>
          <w:tcPr>
            <w:tcW w:w="3456" w:type="dxa"/>
            <w:tcBorders/>
            <w:shd w:fill="CCEEFF" w:val="clear"/>
          </w:tcPr>
          <w:p>
            <w:pPr>
              <w:pStyle w:val="TableContents"/>
              <w:spacing w:before="0" w:after="283"/>
              <w:rPr/>
            </w:pPr>
            <w:r>
              <w:rPr>
                <w:rFonts w:ascii="Times New Roman" w:hAnsi="Times New Roman"/>
                <w:sz w:val="20"/>
              </w:rPr>
              <w:t xml:space="preserve">March 2009 </w:t>
            </w:r>
            <w:r>
              <w:rPr>
                <w:rFonts w:ascii="Times New Roman" w:hAnsi="Times New Roman"/>
                <w:sz w:val="14"/>
              </w:rPr>
              <w:t>(1)</w:t>
            </w:r>
          </w:p>
        </w:tc>
        <w:tc>
          <w:tcPr>
            <w:tcW w:w="196"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5,750,000</w:t>
            </w:r>
          </w:p>
        </w:tc>
        <w:tc>
          <w:tcPr>
            <w:tcW w:w="1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9" w:type="dxa"/>
            <w:tcBorders/>
            <w:shd w:fill="CCEEFF" w:val="clear"/>
            <w:vAlign w:val="bottom"/>
          </w:tcPr>
          <w:p>
            <w:pPr>
              <w:pStyle w:val="TableContents"/>
              <w:spacing w:before="0" w:after="283"/>
              <w:jc w:val="right"/>
              <w:rPr/>
            </w:pPr>
            <w:r>
              <w:rPr/>
              <w:t>        </w:t>
            </w:r>
            <w:r>
              <w:rPr>
                <w:rFonts w:ascii="Times New Roman" w:hAnsi="Times New Roman"/>
                <w:sz w:val="20"/>
              </w:rPr>
              <w:t>36.90</w:t>
            </w:r>
          </w:p>
        </w:tc>
        <w:tc>
          <w:tcPr>
            <w:tcW w:w="1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1" w:type="dxa"/>
            <w:tcBorders/>
            <w:shd w:fill="CCEEFF" w:val="clear"/>
            <w:vAlign w:val="bottom"/>
          </w:tcPr>
          <w:p>
            <w:pPr>
              <w:pStyle w:val="TableContents"/>
              <w:spacing w:before="0" w:after="283"/>
              <w:jc w:val="right"/>
              <w:rPr/>
            </w:pPr>
            <w:r>
              <w:rPr/>
              <w:t>        </w:t>
            </w:r>
            <w:r>
              <w:rPr>
                <w:rFonts w:ascii="Times New Roman" w:hAnsi="Times New Roman"/>
                <w:sz w:val="20"/>
              </w:rPr>
              <w:t>212</w:t>
            </w:r>
          </w:p>
        </w:tc>
        <w:tc>
          <w:tcPr>
            <w:tcW w:w="19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spacing w:before="0" w:after="283"/>
              <w:jc w:val="right"/>
              <w:rPr/>
            </w:pPr>
            <w:r>
              <w:rPr/>
              <w:t>        </w:t>
            </w:r>
            <w:r>
              <w:rPr>
                <w:rFonts w:ascii="Times New Roman" w:hAnsi="Times New Roman"/>
                <w:sz w:val="20"/>
              </w:rPr>
              <w:t>4</w:t>
            </w:r>
          </w:p>
        </w:tc>
        <w:tc>
          <w:tcPr>
            <w:tcW w:w="1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3" w:type="dxa"/>
            <w:tcBorders/>
            <w:shd w:fill="CCEEFF" w:val="clear"/>
            <w:vAlign w:val="bottom"/>
          </w:tcPr>
          <w:p>
            <w:pPr>
              <w:pStyle w:val="TableContents"/>
              <w:spacing w:before="0" w:after="283"/>
              <w:jc w:val="right"/>
              <w:rPr/>
            </w:pPr>
            <w:r>
              <w:rPr/>
              <w:t>        </w:t>
            </w:r>
            <w:r>
              <w:rPr>
                <w:rFonts w:ascii="Times New Roman" w:hAnsi="Times New Roman"/>
                <w:sz w:val="20"/>
              </w:rPr>
              <w:t>(6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7" w:type="dxa"/>
            <w:tcBorders/>
            <w:shd w:fill="CCEEFF" w:val="clear"/>
            <w:vAlign w:val="bottom"/>
          </w:tcPr>
          <w:p>
            <w:pPr>
              <w:pStyle w:val="TableContents"/>
              <w:spacing w:before="0" w:after="283"/>
              <w:jc w:val="right"/>
              <w:rPr/>
            </w:pPr>
            <w:r>
              <w:rPr/>
              <w:t>        </w:t>
            </w:r>
            <w:r>
              <w:rPr>
                <w:rFonts w:ascii="Times New Roman" w:hAnsi="Times New Roman"/>
                <w:sz w:val="20"/>
              </w:rPr>
              <w:t>210</w:t>
            </w:r>
          </w:p>
        </w:tc>
      </w:tr>
    </w:tbl>
    <w:p>
      <w:pPr>
        <w:pStyle w:val="TextBody"/>
        <w:pBdr>
          <w:bottom w:val="single" w:sz="16"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This offering of common units was an underwritten transaction that required us to pay a gross spread. The net proceeds from this offering were used to reduce outstanding borrowings under our credit facilities and for general partnership purposes. </w:t>
            </w:r>
          </w:p>
        </w:tc>
      </w:tr>
    </w:tbl>
    <w:p>
      <w:pPr>
        <w:pStyle w:val="TextBody"/>
        <w:spacing w:before="270" w:after="0"/>
        <w:rPr>
          <w:rFonts w:ascii="Times New Roman" w:hAnsi="Times New Roman"/>
          <w:b/>
          <w:i/>
          <w:sz w:val="20"/>
        </w:rPr>
      </w:pPr>
      <w:r>
        <w:rPr>
          <w:rFonts w:ascii="Times New Roman" w:hAnsi="Times New Roman"/>
          <w:b/>
          <w:i/>
          <w:sz w:val="20"/>
        </w:rPr>
        <w:t xml:space="preserve">PAA Distributions </w:t>
      </w:r>
    </w:p>
    <w:p>
      <w:pPr>
        <w:pStyle w:val="TextBody"/>
        <w:spacing w:before="90" w:after="0"/>
        <w:rPr>
          <w:rFonts w:ascii="Times New Roman" w:hAnsi="Times New Roman"/>
          <w:sz w:val="20"/>
        </w:rPr>
      </w:pPr>
      <w:r>
        <w:rPr>
          <w:rFonts w:ascii="Times New Roman" w:hAnsi="Times New Roman"/>
          <w:sz w:val="20"/>
        </w:rPr>
        <w:t xml:space="preserve">The following table details the distributions pertaining to the first six months of 2010 and 2009, net of reductions to the general partners incentive distributions (in millions, except per unit amounts):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945"/>
        <w:gridCol w:w="180"/>
        <w:gridCol w:w="2212"/>
        <w:gridCol w:w="180"/>
        <w:gridCol w:w="125"/>
        <w:gridCol w:w="833"/>
        <w:gridCol w:w="180"/>
        <w:gridCol w:w="125"/>
        <w:gridCol w:w="714"/>
        <w:gridCol w:w="179"/>
        <w:gridCol w:w="125"/>
        <w:gridCol w:w="852"/>
        <w:gridCol w:w="180"/>
        <w:gridCol w:w="125"/>
        <w:gridCol w:w="833"/>
        <w:gridCol w:w="180"/>
        <w:gridCol w:w="125"/>
        <w:gridCol w:w="1112"/>
      </w:tblGrid>
      <w:tr>
        <w:trPr/>
        <w:tc>
          <w:tcPr>
            <w:tcW w:w="194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221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r>
      <w:tr>
        <w:trPr/>
        <w:tc>
          <w:tcPr>
            <w:tcW w:w="19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21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4271" w:type="dxa"/>
            <w:gridSpan w:val="11"/>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Distributions Paid</w:t>
            </w:r>
          </w:p>
        </w:tc>
        <w:tc>
          <w:tcPr>
            <w:tcW w:w="180" w:type="dxa"/>
            <w:tcBorders/>
            <w:shd w:fill="auto" w:val="clear"/>
            <w:vAlign w:val="bottom"/>
          </w:tcPr>
          <w:p>
            <w:pPr>
              <w:pStyle w:val="TableContents"/>
              <w:spacing w:before="0" w:after="283"/>
              <w:rPr/>
            </w:pPr>
            <w:r>
              <w:rPr/>
              <w:t>  </w:t>
            </w:r>
          </w:p>
        </w:tc>
        <w:tc>
          <w:tcPr>
            <w:tcW w:w="1237"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Distributions</w:t>
              <w:br/>
              <w:t>per limited</w:t>
              <w:br/>
              <w:t>partner unit</w:t>
            </w:r>
          </w:p>
        </w:tc>
      </w:tr>
      <w:tr>
        <w:trPr/>
        <w:tc>
          <w:tcPr>
            <w:tcW w:w="1945" w:type="dxa"/>
            <w:vMerge w:val="restart"/>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Date Declared</w:t>
            </w:r>
          </w:p>
        </w:tc>
        <w:tc>
          <w:tcPr>
            <w:tcW w:w="180" w:type="dxa"/>
            <w:tcBorders/>
            <w:shd w:fill="auto" w:val="clear"/>
            <w:vAlign w:val="bottom"/>
          </w:tcPr>
          <w:p>
            <w:pPr>
              <w:pStyle w:val="TableContents"/>
              <w:spacing w:before="0" w:after="283"/>
              <w:rPr/>
            </w:pPr>
            <w:r>
              <w:rPr/>
              <w:t>  </w:t>
            </w:r>
          </w:p>
        </w:tc>
        <w:tc>
          <w:tcPr>
            <w:tcW w:w="2212" w:type="dxa"/>
            <w:vMerge w:val="restart"/>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Date Paid or To Be Paid</w:t>
            </w:r>
          </w:p>
        </w:tc>
        <w:tc>
          <w:tcPr>
            <w:tcW w:w="180" w:type="dxa"/>
            <w:tcBorders/>
            <w:shd w:fill="auto" w:val="clear"/>
            <w:vAlign w:val="bottom"/>
          </w:tcPr>
          <w:p>
            <w:pPr>
              <w:pStyle w:val="TableContents"/>
              <w:spacing w:before="0" w:after="283"/>
              <w:rPr/>
            </w:pPr>
            <w:r>
              <w:rPr/>
              <w:t>  </w:t>
            </w:r>
          </w:p>
        </w:tc>
        <w:tc>
          <w:tcPr>
            <w:tcW w:w="958"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Common</w:t>
              <w:br/>
              <w:t>Units</w:t>
            </w:r>
          </w:p>
        </w:tc>
        <w:tc>
          <w:tcPr>
            <w:tcW w:w="180" w:type="dxa"/>
            <w:tcBorders/>
            <w:shd w:fill="auto" w:val="clear"/>
            <w:vAlign w:val="bottom"/>
          </w:tcPr>
          <w:p>
            <w:pPr>
              <w:pStyle w:val="TableContents"/>
              <w:spacing w:before="0" w:after="283"/>
              <w:rPr/>
            </w:pPr>
            <w:r>
              <w:rPr/>
              <w:t>  </w:t>
            </w:r>
          </w:p>
        </w:tc>
        <w:tc>
          <w:tcPr>
            <w:tcW w:w="1995"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General Partner</w:t>
            </w:r>
          </w:p>
        </w:tc>
        <w:tc>
          <w:tcPr>
            <w:tcW w:w="180" w:type="dxa"/>
            <w:tcBorders/>
            <w:shd w:fill="auto" w:val="clear"/>
            <w:vAlign w:val="bottom"/>
          </w:tcPr>
          <w:p>
            <w:pPr>
              <w:pStyle w:val="TableContents"/>
              <w:spacing w:before="0" w:after="283"/>
              <w:rPr/>
            </w:pPr>
            <w:r>
              <w:rPr/>
              <w:t>  </w:t>
            </w:r>
          </w:p>
        </w:tc>
        <w:tc>
          <w:tcPr>
            <w:tcW w:w="958" w:type="dxa"/>
            <w:gridSpan w:val="2"/>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237" w:type="dxa"/>
            <w:gridSpan w:val="2"/>
            <w:vMerge w:val="continue"/>
            <w:tcBorders>
              <w:bottom w:val="single" w:sz="2" w:space="0" w:color="000000"/>
            </w:tcBorders>
            <w:shd w:fill="auto" w:val="clear"/>
            <w:tcMar>
              <w:bottom w:w="28" w:type="dxa"/>
            </w:tcMar>
            <w:vAlign w:val="bottom"/>
          </w:tcPr>
          <w:p>
            <w:pPr>
              <w:pStyle w:val="Normal"/>
              <w:rPr/>
            </w:pPr>
            <w:r>
              <w:rPr/>
            </w:r>
          </w:p>
        </w:tc>
      </w:tr>
      <w:tr>
        <w:trPr/>
        <w:tc>
          <w:tcPr>
            <w:tcW w:w="1945" w:type="dxa"/>
            <w:vMerge w:val="continue"/>
            <w:tcBorders/>
            <w:shd w:fill="auto" w:val="clear"/>
            <w:vAlign w:val="bottom"/>
          </w:tcPr>
          <w:p>
            <w:pPr>
              <w:pStyle w:val="Normal"/>
              <w:rPr/>
            </w:pPr>
            <w:r>
              <w:rPr/>
            </w:r>
          </w:p>
        </w:tc>
        <w:tc>
          <w:tcPr>
            <w:tcW w:w="180" w:type="dxa"/>
            <w:tcBorders/>
            <w:shd w:fill="auto" w:val="clear"/>
            <w:vAlign w:val="bottom"/>
          </w:tcPr>
          <w:p>
            <w:pPr>
              <w:pStyle w:val="TableContents"/>
              <w:spacing w:before="0" w:after="283"/>
              <w:rPr/>
            </w:pPr>
            <w:r>
              <w:rPr/>
              <w:t>  </w:t>
            </w:r>
          </w:p>
        </w:tc>
        <w:tc>
          <w:tcPr>
            <w:tcW w:w="2212" w:type="dxa"/>
            <w:vMerge w:val="continue"/>
            <w:tcBorders>
              <w:bottom w:val="single" w:sz="2" w:space="0" w:color="000000"/>
            </w:tcBorders>
            <w:shd w:fill="auto" w:val="clear"/>
            <w:tcMar>
              <w:bottom w:w="28" w:type="dxa"/>
            </w:tcMar>
            <w:vAlign w:val="bottom"/>
          </w:tcPr>
          <w:p>
            <w:pPr>
              <w:pStyle w:val="Normal"/>
              <w:rPr/>
            </w:pPr>
            <w:r>
              <w:rPr/>
            </w:r>
          </w:p>
        </w:tc>
        <w:tc>
          <w:tcPr>
            <w:tcW w:w="180" w:type="dxa"/>
            <w:tcBorders/>
            <w:shd w:fill="auto" w:val="clear"/>
            <w:vAlign w:val="bottom"/>
          </w:tcPr>
          <w:p>
            <w:pPr>
              <w:pStyle w:val="TableContents"/>
              <w:spacing w:before="0" w:after="283"/>
              <w:rPr/>
            </w:pPr>
            <w:r>
              <w:rPr/>
              <w:t>  </w:t>
            </w:r>
          </w:p>
        </w:tc>
        <w:tc>
          <w:tcPr>
            <w:tcW w:w="958" w:type="dxa"/>
            <w:gridSpan w:val="2"/>
            <w:vMerge w:val="continue"/>
            <w:tcBorders>
              <w:bottom w:val="single" w:sz="2" w:space="0" w:color="000000"/>
            </w:tcBorders>
            <w:shd w:fill="auto" w:val="clear"/>
            <w:tcMar>
              <w:bottom w:w="28" w:type="dxa"/>
            </w:tcMar>
            <w:vAlign w:val="bottom"/>
          </w:tcPr>
          <w:p>
            <w:pPr>
              <w:pStyle w:val="Normal"/>
              <w:rPr/>
            </w:pPr>
            <w:r>
              <w:rPr/>
            </w:r>
          </w:p>
        </w:tc>
        <w:tc>
          <w:tcPr>
            <w:tcW w:w="180" w:type="dxa"/>
            <w:tcBorders/>
            <w:shd w:fill="auto" w:val="clear"/>
            <w:vAlign w:val="bottom"/>
          </w:tcPr>
          <w:p>
            <w:pPr>
              <w:pStyle w:val="TableContents"/>
              <w:spacing w:before="0" w:after="283"/>
              <w:rPr/>
            </w:pPr>
            <w:r>
              <w:rPr/>
              <w:t>  </w:t>
            </w:r>
          </w:p>
        </w:tc>
        <w:tc>
          <w:tcPr>
            <w:tcW w:w="83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Incentive</w:t>
            </w:r>
          </w:p>
        </w:tc>
        <w:tc>
          <w:tcPr>
            <w:tcW w:w="179" w:type="dxa"/>
            <w:tcBorders/>
            <w:shd w:fill="auto" w:val="clear"/>
            <w:vAlign w:val="bottom"/>
          </w:tcPr>
          <w:p>
            <w:pPr>
              <w:pStyle w:val="TableContents"/>
              <w:spacing w:before="0" w:after="283"/>
              <w:rPr/>
            </w:pPr>
            <w:r>
              <w:rPr/>
              <w:t>  </w:t>
            </w:r>
          </w:p>
        </w:tc>
        <w:tc>
          <w:tcPr>
            <w:tcW w:w="97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w:t>
            </w:r>
          </w:p>
        </w:tc>
        <w:tc>
          <w:tcPr>
            <w:tcW w:w="180" w:type="dxa"/>
            <w:tcBorders/>
            <w:shd w:fill="auto" w:val="clear"/>
            <w:vAlign w:val="bottom"/>
          </w:tcPr>
          <w:p>
            <w:pPr>
              <w:pStyle w:val="TableContents"/>
              <w:spacing w:before="0" w:after="283"/>
              <w:rPr/>
            </w:pPr>
            <w:r>
              <w:rPr/>
              <w:t>  </w:t>
            </w:r>
          </w:p>
        </w:tc>
        <w:tc>
          <w:tcPr>
            <w:tcW w:w="95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180" w:type="dxa"/>
            <w:tcBorders/>
            <w:shd w:fill="auto" w:val="clear"/>
            <w:vAlign w:val="bottom"/>
          </w:tcPr>
          <w:p>
            <w:pPr>
              <w:pStyle w:val="TableContents"/>
              <w:spacing w:before="0" w:after="283"/>
              <w:rPr/>
            </w:pPr>
            <w:r>
              <w:rPr/>
              <w:t>  </w:t>
            </w:r>
          </w:p>
        </w:tc>
        <w:tc>
          <w:tcPr>
            <w:tcW w:w="1237" w:type="dxa"/>
            <w:gridSpan w:val="2"/>
            <w:vMerge w:val="continue"/>
            <w:tcBorders>
              <w:bottom w:val="single" w:sz="2" w:space="0" w:color="000000"/>
            </w:tcBorders>
            <w:shd w:fill="auto" w:val="clear"/>
            <w:tcMar>
              <w:bottom w:w="28" w:type="dxa"/>
            </w:tcMar>
            <w:vAlign w:val="bottom"/>
          </w:tcPr>
          <w:p>
            <w:pPr>
              <w:pStyle w:val="Normal"/>
              <w:rPr/>
            </w:pPr>
            <w:r>
              <w:rPr/>
            </w:r>
          </w:p>
        </w:tc>
      </w:tr>
      <w:tr>
        <w:trPr/>
        <w:tc>
          <w:tcPr>
            <w:tcW w:w="1945" w:type="dxa"/>
            <w:tcBorders/>
            <w:shd w:fill="CCEEFF" w:val="clear"/>
          </w:tcPr>
          <w:p>
            <w:pPr>
              <w:pStyle w:val="TableContents"/>
              <w:spacing w:before="0" w:after="283"/>
              <w:rPr>
                <w:rFonts w:ascii="Times New Roman" w:hAnsi="Times New Roman"/>
                <w:b/>
                <w:sz w:val="20"/>
                <w:u w:val="single"/>
              </w:rPr>
            </w:pPr>
            <w:r>
              <w:rPr>
                <w:rFonts w:ascii="Times New Roman" w:hAnsi="Times New Roman"/>
                <w:b/>
                <w:sz w:val="20"/>
                <w:u w:val="single"/>
              </w:rPr>
              <w:t>2010</w:t>
            </w:r>
          </w:p>
        </w:tc>
        <w:tc>
          <w:tcPr>
            <w:tcW w:w="180" w:type="dxa"/>
            <w:tcBorders/>
            <w:shd w:fill="CCEEFF" w:val="clear"/>
            <w:vAlign w:val="bottom"/>
          </w:tcPr>
          <w:p>
            <w:pPr>
              <w:pStyle w:val="TableContents"/>
              <w:spacing w:before="0" w:after="283"/>
              <w:rPr/>
            </w:pPr>
            <w:r>
              <w:rPr/>
              <w:t>  </w:t>
            </w:r>
          </w:p>
        </w:tc>
        <w:tc>
          <w:tcPr>
            <w:tcW w:w="2212" w:type="dxa"/>
            <w:tcBorders/>
            <w:shd w:fill="CCEEFF" w:val="clear"/>
            <w:vAlign w:val="bottom"/>
          </w:tcPr>
          <w:p>
            <w:pPr>
              <w:pStyle w:val="TableContents"/>
              <w:spacing w:before="0" w:after="283"/>
              <w:rPr>
                <w:sz w:val="4"/>
                <w:szCs w:val="4"/>
              </w:rPr>
            </w:pPr>
            <w:r>
              <w:rPr>
                <w:sz w:val="4"/>
                <w:szCs w:val="4"/>
              </w:rPr>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3" w:type="dxa"/>
            <w:tcBorders/>
            <w:shd w:fill="CCEEFF" w:val="clear"/>
            <w:vAlign w:val="bottom"/>
          </w:tcPr>
          <w:p>
            <w:pPr>
              <w:pStyle w:val="TableContents"/>
              <w:spacing w:before="0" w:after="283"/>
              <w:rPr>
                <w:sz w:val="4"/>
                <w:szCs w:val="4"/>
              </w:rPr>
            </w:pPr>
            <w:r>
              <w:rPr>
                <w:sz w:val="4"/>
                <w:szCs w:val="4"/>
              </w:rPr>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rPr>
                <w:sz w:val="4"/>
                <w:szCs w:val="4"/>
              </w:rPr>
            </w:pPr>
            <w:r>
              <w:rPr>
                <w:sz w:val="4"/>
                <w:szCs w:val="4"/>
              </w:rPr>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52" w:type="dxa"/>
            <w:tcBorders/>
            <w:shd w:fill="CCEEFF" w:val="clear"/>
            <w:vAlign w:val="bottom"/>
          </w:tcPr>
          <w:p>
            <w:pPr>
              <w:pStyle w:val="TableContents"/>
              <w:spacing w:before="0" w:after="283"/>
              <w:rPr>
                <w:sz w:val="4"/>
                <w:szCs w:val="4"/>
              </w:rPr>
            </w:pPr>
            <w:r>
              <w:rPr>
                <w:sz w:val="4"/>
                <w:szCs w:val="4"/>
              </w:rPr>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3" w:type="dxa"/>
            <w:tcBorders/>
            <w:shd w:fill="CCEEFF" w:val="clear"/>
            <w:vAlign w:val="bottom"/>
          </w:tcPr>
          <w:p>
            <w:pPr>
              <w:pStyle w:val="TableContents"/>
              <w:spacing w:before="0" w:after="283"/>
              <w:rPr>
                <w:sz w:val="4"/>
                <w:szCs w:val="4"/>
              </w:rPr>
            </w:pPr>
            <w:r>
              <w:rPr>
                <w:sz w:val="4"/>
                <w:szCs w:val="4"/>
              </w:rPr>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12" w:type="dxa"/>
            <w:tcBorders/>
            <w:shd w:fill="CCEEFF" w:val="clear"/>
            <w:vAlign w:val="bottom"/>
          </w:tcPr>
          <w:p>
            <w:pPr>
              <w:pStyle w:val="TableContents"/>
              <w:spacing w:before="0" w:after="283"/>
              <w:rPr>
                <w:sz w:val="4"/>
                <w:szCs w:val="4"/>
              </w:rPr>
            </w:pPr>
            <w:r>
              <w:rPr>
                <w:sz w:val="4"/>
                <w:szCs w:val="4"/>
              </w:rPr>
            </w:r>
          </w:p>
        </w:tc>
      </w:tr>
      <w:tr>
        <w:trPr/>
        <w:tc>
          <w:tcPr>
            <w:tcW w:w="1945" w:type="dxa"/>
            <w:tcBorders/>
            <w:shd w:fill="auto" w:val="clear"/>
          </w:tcPr>
          <w:p>
            <w:pPr>
              <w:pStyle w:val="TableContents"/>
              <w:spacing w:before="0" w:after="283"/>
              <w:rPr>
                <w:rFonts w:ascii="Times New Roman" w:hAnsi="Times New Roman"/>
                <w:sz w:val="20"/>
              </w:rPr>
            </w:pPr>
            <w:r>
              <w:rPr>
                <w:rFonts w:ascii="Times New Roman" w:hAnsi="Times New Roman"/>
                <w:sz w:val="20"/>
              </w:rPr>
              <w:t>July 13, 2010</w:t>
            </w:r>
          </w:p>
        </w:tc>
        <w:tc>
          <w:tcPr>
            <w:tcW w:w="180" w:type="dxa"/>
            <w:tcBorders/>
            <w:shd w:fill="auto" w:val="clear"/>
            <w:vAlign w:val="bottom"/>
          </w:tcPr>
          <w:p>
            <w:pPr>
              <w:pStyle w:val="TableContents"/>
              <w:spacing w:before="0" w:after="283"/>
              <w:rPr/>
            </w:pPr>
            <w:r>
              <w:rPr/>
              <w:t>  </w:t>
            </w:r>
          </w:p>
        </w:tc>
        <w:tc>
          <w:tcPr>
            <w:tcW w:w="2212" w:type="dxa"/>
            <w:tcBorders/>
            <w:shd w:fill="auto" w:val="clear"/>
            <w:vAlign w:val="bottom"/>
          </w:tcPr>
          <w:p>
            <w:pPr>
              <w:pStyle w:val="TableContents"/>
              <w:spacing w:before="0" w:after="283"/>
              <w:rPr/>
            </w:pPr>
            <w:r>
              <w:rPr>
                <w:rFonts w:ascii="Times New Roman" w:hAnsi="Times New Roman"/>
                <w:sz w:val="20"/>
              </w:rPr>
              <w:t xml:space="preserve">August 13, 2010 </w:t>
            </w:r>
            <w:r>
              <w:rPr>
                <w:rFonts w:ascii="Times New Roman" w:hAnsi="Times New Roman"/>
                <w:sz w:val="14"/>
              </w:rPr>
              <w:t>(1)</w:t>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3" w:type="dxa"/>
            <w:tcBorders/>
            <w:shd w:fill="auto" w:val="clear"/>
            <w:vAlign w:val="bottom"/>
          </w:tcPr>
          <w:p>
            <w:pPr>
              <w:pStyle w:val="TableContents"/>
              <w:spacing w:before="0" w:after="283"/>
              <w:jc w:val="right"/>
              <w:rPr/>
            </w:pPr>
            <w:r>
              <w:rPr/>
              <w:t>        </w:t>
            </w:r>
            <w:r>
              <w:rPr>
                <w:rFonts w:ascii="Times New Roman" w:hAnsi="Times New Roman"/>
                <w:sz w:val="20"/>
              </w:rPr>
              <w:t>129</w:t>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4" w:type="dxa"/>
            <w:tcBorders/>
            <w:shd w:fill="auto" w:val="clear"/>
            <w:vAlign w:val="bottom"/>
          </w:tcPr>
          <w:p>
            <w:pPr>
              <w:pStyle w:val="TableContents"/>
              <w:spacing w:before="0" w:after="283"/>
              <w:jc w:val="right"/>
              <w:rPr/>
            </w:pPr>
            <w:r>
              <w:rPr/>
              <w:t>        </w:t>
            </w:r>
            <w:r>
              <w:rPr>
                <w:rFonts w:ascii="Times New Roman" w:hAnsi="Times New Roman"/>
                <w:sz w:val="20"/>
              </w:rPr>
              <w:t>40</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2" w:type="dxa"/>
            <w:tcBorders/>
            <w:shd w:fill="auto" w:val="clear"/>
            <w:vAlign w:val="bottom"/>
          </w:tcPr>
          <w:p>
            <w:pPr>
              <w:pStyle w:val="TableContents"/>
              <w:spacing w:before="0" w:after="283"/>
              <w:jc w:val="right"/>
              <w:rPr/>
            </w:pPr>
            <w:r>
              <w:rPr/>
              <w:t>            </w:t>
            </w:r>
            <w:r>
              <w:rPr>
                <w:rFonts w:ascii="Times New Roman" w:hAnsi="Times New Roman"/>
                <w:sz w:val="20"/>
              </w:rPr>
              <w:t>3</w:t>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3" w:type="dxa"/>
            <w:tcBorders/>
            <w:shd w:fill="auto" w:val="clear"/>
            <w:vAlign w:val="bottom"/>
          </w:tcPr>
          <w:p>
            <w:pPr>
              <w:pStyle w:val="TableContents"/>
              <w:spacing w:before="0" w:after="283"/>
              <w:jc w:val="right"/>
              <w:rPr/>
            </w:pPr>
            <w:r>
              <w:rPr/>
              <w:t>        </w:t>
            </w:r>
            <w:r>
              <w:rPr>
                <w:rFonts w:ascii="Times New Roman" w:hAnsi="Times New Roman"/>
                <w:sz w:val="20"/>
              </w:rPr>
              <w:t>172</w:t>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12" w:type="dxa"/>
            <w:tcBorders/>
            <w:shd w:fill="auto" w:val="clear"/>
            <w:vAlign w:val="bottom"/>
          </w:tcPr>
          <w:p>
            <w:pPr>
              <w:pStyle w:val="TableContents"/>
              <w:spacing w:before="0" w:after="283"/>
              <w:jc w:val="right"/>
              <w:rPr/>
            </w:pPr>
            <w:r>
              <w:rPr/>
              <w:t>        </w:t>
            </w:r>
            <w:r>
              <w:rPr>
                <w:rFonts w:ascii="Times New Roman" w:hAnsi="Times New Roman"/>
                <w:sz w:val="20"/>
              </w:rPr>
              <w:t>0.9425</w:t>
            </w:r>
          </w:p>
        </w:tc>
      </w:tr>
      <w:tr>
        <w:trPr/>
        <w:tc>
          <w:tcPr>
            <w:tcW w:w="1945" w:type="dxa"/>
            <w:tcBorders/>
            <w:shd w:fill="CCEEFF" w:val="clear"/>
          </w:tcPr>
          <w:p>
            <w:pPr>
              <w:pStyle w:val="TableContents"/>
              <w:spacing w:before="0" w:after="283"/>
              <w:rPr>
                <w:rFonts w:ascii="Times New Roman" w:hAnsi="Times New Roman"/>
                <w:sz w:val="20"/>
              </w:rPr>
            </w:pPr>
            <w:r>
              <w:rPr>
                <w:rFonts w:ascii="Times New Roman" w:hAnsi="Times New Roman"/>
                <w:sz w:val="20"/>
              </w:rPr>
              <w:t>April 13, 2010</w:t>
            </w:r>
          </w:p>
        </w:tc>
        <w:tc>
          <w:tcPr>
            <w:tcW w:w="180" w:type="dxa"/>
            <w:tcBorders/>
            <w:shd w:fill="CCEEFF" w:val="clear"/>
            <w:vAlign w:val="bottom"/>
          </w:tcPr>
          <w:p>
            <w:pPr>
              <w:pStyle w:val="TableContents"/>
              <w:spacing w:before="0" w:after="283"/>
              <w:rPr/>
            </w:pPr>
            <w:r>
              <w:rPr/>
              <w:t>  </w:t>
            </w:r>
          </w:p>
        </w:tc>
        <w:tc>
          <w:tcPr>
            <w:tcW w:w="22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May 14, 2010</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0.9350</w:t>
            </w:r>
          </w:p>
        </w:tc>
      </w:tr>
      <w:tr>
        <w:trPr/>
        <w:tc>
          <w:tcPr>
            <w:tcW w:w="1945" w:type="dxa"/>
            <w:tcBorders/>
            <w:shd w:fill="auto" w:val="clear"/>
          </w:tcPr>
          <w:p>
            <w:pPr>
              <w:pStyle w:val="TableContents"/>
              <w:spacing w:before="0" w:after="283"/>
              <w:rPr>
                <w:rFonts w:ascii="Times New Roman" w:hAnsi="Times New Roman"/>
                <w:sz w:val="20"/>
              </w:rPr>
            </w:pPr>
            <w:r>
              <w:rPr>
                <w:rFonts w:ascii="Times New Roman" w:hAnsi="Times New Roman"/>
                <w:sz w:val="20"/>
              </w:rPr>
              <w:t>January 20, 2010</w:t>
            </w:r>
          </w:p>
        </w:tc>
        <w:tc>
          <w:tcPr>
            <w:tcW w:w="180" w:type="dxa"/>
            <w:tcBorders/>
            <w:shd w:fill="auto" w:val="clear"/>
            <w:vAlign w:val="bottom"/>
          </w:tcPr>
          <w:p>
            <w:pPr>
              <w:pStyle w:val="TableContents"/>
              <w:spacing w:before="0" w:after="283"/>
              <w:rPr/>
            </w:pPr>
            <w:r>
              <w:rPr/>
              <w:t>  </w:t>
            </w:r>
          </w:p>
        </w:tc>
        <w:tc>
          <w:tcPr>
            <w:tcW w:w="2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February 12, 2010</w:t>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w:t>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w:t>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0.9275</w:t>
            </w:r>
          </w:p>
        </w:tc>
      </w:tr>
      <w:tr>
        <w:trPr/>
        <w:tc>
          <w:tcPr>
            <w:tcW w:w="1945" w:type="dxa"/>
            <w:tcBorders/>
            <w:shd w:fill="CCEEFF" w:val="clear"/>
          </w:tcPr>
          <w:p>
            <w:pPr>
              <w:pStyle w:val="TableContents"/>
              <w:spacing w:before="0" w:after="283"/>
              <w:rPr>
                <w:sz w:val="4"/>
                <w:szCs w:val="4"/>
              </w:rPr>
            </w:pPr>
            <w:r>
              <w:rPr>
                <w:sz w:val="4"/>
                <w:szCs w:val="4"/>
              </w:rPr>
            </w:r>
          </w:p>
        </w:tc>
        <w:tc>
          <w:tcPr>
            <w:tcW w:w="180" w:type="dxa"/>
            <w:tcBorders/>
            <w:shd w:fill="CCEEFF" w:val="clear"/>
            <w:vAlign w:val="bottom"/>
          </w:tcPr>
          <w:p>
            <w:pPr>
              <w:pStyle w:val="TableContents"/>
              <w:spacing w:before="0" w:after="283"/>
              <w:rPr/>
            </w:pPr>
            <w:r>
              <w:rPr/>
              <w:t>  </w:t>
            </w:r>
          </w:p>
        </w:tc>
        <w:tc>
          <w:tcPr>
            <w:tcW w:w="2212" w:type="dxa"/>
            <w:tcBorders/>
            <w:shd w:fill="CCEEFF" w:val="clear"/>
            <w:vAlign w:val="bottom"/>
          </w:tcPr>
          <w:p>
            <w:pPr>
              <w:pStyle w:val="TableContents"/>
              <w:spacing w:before="0" w:after="283"/>
              <w:rPr>
                <w:sz w:val="4"/>
                <w:szCs w:val="4"/>
              </w:rPr>
            </w:pPr>
            <w:r>
              <w:rPr>
                <w:sz w:val="4"/>
                <w:szCs w:val="4"/>
              </w:rPr>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3" w:type="dxa"/>
            <w:tcBorders/>
            <w:shd w:fill="CCEEFF" w:val="clear"/>
            <w:vAlign w:val="bottom"/>
          </w:tcPr>
          <w:p>
            <w:pPr>
              <w:pStyle w:val="TableContents"/>
              <w:spacing w:before="0" w:after="283"/>
              <w:rPr>
                <w:sz w:val="4"/>
                <w:szCs w:val="4"/>
              </w:rPr>
            </w:pPr>
            <w:r>
              <w:rPr>
                <w:sz w:val="4"/>
                <w:szCs w:val="4"/>
              </w:rPr>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rPr>
                <w:sz w:val="4"/>
                <w:szCs w:val="4"/>
              </w:rPr>
            </w:pPr>
            <w:r>
              <w:rPr>
                <w:sz w:val="4"/>
                <w:szCs w:val="4"/>
              </w:rPr>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52" w:type="dxa"/>
            <w:tcBorders/>
            <w:shd w:fill="CCEEFF" w:val="clear"/>
            <w:vAlign w:val="bottom"/>
          </w:tcPr>
          <w:p>
            <w:pPr>
              <w:pStyle w:val="TableContents"/>
              <w:spacing w:before="0" w:after="283"/>
              <w:rPr>
                <w:sz w:val="4"/>
                <w:szCs w:val="4"/>
              </w:rPr>
            </w:pPr>
            <w:r>
              <w:rPr>
                <w:sz w:val="4"/>
                <w:szCs w:val="4"/>
              </w:rPr>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3" w:type="dxa"/>
            <w:tcBorders/>
            <w:shd w:fill="CCEEFF" w:val="clear"/>
            <w:vAlign w:val="bottom"/>
          </w:tcPr>
          <w:p>
            <w:pPr>
              <w:pStyle w:val="TableContents"/>
              <w:spacing w:before="0" w:after="283"/>
              <w:rPr>
                <w:sz w:val="4"/>
                <w:szCs w:val="4"/>
              </w:rPr>
            </w:pPr>
            <w:r>
              <w:rPr>
                <w:sz w:val="4"/>
                <w:szCs w:val="4"/>
              </w:rPr>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12" w:type="dxa"/>
            <w:tcBorders/>
            <w:shd w:fill="CCEEFF" w:val="clear"/>
            <w:vAlign w:val="bottom"/>
          </w:tcPr>
          <w:p>
            <w:pPr>
              <w:pStyle w:val="TableContents"/>
              <w:spacing w:before="0" w:after="283"/>
              <w:rPr>
                <w:sz w:val="4"/>
                <w:szCs w:val="4"/>
              </w:rPr>
            </w:pPr>
            <w:r>
              <w:rPr>
                <w:sz w:val="4"/>
                <w:szCs w:val="4"/>
              </w:rPr>
            </w:r>
          </w:p>
        </w:tc>
      </w:tr>
      <w:tr>
        <w:trPr/>
        <w:tc>
          <w:tcPr>
            <w:tcW w:w="1945" w:type="dxa"/>
            <w:tcBorders/>
            <w:shd w:fill="auto" w:val="clear"/>
          </w:tcPr>
          <w:p>
            <w:pPr>
              <w:pStyle w:val="TableContents"/>
              <w:spacing w:before="0" w:after="283"/>
              <w:rPr>
                <w:rFonts w:ascii="Times New Roman" w:hAnsi="Times New Roman"/>
                <w:b/>
                <w:sz w:val="20"/>
                <w:u w:val="single"/>
              </w:rPr>
            </w:pPr>
            <w:r>
              <w:rPr>
                <w:rFonts w:ascii="Times New Roman" w:hAnsi="Times New Roman"/>
                <w:b/>
                <w:sz w:val="20"/>
                <w:u w:val="single"/>
              </w:rPr>
              <w:t>2009</w:t>
            </w:r>
          </w:p>
        </w:tc>
        <w:tc>
          <w:tcPr>
            <w:tcW w:w="180" w:type="dxa"/>
            <w:tcBorders/>
            <w:shd w:fill="auto" w:val="clear"/>
            <w:vAlign w:val="bottom"/>
          </w:tcPr>
          <w:p>
            <w:pPr>
              <w:pStyle w:val="TableContents"/>
              <w:spacing w:before="0" w:after="283"/>
              <w:rPr/>
            </w:pPr>
            <w:r>
              <w:rPr/>
              <w:t>  </w:t>
            </w:r>
          </w:p>
        </w:tc>
        <w:tc>
          <w:tcPr>
            <w:tcW w:w="2212"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33"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52"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33"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112" w:type="dxa"/>
            <w:tcBorders/>
            <w:shd w:fill="auto" w:val="clear"/>
            <w:vAlign w:val="bottom"/>
          </w:tcPr>
          <w:p>
            <w:pPr>
              <w:pStyle w:val="TableContents"/>
              <w:spacing w:before="0" w:after="283"/>
              <w:rPr>
                <w:sz w:val="4"/>
                <w:szCs w:val="4"/>
              </w:rPr>
            </w:pPr>
            <w:r>
              <w:rPr>
                <w:sz w:val="4"/>
                <w:szCs w:val="4"/>
              </w:rPr>
            </w:r>
          </w:p>
        </w:tc>
      </w:tr>
      <w:tr>
        <w:trPr/>
        <w:tc>
          <w:tcPr>
            <w:tcW w:w="1945" w:type="dxa"/>
            <w:tcBorders/>
            <w:shd w:fill="CCEEFF" w:val="clear"/>
          </w:tcPr>
          <w:p>
            <w:pPr>
              <w:pStyle w:val="TableContents"/>
              <w:spacing w:before="0" w:after="283"/>
              <w:rPr>
                <w:rFonts w:ascii="Times New Roman" w:hAnsi="Times New Roman"/>
                <w:sz w:val="20"/>
              </w:rPr>
            </w:pPr>
            <w:r>
              <w:rPr>
                <w:rFonts w:ascii="Times New Roman" w:hAnsi="Times New Roman"/>
                <w:sz w:val="20"/>
              </w:rPr>
              <w:t>July 15, 2009</w:t>
            </w:r>
          </w:p>
        </w:tc>
        <w:tc>
          <w:tcPr>
            <w:tcW w:w="180" w:type="dxa"/>
            <w:tcBorders/>
            <w:shd w:fill="CCEEFF" w:val="clear"/>
            <w:vAlign w:val="bottom"/>
          </w:tcPr>
          <w:p>
            <w:pPr>
              <w:pStyle w:val="TableContents"/>
              <w:spacing w:before="0" w:after="283"/>
              <w:rPr/>
            </w:pPr>
            <w:r>
              <w:rPr/>
              <w:t>  </w:t>
            </w:r>
          </w:p>
        </w:tc>
        <w:tc>
          <w:tcPr>
            <w:tcW w:w="22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August 14, 2009</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0.9050</w:t>
            </w:r>
          </w:p>
        </w:tc>
      </w:tr>
      <w:tr>
        <w:trPr/>
        <w:tc>
          <w:tcPr>
            <w:tcW w:w="1945" w:type="dxa"/>
            <w:tcBorders/>
            <w:shd w:fill="auto" w:val="clear"/>
          </w:tcPr>
          <w:p>
            <w:pPr>
              <w:pStyle w:val="TableContents"/>
              <w:spacing w:before="0" w:after="283"/>
              <w:rPr>
                <w:rFonts w:ascii="Times New Roman" w:hAnsi="Times New Roman"/>
                <w:sz w:val="20"/>
              </w:rPr>
            </w:pPr>
            <w:r>
              <w:rPr>
                <w:rFonts w:ascii="Times New Roman" w:hAnsi="Times New Roman"/>
                <w:sz w:val="20"/>
              </w:rPr>
              <w:t>April 8, 2009</w:t>
            </w:r>
          </w:p>
        </w:tc>
        <w:tc>
          <w:tcPr>
            <w:tcW w:w="180" w:type="dxa"/>
            <w:tcBorders/>
            <w:shd w:fill="auto" w:val="clear"/>
            <w:vAlign w:val="bottom"/>
          </w:tcPr>
          <w:p>
            <w:pPr>
              <w:pStyle w:val="TableContents"/>
              <w:spacing w:before="0" w:after="283"/>
              <w:rPr/>
            </w:pPr>
            <w:r>
              <w:rPr/>
              <w:t>  </w:t>
            </w:r>
          </w:p>
        </w:tc>
        <w:tc>
          <w:tcPr>
            <w:tcW w:w="2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May 15, 2009</w:t>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0.9050</w:t>
            </w:r>
          </w:p>
        </w:tc>
      </w:tr>
      <w:tr>
        <w:trPr/>
        <w:tc>
          <w:tcPr>
            <w:tcW w:w="1945" w:type="dxa"/>
            <w:tcBorders/>
            <w:shd w:fill="CCEEFF" w:val="clear"/>
          </w:tcPr>
          <w:p>
            <w:pPr>
              <w:pStyle w:val="TableContents"/>
              <w:spacing w:before="0" w:after="283"/>
              <w:rPr>
                <w:rFonts w:ascii="Times New Roman" w:hAnsi="Times New Roman"/>
                <w:sz w:val="20"/>
              </w:rPr>
            </w:pPr>
            <w:r>
              <w:rPr>
                <w:rFonts w:ascii="Times New Roman" w:hAnsi="Times New Roman"/>
                <w:sz w:val="20"/>
              </w:rPr>
              <w:t>January 14, 2009</w:t>
            </w:r>
          </w:p>
        </w:tc>
        <w:tc>
          <w:tcPr>
            <w:tcW w:w="180" w:type="dxa"/>
            <w:tcBorders/>
            <w:shd w:fill="CCEEFF" w:val="clear"/>
            <w:vAlign w:val="bottom"/>
          </w:tcPr>
          <w:p>
            <w:pPr>
              <w:pStyle w:val="TableContents"/>
              <w:spacing w:before="0" w:after="283"/>
              <w:rPr/>
            </w:pPr>
            <w:r>
              <w:rPr/>
              <w:t>  </w:t>
            </w:r>
          </w:p>
        </w:tc>
        <w:tc>
          <w:tcPr>
            <w:tcW w:w="22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February 13, 2009</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0.8925</w:t>
            </w:r>
          </w:p>
        </w:tc>
      </w:tr>
    </w:tbl>
    <w:p>
      <w:pPr>
        <w:pStyle w:val="TextBody"/>
        <w:pBdr>
          <w:bottom w:val="single" w:sz="16"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rFonts w:ascii="Times New Roman" w:hAnsi="Times New Roman"/>
                <w:sz w:val="14"/>
              </w:rPr>
              <w:t>(1)</w:t>
            </w:r>
            <w:r>
              <w:rPr/>
              <w:t xml:space="preserve">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Payable to unitholders of record on August 3, 2010, for the period April 1, 2010 through June 30, 2010. </w:t>
            </w:r>
          </w:p>
        </w:tc>
      </w:tr>
    </w:tbl>
    <w:p>
      <w:pPr>
        <w:pStyle w:val="TextBody"/>
        <w:spacing w:before="180" w:after="0"/>
        <w:rPr>
          <w:rFonts w:ascii="Times New Roman" w:hAnsi="Times New Roman"/>
          <w:sz w:val="20"/>
        </w:rPr>
      </w:pPr>
      <w:r>
        <w:rPr>
          <w:rFonts w:ascii="Times New Roman" w:hAnsi="Times New Roman"/>
          <w:sz w:val="20"/>
        </w:rPr>
        <w:t>Upon closing of the Pacific acquisition in November 2006, the Rainbow acquisition in May 2008 and the PNGS acquisition in September 2009, our general partner agreed to reduce the amounts due it as incentive distributions. The total reduction in incentive distributions related to these acquisitions is $83 million. Following the distribution in August 2010, the aggregate incentive distribution reductions remaining will be approximately $11 million. See Note 2 to our Consolidated Financial Statements included in Part IV of our 2009 Annual Report on Form 10-K for further detail regarding our </w:t>
      </w:r>
      <w:r>
        <w:rPr>
          <w:rFonts w:ascii="Times New Roman" w:hAnsi="Times New Roman"/>
          <w:i/>
          <w:sz w:val="20"/>
        </w:rPr>
        <w:t>General Partner Incentive Distributions</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bookmarkStart w:id="19" w:name="tx73093_17"/>
      <w:bookmarkEnd w:id="19"/>
      <w:r>
        <w:rPr>
          <w:rFonts w:ascii="Times New Roman" w:hAnsi="Times New Roman"/>
          <w:b/>
          <w:sz w:val="20"/>
        </w:rPr>
        <w:t xml:space="preserve">Note 8Equity Compensation Plans </w:t>
      </w:r>
    </w:p>
    <w:p>
      <w:pPr>
        <w:pStyle w:val="TextBody"/>
        <w:spacing w:before="90" w:after="0"/>
        <w:rPr>
          <w:rFonts w:ascii="Times New Roman" w:hAnsi="Times New Roman"/>
          <w:sz w:val="20"/>
        </w:rPr>
      </w:pPr>
      <w:r>
        <w:rPr>
          <w:rFonts w:ascii="Times New Roman" w:hAnsi="Times New Roman"/>
          <w:sz w:val="20"/>
        </w:rPr>
        <w:t xml:space="preserve">For discussion of our LTIP awards, see Note 10 to our Consolidated Financial Statements included in Part IV of our 2009 Annual Report on Form 10-K. </w:t>
      </w:r>
    </w:p>
    <w:p>
      <w:pPr>
        <w:pStyle w:val="TextBody"/>
        <w:spacing w:before="180" w:after="0"/>
        <w:rPr>
          <w:rFonts w:ascii="Times New Roman" w:hAnsi="Times New Roman"/>
          <w:sz w:val="20"/>
        </w:rPr>
      </w:pPr>
      <w:r>
        <w:rPr>
          <w:rFonts w:ascii="Times New Roman" w:hAnsi="Times New Roman"/>
          <w:sz w:val="20"/>
        </w:rPr>
        <w:t xml:space="preserve">On April 27, 2010, PNGs general partner adopted the PAA Natural Gas Storage, L.P. 2010 Long Term Incentive Plan (the PNG 2010 LTIP Plan). The PNG 2010 LTIP Plan consists of restricted units, phantom units, unit options, unit appreciation rights and unit awards. The PNG 2010 LTIP Plan limits the number of PNG common units that may be delivered pursuant to awards under the plan to 3,000,000. In May 2010, PNGs board of directors approved the grant of 658,500 phantom units (representing approximately 1% of the currently outstanding PNG limited partner units) under the PNG 2010 LTIP Plan to directors, officers and other employees of PNG, a portion of which were granted upon conversion of outstanding awards denominated in common units of PAA. </w:t>
      </w:r>
    </w:p>
    <w:p>
      <w:pPr>
        <w:pStyle w:val="TextBody"/>
        <w:spacing w:before="180" w:after="0"/>
        <w:rPr>
          <w:rFonts w:ascii="Times New Roman" w:hAnsi="Times New Roman"/>
          <w:sz w:val="20"/>
        </w:rPr>
      </w:pPr>
      <w:r>
        <w:rPr>
          <w:rFonts w:ascii="Times New Roman" w:hAnsi="Times New Roman"/>
          <w:sz w:val="20"/>
        </w:rPr>
        <w:t xml:space="preserve">At June 30, 2010, the following LTIP awards, denominated in PAA units, were outstanding (units in millions):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59"/>
        <w:gridCol w:w="471"/>
        <w:gridCol w:w="151"/>
        <w:gridCol w:w="1203"/>
        <w:gridCol w:w="180"/>
        <w:gridCol w:w="980"/>
        <w:gridCol w:w="180"/>
        <w:gridCol w:w="1091"/>
        <w:gridCol w:w="180"/>
        <w:gridCol w:w="1091"/>
        <w:gridCol w:w="179"/>
        <w:gridCol w:w="1091"/>
        <w:gridCol w:w="180"/>
        <w:gridCol w:w="1091"/>
        <w:gridCol w:w="180"/>
        <w:gridCol w:w="1098"/>
      </w:tblGrid>
      <w:tr>
        <w:trPr/>
        <w:tc>
          <w:tcPr>
            <w:tcW w:w="85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r>
      <w:tr>
        <w:trPr/>
        <w:tc>
          <w:tcPr>
            <w:tcW w:w="859" w:type="dxa"/>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LTIP Units</w:t>
            </w:r>
            <w:r>
              <w:rPr/>
              <w:br/>
            </w:r>
            <w:r>
              <w:rPr>
                <w:rFonts w:ascii="Times New Roman" w:hAnsi="Times New Roman"/>
                <w:b/>
                <w:sz w:val="14"/>
              </w:rPr>
              <w:t>Outstanding</w:t>
            </w:r>
          </w:p>
        </w:tc>
        <w:tc>
          <w:tcPr>
            <w:tcW w:w="471" w:type="dxa"/>
            <w:vMerge w:val="restart"/>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203" w:type="dxa"/>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PAA  Distribution</w:t>
            </w:r>
            <w:r>
              <w:rPr/>
              <w:br/>
            </w:r>
            <w:r>
              <w:rPr>
                <w:rFonts w:ascii="Times New Roman" w:hAnsi="Times New Roman"/>
                <w:b/>
                <w:sz w:val="14"/>
              </w:rPr>
              <w:t>Required</w:t>
            </w:r>
          </w:p>
        </w:tc>
        <w:tc>
          <w:tcPr>
            <w:tcW w:w="18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r>
      <w:tr>
        <w:trPr/>
        <w:tc>
          <w:tcPr>
            <w:tcW w:w="859" w:type="dxa"/>
            <w:vMerge w:val="continue"/>
            <w:tcBorders>
              <w:bottom w:val="single" w:sz="2" w:space="0" w:color="000000"/>
            </w:tcBorders>
            <w:shd w:fill="auto" w:val="clear"/>
            <w:tcMar>
              <w:bottom w:w="28" w:type="dxa"/>
            </w:tcMar>
            <w:vAlign w:val="bottom"/>
          </w:tcPr>
          <w:p>
            <w:pPr>
              <w:pStyle w:val="Normal"/>
              <w:rPr/>
            </w:pPr>
            <w:r>
              <w:rPr/>
            </w:r>
          </w:p>
        </w:tc>
        <w:tc>
          <w:tcPr>
            <w:tcW w:w="471" w:type="dxa"/>
            <w:vMerge w:val="continue"/>
            <w:tcBorders/>
            <w:shd w:fill="auto" w:val="clear"/>
            <w:vAlign w:val="bottom"/>
          </w:tcPr>
          <w:p>
            <w:pPr>
              <w:pStyle w:val="Normal"/>
              <w:rPr/>
            </w:pPr>
            <w:r>
              <w:rPr/>
            </w:r>
          </w:p>
        </w:tc>
        <w:tc>
          <w:tcPr>
            <w:tcW w:w="151" w:type="dxa"/>
            <w:tcBorders/>
            <w:shd w:fill="auto" w:val="clear"/>
            <w:vAlign w:val="bottom"/>
          </w:tcPr>
          <w:p>
            <w:pPr>
              <w:pStyle w:val="TableContents"/>
              <w:spacing w:before="0" w:after="283"/>
              <w:rPr/>
            </w:pPr>
            <w:r>
              <w:rPr/>
              <w:t> </w:t>
            </w:r>
          </w:p>
        </w:tc>
        <w:tc>
          <w:tcPr>
            <w:tcW w:w="1203" w:type="dxa"/>
            <w:vMerge w:val="continue"/>
            <w:tcBorders>
              <w:bottom w:val="single" w:sz="2" w:space="0" w:color="000000"/>
            </w:tcBorders>
            <w:shd w:fill="auto" w:val="clear"/>
            <w:tcMar>
              <w:bottom w:w="28" w:type="dxa"/>
            </w:tcMar>
            <w:vAlign w:val="bottom"/>
          </w:tcPr>
          <w:p>
            <w:pPr>
              <w:pStyle w:val="Normal"/>
              <w:rPr/>
            </w:pPr>
            <w:r>
              <w:rPr/>
            </w:r>
          </w:p>
        </w:tc>
        <w:tc>
          <w:tcPr>
            <w:tcW w:w="180" w:type="dxa"/>
            <w:tcBorders/>
            <w:shd w:fill="auto" w:val="clear"/>
            <w:vAlign w:val="bottom"/>
          </w:tcPr>
          <w:p>
            <w:pPr>
              <w:pStyle w:val="TableContents"/>
              <w:spacing w:before="0" w:after="283"/>
              <w:rPr/>
            </w:pPr>
            <w:r>
              <w:rPr/>
              <w:t>  </w:t>
            </w:r>
          </w:p>
        </w:tc>
        <w:tc>
          <w:tcPr>
            <w:tcW w:w="98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80" w:type="dxa"/>
            <w:tcBorders/>
            <w:shd w:fill="auto" w:val="clear"/>
            <w:vAlign w:val="bottom"/>
          </w:tcPr>
          <w:p>
            <w:pPr>
              <w:pStyle w:val="TableContents"/>
              <w:spacing w:before="0" w:after="283"/>
              <w:rPr/>
            </w:pPr>
            <w:r>
              <w:rPr/>
              <w:t>  </w:t>
            </w:r>
          </w:p>
        </w:tc>
        <w:tc>
          <w:tcPr>
            <w:tcW w:w="109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80" w:type="dxa"/>
            <w:tcBorders/>
            <w:shd w:fill="auto" w:val="clear"/>
            <w:vAlign w:val="bottom"/>
          </w:tcPr>
          <w:p>
            <w:pPr>
              <w:pStyle w:val="TableContents"/>
              <w:spacing w:before="0" w:after="283"/>
              <w:rPr/>
            </w:pPr>
            <w:r>
              <w:rPr/>
              <w:t>  </w:t>
            </w:r>
          </w:p>
        </w:tc>
        <w:tc>
          <w:tcPr>
            <w:tcW w:w="109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2012</w:t>
            </w:r>
          </w:p>
        </w:tc>
        <w:tc>
          <w:tcPr>
            <w:tcW w:w="179" w:type="dxa"/>
            <w:tcBorders/>
            <w:shd w:fill="auto" w:val="clear"/>
            <w:vAlign w:val="bottom"/>
          </w:tcPr>
          <w:p>
            <w:pPr>
              <w:pStyle w:val="TableContents"/>
              <w:spacing w:before="0" w:after="283"/>
              <w:rPr/>
            </w:pPr>
            <w:r>
              <w:rPr/>
              <w:t>  </w:t>
            </w:r>
          </w:p>
        </w:tc>
        <w:tc>
          <w:tcPr>
            <w:tcW w:w="109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2013</w:t>
            </w:r>
          </w:p>
        </w:tc>
        <w:tc>
          <w:tcPr>
            <w:tcW w:w="180" w:type="dxa"/>
            <w:tcBorders/>
            <w:shd w:fill="auto" w:val="clear"/>
            <w:vAlign w:val="bottom"/>
          </w:tcPr>
          <w:p>
            <w:pPr>
              <w:pStyle w:val="TableContents"/>
              <w:spacing w:before="0" w:after="283"/>
              <w:rPr/>
            </w:pPr>
            <w:r>
              <w:rPr/>
              <w:t>  </w:t>
            </w:r>
          </w:p>
        </w:tc>
        <w:tc>
          <w:tcPr>
            <w:tcW w:w="109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2014</w:t>
            </w:r>
          </w:p>
        </w:tc>
        <w:tc>
          <w:tcPr>
            <w:tcW w:w="180" w:type="dxa"/>
            <w:tcBorders/>
            <w:shd w:fill="auto" w:val="clear"/>
            <w:vAlign w:val="bottom"/>
          </w:tcPr>
          <w:p>
            <w:pPr>
              <w:pStyle w:val="TableContents"/>
              <w:spacing w:before="0" w:after="283"/>
              <w:rPr/>
            </w:pPr>
            <w:r>
              <w:rPr/>
              <w:t>  </w:t>
            </w:r>
          </w:p>
        </w:tc>
        <w:tc>
          <w:tcPr>
            <w:tcW w:w="1098"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2015</w:t>
            </w:r>
          </w:p>
        </w:tc>
      </w:tr>
      <w:tr>
        <w:trPr/>
        <w:tc>
          <w:tcPr>
            <w:tcW w:w="859" w:type="dxa"/>
            <w:tcBorders/>
            <w:shd w:fill="CCEEFF" w:val="clear"/>
          </w:tcPr>
          <w:p>
            <w:pPr>
              <w:pStyle w:val="TableContents"/>
              <w:spacing w:before="0" w:after="283"/>
              <w:jc w:val="right"/>
              <w:rPr/>
            </w:pPr>
            <w:r>
              <w:rPr>
                <w:rFonts w:ascii="Times New Roman" w:hAnsi="Times New Roman"/>
                <w:sz w:val="20"/>
              </w:rPr>
              <w:t>2.8</w:t>
            </w:r>
            <w:r>
              <w:rPr/>
              <w:t xml:space="preserve"> </w:t>
            </w:r>
          </w:p>
        </w:tc>
        <w:tc>
          <w:tcPr>
            <w:tcW w:w="471" w:type="dxa"/>
            <w:tcBorders/>
            <w:shd w:fill="CCEEFF" w:val="clear"/>
          </w:tcPr>
          <w:p>
            <w:pPr>
              <w:pStyle w:val="TableContents"/>
              <w:spacing w:before="0" w:after="283"/>
              <w:rPr/>
            </w:pPr>
            <w:r>
              <w:rPr>
                <w:rFonts w:ascii="Times New Roman" w:hAnsi="Times New Roman"/>
                <w:sz w:val="14"/>
              </w:rPr>
              <w:t>(1)</w:t>
            </w:r>
            <w:r>
              <w:rPr/>
              <w:t xml:space="preserve">  </w:t>
            </w:r>
          </w:p>
        </w:tc>
        <w:tc>
          <w:tcPr>
            <w:tcW w:w="151" w:type="dxa"/>
            <w:tcBorders/>
            <w:shd w:fill="CCEEFF" w:val="clear"/>
            <w:vAlign w:val="bottom"/>
          </w:tcPr>
          <w:p>
            <w:pPr>
              <w:pStyle w:val="TableContents"/>
              <w:spacing w:before="0" w:after="283"/>
              <w:rPr/>
            </w:pPr>
            <w:r>
              <w:rPr/>
              <w:t> </w:t>
            </w:r>
          </w:p>
        </w:tc>
        <w:tc>
          <w:tcPr>
            <w:tcW w:w="1203"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$3.50 - $4.45</w:t>
            </w:r>
          </w:p>
        </w:tc>
        <w:tc>
          <w:tcPr>
            <w:tcW w:w="18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r>
              <w:rPr>
                <w:rFonts w:ascii="Times New Roman" w:hAnsi="Times New Roman"/>
                <w:sz w:val="20"/>
              </w:rPr>
              <w:t></w:t>
            </w:r>
          </w:p>
        </w:tc>
        <w:tc>
          <w:tcPr>
            <w:tcW w:w="180"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pPr>
            <w:r>
              <w:rPr/>
              <w:t>            </w:t>
            </w:r>
            <w:r>
              <w:rPr>
                <w:rFonts w:ascii="Times New Roman" w:hAnsi="Times New Roman"/>
                <w:sz w:val="20"/>
              </w:rPr>
              <w:t>0.5</w:t>
            </w:r>
          </w:p>
        </w:tc>
        <w:tc>
          <w:tcPr>
            <w:tcW w:w="180"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pPr>
            <w:r>
              <w:rPr/>
              <w:t>            </w:t>
            </w:r>
            <w:r>
              <w:rPr>
                <w:rFonts w:ascii="Times New Roman" w:hAnsi="Times New Roman"/>
                <w:sz w:val="20"/>
              </w:rPr>
              <w:t>0.8</w:t>
            </w:r>
          </w:p>
        </w:tc>
        <w:tc>
          <w:tcPr>
            <w:tcW w:w="179"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pPr>
            <w:r>
              <w:rPr/>
              <w:t>            </w:t>
            </w:r>
            <w:r>
              <w:rPr>
                <w:rFonts w:ascii="Times New Roman" w:hAnsi="Times New Roman"/>
                <w:sz w:val="20"/>
              </w:rPr>
              <w:t>0.5</w:t>
            </w:r>
          </w:p>
        </w:tc>
        <w:tc>
          <w:tcPr>
            <w:tcW w:w="180"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pPr>
            <w:r>
              <w:rPr/>
              <w:t>            </w:t>
            </w:r>
            <w:r>
              <w:rPr>
                <w:rFonts w:ascii="Times New Roman" w:hAnsi="Times New Roman"/>
                <w:sz w:val="20"/>
              </w:rPr>
              <w:t>0.5</w:t>
            </w:r>
          </w:p>
        </w:tc>
        <w:tc>
          <w:tcPr>
            <w:tcW w:w="180"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            </w:t>
            </w:r>
            <w:r>
              <w:rPr>
                <w:rFonts w:ascii="Times New Roman" w:hAnsi="Times New Roman"/>
                <w:sz w:val="20"/>
              </w:rPr>
              <w:t>0.5</w:t>
            </w:r>
          </w:p>
        </w:tc>
      </w:tr>
      <w:tr>
        <w:trPr/>
        <w:tc>
          <w:tcPr>
            <w:tcW w:w="859" w:type="dxa"/>
            <w:tcBorders/>
            <w:shd w:fill="auto" w:val="clear"/>
          </w:tcPr>
          <w:p>
            <w:pPr>
              <w:pStyle w:val="TableContents"/>
              <w:spacing w:before="0" w:after="283"/>
              <w:jc w:val="right"/>
              <w:rPr/>
            </w:pPr>
            <w:r>
              <w:rPr>
                <w:rFonts w:ascii="Times New Roman" w:hAnsi="Times New Roman"/>
                <w:sz w:val="20"/>
              </w:rPr>
              <w:t>1.7</w:t>
            </w:r>
            <w:r>
              <w:rPr/>
              <w:t xml:space="preserve"> </w:t>
            </w:r>
          </w:p>
        </w:tc>
        <w:tc>
          <w:tcPr>
            <w:tcW w:w="471" w:type="dxa"/>
            <w:tcBorders/>
            <w:shd w:fill="auto" w:val="clear"/>
          </w:tcPr>
          <w:p>
            <w:pPr>
              <w:pStyle w:val="TableContents"/>
              <w:spacing w:before="0" w:after="283"/>
              <w:rPr/>
            </w:pPr>
            <w:r>
              <w:rPr>
                <w:rFonts w:ascii="Times New Roman" w:hAnsi="Times New Roman"/>
                <w:sz w:val="14"/>
              </w:rPr>
              <w:t>(2)</w:t>
            </w:r>
            <w:r>
              <w:rPr/>
              <w:t xml:space="preserve">  </w:t>
            </w:r>
          </w:p>
        </w:tc>
        <w:tc>
          <w:tcPr>
            <w:tcW w:w="151"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$3.50 - $4.25</w:t>
            </w:r>
          </w:p>
        </w:tc>
        <w:tc>
          <w:tcPr>
            <w:tcW w:w="18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180"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180"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179"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180"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80"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859" w:type="dxa"/>
            <w:tcBorders>
              <w:top w:val="single" w:sz="2" w:space="0" w:color="000000"/>
            </w:tcBorders>
            <w:shd w:fill="auto" w:val="clear"/>
            <w:tcMar>
              <w:top w:w="28" w:type="dxa"/>
            </w:tcMar>
            <w:vAlign w:val="bottom"/>
          </w:tcPr>
          <w:p>
            <w:pPr>
              <w:pStyle w:val="TableContents"/>
              <w:spacing w:before="0" w:after="283"/>
              <w:rPr/>
            </w:pPr>
            <w:r>
              <w:rPr/>
              <w:t> </w:t>
            </w:r>
          </w:p>
        </w:tc>
        <w:tc>
          <w:tcPr>
            <w:tcW w:w="471"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980" w:type="dxa"/>
            <w:tcBorders>
              <w:top w:val="single" w:sz="2" w:space="0" w:color="000000"/>
            </w:tcBorders>
            <w:shd w:fill="auto" w:val="clear"/>
            <w:tcMar>
              <w:top w:w="28" w:type="dxa"/>
            </w:tcM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91" w:type="dxa"/>
            <w:tcBorders>
              <w:top w:val="single" w:sz="2" w:space="0" w:color="000000"/>
            </w:tcBorders>
            <w:shd w:fill="auto" w:val="clear"/>
            <w:tcMar>
              <w:top w:w="28" w:type="dxa"/>
            </w:tcM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91" w:type="dxa"/>
            <w:tcBorders>
              <w:top w:val="single" w:sz="2" w:space="0" w:color="000000"/>
            </w:tcBorders>
            <w:shd w:fill="auto" w:val="clear"/>
            <w:tcMar>
              <w:top w:w="28" w:type="dxa"/>
            </w:tcM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91" w:type="dxa"/>
            <w:tcBorders>
              <w:top w:val="single" w:sz="2" w:space="0" w:color="000000"/>
            </w:tcBorders>
            <w:shd w:fill="auto" w:val="clear"/>
            <w:tcMar>
              <w:top w:w="28" w:type="dxa"/>
            </w:tcM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91" w:type="dxa"/>
            <w:tcBorders>
              <w:top w:val="single" w:sz="2" w:space="0" w:color="000000"/>
            </w:tcBorders>
            <w:shd w:fill="auto" w:val="clear"/>
            <w:tcMar>
              <w:top w:w="28" w:type="dxa"/>
            </w:tcM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98"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859" w:type="dxa"/>
            <w:tcBorders/>
            <w:shd w:fill="CCEEFF" w:val="clear"/>
          </w:tcPr>
          <w:p>
            <w:pPr>
              <w:pStyle w:val="TableContents"/>
              <w:spacing w:before="0" w:after="283"/>
              <w:jc w:val="right"/>
              <w:rPr/>
            </w:pPr>
            <w:r>
              <w:rPr>
                <w:rFonts w:ascii="Times New Roman" w:hAnsi="Times New Roman"/>
                <w:sz w:val="20"/>
              </w:rPr>
              <w:t>4.5</w:t>
            </w:r>
            <w:r>
              <w:rPr/>
              <w:t xml:space="preserve"> </w:t>
            </w:r>
          </w:p>
        </w:tc>
        <w:tc>
          <w:tcPr>
            <w:tcW w:w="471" w:type="dxa"/>
            <w:tcBorders/>
            <w:shd w:fill="CCEEFF" w:val="clear"/>
          </w:tcPr>
          <w:p>
            <w:pPr>
              <w:pStyle w:val="TableContents"/>
              <w:spacing w:before="0" w:after="283"/>
              <w:rPr/>
            </w:pPr>
            <w:r>
              <w:rPr>
                <w:rFonts w:ascii="Times New Roman" w:hAnsi="Times New Roman"/>
                <w:sz w:val="14"/>
              </w:rPr>
              <w:t>(3)(4)</w:t>
            </w:r>
            <w:r>
              <w:rPr/>
              <w:t xml:space="preserve">  </w:t>
            </w:r>
          </w:p>
        </w:tc>
        <w:tc>
          <w:tcPr>
            <w:tcW w:w="151" w:type="dxa"/>
            <w:tcBorders/>
            <w:shd w:fill="CCEEFF" w:val="clear"/>
            <w:vAlign w:val="bottom"/>
          </w:tcPr>
          <w:p>
            <w:pPr>
              <w:pStyle w:val="TableContents"/>
              <w:spacing w:before="0" w:after="283"/>
              <w:rPr/>
            </w:pPr>
            <w:r>
              <w:rPr/>
              <w:t> </w:t>
            </w:r>
          </w:p>
        </w:tc>
        <w:tc>
          <w:tcPr>
            <w:tcW w:w="1203" w:type="dxa"/>
            <w:tcBorders/>
            <w:shd w:fill="CCEEFF" w:val="clear"/>
            <w:vAlign w:val="bottom"/>
          </w:tcPr>
          <w:p>
            <w:pPr>
              <w:pStyle w:val="TableContents"/>
              <w:spacing w:before="0" w:after="283"/>
              <w:rPr>
                <w:sz w:val="4"/>
                <w:szCs w:val="4"/>
              </w:rPr>
            </w:pPr>
            <w:r>
              <w:rPr>
                <w:sz w:val="4"/>
                <w:szCs w:val="4"/>
              </w:rPr>
            </w:r>
          </w:p>
        </w:tc>
        <w:tc>
          <w:tcPr>
            <w:tcW w:w="18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180"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180"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79"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180"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w:t>
            </w:r>
          </w:p>
        </w:tc>
        <w:tc>
          <w:tcPr>
            <w:tcW w:w="180"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r>
      <w:tr>
        <w:trPr/>
        <w:tc>
          <w:tcPr>
            <w:tcW w:w="859" w:type="dxa"/>
            <w:tcBorders>
              <w:top w:val="double" w:sz="6" w:space="0" w:color="000000"/>
            </w:tcBorders>
            <w:shd w:fill="auto" w:val="clear"/>
            <w:tcMar>
              <w:top w:w="28" w:type="dxa"/>
            </w:tcMar>
            <w:vAlign w:val="bottom"/>
          </w:tcPr>
          <w:p>
            <w:pPr>
              <w:pStyle w:val="TableContents"/>
              <w:spacing w:before="0" w:after="283"/>
              <w:rPr/>
            </w:pPr>
            <w:r>
              <w:rPr/>
              <w:t> </w:t>
            </w:r>
          </w:p>
        </w:tc>
        <w:tc>
          <w:tcPr>
            <w:tcW w:w="471"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980" w:type="dxa"/>
            <w:tcBorders>
              <w:top w:val="double" w:sz="6" w:space="0" w:color="000000"/>
            </w:tcBorders>
            <w:shd w:fill="auto" w:val="clear"/>
            <w:tcMar>
              <w:top w:w="28" w:type="dxa"/>
            </w:tcM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91" w:type="dxa"/>
            <w:tcBorders>
              <w:top w:val="double" w:sz="6" w:space="0" w:color="000000"/>
            </w:tcBorders>
            <w:shd w:fill="auto" w:val="clear"/>
            <w:tcMar>
              <w:top w:w="28" w:type="dxa"/>
            </w:tcM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91" w:type="dxa"/>
            <w:tcBorders>
              <w:top w:val="double" w:sz="6" w:space="0" w:color="000000"/>
            </w:tcBorders>
            <w:shd w:fill="auto" w:val="clear"/>
            <w:tcMar>
              <w:top w:w="28" w:type="dxa"/>
            </w:tcM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91" w:type="dxa"/>
            <w:tcBorders>
              <w:top w:val="double" w:sz="6" w:space="0" w:color="000000"/>
            </w:tcBorders>
            <w:shd w:fill="auto" w:val="clear"/>
            <w:tcMar>
              <w:top w:w="28" w:type="dxa"/>
            </w:tcM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91" w:type="dxa"/>
            <w:tcBorders>
              <w:top w:val="double" w:sz="6" w:space="0" w:color="000000"/>
            </w:tcBorders>
            <w:shd w:fill="auto" w:val="clear"/>
            <w:tcMar>
              <w:top w:w="28" w:type="dxa"/>
            </w:tcM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98"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pBdr>
          <w:bottom w:val="single" w:sz="16"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rFonts w:ascii="Times New Roman" w:hAnsi="Times New Roman"/>
                <w:sz w:val="14"/>
              </w:rPr>
              <w:t>(1)</w:t>
            </w:r>
            <w:r>
              <w:rPr/>
              <w:t xml:space="preserve">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These LTIP awards have performance conditions requiring the attainment of an annualized distribution of between $3.50 and $4.45 and vest upon the later of a certain date or the attainment of such levels. For purposes of this disclosure, vesting dates are based on an estimate of future distribution levels and assume that all grantees remain employed by us through the vesting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rFonts w:ascii="Times New Roman" w:hAnsi="Times New Roman"/>
                <w:sz w:val="14"/>
              </w:rPr>
              <w:t>(2)</w:t>
            </w:r>
            <w:r>
              <w:rPr/>
              <w:t xml:space="preserve">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These LTIP awards have performance conditions requiring the attainment of an annualized distribution of between $3.50 and $4.25. For a majority of these LTIP awards, fifty percent will vest at specified dates regardless of whether the performance conditions are attained. For purposes of this disclosure, vesting dates are based on an estimate of future distribution levels and assume that all grantees remain employed by us through the vesting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rFonts w:ascii="Times New Roman" w:hAnsi="Times New Roman"/>
                <w:sz w:val="14"/>
              </w:rPr>
              <w:t>(3)</w:t>
            </w:r>
            <w:r>
              <w:rPr/>
              <w:t xml:space="preserve">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Approximately 3 million of our approximately 4.5 million outstanding LTIP awards also include DERs, of which approximately 1 million are currently earned.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rFonts w:ascii="Times New Roman" w:hAnsi="Times New Roman"/>
                <w:sz w:val="14"/>
              </w:rPr>
              <w:t>(4)</w:t>
            </w:r>
            <w:r>
              <w:rPr/>
              <w:t xml:space="preserve">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LTIP units outstanding do not include Class B units described below. </w:t>
            </w:r>
          </w:p>
        </w:tc>
      </w:tr>
    </w:tbl>
    <w:p>
      <w:pPr>
        <w:pStyle w:val="TextBody"/>
        <w:spacing w:before="180" w:after="0"/>
        <w:rPr>
          <w:rFonts w:ascii="Times New Roman" w:hAnsi="Times New Roman"/>
          <w:sz w:val="20"/>
        </w:rPr>
      </w:pPr>
      <w:r>
        <w:rPr>
          <w:rFonts w:ascii="Times New Roman" w:hAnsi="Times New Roman"/>
          <w:sz w:val="20"/>
        </w:rPr>
        <w:t xml:space="preserve">Additionally, at June 30, 2010, the following LTIP awards, denominated in PNG units, were outstanding (units in millions):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68"/>
        <w:gridCol w:w="325"/>
        <w:gridCol w:w="218"/>
        <w:gridCol w:w="1303"/>
        <w:gridCol w:w="217"/>
        <w:gridCol w:w="976"/>
        <w:gridCol w:w="218"/>
        <w:gridCol w:w="976"/>
        <w:gridCol w:w="217"/>
        <w:gridCol w:w="1086"/>
        <w:gridCol w:w="218"/>
        <w:gridCol w:w="976"/>
        <w:gridCol w:w="217"/>
        <w:gridCol w:w="1086"/>
        <w:gridCol w:w="218"/>
        <w:gridCol w:w="1086"/>
      </w:tblGrid>
      <w:tr>
        <w:trPr/>
        <w:tc>
          <w:tcPr>
            <w:tcW w:w="868"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bottom"/>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bottom"/>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bottom"/>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bottom"/>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r>
      <w:tr>
        <w:trPr/>
        <w:tc>
          <w:tcPr>
            <w:tcW w:w="868"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LTIP Units</w:t>
            </w:r>
          </w:p>
        </w:tc>
        <w:tc>
          <w:tcPr>
            <w:tcW w:w="325"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PNG Distribution</w:t>
            </w:r>
          </w:p>
        </w:tc>
        <w:tc>
          <w:tcPr>
            <w:tcW w:w="217" w:type="dxa"/>
            <w:tcBorders/>
            <w:shd w:fill="auto" w:val="clear"/>
            <w:vAlign w:val="bottom"/>
          </w:tcPr>
          <w:p>
            <w:pPr>
              <w:pStyle w:val="TableContents"/>
              <w:spacing w:before="0" w:after="283"/>
              <w:rPr/>
            </w:pPr>
            <w:r>
              <w:rPr/>
              <w:t>  </w:t>
            </w:r>
          </w:p>
        </w:tc>
        <w:tc>
          <w:tcPr>
            <w:tcW w:w="4667" w:type="dxa"/>
            <w:gridSpan w:val="7"/>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rPr/>
            </w:pPr>
            <w:r>
              <w:rPr/>
              <w:t> </w:t>
            </w:r>
          </w:p>
        </w:tc>
      </w:tr>
      <w:tr>
        <w:trPr/>
        <w:tc>
          <w:tcPr>
            <w:tcW w:w="868"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Outstanding</w:t>
            </w:r>
          </w:p>
        </w:tc>
        <w:tc>
          <w:tcPr>
            <w:tcW w:w="325"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303"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Required</w:t>
            </w:r>
          </w:p>
        </w:tc>
        <w:tc>
          <w:tcPr>
            <w:tcW w:w="217" w:type="dxa"/>
            <w:tcBorders/>
            <w:shd w:fill="auto" w:val="clear"/>
            <w:vAlign w:val="bottom"/>
          </w:tcPr>
          <w:p>
            <w:pPr>
              <w:pStyle w:val="TableContents"/>
              <w:spacing w:before="0" w:after="283"/>
              <w:rPr/>
            </w:pPr>
            <w:r>
              <w:rPr/>
              <w:t>  </w:t>
            </w:r>
          </w:p>
        </w:tc>
        <w:tc>
          <w:tcPr>
            <w:tcW w:w="97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218" w:type="dxa"/>
            <w:tcBorders/>
            <w:shd w:fill="auto" w:val="clear"/>
            <w:vAlign w:val="bottom"/>
          </w:tcPr>
          <w:p>
            <w:pPr>
              <w:pStyle w:val="TableContents"/>
              <w:spacing w:before="0" w:after="283"/>
              <w:rPr/>
            </w:pPr>
            <w:r>
              <w:rPr/>
              <w:t>  </w:t>
            </w:r>
          </w:p>
        </w:tc>
        <w:tc>
          <w:tcPr>
            <w:tcW w:w="97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217" w:type="dxa"/>
            <w:tcBorders/>
            <w:shd w:fill="auto" w:val="clear"/>
            <w:vAlign w:val="bottom"/>
          </w:tcPr>
          <w:p>
            <w:pPr>
              <w:pStyle w:val="TableContents"/>
              <w:spacing w:before="0" w:after="283"/>
              <w:rPr/>
            </w:pPr>
            <w:r>
              <w:rPr/>
              <w:t>  </w:t>
            </w:r>
          </w:p>
        </w:tc>
        <w:tc>
          <w:tcPr>
            <w:tcW w:w="108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2012</w:t>
            </w:r>
          </w:p>
        </w:tc>
        <w:tc>
          <w:tcPr>
            <w:tcW w:w="218" w:type="dxa"/>
            <w:tcBorders/>
            <w:shd w:fill="auto" w:val="clear"/>
            <w:vAlign w:val="bottom"/>
          </w:tcPr>
          <w:p>
            <w:pPr>
              <w:pStyle w:val="TableContents"/>
              <w:spacing w:before="0" w:after="283"/>
              <w:rPr/>
            </w:pPr>
            <w:r>
              <w:rPr/>
              <w:t>  </w:t>
            </w:r>
          </w:p>
        </w:tc>
        <w:tc>
          <w:tcPr>
            <w:tcW w:w="97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2013</w:t>
            </w:r>
          </w:p>
        </w:tc>
        <w:tc>
          <w:tcPr>
            <w:tcW w:w="217" w:type="dxa"/>
            <w:tcBorders/>
            <w:shd w:fill="auto" w:val="clear"/>
            <w:vAlign w:val="bottom"/>
          </w:tcPr>
          <w:p>
            <w:pPr>
              <w:pStyle w:val="TableContents"/>
              <w:spacing w:before="0" w:after="283"/>
              <w:rPr/>
            </w:pPr>
            <w:r>
              <w:rPr/>
              <w:t>  </w:t>
            </w:r>
          </w:p>
        </w:tc>
        <w:tc>
          <w:tcPr>
            <w:tcW w:w="108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2014</w:t>
            </w:r>
          </w:p>
        </w:tc>
        <w:tc>
          <w:tcPr>
            <w:tcW w:w="218" w:type="dxa"/>
            <w:tcBorders/>
            <w:shd w:fill="auto" w:val="clear"/>
            <w:vAlign w:val="bottom"/>
          </w:tcPr>
          <w:p>
            <w:pPr>
              <w:pStyle w:val="TableContents"/>
              <w:spacing w:before="0" w:after="283"/>
              <w:rPr/>
            </w:pPr>
            <w:r>
              <w:rPr/>
              <w:t>  </w:t>
            </w:r>
          </w:p>
        </w:tc>
        <w:tc>
          <w:tcPr>
            <w:tcW w:w="108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2015</w:t>
            </w:r>
          </w:p>
        </w:tc>
      </w:tr>
      <w:tr>
        <w:trPr/>
        <w:tc>
          <w:tcPr>
            <w:tcW w:w="868" w:type="dxa"/>
            <w:tcBorders/>
            <w:shd w:fill="CCEEFF" w:val="clear"/>
          </w:tcPr>
          <w:p>
            <w:pPr>
              <w:pStyle w:val="TableContents"/>
              <w:spacing w:before="0" w:after="283"/>
              <w:jc w:val="right"/>
              <w:rPr/>
            </w:pPr>
            <w:r>
              <w:rPr>
                <w:rFonts w:ascii="Times New Roman" w:hAnsi="Times New Roman"/>
                <w:sz w:val="20"/>
              </w:rPr>
              <w:t>0.4</w:t>
            </w:r>
            <w:r>
              <w:rPr/>
              <w:t xml:space="preserve"> </w:t>
            </w:r>
          </w:p>
        </w:tc>
        <w:tc>
          <w:tcPr>
            <w:tcW w:w="325" w:type="dxa"/>
            <w:tcBorders/>
            <w:shd w:fill="CCEEFF" w:val="clear"/>
          </w:tcPr>
          <w:p>
            <w:pPr>
              <w:pStyle w:val="TableContents"/>
              <w:spacing w:before="0" w:after="283"/>
              <w:rPr/>
            </w:pPr>
            <w:r>
              <w:rPr>
                <w:rFonts w:ascii="Times New Roman" w:hAnsi="Times New Roman"/>
                <w:sz w:val="14"/>
              </w:rPr>
              <w:t>(1)</w:t>
            </w:r>
            <w:r>
              <w:rPr/>
              <w:t xml:space="preserve">  </w:t>
            </w:r>
          </w:p>
        </w:tc>
        <w:tc>
          <w:tcPr>
            <w:tcW w:w="218"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$1.55 - $1.90</w:t>
            </w:r>
          </w:p>
        </w:tc>
        <w:tc>
          <w:tcPr>
            <w:tcW w:w="217"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            </w:t>
            </w:r>
            <w:r>
              <w:rPr>
                <w:rFonts w:ascii="Times New Roman" w:hAnsi="Times New Roman"/>
                <w:sz w:val="20"/>
              </w:rPr>
              <w:t></w:t>
            </w:r>
          </w:p>
        </w:tc>
        <w:tc>
          <w:tcPr>
            <w:tcW w:w="218"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            </w:t>
            </w:r>
            <w:r>
              <w:rPr>
                <w:rFonts w:ascii="Times New Roman" w:hAnsi="Times New Roman"/>
                <w:sz w:val="20"/>
              </w:rPr>
              <w:t></w:t>
            </w:r>
          </w:p>
        </w:tc>
        <w:tc>
          <w:tcPr>
            <w:tcW w:w="217"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            </w:t>
            </w:r>
            <w:r>
              <w:rPr>
                <w:rFonts w:ascii="Times New Roman" w:hAnsi="Times New Roman"/>
                <w:sz w:val="20"/>
              </w:rPr>
              <w:t>0.1</w:t>
            </w:r>
          </w:p>
        </w:tc>
        <w:tc>
          <w:tcPr>
            <w:tcW w:w="218"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            </w:t>
            </w:r>
            <w:r>
              <w:rPr>
                <w:rFonts w:ascii="Times New Roman" w:hAnsi="Times New Roman"/>
                <w:sz w:val="20"/>
              </w:rPr>
              <w:t></w:t>
            </w:r>
          </w:p>
        </w:tc>
        <w:tc>
          <w:tcPr>
            <w:tcW w:w="217"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            </w:t>
            </w:r>
            <w:r>
              <w:rPr>
                <w:rFonts w:ascii="Times New Roman" w:hAnsi="Times New Roman"/>
                <w:sz w:val="20"/>
              </w:rPr>
              <w:t>0.1</w:t>
            </w:r>
          </w:p>
        </w:tc>
        <w:tc>
          <w:tcPr>
            <w:tcW w:w="218"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            </w:t>
            </w:r>
            <w:r>
              <w:rPr>
                <w:rFonts w:ascii="Times New Roman" w:hAnsi="Times New Roman"/>
                <w:sz w:val="20"/>
              </w:rPr>
              <w:t>0.2</w:t>
            </w:r>
          </w:p>
        </w:tc>
      </w:tr>
      <w:tr>
        <w:trPr/>
        <w:tc>
          <w:tcPr>
            <w:tcW w:w="868" w:type="dxa"/>
            <w:tcBorders/>
            <w:shd w:fill="auto" w:val="clear"/>
          </w:tcPr>
          <w:p>
            <w:pPr>
              <w:pStyle w:val="TableContents"/>
              <w:spacing w:before="0" w:after="283"/>
              <w:jc w:val="right"/>
              <w:rPr/>
            </w:pPr>
            <w:r>
              <w:rPr>
                <w:rFonts w:ascii="Times New Roman" w:hAnsi="Times New Roman"/>
                <w:sz w:val="20"/>
              </w:rPr>
              <w:t>0.3</w:t>
            </w:r>
            <w:r>
              <w:rPr/>
              <w:t xml:space="preserve"> </w:t>
            </w:r>
          </w:p>
        </w:tc>
        <w:tc>
          <w:tcPr>
            <w:tcW w:w="325" w:type="dxa"/>
            <w:tcBorders/>
            <w:shd w:fill="auto" w:val="clear"/>
          </w:tcPr>
          <w:p>
            <w:pPr>
              <w:pStyle w:val="TableContents"/>
              <w:spacing w:before="0" w:after="283"/>
              <w:rPr/>
            </w:pPr>
            <w:r>
              <w:rPr>
                <w:rFonts w:ascii="Times New Roman" w:hAnsi="Times New Roman"/>
                <w:sz w:val="14"/>
              </w:rPr>
              <w:t>(2)</w:t>
            </w:r>
            <w:r>
              <w:rPr/>
              <w:t xml:space="preserve">  </w:t>
            </w:r>
          </w:p>
        </w:tc>
        <w:tc>
          <w:tcPr>
            <w:tcW w:w="218"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Other</w:t>
            </w:r>
          </w:p>
        </w:tc>
        <w:tc>
          <w:tcPr>
            <w:tcW w:w="217"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8"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217"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218"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217"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18"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868" w:type="dxa"/>
            <w:tcBorders>
              <w:top w:val="single" w:sz="2" w:space="0" w:color="000000"/>
            </w:tcBorders>
            <w:shd w:fill="auto" w:val="clear"/>
            <w:tcMar>
              <w:top w:w="28" w:type="dxa"/>
            </w:tcMar>
            <w:vAlign w:val="bottom"/>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pPr>
            <w:r>
              <w:rPr/>
              <w:t>  </w:t>
            </w:r>
          </w:p>
        </w:tc>
        <w:tc>
          <w:tcPr>
            <w:tcW w:w="976" w:type="dxa"/>
            <w:tcBorders>
              <w:top w:val="single" w:sz="2" w:space="0" w:color="000000"/>
            </w:tcBorders>
            <w:shd w:fill="auto" w:val="clear"/>
            <w:tcMar>
              <w:top w:w="28" w:type="dxa"/>
            </w:tcM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976" w:type="dxa"/>
            <w:tcBorders>
              <w:top w:val="single" w:sz="2" w:space="0" w:color="000000"/>
            </w:tcBorders>
            <w:shd w:fill="auto" w:val="clear"/>
            <w:tcMar>
              <w:top w:w="28" w:type="dxa"/>
            </w:tcM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86" w:type="dxa"/>
            <w:tcBorders>
              <w:top w:val="single" w:sz="2" w:space="0" w:color="000000"/>
            </w:tcBorders>
            <w:shd w:fill="auto" w:val="clear"/>
            <w:tcMar>
              <w:top w:w="28" w:type="dxa"/>
            </w:tcM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976" w:type="dxa"/>
            <w:tcBorders>
              <w:top w:val="single" w:sz="2" w:space="0" w:color="000000"/>
            </w:tcBorders>
            <w:shd w:fill="auto" w:val="clear"/>
            <w:tcMar>
              <w:top w:w="28" w:type="dxa"/>
            </w:tcM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86" w:type="dxa"/>
            <w:tcBorders>
              <w:top w:val="single" w:sz="2" w:space="0" w:color="000000"/>
            </w:tcBorders>
            <w:shd w:fill="auto" w:val="clear"/>
            <w:tcMar>
              <w:top w:w="28" w:type="dxa"/>
            </w:tcM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086"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868" w:type="dxa"/>
            <w:tcBorders/>
            <w:shd w:fill="CCEEFF" w:val="clear"/>
          </w:tcPr>
          <w:p>
            <w:pPr>
              <w:pStyle w:val="TableContents"/>
              <w:spacing w:before="0" w:after="283"/>
              <w:jc w:val="right"/>
              <w:rPr/>
            </w:pPr>
            <w:r>
              <w:rPr>
                <w:rFonts w:ascii="Times New Roman" w:hAnsi="Times New Roman"/>
                <w:sz w:val="20"/>
              </w:rPr>
              <w:t>0.7</w:t>
            </w:r>
            <w:r>
              <w:rPr/>
              <w:t xml:space="preserve"> </w:t>
            </w:r>
          </w:p>
        </w:tc>
        <w:tc>
          <w:tcPr>
            <w:tcW w:w="325" w:type="dxa"/>
            <w:tcBorders/>
            <w:shd w:fill="CCEEFF" w:val="clear"/>
          </w:tcPr>
          <w:p>
            <w:pPr>
              <w:pStyle w:val="TableContents"/>
              <w:spacing w:before="0" w:after="283"/>
              <w:rPr/>
            </w:pPr>
            <w:r>
              <w:rPr>
                <w:rFonts w:ascii="Times New Roman" w:hAnsi="Times New Roman"/>
                <w:sz w:val="14"/>
              </w:rPr>
              <w:t>(3)</w:t>
            </w:r>
            <w:r>
              <w:rPr/>
              <w:t xml:space="preserve">  </w:t>
            </w:r>
          </w:p>
        </w:tc>
        <w:tc>
          <w:tcPr>
            <w:tcW w:w="218"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rPr>
                <w:sz w:val="4"/>
                <w:szCs w:val="4"/>
              </w:rPr>
            </w:pPr>
            <w:r>
              <w:rPr>
                <w:sz w:val="4"/>
                <w:szCs w:val="4"/>
              </w:rPr>
            </w:r>
          </w:p>
        </w:tc>
        <w:tc>
          <w:tcPr>
            <w:tcW w:w="217"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8"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217"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218"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217"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218"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r>
      <w:tr>
        <w:trPr/>
        <w:tc>
          <w:tcPr>
            <w:tcW w:w="868" w:type="dxa"/>
            <w:tcBorders>
              <w:top w:val="double" w:sz="6" w:space="0" w:color="000000"/>
            </w:tcBorders>
            <w:shd w:fill="auto" w:val="clear"/>
            <w:tcMar>
              <w:top w:w="28" w:type="dxa"/>
            </w:tcMar>
            <w:vAlign w:val="bottom"/>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pPr>
            <w:r>
              <w:rPr/>
              <w:t>  </w:t>
            </w:r>
          </w:p>
        </w:tc>
        <w:tc>
          <w:tcPr>
            <w:tcW w:w="976" w:type="dxa"/>
            <w:tcBorders>
              <w:top w:val="double" w:sz="6" w:space="0" w:color="000000"/>
            </w:tcBorders>
            <w:shd w:fill="auto" w:val="clear"/>
            <w:tcMar>
              <w:top w:w="28" w:type="dxa"/>
            </w:tcM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976" w:type="dxa"/>
            <w:tcBorders>
              <w:top w:val="double" w:sz="6" w:space="0" w:color="000000"/>
            </w:tcBorders>
            <w:shd w:fill="auto" w:val="clear"/>
            <w:tcMar>
              <w:top w:w="28" w:type="dxa"/>
            </w:tcM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86" w:type="dxa"/>
            <w:tcBorders>
              <w:top w:val="double" w:sz="6" w:space="0" w:color="000000"/>
            </w:tcBorders>
            <w:shd w:fill="auto" w:val="clear"/>
            <w:tcMar>
              <w:top w:w="28" w:type="dxa"/>
            </w:tcM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976" w:type="dxa"/>
            <w:tcBorders>
              <w:top w:val="double" w:sz="6" w:space="0" w:color="000000"/>
            </w:tcBorders>
            <w:shd w:fill="auto" w:val="clear"/>
            <w:tcMar>
              <w:top w:w="28" w:type="dxa"/>
            </w:tcM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86" w:type="dxa"/>
            <w:tcBorders>
              <w:top w:val="double" w:sz="6" w:space="0" w:color="000000"/>
            </w:tcBorders>
            <w:shd w:fill="auto" w:val="clear"/>
            <w:tcMar>
              <w:top w:w="28" w:type="dxa"/>
            </w:tcM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086"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pBdr>
          <w:bottom w:val="single" w:sz="16"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rFonts w:ascii="Times New Roman" w:hAnsi="Times New Roman"/>
                <w:sz w:val="14"/>
              </w:rPr>
              <w:t>(1</w:t>
            </w:r>
            <w:r>
              <w:rPr>
                <w:rFonts w:ascii="Times New Roman" w:hAnsi="Times New Roman"/>
                <w:sz w:val="20"/>
              </w:rPr>
              <w:t xml:space="preserve">)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These LTIP awards have performance conditions requiring the attainment of an annualized PNG distribution of between $1.55 and $1.90 and vest upon the later of a certain date or the attainment of such levels. For purposes of this disclosure, vesting dates are based on an estimate of future distribution levels and assume that all grantees remain employed by us through the vesting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rFonts w:ascii="Times New Roman" w:hAnsi="Times New Roman"/>
                <w:sz w:val="14"/>
              </w:rPr>
              <w:t>(2)</w:t>
            </w:r>
            <w:r>
              <w:rPr/>
              <w:t xml:space="preserve"> </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These LTIP awards have performance conditions requiring the conversion of PNGs Series A and Series B subordinated units (see Note 7). For purposes of this disclosure, vesting dates are based on an estimate of future distribution levels and assume that all grantees remain employed by us through the vesting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rFonts w:ascii="Times New Roman" w:hAnsi="Times New Roman"/>
                <w:sz w:val="14"/>
              </w:rPr>
              <w:t>(3)</w:t>
            </w:r>
            <w:r>
              <w:rPr/>
              <w:t xml:space="preserve">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Approximately 0.3 million of these LTIP awards also include DERs, of which none are currently earned. </w:t>
            </w:r>
          </w:p>
        </w:tc>
      </w:tr>
    </w:tbl>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rPr>
                <w:sz w:val="4"/>
                <w:szCs w:val="4"/>
              </w:rPr>
            </w:pPr>
            <w:r>
              <w:rPr>
                <w:sz w:val="4"/>
                <w:szCs w:val="4"/>
              </w:rPr>
            </w:r>
          </w:p>
        </w:tc>
      </w:tr>
    </w:tbl>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Our LTIP activity for awards denominated in PAA and PNG units is summarized in the following table (units in millions):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922"/>
        <w:gridCol w:w="177"/>
        <w:gridCol w:w="1601"/>
        <w:gridCol w:w="125"/>
        <w:gridCol w:w="138"/>
        <w:gridCol w:w="125"/>
        <w:gridCol w:w="1452"/>
        <w:gridCol w:w="177"/>
        <w:gridCol w:w="1729"/>
        <w:gridCol w:w="177"/>
        <w:gridCol w:w="125"/>
        <w:gridCol w:w="1457"/>
      </w:tblGrid>
      <w:tr>
        <w:trPr/>
        <w:tc>
          <w:tcPr>
            <w:tcW w:w="2922"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160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172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457" w:type="dxa"/>
            <w:tcBorders/>
            <w:shd w:fill="auto" w:val="clear"/>
            <w:vAlign w:val="center"/>
          </w:tcPr>
          <w:p>
            <w:pPr>
              <w:pStyle w:val="TableContents"/>
              <w:spacing w:before="0" w:after="283"/>
              <w:rPr>
                <w:sz w:val="4"/>
                <w:szCs w:val="4"/>
              </w:rPr>
            </w:pPr>
            <w:r>
              <w:rPr>
                <w:sz w:val="4"/>
                <w:szCs w:val="4"/>
              </w:rPr>
            </w:r>
          </w:p>
        </w:tc>
      </w:tr>
      <w:tr>
        <w:trPr/>
        <w:tc>
          <w:tcPr>
            <w:tcW w:w="292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3441"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PAA Units</w:t>
            </w:r>
          </w:p>
        </w:tc>
        <w:tc>
          <w:tcPr>
            <w:tcW w:w="177" w:type="dxa"/>
            <w:tcBorders/>
            <w:shd w:fill="auto" w:val="clear"/>
            <w:vAlign w:val="bottom"/>
          </w:tcPr>
          <w:p>
            <w:pPr>
              <w:pStyle w:val="TableContents"/>
              <w:spacing w:before="0" w:after="283"/>
              <w:rPr/>
            </w:pPr>
            <w:r>
              <w:rPr/>
              <w:t>  </w:t>
            </w:r>
          </w:p>
        </w:tc>
        <w:tc>
          <w:tcPr>
            <w:tcW w:w="3488" w:type="dxa"/>
            <w:gridSpan w:val="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PNG Units</w:t>
            </w:r>
          </w:p>
        </w:tc>
      </w:tr>
      <w:tr>
        <w:trPr/>
        <w:tc>
          <w:tcPr>
            <w:tcW w:w="292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60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Units</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577"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Weighted Average</w:t>
              <w:br/>
              <w:t>Grant Date</w:t>
            </w:r>
            <w:r>
              <w:rPr/>
              <w:br/>
            </w:r>
            <w:r>
              <w:rPr>
                <w:rFonts w:ascii="Times New Roman" w:hAnsi="Times New Roman"/>
                <w:b/>
                <w:sz w:val="14"/>
              </w:rPr>
              <w:t>Fair Value per Unit</w:t>
            </w:r>
          </w:p>
        </w:tc>
        <w:tc>
          <w:tcPr>
            <w:tcW w:w="177" w:type="dxa"/>
            <w:tcBorders/>
            <w:shd w:fill="auto" w:val="clear"/>
            <w:vAlign w:val="bottom"/>
          </w:tcPr>
          <w:p>
            <w:pPr>
              <w:pStyle w:val="TableContents"/>
              <w:spacing w:before="0" w:after="283"/>
              <w:rPr/>
            </w:pPr>
            <w:r>
              <w:rPr/>
              <w:t>  </w:t>
            </w:r>
          </w:p>
        </w:tc>
        <w:tc>
          <w:tcPr>
            <w:tcW w:w="1729"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Units</w:t>
            </w:r>
          </w:p>
        </w:tc>
        <w:tc>
          <w:tcPr>
            <w:tcW w:w="177" w:type="dxa"/>
            <w:tcBorders/>
            <w:shd w:fill="auto" w:val="clear"/>
            <w:vAlign w:val="bottom"/>
          </w:tcPr>
          <w:p>
            <w:pPr>
              <w:pStyle w:val="TableContents"/>
              <w:spacing w:before="0" w:after="283"/>
              <w:rPr/>
            </w:pPr>
            <w:r>
              <w:rPr/>
              <w:t>  </w:t>
            </w:r>
          </w:p>
        </w:tc>
        <w:tc>
          <w:tcPr>
            <w:tcW w:w="1582"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Weighted Average</w:t>
              <w:br/>
              <w:t>Grant Date</w:t>
            </w:r>
            <w:r>
              <w:rPr/>
              <w:br/>
            </w:r>
            <w:r>
              <w:rPr>
                <w:rFonts w:ascii="Times New Roman" w:hAnsi="Times New Roman"/>
                <w:b/>
                <w:sz w:val="14"/>
              </w:rPr>
              <w:t>Fair Value per Unit</w:t>
            </w:r>
          </w:p>
        </w:tc>
      </w:tr>
      <w:tr>
        <w:trPr/>
        <w:tc>
          <w:tcPr>
            <w:tcW w:w="2922" w:type="dxa"/>
            <w:tcBorders/>
            <w:shd w:fill="CCEEFF" w:val="clear"/>
          </w:tcPr>
          <w:p>
            <w:pPr>
              <w:pStyle w:val="TableContents"/>
              <w:spacing w:before="0" w:after="283"/>
              <w:rPr>
                <w:rFonts w:ascii="Times New Roman" w:hAnsi="Times New Roman"/>
                <w:sz w:val="20"/>
              </w:rPr>
            </w:pPr>
            <w:r>
              <w:rPr>
                <w:rFonts w:ascii="Times New Roman" w:hAnsi="Times New Roman"/>
                <w:sz w:val="20"/>
              </w:rPr>
              <w:t>Outstanding, December 31, 2009</w:t>
            </w:r>
          </w:p>
        </w:tc>
        <w:tc>
          <w:tcPr>
            <w:tcW w:w="177" w:type="dxa"/>
            <w:tcBorders/>
            <w:shd w:fill="CCEEFF" w:val="clear"/>
            <w:vAlign w:val="bottom"/>
          </w:tcPr>
          <w:p>
            <w:pPr>
              <w:pStyle w:val="TableContents"/>
              <w:spacing w:before="0" w:after="283"/>
              <w:rPr/>
            </w:pPr>
            <w:r>
              <w:rPr/>
              <w:t>  </w:t>
            </w:r>
          </w:p>
        </w:tc>
        <w:tc>
          <w:tcPr>
            <w:tcW w:w="1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36.40</w:t>
            </w:r>
          </w:p>
        </w:tc>
        <w:tc>
          <w:tcPr>
            <w:tcW w:w="177" w:type="dxa"/>
            <w:tcBorders/>
            <w:shd w:fill="CCEEFF" w:val="clear"/>
            <w:vAlign w:val="bottom"/>
          </w:tcPr>
          <w:p>
            <w:pPr>
              <w:pStyle w:val="TableContents"/>
              <w:spacing w:before="0" w:after="283"/>
              <w:rPr/>
            </w:pPr>
            <w:r>
              <w:rPr/>
              <w:t>  </w:t>
            </w:r>
          </w:p>
        </w:tc>
        <w:tc>
          <w:tcPr>
            <w:tcW w:w="1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2922" w:type="dxa"/>
            <w:tcBorders/>
            <w:shd w:fill="auto" w:val="clear"/>
          </w:tcPr>
          <w:p>
            <w:pPr>
              <w:pStyle w:val="TableContents"/>
              <w:spacing w:before="0" w:after="283"/>
              <w:rPr>
                <w:rFonts w:ascii="Times New Roman" w:hAnsi="Times New Roman"/>
                <w:sz w:val="20"/>
              </w:rPr>
            </w:pPr>
            <w:r>
              <w:rPr>
                <w:rFonts w:ascii="Times New Roman" w:hAnsi="Times New Roman"/>
                <w:sz w:val="20"/>
              </w:rPr>
              <w:t>Granted</w:t>
            </w:r>
          </w:p>
        </w:tc>
        <w:tc>
          <w:tcPr>
            <w:tcW w:w="177" w:type="dxa"/>
            <w:tcBorders/>
            <w:shd w:fill="auto" w:val="clear"/>
            <w:vAlign w:val="bottom"/>
          </w:tcPr>
          <w:p>
            <w:pPr>
              <w:pStyle w:val="TableContents"/>
              <w:spacing w:before="0" w:after="283"/>
              <w:rPr/>
            </w:pPr>
            <w:r>
              <w:rPr/>
              <w:t>  </w:t>
            </w:r>
          </w:p>
        </w:tc>
        <w:tc>
          <w:tcPr>
            <w:tcW w:w="1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42.39</w:t>
            </w:r>
          </w:p>
        </w:tc>
        <w:tc>
          <w:tcPr>
            <w:tcW w:w="177" w:type="dxa"/>
            <w:tcBorders/>
            <w:shd w:fill="auto" w:val="clear"/>
            <w:vAlign w:val="bottom"/>
          </w:tcPr>
          <w:p>
            <w:pPr>
              <w:pStyle w:val="TableContents"/>
              <w:spacing w:before="0" w:after="283"/>
              <w:rPr/>
            </w:pPr>
            <w:r>
              <w:rPr/>
              <w:t>  </w:t>
            </w:r>
          </w:p>
        </w:tc>
        <w:tc>
          <w:tcPr>
            <w:tcW w:w="1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1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19.72</w:t>
            </w:r>
          </w:p>
        </w:tc>
      </w:tr>
      <w:tr>
        <w:trPr/>
        <w:tc>
          <w:tcPr>
            <w:tcW w:w="2922" w:type="dxa"/>
            <w:tcBorders/>
            <w:shd w:fill="CCEEFF" w:val="clear"/>
          </w:tcPr>
          <w:p>
            <w:pPr>
              <w:pStyle w:val="TableContents"/>
              <w:spacing w:before="0" w:after="283"/>
              <w:rPr>
                <w:rFonts w:ascii="Times New Roman" w:hAnsi="Times New Roman"/>
                <w:sz w:val="20"/>
              </w:rPr>
            </w:pPr>
            <w:r>
              <w:rPr>
                <w:rFonts w:ascii="Times New Roman" w:hAnsi="Times New Roman"/>
                <w:sz w:val="20"/>
              </w:rPr>
              <w:t>Vested</w:t>
            </w:r>
          </w:p>
        </w:tc>
        <w:tc>
          <w:tcPr>
            <w:tcW w:w="177" w:type="dxa"/>
            <w:tcBorders/>
            <w:shd w:fill="CCEEFF" w:val="clear"/>
            <w:vAlign w:val="bottom"/>
          </w:tcPr>
          <w:p>
            <w:pPr>
              <w:pStyle w:val="TableContents"/>
              <w:spacing w:before="0" w:after="283"/>
              <w:rPr/>
            </w:pPr>
            <w:r>
              <w:rPr/>
              <w:t>  </w:t>
            </w:r>
          </w:p>
        </w:tc>
        <w:tc>
          <w:tcPr>
            <w:tcW w:w="1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34.67</w:t>
            </w:r>
          </w:p>
        </w:tc>
        <w:tc>
          <w:tcPr>
            <w:tcW w:w="177" w:type="dxa"/>
            <w:tcBorders/>
            <w:shd w:fill="CCEEFF" w:val="clear"/>
            <w:vAlign w:val="bottom"/>
          </w:tcPr>
          <w:p>
            <w:pPr>
              <w:pStyle w:val="TableContents"/>
              <w:spacing w:before="0" w:after="283"/>
              <w:rPr/>
            </w:pPr>
            <w:r>
              <w:rPr/>
              <w:t>  </w:t>
            </w:r>
          </w:p>
        </w:tc>
        <w:tc>
          <w:tcPr>
            <w:tcW w:w="1729" w:type="dxa"/>
            <w:tcBorders/>
            <w:shd w:fill="CCEEFF" w:val="clear"/>
            <w:vAlign w:val="bottom"/>
          </w:tcPr>
          <w:p>
            <w:pPr>
              <w:pStyle w:val="TableContents"/>
              <w:spacing w:before="0" w:after="283"/>
              <w:rPr>
                <w:sz w:val="4"/>
                <w:szCs w:val="4"/>
              </w:rPr>
            </w:pPr>
            <w:r>
              <w:rPr>
                <w:sz w:val="4"/>
                <w:szCs w:val="4"/>
              </w:rPr>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57" w:type="dxa"/>
            <w:tcBorders/>
            <w:shd w:fill="CCEEFF" w:val="clear"/>
            <w:vAlign w:val="bottom"/>
          </w:tcPr>
          <w:p>
            <w:pPr>
              <w:pStyle w:val="TableContents"/>
              <w:spacing w:before="0" w:after="283"/>
              <w:jc w:val="right"/>
              <w:rPr/>
            </w:pPr>
            <w:r>
              <w:rPr/>
              <w:t> </w:t>
            </w:r>
          </w:p>
        </w:tc>
      </w:tr>
      <w:tr>
        <w:trPr/>
        <w:tc>
          <w:tcPr>
            <w:tcW w:w="2922" w:type="dxa"/>
            <w:tcBorders/>
            <w:shd w:fill="auto" w:val="clear"/>
          </w:tcPr>
          <w:p>
            <w:pPr>
              <w:pStyle w:val="TableContents"/>
              <w:spacing w:before="0" w:after="283"/>
              <w:rPr>
                <w:rFonts w:ascii="Times New Roman" w:hAnsi="Times New Roman"/>
                <w:sz w:val="20"/>
              </w:rPr>
            </w:pPr>
            <w:r>
              <w:rPr>
                <w:rFonts w:ascii="Times New Roman" w:hAnsi="Times New Roman"/>
                <w:sz w:val="20"/>
              </w:rPr>
              <w:t>Cancelled or forfeited</w:t>
            </w:r>
          </w:p>
        </w:tc>
        <w:tc>
          <w:tcPr>
            <w:tcW w:w="177" w:type="dxa"/>
            <w:tcBorders/>
            <w:shd w:fill="auto" w:val="clear"/>
            <w:vAlign w:val="bottom"/>
          </w:tcPr>
          <w:p>
            <w:pPr>
              <w:pStyle w:val="TableContents"/>
              <w:spacing w:before="0" w:after="283"/>
              <w:rPr/>
            </w:pPr>
            <w:r>
              <w:rPr/>
              <w:t>  </w:t>
            </w:r>
          </w:p>
        </w:tc>
        <w:tc>
          <w:tcPr>
            <w:tcW w:w="1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33.53</w:t>
            </w:r>
          </w:p>
        </w:tc>
        <w:tc>
          <w:tcPr>
            <w:tcW w:w="177" w:type="dxa"/>
            <w:tcBorders/>
            <w:shd w:fill="auto" w:val="clear"/>
            <w:vAlign w:val="bottom"/>
          </w:tcPr>
          <w:p>
            <w:pPr>
              <w:pStyle w:val="TableContents"/>
              <w:spacing w:before="0" w:after="283"/>
              <w:rPr/>
            </w:pPr>
            <w:r>
              <w:rPr/>
              <w:t>  </w:t>
            </w:r>
          </w:p>
        </w:tc>
        <w:tc>
          <w:tcPr>
            <w:tcW w:w="1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2922" w:type="dxa"/>
            <w:tcBorders/>
            <w:shd w:fill="auto" w:val="clear"/>
            <w:vAlign w:val="bottom"/>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pPr>
            <w:r>
              <w:rPr/>
              <w:t>  </w:t>
            </w:r>
          </w:p>
        </w:tc>
        <w:tc>
          <w:tcPr>
            <w:tcW w:w="160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452" w:type="dxa"/>
            <w:tcBorders/>
            <w:shd w:fill="auto" w:val="clear"/>
            <w:vAlign w:val="bottom"/>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pPr>
            <w:r>
              <w:rPr/>
              <w:t>  </w:t>
            </w:r>
          </w:p>
        </w:tc>
        <w:tc>
          <w:tcPr>
            <w:tcW w:w="1729" w:type="dxa"/>
            <w:tcBorders>
              <w:top w:val="single" w:sz="2" w:space="0" w:color="000000"/>
            </w:tcBorders>
            <w:shd w:fill="auto" w:val="clear"/>
            <w:tcMar>
              <w:top w:w="28" w:type="dxa"/>
            </w:tcM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457" w:type="dxa"/>
            <w:tcBorders/>
            <w:shd w:fill="auto" w:val="clear"/>
            <w:vAlign w:val="bottom"/>
          </w:tcPr>
          <w:p>
            <w:pPr>
              <w:pStyle w:val="TableContents"/>
              <w:spacing w:before="0" w:after="283"/>
              <w:rPr>
                <w:sz w:val="4"/>
                <w:szCs w:val="4"/>
              </w:rPr>
            </w:pPr>
            <w:r>
              <w:rPr>
                <w:sz w:val="4"/>
                <w:szCs w:val="4"/>
              </w:rPr>
            </w:r>
          </w:p>
        </w:tc>
      </w:tr>
      <w:tr>
        <w:trPr/>
        <w:tc>
          <w:tcPr>
            <w:tcW w:w="2922" w:type="dxa"/>
            <w:tcBorders/>
            <w:shd w:fill="CCEEFF" w:val="clear"/>
          </w:tcPr>
          <w:p>
            <w:pPr>
              <w:pStyle w:val="TableContents"/>
              <w:spacing w:before="0" w:after="283"/>
              <w:rPr/>
            </w:pPr>
            <w:r>
              <w:rPr>
                <w:rFonts w:ascii="Times New Roman" w:hAnsi="Times New Roman"/>
                <w:sz w:val="20"/>
              </w:rPr>
              <w:t xml:space="preserve">Outstanding, June 30, 2010 </w:t>
            </w:r>
            <w:r>
              <w:rPr>
                <w:rFonts w:ascii="Times New Roman" w:hAnsi="Times New Roman"/>
                <w:sz w:val="14"/>
              </w:rPr>
              <w:t>(1) (2)</w:t>
            </w:r>
          </w:p>
        </w:tc>
        <w:tc>
          <w:tcPr>
            <w:tcW w:w="177" w:type="dxa"/>
            <w:tcBorders/>
            <w:shd w:fill="CCEEFF" w:val="clear"/>
            <w:vAlign w:val="bottom"/>
          </w:tcPr>
          <w:p>
            <w:pPr>
              <w:pStyle w:val="TableContents"/>
              <w:spacing w:before="0" w:after="283"/>
              <w:rPr/>
            </w:pPr>
            <w:r>
              <w:rPr/>
              <w:t>  </w:t>
            </w:r>
          </w:p>
        </w:tc>
        <w:tc>
          <w:tcPr>
            <w:tcW w:w="1601" w:type="dxa"/>
            <w:tcBorders/>
            <w:shd w:fill="CCEEFF" w:val="clear"/>
            <w:vAlign w:val="bottom"/>
          </w:tcPr>
          <w:p>
            <w:pPr>
              <w:pStyle w:val="TableContents"/>
              <w:spacing w:before="0" w:after="283"/>
              <w:jc w:val="right"/>
              <w:rPr/>
            </w:pPr>
            <w:r>
              <w:rPr/>
              <w:t>                      </w:t>
            </w:r>
            <w:r>
              <w:rPr>
                <w:rFonts w:ascii="Times New Roman" w:hAnsi="Times New Roman"/>
                <w:sz w:val="20"/>
              </w:rPr>
              <w:t>4.5</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52" w:type="dxa"/>
            <w:tcBorders/>
            <w:shd w:fill="CCEEFF" w:val="clear"/>
            <w:vAlign w:val="bottom"/>
          </w:tcPr>
          <w:p>
            <w:pPr>
              <w:pStyle w:val="TableContents"/>
              <w:spacing w:before="0" w:after="283"/>
              <w:jc w:val="right"/>
              <w:rPr/>
            </w:pPr>
            <w:r>
              <w:rPr/>
              <w:t>                </w:t>
            </w:r>
            <w:r>
              <w:rPr>
                <w:rFonts w:ascii="Times New Roman" w:hAnsi="Times New Roman"/>
                <w:sz w:val="20"/>
              </w:rPr>
              <w:t>38.93</w:t>
            </w:r>
          </w:p>
        </w:tc>
        <w:tc>
          <w:tcPr>
            <w:tcW w:w="177" w:type="dxa"/>
            <w:tcBorders/>
            <w:shd w:fill="CCEEFF" w:val="clear"/>
            <w:vAlign w:val="bottom"/>
          </w:tcPr>
          <w:p>
            <w:pPr>
              <w:pStyle w:val="TableContents"/>
              <w:spacing w:before="0" w:after="283"/>
              <w:rPr/>
            </w:pPr>
            <w:r>
              <w:rPr/>
              <w:t>  </w:t>
            </w:r>
          </w:p>
        </w:tc>
        <w:tc>
          <w:tcPr>
            <w:tcW w:w="1729" w:type="dxa"/>
            <w:tcBorders/>
            <w:shd w:fill="CCEEFF" w:val="clear"/>
            <w:vAlign w:val="bottom"/>
          </w:tcPr>
          <w:p>
            <w:pPr>
              <w:pStyle w:val="TableContents"/>
              <w:spacing w:before="0" w:after="283"/>
              <w:jc w:val="right"/>
              <w:rPr/>
            </w:pPr>
            <w:r>
              <w:rPr/>
              <w:t>                        </w:t>
            </w:r>
            <w:r>
              <w:rPr>
                <w:rFonts w:ascii="Times New Roman" w:hAnsi="Times New Roman"/>
                <w:sz w:val="20"/>
              </w:rPr>
              <w:t>0.7</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57" w:type="dxa"/>
            <w:tcBorders/>
            <w:shd w:fill="CCEEFF" w:val="clear"/>
            <w:vAlign w:val="bottom"/>
          </w:tcPr>
          <w:p>
            <w:pPr>
              <w:pStyle w:val="TableContents"/>
              <w:spacing w:before="0" w:after="283"/>
              <w:jc w:val="right"/>
              <w:rPr/>
            </w:pPr>
            <w:r>
              <w:rPr/>
              <w:t>                </w:t>
            </w:r>
            <w:r>
              <w:rPr>
                <w:rFonts w:ascii="Times New Roman" w:hAnsi="Times New Roman"/>
                <w:sz w:val="20"/>
              </w:rPr>
              <w:t>19.72</w:t>
            </w:r>
          </w:p>
        </w:tc>
      </w:tr>
      <w:tr>
        <w:trPr/>
        <w:tc>
          <w:tcPr>
            <w:tcW w:w="2922" w:type="dxa"/>
            <w:tcBorders/>
            <w:shd w:fill="auto" w:val="clear"/>
            <w:vAlign w:val="bottom"/>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pPr>
            <w:r>
              <w:rPr/>
              <w:t>  </w:t>
            </w:r>
          </w:p>
        </w:tc>
        <w:tc>
          <w:tcPr>
            <w:tcW w:w="1601"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452" w:type="dxa"/>
            <w:tcBorders/>
            <w:shd w:fill="auto" w:val="clear"/>
            <w:vAlign w:val="bottom"/>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pPr>
            <w:r>
              <w:rPr/>
              <w:t>  </w:t>
            </w:r>
          </w:p>
        </w:tc>
        <w:tc>
          <w:tcPr>
            <w:tcW w:w="1729" w:type="dxa"/>
            <w:tcBorders>
              <w:top w:val="double" w:sz="6" w:space="0" w:color="000000"/>
            </w:tcBorders>
            <w:shd w:fill="auto" w:val="clear"/>
            <w:tcMar>
              <w:top w:w="28" w:type="dxa"/>
            </w:tcM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457" w:type="dxa"/>
            <w:tcBorders/>
            <w:shd w:fill="auto" w:val="clear"/>
            <w:vAlign w:val="bottom"/>
          </w:tcPr>
          <w:p>
            <w:pPr>
              <w:pStyle w:val="TableContents"/>
              <w:spacing w:before="0" w:after="283"/>
              <w:rPr>
                <w:sz w:val="4"/>
                <w:szCs w:val="4"/>
              </w:rPr>
            </w:pPr>
            <w:r>
              <w:rPr>
                <w:sz w:val="4"/>
                <w:szCs w:val="4"/>
              </w:rPr>
            </w:r>
          </w:p>
        </w:tc>
      </w:tr>
    </w:tbl>
    <w:p>
      <w:pPr>
        <w:pStyle w:val="TextBody"/>
        <w:pBdr>
          <w:bottom w:val="single" w:sz="16"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rFonts w:ascii="Times New Roman" w:hAnsi="Times New Roman"/>
                <w:sz w:val="14"/>
              </w:rPr>
              <w:t>(1)</w:t>
            </w:r>
            <w:r>
              <w:rPr/>
              <w:t xml:space="preserve">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PAA includes approximately 1 million equity classified awards.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rFonts w:ascii="Times New Roman" w:hAnsi="Times New Roman"/>
                <w:sz w:val="14"/>
              </w:rPr>
              <w:t>(2)</w:t>
            </w:r>
            <w:r>
              <w:rPr/>
              <w:t xml:space="preserve">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majority of the PNG awards are equity classified. </w:t>
            </w:r>
          </w:p>
        </w:tc>
      </w:tr>
    </w:tbl>
    <w:p>
      <w:pPr>
        <w:pStyle w:val="TextBody"/>
        <w:spacing w:before="180" w:after="0"/>
        <w:rPr>
          <w:rFonts w:ascii="Times New Roman" w:hAnsi="Times New Roman"/>
          <w:sz w:val="20"/>
        </w:rPr>
      </w:pPr>
      <w:r>
        <w:rPr>
          <w:rFonts w:ascii="Times New Roman" w:hAnsi="Times New Roman"/>
          <w:sz w:val="20"/>
        </w:rPr>
        <w:t xml:space="preserve">Our accrued liability at June 30, 2010 related to all outstanding liability classified LTIP awards and DERs is approximately $78 million. This liability includes accruals associated with our assessment that an annualized PAA distribution of $3.90 is probable. This liability also includes accruals associated with our assessment that an annualized PNG distribution of $1.45 and the conversion of PNGs Series A subordinated units and the first tranche of PNGs Series B subordinated units are probable of occurring. At December 31, 2009, the accrued liability was approximately $87 million. </w:t>
      </w:r>
    </w:p>
    <w:p>
      <w:pPr>
        <w:pStyle w:val="TextBody"/>
        <w:spacing w:before="270" w:after="0"/>
        <w:rPr>
          <w:rFonts w:ascii="Times New Roman" w:hAnsi="Times New Roman"/>
          <w:b/>
          <w:i/>
          <w:sz w:val="20"/>
        </w:rPr>
      </w:pPr>
      <w:r>
        <w:rPr>
          <w:rFonts w:ascii="Times New Roman" w:hAnsi="Times New Roman"/>
          <w:b/>
          <w:i/>
          <w:sz w:val="20"/>
        </w:rPr>
        <w:t xml:space="preserve">Class B Units of PAAs General Partner </w:t>
      </w:r>
    </w:p>
    <w:p>
      <w:pPr>
        <w:pStyle w:val="TextBody"/>
        <w:spacing w:before="90" w:after="0"/>
        <w:rPr>
          <w:rFonts w:ascii="Times New Roman" w:hAnsi="Times New Roman"/>
          <w:sz w:val="20"/>
        </w:rPr>
      </w:pPr>
      <w:r>
        <w:rPr>
          <w:rFonts w:ascii="Times New Roman" w:hAnsi="Times New Roman"/>
          <w:sz w:val="20"/>
        </w:rPr>
        <w:t xml:space="preserve">For further discussion of the Class B units, see Note 10 to our Consolidated Financial Statements included in Part IV of our 2009 Annual Report on Form 10-K. The following table contains a summary of Class B unit awards that were (i) reserved for future grants (ii) outstanding and (iii) earned as of and for the six months ended June 30, 2010 and as of December 31, 2009: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431"/>
        <w:gridCol w:w="136"/>
        <w:gridCol w:w="1913"/>
        <w:gridCol w:w="136"/>
        <w:gridCol w:w="1655"/>
        <w:gridCol w:w="125"/>
        <w:gridCol w:w="77"/>
        <w:gridCol w:w="1913"/>
        <w:gridCol w:w="125"/>
        <w:gridCol w:w="77"/>
        <w:gridCol w:w="566"/>
        <w:gridCol w:w="1051"/>
      </w:tblGrid>
      <w:tr>
        <w:trPr/>
        <w:tc>
          <w:tcPr>
            <w:tcW w:w="243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1913"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bottom"/>
          </w:tcPr>
          <w:p>
            <w:pPr>
              <w:pStyle w:val="TableContents"/>
              <w:spacing w:before="0" w:after="283"/>
              <w:rPr>
                <w:sz w:val="4"/>
                <w:szCs w:val="4"/>
              </w:rPr>
            </w:pPr>
            <w:r>
              <w:rPr>
                <w:sz w:val="4"/>
                <w:szCs w:val="4"/>
              </w:rPr>
            </w:r>
          </w:p>
        </w:tc>
        <w:tc>
          <w:tcPr>
            <w:tcW w:w="191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bottom"/>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r>
      <w:tr>
        <w:trPr/>
        <w:tc>
          <w:tcPr>
            <w:tcW w:w="243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913"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Reserved for Future</w:t>
              <w:br/>
              <w:t>Grants</w:t>
            </w:r>
          </w:p>
        </w:tc>
        <w:tc>
          <w:tcPr>
            <w:tcW w:w="136" w:type="dxa"/>
            <w:tcBorders/>
            <w:shd w:fill="auto" w:val="clear"/>
            <w:vAlign w:val="bottom"/>
          </w:tcPr>
          <w:p>
            <w:pPr>
              <w:pStyle w:val="TableContents"/>
              <w:spacing w:before="0" w:after="283"/>
              <w:rPr/>
            </w:pPr>
            <w:r>
              <w:rPr/>
              <w:t>  </w:t>
            </w:r>
          </w:p>
        </w:tc>
        <w:tc>
          <w:tcPr>
            <w:tcW w:w="1655"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Outstanding</w:t>
            </w:r>
          </w:p>
        </w:tc>
        <w:tc>
          <w:tcPr>
            <w:tcW w:w="125"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913"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Outstanding Units</w:t>
              <w:br/>
              <w:t>Earned</w:t>
            </w:r>
          </w:p>
        </w:tc>
        <w:tc>
          <w:tcPr>
            <w:tcW w:w="125"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61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Grant Date</w:t>
              <w:br/>
              <w:t>Fair Value Of Outstanding</w:t>
              <w:br/>
              <w:t>Class B Units (1)</w:t>
            </w:r>
          </w:p>
        </w:tc>
      </w:tr>
      <w:tr>
        <w:trPr/>
        <w:tc>
          <w:tcPr>
            <w:tcW w:w="243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91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6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9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61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millions)</w:t>
            </w:r>
          </w:p>
        </w:tc>
      </w:tr>
      <w:tr>
        <w:trPr/>
        <w:tc>
          <w:tcPr>
            <w:tcW w:w="2431"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December 31, 2009</w:t>
            </w:r>
          </w:p>
        </w:tc>
        <w:tc>
          <w:tcPr>
            <w:tcW w:w="136" w:type="dxa"/>
            <w:tcBorders/>
            <w:shd w:fill="CCEEFF" w:val="clear"/>
            <w:vAlign w:val="bottom"/>
          </w:tcPr>
          <w:p>
            <w:pPr>
              <w:pStyle w:val="TableContents"/>
              <w:spacing w:before="0" w:after="283"/>
              <w:rPr/>
            </w:pPr>
            <w:r>
              <w:rPr/>
              <w:t>  </w:t>
            </w:r>
          </w:p>
        </w:tc>
        <w:tc>
          <w:tcPr>
            <w:tcW w:w="19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34,500</w:t>
            </w:r>
          </w:p>
        </w:tc>
        <w:tc>
          <w:tcPr>
            <w:tcW w:w="136" w:type="dxa"/>
            <w:tcBorders/>
            <w:shd w:fill="CCEEFF" w:val="clear"/>
            <w:vAlign w:val="bottom"/>
          </w:tcPr>
          <w:p>
            <w:pPr>
              <w:pStyle w:val="TableContents"/>
              <w:spacing w:before="0" w:after="283"/>
              <w:rPr/>
            </w:pPr>
            <w:r>
              <w:rPr/>
              <w:t>  </w:t>
            </w:r>
          </w:p>
        </w:tc>
        <w:tc>
          <w:tcPr>
            <w:tcW w:w="1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165,500</w:t>
            </w:r>
          </w:p>
        </w:tc>
        <w:tc>
          <w:tcPr>
            <w:tcW w:w="125"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9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38,500</w:t>
            </w:r>
          </w:p>
        </w:tc>
        <w:tc>
          <w:tcPr>
            <w:tcW w:w="125"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r>
      <w:tr>
        <w:trPr/>
        <w:tc>
          <w:tcPr>
            <w:tcW w:w="2431" w:type="dxa"/>
            <w:tcBorders/>
            <w:shd w:fill="auto" w:val="clear"/>
          </w:tcPr>
          <w:p>
            <w:pPr>
              <w:pStyle w:val="TableContents"/>
              <w:spacing w:before="0" w:after="283"/>
              <w:rPr>
                <w:rFonts w:ascii="Times New Roman" w:hAnsi="Times New Roman"/>
                <w:sz w:val="20"/>
              </w:rPr>
            </w:pPr>
            <w:r>
              <w:rPr>
                <w:rFonts w:ascii="Times New Roman" w:hAnsi="Times New Roman"/>
                <w:sz w:val="20"/>
              </w:rPr>
              <w:t>Class B unit issuance</w:t>
            </w:r>
          </w:p>
        </w:tc>
        <w:tc>
          <w:tcPr>
            <w:tcW w:w="136" w:type="dxa"/>
            <w:tcBorders/>
            <w:shd w:fill="auto" w:val="clear"/>
            <w:vAlign w:val="bottom"/>
          </w:tcPr>
          <w:p>
            <w:pPr>
              <w:pStyle w:val="TableContents"/>
              <w:spacing w:before="0" w:after="283"/>
              <w:rPr/>
            </w:pPr>
            <w:r>
              <w:rPr/>
              <w:t>  </w:t>
            </w:r>
          </w:p>
        </w:tc>
        <w:tc>
          <w:tcPr>
            <w:tcW w:w="19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6" w:type="dxa"/>
            <w:tcBorders/>
            <w:shd w:fill="auto" w:val="clear"/>
            <w:vAlign w:val="bottom"/>
          </w:tcPr>
          <w:p>
            <w:pPr>
              <w:pStyle w:val="TableContents"/>
              <w:spacing w:before="0" w:after="283"/>
              <w:rPr/>
            </w:pPr>
            <w:r>
              <w:rPr/>
              <w:t>  </w:t>
            </w:r>
          </w:p>
        </w:tc>
        <w:tc>
          <w:tcPr>
            <w:tcW w:w="1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9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566"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2431" w:type="dxa"/>
            <w:tcBorders/>
            <w:shd w:fill="CCEEFF" w:val="clear"/>
          </w:tcPr>
          <w:p>
            <w:pPr>
              <w:pStyle w:val="TableContents"/>
              <w:spacing w:before="0" w:after="283"/>
              <w:rPr>
                <w:rFonts w:ascii="Times New Roman" w:hAnsi="Times New Roman"/>
                <w:sz w:val="20"/>
              </w:rPr>
            </w:pPr>
            <w:r>
              <w:rPr>
                <w:rFonts w:ascii="Times New Roman" w:hAnsi="Times New Roman"/>
                <w:sz w:val="20"/>
              </w:rPr>
              <w:t>Class B units earned</w:t>
            </w:r>
          </w:p>
        </w:tc>
        <w:tc>
          <w:tcPr>
            <w:tcW w:w="136" w:type="dxa"/>
            <w:tcBorders/>
            <w:shd w:fill="CCEEFF" w:val="clear"/>
            <w:vAlign w:val="bottom"/>
          </w:tcPr>
          <w:p>
            <w:pPr>
              <w:pStyle w:val="TableContents"/>
              <w:spacing w:before="0" w:after="283"/>
              <w:rPr/>
            </w:pPr>
            <w:r>
              <w:rPr/>
              <w:t>  </w:t>
            </w:r>
          </w:p>
        </w:tc>
        <w:tc>
          <w:tcPr>
            <w:tcW w:w="19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6" w:type="dxa"/>
            <w:tcBorders/>
            <w:shd w:fill="CCEEFF" w:val="clear"/>
            <w:vAlign w:val="bottom"/>
          </w:tcPr>
          <w:p>
            <w:pPr>
              <w:pStyle w:val="TableContents"/>
              <w:spacing w:before="0" w:after="283"/>
              <w:rPr/>
            </w:pPr>
            <w:r>
              <w:rPr/>
              <w:t>  </w:t>
            </w:r>
          </w:p>
        </w:tc>
        <w:tc>
          <w:tcPr>
            <w:tcW w:w="1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9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6"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2431" w:type="dxa"/>
            <w:tcBorders/>
            <w:shd w:fill="auto" w:val="clear"/>
          </w:tcPr>
          <w:p>
            <w:pPr>
              <w:pStyle w:val="TableContents"/>
              <w:spacing w:before="0" w:after="283"/>
              <w:rPr>
                <w:rFonts w:ascii="Times New Roman" w:hAnsi="Times New Roman"/>
                <w:sz w:val="20"/>
              </w:rPr>
            </w:pPr>
            <w:r>
              <w:rPr>
                <w:rFonts w:ascii="Times New Roman" w:hAnsi="Times New Roman"/>
                <w:sz w:val="20"/>
              </w:rPr>
              <w:t>Class B units forfeited</w:t>
            </w:r>
          </w:p>
        </w:tc>
        <w:tc>
          <w:tcPr>
            <w:tcW w:w="136" w:type="dxa"/>
            <w:tcBorders/>
            <w:shd w:fill="auto" w:val="clear"/>
            <w:vAlign w:val="bottom"/>
          </w:tcPr>
          <w:p>
            <w:pPr>
              <w:pStyle w:val="TableContents"/>
              <w:spacing w:before="0" w:after="283"/>
              <w:rPr/>
            </w:pPr>
            <w:r>
              <w:rPr/>
              <w:t>  </w:t>
            </w:r>
          </w:p>
        </w:tc>
        <w:tc>
          <w:tcPr>
            <w:tcW w:w="19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36" w:type="dxa"/>
            <w:tcBorders/>
            <w:shd w:fill="auto" w:val="clear"/>
            <w:vAlign w:val="bottom"/>
          </w:tcPr>
          <w:p>
            <w:pPr>
              <w:pStyle w:val="TableContents"/>
              <w:spacing w:before="0" w:after="283"/>
              <w:rPr/>
            </w:pPr>
            <w:r>
              <w:rPr/>
              <w:t>  </w:t>
            </w:r>
          </w:p>
        </w:tc>
        <w:tc>
          <w:tcPr>
            <w:tcW w:w="1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7" w:type="dxa"/>
            <w:tcBorders/>
            <w:shd w:fill="auto" w:val="clear"/>
            <w:vAlign w:val="bottom"/>
          </w:tcPr>
          <w:p>
            <w:pPr>
              <w:pStyle w:val="TableContents"/>
              <w:spacing w:before="0" w:after="283"/>
              <w:rPr/>
            </w:pPr>
            <w:r>
              <w:rPr/>
              <w:t> </w:t>
            </w:r>
          </w:p>
        </w:tc>
        <w:tc>
          <w:tcPr>
            <w:tcW w:w="19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7" w:type="dxa"/>
            <w:tcBorders/>
            <w:shd w:fill="auto" w:val="clear"/>
            <w:vAlign w:val="bottom"/>
          </w:tcPr>
          <w:p>
            <w:pPr>
              <w:pStyle w:val="TableContents"/>
              <w:spacing w:before="0" w:after="283"/>
              <w:rPr/>
            </w:pPr>
            <w:r>
              <w:rPr/>
              <w:t> </w:t>
            </w:r>
          </w:p>
        </w:tc>
        <w:tc>
          <w:tcPr>
            <w:tcW w:w="566"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2431"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913" w:type="dxa"/>
            <w:tcBorders>
              <w:top w:val="single" w:sz="2" w:space="0" w:color="000000"/>
            </w:tcBorders>
            <w:shd w:fill="auto" w:val="clear"/>
            <w:tcMar>
              <w:top w:w="28" w:type="dxa"/>
            </w:tcM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65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91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566" w:type="dxa"/>
            <w:tcBorders>
              <w:top w:val="single" w:sz="2" w:space="0" w:color="000000"/>
            </w:tcBorders>
            <w:shd w:fill="auto" w:val="clear"/>
            <w:tcMar>
              <w:top w:w="28" w:type="dxa"/>
            </w:tcMar>
            <w:vAlign w:val="bottom"/>
          </w:tcPr>
          <w:p>
            <w:pPr>
              <w:pStyle w:val="TableContents"/>
              <w:spacing w:before="0" w:after="283"/>
              <w:rPr/>
            </w:pPr>
            <w:r>
              <w:rPr/>
              <w:t> </w:t>
            </w:r>
          </w:p>
        </w:tc>
        <w:tc>
          <w:tcPr>
            <w:tcW w:w="1051"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2431"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June 30, 2010</w:t>
            </w:r>
          </w:p>
        </w:tc>
        <w:tc>
          <w:tcPr>
            <w:tcW w:w="136" w:type="dxa"/>
            <w:tcBorders/>
            <w:shd w:fill="CCEEFF" w:val="clear"/>
            <w:vAlign w:val="bottom"/>
          </w:tcPr>
          <w:p>
            <w:pPr>
              <w:pStyle w:val="TableContents"/>
              <w:spacing w:before="0" w:after="283"/>
              <w:rPr/>
            </w:pPr>
            <w:r>
              <w:rPr/>
              <w:t>  </w:t>
            </w:r>
          </w:p>
        </w:tc>
        <w:tc>
          <w:tcPr>
            <w:tcW w:w="1913" w:type="dxa"/>
            <w:tcBorders/>
            <w:shd w:fill="CCEEFF" w:val="clear"/>
            <w:vAlign w:val="bottom"/>
          </w:tcPr>
          <w:p>
            <w:pPr>
              <w:pStyle w:val="TableContents"/>
              <w:spacing w:before="0" w:after="283"/>
              <w:jc w:val="right"/>
              <w:rPr/>
            </w:pPr>
            <w:r>
              <w:rPr/>
              <w:t>                      </w:t>
            </w:r>
            <w:r>
              <w:rPr>
                <w:rFonts w:ascii="Times New Roman" w:hAnsi="Times New Roman"/>
                <w:sz w:val="20"/>
              </w:rPr>
              <w:t>36,000</w:t>
            </w:r>
          </w:p>
        </w:tc>
        <w:tc>
          <w:tcPr>
            <w:tcW w:w="136" w:type="dxa"/>
            <w:tcBorders/>
            <w:shd w:fill="CCEEFF" w:val="clear"/>
            <w:vAlign w:val="bottom"/>
          </w:tcPr>
          <w:p>
            <w:pPr>
              <w:pStyle w:val="TableContents"/>
              <w:spacing w:before="0" w:after="283"/>
              <w:rPr/>
            </w:pPr>
            <w:r>
              <w:rPr/>
              <w:t>  </w:t>
            </w:r>
          </w:p>
        </w:tc>
        <w:tc>
          <w:tcPr>
            <w:tcW w:w="1655" w:type="dxa"/>
            <w:tcBorders/>
            <w:shd w:fill="CCEEFF" w:val="clear"/>
            <w:vAlign w:val="bottom"/>
          </w:tcPr>
          <w:p>
            <w:pPr>
              <w:pStyle w:val="TableContents"/>
              <w:spacing w:before="0" w:after="283"/>
              <w:jc w:val="right"/>
              <w:rPr/>
            </w:pPr>
            <w:r>
              <w:rPr/>
              <w:t>                </w:t>
            </w:r>
            <w:r>
              <w:rPr>
                <w:rFonts w:ascii="Times New Roman" w:hAnsi="Times New Roman"/>
                <w:sz w:val="20"/>
              </w:rPr>
              <w:t>164,000</w:t>
            </w:r>
          </w:p>
        </w:tc>
        <w:tc>
          <w:tcPr>
            <w:tcW w:w="125"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913" w:type="dxa"/>
            <w:tcBorders/>
            <w:shd w:fill="CCEEFF" w:val="clear"/>
            <w:vAlign w:val="bottom"/>
          </w:tcPr>
          <w:p>
            <w:pPr>
              <w:pStyle w:val="TableContents"/>
              <w:spacing w:before="0" w:after="283"/>
              <w:jc w:val="right"/>
              <w:rPr/>
            </w:pPr>
            <w:r>
              <w:rPr/>
              <w:t>                      </w:t>
            </w:r>
            <w:r>
              <w:rPr>
                <w:rFonts w:ascii="Times New Roman" w:hAnsi="Times New Roman"/>
                <w:sz w:val="20"/>
              </w:rPr>
              <w:t>38,125</w:t>
            </w:r>
          </w:p>
        </w:tc>
        <w:tc>
          <w:tcPr>
            <w:tcW w:w="125"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r>
      <w:tr>
        <w:trPr/>
        <w:tc>
          <w:tcPr>
            <w:tcW w:w="2431"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913" w:type="dxa"/>
            <w:tcBorders>
              <w:top w:val="double" w:sz="6" w:space="0" w:color="000000"/>
            </w:tcBorders>
            <w:shd w:fill="auto" w:val="clear"/>
            <w:tcMar>
              <w:top w:w="28" w:type="dxa"/>
            </w:tcM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65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91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566" w:type="dxa"/>
            <w:tcBorders>
              <w:top w:val="double" w:sz="6" w:space="0" w:color="000000"/>
            </w:tcBorders>
            <w:shd w:fill="auto" w:val="clear"/>
            <w:tcMar>
              <w:top w:w="28" w:type="dxa"/>
            </w:tcMar>
            <w:vAlign w:val="bottom"/>
          </w:tcPr>
          <w:p>
            <w:pPr>
              <w:pStyle w:val="TableContents"/>
              <w:spacing w:before="0" w:after="283"/>
              <w:rPr/>
            </w:pPr>
            <w:r>
              <w:rPr/>
              <w:t> </w:t>
            </w:r>
          </w:p>
        </w:tc>
        <w:tc>
          <w:tcPr>
            <w:tcW w:w="1051"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pBdr>
          <w:bottom w:val="single" w:sz="16"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rFonts w:ascii="Times New Roman" w:hAnsi="Times New Roman"/>
                <w:sz w:val="14"/>
              </w:rPr>
              <w:t>(1)</w:t>
            </w:r>
            <w:r>
              <w:rPr/>
              <w:t xml:space="preserve">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Of the grant date fair value, approximately $2 million was recognized as expense during the six months ended June 30, 2010.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Class B Units of PNGs General Partner </w:t>
      </w:r>
    </w:p>
    <w:p>
      <w:pPr>
        <w:pStyle w:val="TextBody"/>
        <w:spacing w:before="90" w:after="0"/>
        <w:rPr>
          <w:rFonts w:ascii="Times New Roman" w:hAnsi="Times New Roman"/>
          <w:sz w:val="20"/>
        </w:rPr>
      </w:pPr>
      <w:r>
        <w:rPr>
          <w:rFonts w:ascii="Times New Roman" w:hAnsi="Times New Roman"/>
          <w:sz w:val="20"/>
        </w:rPr>
        <w:t xml:space="preserve">In July 2010, the Board of Directors of PNGs general partner authorized the issuance of 165,000 Class B Units (PNG Class B Units) of PNGS GP LLC (PNGs general partner). Approximately 97,625 PNG Class B Units were awarded and the remaining units are reserved for future grants. The PNG Class B Units are earned in 25% increments 180 days following annualized PNG distribution levels of $2.00, $2.30, $2.50 and $2.70. When earned, the PNG Class B Units participate in quarterly distributions paid to PNGS GP LLC to the extent such distributions exceed $2.5 million per quarter. Assuming all 165,000 PNG Class B Units were granted and earned, the maximum participation rate would be 6% of PNGs quarterly general partner distribution. </w:t>
      </w:r>
    </w:p>
    <w:p>
      <w:pPr>
        <w:pStyle w:val="TextBody"/>
        <w:spacing w:before="270" w:after="0"/>
        <w:rPr>
          <w:rFonts w:ascii="Times New Roman" w:hAnsi="Times New Roman"/>
          <w:b/>
          <w:i/>
          <w:sz w:val="20"/>
        </w:rPr>
      </w:pPr>
      <w:r>
        <w:rPr>
          <w:rFonts w:ascii="Times New Roman" w:hAnsi="Times New Roman"/>
          <w:b/>
          <w:i/>
          <w:sz w:val="20"/>
        </w:rPr>
        <w:t xml:space="preserve">Other Consolidated Equity Compensation Information </w:t>
      </w:r>
    </w:p>
    <w:p>
      <w:pPr>
        <w:pStyle w:val="TextBody"/>
        <w:spacing w:before="90" w:after="0"/>
        <w:rPr>
          <w:rFonts w:ascii="Times New Roman" w:hAnsi="Times New Roman"/>
          <w:sz w:val="20"/>
        </w:rPr>
      </w:pPr>
      <w:r>
        <w:rPr>
          <w:rFonts w:ascii="Times New Roman" w:hAnsi="Times New Roman"/>
          <w:sz w:val="20"/>
        </w:rPr>
        <w:t xml:space="preserve">We refer to our PAA LTIP plans, the PNG 2010 LTIP Plan and the Class B units of PAAs general partner collectively as Equity compensation plans. The table below summarizes the expense recognized and the value of vesting (settled both in units and cash) related to our equity compensation plans (in millions):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476"/>
        <w:gridCol w:w="168"/>
        <w:gridCol w:w="125"/>
        <w:gridCol w:w="1697"/>
        <w:gridCol w:w="168"/>
        <w:gridCol w:w="125"/>
        <w:gridCol w:w="1613"/>
        <w:gridCol w:w="168"/>
        <w:gridCol w:w="124"/>
        <w:gridCol w:w="1697"/>
        <w:gridCol w:w="168"/>
        <w:gridCol w:w="125"/>
        <w:gridCol w:w="1551"/>
      </w:tblGrid>
      <w:tr>
        <w:trPr/>
        <w:tc>
          <w:tcPr>
            <w:tcW w:w="247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9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1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9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5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3728" w:type="dxa"/>
            <w:gridSpan w:val="5"/>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Three Months Ended</w:t>
            </w:r>
            <w:r>
              <w:rPr/>
              <w:br/>
            </w:r>
            <w:r>
              <w:rPr>
                <w:rFonts w:ascii="Times New Roman" w:hAnsi="Times New Roman"/>
                <w:b/>
                <w:sz w:val="14"/>
              </w:rPr>
              <w:t>June 30,</w:t>
            </w:r>
            <w:r>
              <w:rPr>
                <w:rFonts w:ascii="Times New Roman" w:hAnsi="Times New Roman"/>
                <w:sz w:val="14"/>
              </w:rPr>
              <w:t xml:space="preserve"> </w:t>
            </w:r>
          </w:p>
        </w:tc>
        <w:tc>
          <w:tcPr>
            <w:tcW w:w="168" w:type="dxa"/>
            <w:tcBorders/>
            <w:shd w:fill="auto" w:val="clear"/>
            <w:vAlign w:val="bottom"/>
          </w:tcPr>
          <w:p>
            <w:pPr>
              <w:pStyle w:val="TableContents"/>
              <w:spacing w:before="0" w:after="283"/>
              <w:rPr/>
            </w:pPr>
            <w:r>
              <w:rPr/>
              <w:t>  </w:t>
            </w:r>
          </w:p>
        </w:tc>
        <w:tc>
          <w:tcPr>
            <w:tcW w:w="3665" w:type="dxa"/>
            <w:gridSpan w:val="5"/>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Three Months Ended</w:t>
            </w:r>
            <w:r>
              <w:rPr/>
              <w:br/>
            </w:r>
            <w:r>
              <w:rPr>
                <w:rFonts w:ascii="Times New Roman" w:hAnsi="Times New Roman"/>
                <w:b/>
                <w:sz w:val="14"/>
              </w:rPr>
              <w:t>June 30,</w:t>
            </w:r>
            <w:r>
              <w:rPr>
                <w:rFonts w:ascii="Times New Roman" w:hAnsi="Times New Roman"/>
                <w:sz w:val="14"/>
              </w:rPr>
              <w:t xml:space="preserve"> </w:t>
            </w:r>
          </w:p>
        </w:tc>
      </w:tr>
      <w:tr>
        <w:trPr/>
        <w:tc>
          <w:tcPr>
            <w:tcW w:w="247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3728"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68" w:type="dxa"/>
            <w:tcBorders/>
            <w:shd w:fill="auto" w:val="clear"/>
            <w:vAlign w:val="bottom"/>
          </w:tcPr>
          <w:p>
            <w:pPr>
              <w:pStyle w:val="TableContents"/>
              <w:spacing w:before="0" w:after="283"/>
              <w:rPr/>
            </w:pPr>
            <w:r>
              <w:rPr/>
              <w:t>  </w:t>
            </w:r>
          </w:p>
        </w:tc>
        <w:tc>
          <w:tcPr>
            <w:tcW w:w="3665"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r>
      <w:tr>
        <w:trPr/>
        <w:tc>
          <w:tcPr>
            <w:tcW w:w="247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8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Liability Awards</w:t>
            </w:r>
          </w:p>
        </w:tc>
        <w:tc>
          <w:tcPr>
            <w:tcW w:w="168" w:type="dxa"/>
            <w:tcBorders/>
            <w:shd w:fill="auto" w:val="clear"/>
            <w:vAlign w:val="bottom"/>
          </w:tcPr>
          <w:p>
            <w:pPr>
              <w:pStyle w:val="TableContents"/>
              <w:spacing w:before="0" w:after="283"/>
              <w:rPr/>
            </w:pPr>
            <w:r>
              <w:rPr/>
              <w:t>  </w:t>
            </w:r>
          </w:p>
        </w:tc>
        <w:tc>
          <w:tcPr>
            <w:tcW w:w="173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Equity Awards</w:t>
            </w:r>
          </w:p>
        </w:tc>
        <w:tc>
          <w:tcPr>
            <w:tcW w:w="168" w:type="dxa"/>
            <w:tcBorders/>
            <w:shd w:fill="auto" w:val="clear"/>
            <w:vAlign w:val="bottom"/>
          </w:tcPr>
          <w:p>
            <w:pPr>
              <w:pStyle w:val="TableContents"/>
              <w:spacing w:before="0" w:after="283"/>
              <w:rPr/>
            </w:pPr>
            <w:r>
              <w:rPr/>
              <w:t>  </w:t>
            </w:r>
          </w:p>
        </w:tc>
        <w:tc>
          <w:tcPr>
            <w:tcW w:w="18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Liability Awards</w:t>
            </w:r>
          </w:p>
        </w:tc>
        <w:tc>
          <w:tcPr>
            <w:tcW w:w="168" w:type="dxa"/>
            <w:tcBorders/>
            <w:shd w:fill="auto" w:val="clear"/>
            <w:vAlign w:val="bottom"/>
          </w:tcPr>
          <w:p>
            <w:pPr>
              <w:pStyle w:val="TableContents"/>
              <w:spacing w:before="0" w:after="283"/>
              <w:rPr/>
            </w:pPr>
            <w:r>
              <w:rPr/>
              <w:t>  </w:t>
            </w:r>
          </w:p>
        </w:tc>
        <w:tc>
          <w:tcPr>
            <w:tcW w:w="167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Equity Awards</w:t>
            </w:r>
          </w:p>
        </w:tc>
      </w:tr>
      <w:tr>
        <w:trPr/>
        <w:tc>
          <w:tcPr>
            <w:tcW w:w="2476" w:type="dxa"/>
            <w:tcBorders/>
            <w:shd w:fill="CCEEFF" w:val="clear"/>
          </w:tcPr>
          <w:p>
            <w:pPr>
              <w:pStyle w:val="TableContents"/>
              <w:spacing w:before="0" w:after="283"/>
              <w:rPr>
                <w:rFonts w:ascii="Times New Roman" w:hAnsi="Times New Roman"/>
                <w:sz w:val="20"/>
              </w:rPr>
            </w:pPr>
            <w:r>
              <w:rPr>
                <w:rFonts w:ascii="Times New Roman" w:hAnsi="Times New Roman"/>
                <w:sz w:val="20"/>
              </w:rPr>
              <w:t>Equity compensation expense</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97" w:type="dxa"/>
            <w:tcBorders/>
            <w:shd w:fill="CCEEFF" w:val="clear"/>
            <w:vAlign w:val="bottom"/>
          </w:tcPr>
          <w:p>
            <w:pPr>
              <w:pStyle w:val="TableContents"/>
              <w:spacing w:before="0" w:after="283"/>
              <w:jc w:val="right"/>
              <w:rPr/>
            </w:pPr>
            <w:r>
              <w:rPr/>
              <w:t>                        </w:t>
            </w:r>
            <w:r>
              <w:rPr>
                <w:rFonts w:ascii="Times New Roman" w:hAnsi="Times New Roman"/>
                <w:sz w:val="20"/>
              </w:rPr>
              <w:t>12</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6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97" w:type="dxa"/>
            <w:tcBorders/>
            <w:shd w:fill="CCEEFF" w:val="clear"/>
            <w:vAlign w:val="bottom"/>
          </w:tcPr>
          <w:p>
            <w:pPr>
              <w:pStyle w:val="TableContents"/>
              <w:spacing w:before="0" w:after="283"/>
              <w:jc w:val="right"/>
              <w:rPr/>
            </w:pPr>
            <w:r>
              <w:rPr/>
              <w:t>                        </w:t>
            </w:r>
            <w:r>
              <w:rPr>
                <w:rFonts w:ascii="Times New Roman" w:hAnsi="Times New Roman"/>
                <w:sz w:val="20"/>
              </w:rPr>
              <w:t>18</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r>
      <w:tr>
        <w:trPr/>
        <w:tc>
          <w:tcPr>
            <w:tcW w:w="2476" w:type="dxa"/>
            <w:tcBorders/>
            <w:shd w:fill="auto" w:val="clear"/>
          </w:tcPr>
          <w:p>
            <w:pPr>
              <w:pStyle w:val="TableContents"/>
              <w:spacing w:before="0" w:after="283"/>
              <w:rPr>
                <w:rFonts w:ascii="Times New Roman" w:hAnsi="Times New Roman"/>
                <w:sz w:val="20"/>
              </w:rPr>
            </w:pPr>
            <w:r>
              <w:rPr>
                <w:rFonts w:ascii="Times New Roman" w:hAnsi="Times New Roman"/>
                <w:sz w:val="20"/>
              </w:rPr>
              <w:t>LTIP unit vestings</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13" w:type="dxa"/>
            <w:tcBorders/>
            <w:shd w:fill="auto" w:val="clear"/>
            <w:vAlign w:val="bottom"/>
          </w:tcPr>
          <w:p>
            <w:pPr>
              <w:pStyle w:val="TableContents"/>
              <w:spacing w:before="0" w:after="283"/>
              <w:jc w:val="right"/>
              <w:rPr/>
            </w:pPr>
            <w:r>
              <w:rPr/>
              <w:t>                        </w:t>
            </w:r>
            <w:r>
              <w:rPr>
                <w:rFonts w:ascii="Times New Roman" w:hAnsi="Times New Roman"/>
                <w:sz w:val="20"/>
              </w:rPr>
              <w:t></w:t>
            </w:r>
          </w:p>
        </w:tc>
        <w:tc>
          <w:tcPr>
            <w:tcW w:w="1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51" w:type="dxa"/>
            <w:tcBorders/>
            <w:shd w:fill="auto" w:val="clear"/>
            <w:vAlign w:val="bottom"/>
          </w:tcPr>
          <w:p>
            <w:pPr>
              <w:pStyle w:val="TableContents"/>
              <w:spacing w:before="0" w:after="283"/>
              <w:jc w:val="right"/>
              <w:rPr/>
            </w:pPr>
            <w:r>
              <w:rPr/>
              <w:t xml:space="preserve">                         </w:t>
            </w:r>
            <w:r>
              <w:rPr>
                <w:rFonts w:ascii="Times New Roman" w:hAnsi="Times New Roman"/>
                <w:sz w:val="20"/>
              </w:rPr>
              <w:t></w:t>
            </w:r>
          </w:p>
        </w:tc>
      </w:tr>
      <w:tr>
        <w:trPr/>
        <w:tc>
          <w:tcPr>
            <w:tcW w:w="2476" w:type="dxa"/>
            <w:tcBorders/>
            <w:shd w:fill="CCEEFF" w:val="clear"/>
          </w:tcPr>
          <w:p>
            <w:pPr>
              <w:pStyle w:val="TableContents"/>
              <w:spacing w:before="0" w:after="283"/>
              <w:rPr>
                <w:rFonts w:ascii="Times New Roman" w:hAnsi="Times New Roman"/>
                <w:sz w:val="20"/>
              </w:rPr>
            </w:pPr>
            <w:r>
              <w:rPr>
                <w:rFonts w:ascii="Times New Roman" w:hAnsi="Times New Roman"/>
                <w:sz w:val="20"/>
              </w:rPr>
              <w:t>LTIP cash settled vestings</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6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2476" w:type="dxa"/>
            <w:tcBorders/>
            <w:shd w:fill="auto" w:val="clear"/>
          </w:tcPr>
          <w:p>
            <w:pPr>
              <w:pStyle w:val="TableContents"/>
              <w:spacing w:before="0" w:after="283"/>
              <w:rPr>
                <w:rFonts w:ascii="Times New Roman" w:hAnsi="Times New Roman"/>
                <w:sz w:val="20"/>
              </w:rPr>
            </w:pPr>
            <w:r>
              <w:rPr>
                <w:rFonts w:ascii="Times New Roman" w:hAnsi="Times New Roman"/>
                <w:sz w:val="20"/>
              </w:rPr>
              <w:t>DER cash payments</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rHeight w:val="240" w:hRule="atLeast"/>
        </w:trPr>
        <w:tc>
          <w:tcPr>
            <w:tcW w:w="2476" w:type="dxa"/>
            <w:tcBorders/>
            <w:shd w:fill="auto" w:val="clear"/>
            <w:vAlign w:val="center"/>
          </w:tcPr>
          <w:p>
            <w:pPr>
              <w:pStyle w:val="TableContents"/>
              <w:spacing w:before="0" w:after="283"/>
              <w:rPr>
                <w:sz w:val="4"/>
                <w:szCs w:val="4"/>
              </w:rPr>
            </w:pPr>
            <w:r>
              <w:rPr>
                <w:sz w:val="4"/>
                <w:szCs w:val="4"/>
              </w:rPr>
            </w:r>
          </w:p>
        </w:tc>
        <w:tc>
          <w:tcPr>
            <w:tcW w:w="3896" w:type="dxa"/>
            <w:gridSpan w:val="6"/>
            <w:tcBorders/>
            <w:shd w:fill="auto" w:val="clear"/>
            <w:vAlign w:val="center"/>
          </w:tcPr>
          <w:p>
            <w:pPr>
              <w:pStyle w:val="TableContents"/>
              <w:spacing w:before="0" w:after="283"/>
              <w:rPr>
                <w:sz w:val="4"/>
                <w:szCs w:val="4"/>
              </w:rPr>
            </w:pPr>
            <w:r>
              <w:rPr>
                <w:sz w:val="4"/>
                <w:szCs w:val="4"/>
              </w:rPr>
            </w:r>
          </w:p>
        </w:tc>
        <w:tc>
          <w:tcPr>
            <w:tcW w:w="3833" w:type="dxa"/>
            <w:gridSpan w:val="6"/>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3728" w:type="dxa"/>
            <w:gridSpan w:val="5"/>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Six Months Ended</w:t>
            </w:r>
            <w:r>
              <w:rPr/>
              <w:br/>
            </w:r>
            <w:r>
              <w:rPr>
                <w:rFonts w:ascii="Times New Roman" w:hAnsi="Times New Roman"/>
                <w:b/>
                <w:sz w:val="14"/>
              </w:rPr>
              <w:t>June 30,</w:t>
            </w:r>
          </w:p>
        </w:tc>
        <w:tc>
          <w:tcPr>
            <w:tcW w:w="168" w:type="dxa"/>
            <w:tcBorders/>
            <w:shd w:fill="auto" w:val="clear"/>
            <w:vAlign w:val="bottom"/>
          </w:tcPr>
          <w:p>
            <w:pPr>
              <w:pStyle w:val="TableContents"/>
              <w:spacing w:before="0" w:after="283"/>
              <w:rPr/>
            </w:pPr>
            <w:r>
              <w:rPr/>
              <w:t>  </w:t>
            </w:r>
          </w:p>
        </w:tc>
        <w:tc>
          <w:tcPr>
            <w:tcW w:w="3665" w:type="dxa"/>
            <w:gridSpan w:val="5"/>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Six Months Ended</w:t>
            </w:r>
            <w:r>
              <w:rPr/>
              <w:br/>
            </w:r>
            <w:r>
              <w:rPr>
                <w:rFonts w:ascii="Times New Roman" w:hAnsi="Times New Roman"/>
                <w:b/>
                <w:sz w:val="14"/>
              </w:rPr>
              <w:t>June 30,</w:t>
            </w:r>
          </w:p>
        </w:tc>
      </w:tr>
      <w:tr>
        <w:trPr/>
        <w:tc>
          <w:tcPr>
            <w:tcW w:w="247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3728"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68" w:type="dxa"/>
            <w:tcBorders/>
            <w:shd w:fill="auto" w:val="clear"/>
            <w:vAlign w:val="bottom"/>
          </w:tcPr>
          <w:p>
            <w:pPr>
              <w:pStyle w:val="TableContents"/>
              <w:spacing w:before="0" w:after="283"/>
              <w:rPr/>
            </w:pPr>
            <w:r>
              <w:rPr/>
              <w:t>  </w:t>
            </w:r>
          </w:p>
        </w:tc>
        <w:tc>
          <w:tcPr>
            <w:tcW w:w="3665"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r>
      <w:tr>
        <w:trPr/>
        <w:tc>
          <w:tcPr>
            <w:tcW w:w="247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8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Liability Awards</w:t>
            </w:r>
          </w:p>
        </w:tc>
        <w:tc>
          <w:tcPr>
            <w:tcW w:w="168" w:type="dxa"/>
            <w:tcBorders/>
            <w:shd w:fill="auto" w:val="clear"/>
            <w:vAlign w:val="bottom"/>
          </w:tcPr>
          <w:p>
            <w:pPr>
              <w:pStyle w:val="TableContents"/>
              <w:spacing w:before="0" w:after="283"/>
              <w:rPr/>
            </w:pPr>
            <w:r>
              <w:rPr/>
              <w:t>  </w:t>
            </w:r>
          </w:p>
        </w:tc>
        <w:tc>
          <w:tcPr>
            <w:tcW w:w="173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Equity Awards</w:t>
            </w:r>
          </w:p>
        </w:tc>
        <w:tc>
          <w:tcPr>
            <w:tcW w:w="168" w:type="dxa"/>
            <w:tcBorders/>
            <w:shd w:fill="auto" w:val="clear"/>
            <w:vAlign w:val="bottom"/>
          </w:tcPr>
          <w:p>
            <w:pPr>
              <w:pStyle w:val="TableContents"/>
              <w:spacing w:before="0" w:after="283"/>
              <w:rPr/>
            </w:pPr>
            <w:r>
              <w:rPr/>
              <w:t>  </w:t>
            </w:r>
          </w:p>
        </w:tc>
        <w:tc>
          <w:tcPr>
            <w:tcW w:w="18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Liability Awards</w:t>
            </w:r>
          </w:p>
        </w:tc>
        <w:tc>
          <w:tcPr>
            <w:tcW w:w="168" w:type="dxa"/>
            <w:tcBorders/>
            <w:shd w:fill="auto" w:val="clear"/>
            <w:vAlign w:val="bottom"/>
          </w:tcPr>
          <w:p>
            <w:pPr>
              <w:pStyle w:val="TableContents"/>
              <w:spacing w:before="0" w:after="283"/>
              <w:rPr/>
            </w:pPr>
            <w:r>
              <w:rPr/>
              <w:t>  </w:t>
            </w:r>
          </w:p>
        </w:tc>
        <w:tc>
          <w:tcPr>
            <w:tcW w:w="167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Equity Awards</w:t>
            </w:r>
          </w:p>
        </w:tc>
      </w:tr>
      <w:tr>
        <w:trPr/>
        <w:tc>
          <w:tcPr>
            <w:tcW w:w="2476" w:type="dxa"/>
            <w:tcBorders/>
            <w:shd w:fill="CCEEFF" w:val="clear"/>
          </w:tcPr>
          <w:p>
            <w:pPr>
              <w:pStyle w:val="TableContents"/>
              <w:spacing w:before="0" w:after="283"/>
              <w:rPr>
                <w:rFonts w:ascii="Times New Roman" w:hAnsi="Times New Roman"/>
                <w:sz w:val="20"/>
              </w:rPr>
            </w:pPr>
            <w:r>
              <w:rPr>
                <w:rFonts w:ascii="Times New Roman" w:hAnsi="Times New Roman"/>
                <w:sz w:val="20"/>
              </w:rPr>
              <w:t>Equity compensation expense</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6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r>
      <w:tr>
        <w:trPr/>
        <w:tc>
          <w:tcPr>
            <w:tcW w:w="2476" w:type="dxa"/>
            <w:tcBorders/>
            <w:shd w:fill="auto" w:val="clear"/>
          </w:tcPr>
          <w:p>
            <w:pPr>
              <w:pStyle w:val="TableContents"/>
              <w:spacing w:before="0" w:after="283"/>
              <w:rPr>
                <w:rFonts w:ascii="Times New Roman" w:hAnsi="Times New Roman"/>
                <w:sz w:val="20"/>
              </w:rPr>
            </w:pPr>
            <w:r>
              <w:rPr>
                <w:rFonts w:ascii="Times New Roman" w:hAnsi="Times New Roman"/>
                <w:sz w:val="20"/>
              </w:rPr>
              <w:t>LTIP unit vestings</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2476" w:type="dxa"/>
            <w:tcBorders/>
            <w:shd w:fill="CCEEFF" w:val="clear"/>
          </w:tcPr>
          <w:p>
            <w:pPr>
              <w:pStyle w:val="TableContents"/>
              <w:spacing w:before="0" w:after="283"/>
              <w:rPr>
                <w:rFonts w:ascii="Times New Roman" w:hAnsi="Times New Roman"/>
                <w:sz w:val="20"/>
              </w:rPr>
            </w:pPr>
            <w:r>
              <w:rPr>
                <w:rFonts w:ascii="Times New Roman" w:hAnsi="Times New Roman"/>
                <w:sz w:val="20"/>
              </w:rPr>
              <w:t>LTIP cash settled vestings</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6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2476" w:type="dxa"/>
            <w:tcBorders/>
            <w:shd w:fill="auto" w:val="clear"/>
          </w:tcPr>
          <w:p>
            <w:pPr>
              <w:pStyle w:val="TableContents"/>
              <w:spacing w:before="0" w:after="283"/>
              <w:rPr>
                <w:rFonts w:ascii="Times New Roman" w:hAnsi="Times New Roman"/>
                <w:sz w:val="20"/>
              </w:rPr>
            </w:pPr>
            <w:r>
              <w:rPr>
                <w:rFonts w:ascii="Times New Roman" w:hAnsi="Times New Roman"/>
                <w:sz w:val="20"/>
              </w:rPr>
              <w:t>DER cash payments</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bl>
    <w:p>
      <w:pPr>
        <w:pStyle w:val="TextBody"/>
        <w:spacing w:before="180" w:after="0"/>
        <w:rPr>
          <w:rFonts w:ascii="Times New Roman" w:hAnsi="Times New Roman"/>
          <w:sz w:val="20"/>
        </w:rPr>
      </w:pPr>
      <w:r>
        <w:rPr>
          <w:rFonts w:ascii="Times New Roman" w:hAnsi="Times New Roman"/>
          <w:sz w:val="20"/>
        </w:rPr>
        <w:t xml:space="preserve">Based on the June 30, 2010 fair value measurement and probability assessment regarding future distributions, we expect to recognize approximately $62 million of additional expense over the life of our outstanding awards related to the remaining unrecognized fair value of our Equity compensation plans. For our liability classified awards, this estimate is based on the closing market price of our units of $58.70 at June 30, 2010. For our equity classified awards, this estimate is based on the closing price of the applicable units (PAA or PNG) as of the grant date. Actual amounts may differ materially as a result of a change in the market price of our units and/or probability assessment regarding future distributions. We estimate that the remaining fair value will be recognized in expense as shown below (in millions):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100"/>
        <w:gridCol w:w="310"/>
        <w:gridCol w:w="125"/>
        <w:gridCol w:w="1670"/>
      </w:tblGrid>
      <w:tr>
        <w:trPr/>
        <w:tc>
          <w:tcPr>
            <w:tcW w:w="810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70" w:type="dxa"/>
            <w:tcBorders/>
            <w:shd w:fill="auto" w:val="clear"/>
            <w:vAlign w:val="center"/>
          </w:tcPr>
          <w:p>
            <w:pPr>
              <w:pStyle w:val="TableContents"/>
              <w:spacing w:before="0" w:after="283"/>
              <w:rPr>
                <w:sz w:val="4"/>
                <w:szCs w:val="4"/>
              </w:rPr>
            </w:pPr>
            <w:r>
              <w:rPr>
                <w:sz w:val="4"/>
                <w:szCs w:val="4"/>
              </w:rPr>
            </w:r>
          </w:p>
        </w:tc>
      </w:tr>
      <w:tr>
        <w:trPr/>
        <w:tc>
          <w:tcPr>
            <w:tcW w:w="810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Year</w:t>
            </w:r>
          </w:p>
        </w:tc>
        <w:tc>
          <w:tcPr>
            <w:tcW w:w="310" w:type="dxa"/>
            <w:tcBorders/>
            <w:shd w:fill="auto" w:val="clear"/>
            <w:vAlign w:val="bottom"/>
          </w:tcPr>
          <w:p>
            <w:pPr>
              <w:pStyle w:val="TableContents"/>
              <w:spacing w:before="0" w:after="283"/>
              <w:rPr/>
            </w:pPr>
            <w:r>
              <w:rPr/>
              <w:t>  </w:t>
            </w:r>
          </w:p>
        </w:tc>
        <w:tc>
          <w:tcPr>
            <w:tcW w:w="179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Equity Compensation</w:t>
              <w:br/>
              <w:t>Expense (1) (2)</w:t>
            </w:r>
          </w:p>
        </w:tc>
      </w:tr>
      <w:tr>
        <w:trPr/>
        <w:tc>
          <w:tcPr>
            <w:tcW w:w="8100" w:type="dxa"/>
            <w:tcBorders/>
            <w:shd w:fill="CCEEFF" w:val="clear"/>
          </w:tcPr>
          <w:p>
            <w:pPr>
              <w:pStyle w:val="TableContents"/>
              <w:spacing w:before="0" w:after="283"/>
              <w:rPr/>
            </w:pPr>
            <w:r>
              <w:rPr>
                <w:rFonts w:ascii="Times New Roman" w:hAnsi="Times New Roman"/>
                <w:sz w:val="20"/>
              </w:rPr>
              <w:t xml:space="preserve">2010 </w:t>
            </w:r>
            <w:r>
              <w:rPr>
                <w:rFonts w:ascii="Times New Roman" w:hAnsi="Times New Roman"/>
                <w:sz w:val="14"/>
              </w:rPr>
              <w:t>(3)</w:t>
            </w:r>
          </w:p>
        </w:tc>
        <w:tc>
          <w:tcPr>
            <w:tcW w:w="3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r>
      <w:tr>
        <w:trPr/>
        <w:tc>
          <w:tcPr>
            <w:tcW w:w="8100" w:type="dxa"/>
            <w:tcBorders/>
            <w:shd w:fill="auto" w:val="clear"/>
          </w:tcPr>
          <w:p>
            <w:pPr>
              <w:pStyle w:val="TableContents"/>
              <w:spacing w:before="0" w:after="283"/>
              <w:rPr>
                <w:rFonts w:ascii="Times New Roman" w:hAnsi="Times New Roman"/>
                <w:sz w:val="20"/>
              </w:rPr>
            </w:pPr>
            <w:r>
              <w:rPr>
                <w:rFonts w:ascii="Times New Roman" w:hAnsi="Times New Roman"/>
                <w:sz w:val="20"/>
              </w:rPr>
              <w:t>2011</w:t>
            </w:r>
          </w:p>
        </w:tc>
        <w:tc>
          <w:tcPr>
            <w:tcW w:w="3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6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r>
      <w:tr>
        <w:trPr/>
        <w:tc>
          <w:tcPr>
            <w:tcW w:w="8100" w:type="dxa"/>
            <w:tcBorders/>
            <w:shd w:fill="CCEEFF" w:val="clear"/>
          </w:tcPr>
          <w:p>
            <w:pPr>
              <w:pStyle w:val="TableContents"/>
              <w:spacing w:before="0" w:after="283"/>
              <w:rPr>
                <w:rFonts w:ascii="Times New Roman" w:hAnsi="Times New Roman"/>
                <w:sz w:val="20"/>
              </w:rPr>
            </w:pPr>
            <w:r>
              <w:rPr>
                <w:rFonts w:ascii="Times New Roman" w:hAnsi="Times New Roman"/>
                <w:sz w:val="20"/>
              </w:rPr>
              <w:t>2012</w:t>
            </w:r>
          </w:p>
        </w:tc>
        <w:tc>
          <w:tcPr>
            <w:tcW w:w="3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6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r>
      <w:tr>
        <w:trPr/>
        <w:tc>
          <w:tcPr>
            <w:tcW w:w="8100" w:type="dxa"/>
            <w:tcBorders/>
            <w:shd w:fill="auto" w:val="clear"/>
          </w:tcPr>
          <w:p>
            <w:pPr>
              <w:pStyle w:val="TableContents"/>
              <w:spacing w:before="0" w:after="283"/>
              <w:rPr>
                <w:rFonts w:ascii="Times New Roman" w:hAnsi="Times New Roman"/>
                <w:sz w:val="20"/>
              </w:rPr>
            </w:pPr>
            <w:r>
              <w:rPr>
                <w:rFonts w:ascii="Times New Roman" w:hAnsi="Times New Roman"/>
                <w:sz w:val="20"/>
              </w:rPr>
              <w:t>2013</w:t>
            </w:r>
          </w:p>
        </w:tc>
        <w:tc>
          <w:tcPr>
            <w:tcW w:w="3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6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r>
      <w:tr>
        <w:trPr/>
        <w:tc>
          <w:tcPr>
            <w:tcW w:w="8100" w:type="dxa"/>
            <w:tcBorders/>
            <w:shd w:fill="CCEEFF" w:val="clear"/>
          </w:tcPr>
          <w:p>
            <w:pPr>
              <w:pStyle w:val="TableContents"/>
              <w:spacing w:before="0" w:after="283"/>
              <w:rPr>
                <w:rFonts w:ascii="Times New Roman" w:hAnsi="Times New Roman"/>
                <w:sz w:val="20"/>
              </w:rPr>
            </w:pPr>
            <w:r>
              <w:rPr>
                <w:rFonts w:ascii="Times New Roman" w:hAnsi="Times New Roman"/>
                <w:sz w:val="20"/>
              </w:rPr>
              <w:t>2014</w:t>
            </w:r>
          </w:p>
        </w:tc>
        <w:tc>
          <w:tcPr>
            <w:tcW w:w="3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6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r>
      <w:tr>
        <w:trPr/>
        <w:tc>
          <w:tcPr>
            <w:tcW w:w="8100" w:type="dxa"/>
            <w:tcBorders/>
            <w:shd w:fill="auto" w:val="clear"/>
            <w:vAlign w:val="bottom"/>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670"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8100"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3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70" w:type="dxa"/>
            <w:tcBorders/>
            <w:shd w:fill="auto" w:val="clear"/>
            <w:vAlign w:val="bottom"/>
          </w:tcPr>
          <w:p>
            <w:pPr>
              <w:pStyle w:val="TableContents"/>
              <w:spacing w:before="0" w:after="283"/>
              <w:jc w:val="right"/>
              <w:rPr/>
            </w:pPr>
            <w:r>
              <w:rPr/>
              <w:t>                                 </w:t>
            </w:r>
            <w:r>
              <w:rPr>
                <w:rFonts w:ascii="Times New Roman" w:hAnsi="Times New Roman"/>
                <w:sz w:val="20"/>
              </w:rPr>
              <w:t>62</w:t>
            </w:r>
          </w:p>
        </w:tc>
      </w:tr>
      <w:tr>
        <w:trPr/>
        <w:tc>
          <w:tcPr>
            <w:tcW w:w="8100" w:type="dxa"/>
            <w:tcBorders/>
            <w:shd w:fill="auto" w:val="clear"/>
            <w:vAlign w:val="bottom"/>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670"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pBdr>
          <w:bottom w:val="single" w:sz="16"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rFonts w:ascii="Times New Roman" w:hAnsi="Times New Roman"/>
                <w:sz w:val="14"/>
              </w:rPr>
              <w:t>(1)</w:t>
            </w:r>
            <w:r>
              <w:rPr/>
              <w:t xml:space="preserve">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Amounts do not include fair value associated with awards containing performance conditions that are not considered to be probable of occurring at June 30, 2010.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rFonts w:ascii="Times New Roman" w:hAnsi="Times New Roman"/>
                <w:sz w:val="14"/>
              </w:rPr>
              <w:t>(2)</w:t>
            </w:r>
            <w:r>
              <w:rPr/>
              <w:t xml:space="preserve"> </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unamortized fair value associated with Class B units.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rFonts w:ascii="Times New Roman" w:hAnsi="Times New Roman"/>
                <w:sz w:val="14"/>
              </w:rPr>
              <w:t>(3)</w:t>
            </w:r>
            <w:r>
              <w:rPr/>
              <w:t xml:space="preserve">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equity compensation plan fair value amortization for the remaining six months of 2010.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bookmarkStart w:id="20" w:name="tx73093_18"/>
      <w:bookmarkEnd w:id="20"/>
      <w:r>
        <w:rPr>
          <w:rFonts w:ascii="Times New Roman" w:hAnsi="Times New Roman"/>
          <w:b/>
          <w:sz w:val="20"/>
        </w:rPr>
        <w:t xml:space="preserve">Note 9Derivatives and Risk Management Activities </w:t>
      </w:r>
    </w:p>
    <w:p>
      <w:pPr>
        <w:pStyle w:val="TextBody"/>
        <w:spacing w:before="90" w:after="0"/>
        <w:rPr>
          <w:rFonts w:ascii="Times New Roman" w:hAnsi="Times New Roman"/>
          <w:sz w:val="20"/>
        </w:rPr>
      </w:pPr>
      <w:r>
        <w:rPr>
          <w:rFonts w:ascii="Times New Roman" w:hAnsi="Times New Roman"/>
          <w:sz w:val="20"/>
        </w:rPr>
        <w:t xml:space="preserve">We identify the risks that underlie our core business activities and use risk management strategies to mitigate those risks when we determine that there is value in doing so. We use various derivative instruments to (i) manage our exposure to commodity price risk as well as to optimize our profits, (ii) manage our exposure to interest rate risk and (iii) manage our exposure to currency exchange rate risk. Our policy is to use derivative instruments only for risk management purposes.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foreign currency risk management policies and procedures are designed to monitor our positions and ensure that those positions are consistent with our objectives and approved strategies. Our policy is to formally document all relationships between hedging instruments and hedged items, as well as our risk management objectives and strategies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 A discussion of our derivative activities by risk category follows. </w:t>
      </w:r>
    </w:p>
    <w:p>
      <w:pPr>
        <w:pStyle w:val="TextBody"/>
        <w:spacing w:before="270" w:after="0"/>
        <w:rPr>
          <w:rFonts w:ascii="Times New Roman" w:hAnsi="Times New Roman"/>
          <w:b/>
          <w:i/>
          <w:sz w:val="20"/>
        </w:rPr>
      </w:pPr>
      <w:r>
        <w:rPr>
          <w:rFonts w:ascii="Times New Roman" w:hAnsi="Times New Roman"/>
          <w:b/>
          <w:i/>
          <w:sz w:val="20"/>
        </w:rPr>
        <w:t xml:space="preserve">Commodity Price Risk Hedging </w:t>
      </w:r>
    </w:p>
    <w:p>
      <w:pPr>
        <w:pStyle w:val="TextBody"/>
        <w:spacing w:before="90" w:after="0"/>
        <w:rPr>
          <w:rFonts w:ascii="Times New Roman" w:hAnsi="Times New Roman"/>
          <w:sz w:val="20"/>
        </w:rPr>
      </w:pPr>
      <w:r>
        <w:rPr>
          <w:rFonts w:ascii="Times New Roman" w:hAnsi="Times New Roman"/>
          <w:sz w:val="20"/>
        </w:rPr>
        <w:t xml:space="preserve">Our core business activities contain certain commodity price-related risks that we manage in various ways, including the use of derivative instruments. Our policy is (i) to purchase only product for which we have a market, (ii) to structure our sales contracts so that price fluctuations do not materially affect the segment profit we earn, and (iii) not to acquire and hold physical inventory, futures contracts or other derivative products for the purpose of speculating on outright commodity price changes. Although we seek to maintain positions that are substantially balanced, we purchase crude oil, refined products and LPG from thousands of locations and may experience net unbalanced positions as a result of production, transportation and delivery variances, as well as logistical issues associated with inclement weather conditions and other uncontrollable events that occur within each month. In connection with our efforts to maintain a balanced position, specifically authorized personnel can purchase or sell an aggregate limit of up to 810,000 barrels of crude oil, refined products and LPG relative to the volumes originally scheduled for such month, based on interim information. The purpose of these purchases and sales is to manage risk as opposed to establishing a risk position. When unscheduled physical inventory builds or draws do occur, they are monitored constantly and managed to a balanced position over a reasonable period of time. </w:t>
      </w:r>
    </w:p>
    <w:p>
      <w:pPr>
        <w:pStyle w:val="TextBody"/>
        <w:spacing w:before="180" w:after="0"/>
        <w:rPr>
          <w:rFonts w:ascii="Times New Roman" w:hAnsi="Times New Roman"/>
          <w:sz w:val="20"/>
        </w:rPr>
      </w:pPr>
      <w:r>
        <w:rPr>
          <w:rFonts w:ascii="Times New Roman" w:hAnsi="Times New Roman"/>
          <w:sz w:val="20"/>
        </w:rPr>
        <w:t xml:space="preserve">The material commodity related risks inherent in our business activities can be summarized into the following general categories: </w:t>
      </w:r>
    </w:p>
    <w:p>
      <w:pPr>
        <w:pStyle w:val="TextBody"/>
        <w:spacing w:before="180" w:after="0"/>
        <w:rPr>
          <w:rFonts w:ascii="Times New Roman" w:hAnsi="Times New Roman"/>
          <w:sz w:val="20"/>
        </w:rPr>
      </w:pPr>
      <w:r>
        <w:rPr>
          <w:rFonts w:ascii="Times New Roman" w:hAnsi="Times New Roman"/>
          <w:i/>
          <w:sz w:val="20"/>
        </w:rPr>
        <w:t>Commodity Purchases and Sales</w:t>
      </w:r>
      <w:r>
        <w:rPr>
          <w:rFonts w:ascii="Times New Roman" w:hAnsi="Times New Roman"/>
          <w:sz w:val="20"/>
        </w:rPr>
        <w:t xml:space="preserve">  In the normal course of our supply and logistics operations, we purchase and sell crude oil, LPG, and refined products. We use derivatives to manage the associated risks and to optimize profits. As of June 30, 2010, net derivative positions related to these activities included: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2"/>
        <w:gridCol w:w="8880"/>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approximate 209,500 barrels per day net long position (total of 6.3 million barrels) associated with our crude oil activities, which was unwound ratably during July 2010 to match monthly average pricing.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approximate 23,800 barrels per day (total of 13.5 million barrels) net short spread position, which hedges a portion of our anticipated crude oil lease gathering purchases through January 2012. These derivatives protect our margin on future floating-price crude oil purchase commitments. These derivatives in the aggregate do not result in exposure to outright price movements.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1"/>
        <w:gridCol w:w="8882"/>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net short spread position averaging approximately 1,000 barrels per day (total of 0.5 million barrels) of calendar spread call options for the period July 2010 through January 2012. These derivatives in the aggregate do not result in exposure to outright price movements.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7"/>
        <w:gridCol w:w="305"/>
        <w:gridCol w:w="101"/>
        <w:gridCol w:w="8882"/>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average of approximately 2,400 barrels per day (total of 0.6 million barrels) of butane/WTI spread positions, which hedge specific butane sales contracts that are priced as a fixed percentage of WTI and continue through March 2011.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2"/>
        <w:gridCol w:w="8880"/>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Approximately 8,000 barrels per day on average (total of 4.3 million barrels) of WTS/WTI crude oil basis swaps through December 2011, which hedge anticipated sales of crude oil (WTI). </w:t>
            </w:r>
          </w:p>
        </w:tc>
      </w:tr>
    </w:tbl>
    <w:p>
      <w:pPr>
        <w:pStyle w:val="TextBody"/>
        <w:spacing w:before="180" w:after="0"/>
        <w:rPr>
          <w:rFonts w:ascii="Times New Roman" w:hAnsi="Times New Roman"/>
          <w:sz w:val="20"/>
        </w:rPr>
      </w:pPr>
      <w:r>
        <w:rPr>
          <w:rFonts w:ascii="Times New Roman" w:hAnsi="Times New Roman"/>
          <w:i/>
          <w:sz w:val="20"/>
        </w:rPr>
        <w:t>Storage Capacity Utilization</w:t>
      </w:r>
      <w:r>
        <w:rPr>
          <w:rFonts w:ascii="Times New Roman" w:hAnsi="Times New Roman"/>
          <w:sz w:val="20"/>
        </w:rPr>
        <w:t xml:space="preserve">  We own approximately 62 million barrels of crude oil, LPG and refined products storage capacity that is not used in our transportation operations. This storage may be leased to third parties or utilized in our own supply and logistics activities, including for the storage of inventory in a contango market. For capacity allocated to our supply and logistics operations, we have utilization risk if the market structure is backwardated. As of June 30, 2010, we used derivatives to manage the risk of not utilizing approximately 2.4 million barrels per month of storage capacity through 2011. These positions are a combination of calendar spread options and NYMEX futures contracts. These positions involve no outright price exposure, but instead represent potential offsetting purchases and sales between time periods (first month versus second month for example). </w:t>
      </w:r>
    </w:p>
    <w:p>
      <w:pPr>
        <w:pStyle w:val="TextBody"/>
        <w:spacing w:before="180" w:after="0"/>
        <w:rPr>
          <w:rFonts w:ascii="Times New Roman" w:hAnsi="Times New Roman"/>
          <w:sz w:val="20"/>
        </w:rPr>
      </w:pPr>
      <w:r>
        <w:rPr>
          <w:rFonts w:ascii="Times New Roman" w:hAnsi="Times New Roman"/>
          <w:i/>
          <w:sz w:val="20"/>
        </w:rPr>
        <w:t>Inventory Storage </w:t>
      </w:r>
      <w:r>
        <w:rPr>
          <w:rFonts w:ascii="Times New Roman" w:hAnsi="Times New Roman"/>
          <w:sz w:val="20"/>
        </w:rPr>
        <w:t xml:space="preserve"> At times, we elect to purchase and store crude oil, LPG and refined products inventory in conjunction with our supply and logistics activities. These activities primarily relate to the seasonal storage of LPG inventories and contango market storage activities. When we purchase and store barrels, we enter into physical sales contracts or use derivatives to mitigate price risk associated with the inventory. As of June 30, 2010, we had approximately 13.6 million barrels of inventory hedged with derivatives. </w:t>
      </w:r>
    </w:p>
    <w:p>
      <w:pPr>
        <w:pStyle w:val="TextBody"/>
        <w:spacing w:before="180" w:after="0"/>
        <w:rPr>
          <w:rFonts w:ascii="Times New Roman" w:hAnsi="Times New Roman"/>
          <w:sz w:val="20"/>
        </w:rPr>
      </w:pPr>
      <w:r>
        <w:rPr>
          <w:rFonts w:ascii="Times New Roman" w:hAnsi="Times New Roman"/>
          <w:sz w:val="20"/>
        </w:rPr>
        <w:t xml:space="preserve">We also purchase foreign cargoes of crude oil and may enter into derivatives to mitigate various price risks associated with the purchase and ultimate sale of foreign crude inventory. As of June 30, 2010, we had approximately 1.9 million barrels of crude oil derivatives hedging the anticipated sale of foreign crude inventory. </w:t>
      </w:r>
    </w:p>
    <w:p>
      <w:pPr>
        <w:pStyle w:val="TextBody"/>
        <w:spacing w:before="180" w:after="0"/>
        <w:rPr>
          <w:rFonts w:ascii="Times New Roman" w:hAnsi="Times New Roman"/>
          <w:sz w:val="20"/>
        </w:rPr>
      </w:pPr>
      <w:r>
        <w:rPr>
          <w:rFonts w:ascii="Times New Roman" w:hAnsi="Times New Roman"/>
          <w:i/>
          <w:sz w:val="20"/>
        </w:rPr>
        <w:t>Pipeline Loss Allowance Oil</w:t>
      </w:r>
      <w:r>
        <w:rPr>
          <w:rFonts w:ascii="Times New Roman" w:hAnsi="Times New Roman"/>
          <w:sz w:val="20"/>
        </w:rPr>
        <w:t xml:space="preserve">  As is common in the pipeline transportation industry, our tariffs incorporate a loss allowance factor that is intended to, among other things, offset losses due to evaporation, measurement and other losses in transit. We utilize derivative instruments to hedge a portion of the anticipated sales of the allowance oil that is to be collected under our tariffs. As of June 30, 2010, we had PLA hedges consisting of (i) a net short position consisting of crude oil futures and swaps for an average of approximately 2,200 barrels per day (total of 2.0 million barrels) through December 2012, (ii) a long put option position of approximately 0.4 million barrels through December 2012 and (iii) a long call option position of approximately 1.3 million barrels through December 2011. </w:t>
      </w:r>
    </w:p>
    <w:p>
      <w:pPr>
        <w:pStyle w:val="TextBody"/>
        <w:spacing w:before="180" w:after="0"/>
        <w:rPr>
          <w:rFonts w:ascii="Times New Roman" w:hAnsi="Times New Roman"/>
          <w:sz w:val="20"/>
        </w:rPr>
      </w:pPr>
      <w:r>
        <w:rPr>
          <w:rFonts w:ascii="Times New Roman" w:hAnsi="Times New Roman"/>
          <w:i/>
          <w:sz w:val="20"/>
        </w:rPr>
        <w:t>Diluent Purchases</w:t>
      </w:r>
      <w:r>
        <w:rPr>
          <w:rFonts w:ascii="Times New Roman" w:hAnsi="Times New Roman"/>
          <w:sz w:val="20"/>
        </w:rPr>
        <w:t xml:space="preserve">  We use diluent in our Canadian crude oil pipeline operations and have used derivative instruments to hedge the anticipated forward purchases of diluent and diluent inventory. As of June 30, 2010, we had an average of 1,200 barrels per day of natural gasoline/WTI spread positions (approximately 1 million barrels) that run through 2011. </w:t>
      </w:r>
    </w:p>
    <w:p>
      <w:pPr>
        <w:pStyle w:val="TextBody"/>
        <w:spacing w:before="180" w:after="0"/>
        <w:rPr>
          <w:rFonts w:ascii="Times New Roman" w:hAnsi="Times New Roman"/>
          <w:sz w:val="20"/>
        </w:rPr>
      </w:pPr>
      <w:r>
        <w:rPr>
          <w:rFonts w:ascii="Times New Roman" w:hAnsi="Times New Roman"/>
          <w:i/>
          <w:sz w:val="20"/>
        </w:rPr>
        <w:t>Natural Gas Purchases</w:t>
      </w:r>
      <w:r>
        <w:rPr>
          <w:rFonts w:ascii="Times New Roman" w:hAnsi="Times New Roman"/>
          <w:sz w:val="20"/>
        </w:rPr>
        <w:t xml:space="preserve">  Our gas storage facilities require minimum levels of natural gas (base gas) to operate. For our natural gas storage facilities that are under construction, we anticipate purchasing base gas in future periods as construction is completed. We use derivatives to hedge such anticipated purchases of natural gas. As of June 30, 2010, we have a long position of approximately 1 Bcf consisting of natural gas futures contracts through August 2011 and natural gas call options for approximately 1 Bcf through August 2011. </w:t>
      </w:r>
    </w:p>
    <w:p>
      <w:pPr>
        <w:pStyle w:val="TextBody"/>
        <w:spacing w:before="180" w:after="0"/>
        <w:rPr>
          <w:rFonts w:ascii="Times New Roman" w:hAnsi="Times New Roman"/>
          <w:sz w:val="20"/>
        </w:rPr>
      </w:pPr>
      <w:r>
        <w:rPr>
          <w:rFonts w:ascii="Times New Roman" w:hAnsi="Times New Roman"/>
          <w:sz w:val="20"/>
        </w:rPr>
        <w:t xml:space="preserve">The derivative instruments we use to manage our commodity price risk consist primarily of futures, options and swaps traded on the NYMEX and ICE and in over-the-counter transactions. Over-the-counter transactions include commodity swap and option contracts. All of our commodity derivatives that qualify for hedge accounting are designated as cash flow hedges. Therefore, the corresponding changes in fair value for the effective portion of the hedges are deferred into AOCI and recognized in revenues or purchases and related costs in the periods during which the underlying physical transactions occur. We have determined that substantially all of our physical purchase and sale agreements qualify for the NPNS exclusion and thus are not subject to the accounting treatment for derivative instruments and hedging activities as set forth in FASB guidance. Physical commodity contracts that meet the definition of a derivative but are ineligible, or not designated, for the NPNS scope exception are recorded on the balance sheet as assets or liabilities at their fair value, with the changes in fair value recorded net in revenues.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Interest Rate Risk Hedging </w:t>
      </w:r>
    </w:p>
    <w:p>
      <w:pPr>
        <w:pStyle w:val="TextBody"/>
        <w:spacing w:before="90" w:after="0"/>
        <w:rPr>
          <w:rFonts w:ascii="Times New Roman" w:hAnsi="Times New Roman"/>
          <w:sz w:val="20"/>
        </w:rPr>
      </w:pPr>
      <w:r>
        <w:rPr>
          <w:rFonts w:ascii="Times New Roman" w:hAnsi="Times New Roman"/>
          <w:sz w:val="20"/>
        </w:rPr>
        <w:t xml:space="preserve">We use interest rate derivatives to hedge interest rate risk associated with anticipated debt issuances and, in certain cases, outstanding debt instruments. The derivative instruments we use to manage this risk consist primarily of interest rate swaps and treasury locks. As of June 30, 2010, AOCI includes deferred losses of $7 million that relate to terminated interest rate swaps and treasury locks that were designated for hedge accounting. These terminated interest rate derivatives were cash-settled in connection with the issuance and refinancing of debt agreements. The deferred loss related to these instruments is being amortized to interest expense over the original terms of the hedged debt instruments. </w:t>
      </w:r>
    </w:p>
    <w:p>
      <w:pPr>
        <w:pStyle w:val="TextBody"/>
        <w:spacing w:before="180" w:after="0"/>
        <w:rPr>
          <w:rFonts w:ascii="Times New Roman" w:hAnsi="Times New Roman"/>
          <w:sz w:val="20"/>
        </w:rPr>
      </w:pPr>
      <w:r>
        <w:rPr>
          <w:rFonts w:ascii="Times New Roman" w:hAnsi="Times New Roman"/>
          <w:sz w:val="20"/>
        </w:rPr>
        <w:t xml:space="preserve">As of June 30, 2010, we had four outstanding interest rate swaps and three outstanding 10-year treasury locks. For the interest rate swaps, we receive fixed interest payments and pay floating-rate interest payments based on three-month LIBOR plus an average spread of 2.42% on a semi-annual basis. The swaps have an aggregate notional amount of $300 million with fixed rates of 4.25%. Two of the swaps terminate in 2011 and two of the swaps terminate in 2012. The 10-year treasury locks have an aggregate notional amount of $150 million and an average locked rate of 3.14%. All three 10-year treasury locks terminated in July 2010. </w:t>
      </w:r>
    </w:p>
    <w:p>
      <w:pPr>
        <w:pStyle w:val="TextBody"/>
        <w:spacing w:before="270" w:after="0"/>
        <w:rPr>
          <w:rFonts w:ascii="Times New Roman" w:hAnsi="Times New Roman"/>
          <w:b/>
          <w:i/>
          <w:sz w:val="20"/>
        </w:rPr>
      </w:pPr>
      <w:r>
        <w:rPr>
          <w:rFonts w:ascii="Times New Roman" w:hAnsi="Times New Roman"/>
          <w:b/>
          <w:i/>
          <w:sz w:val="20"/>
        </w:rPr>
        <w:t xml:space="preserve">Currency Exchange Rate Risk Hedging </w:t>
      </w:r>
    </w:p>
    <w:p>
      <w:pPr>
        <w:pStyle w:val="TextBody"/>
        <w:spacing w:before="90" w:after="0"/>
        <w:rPr>
          <w:rFonts w:ascii="Times New Roman" w:hAnsi="Times New Roman"/>
          <w:sz w:val="20"/>
        </w:rPr>
      </w:pPr>
      <w:r>
        <w:rPr>
          <w:rFonts w:ascii="Times New Roman" w:hAnsi="Times New Roman"/>
          <w:sz w:val="20"/>
        </w:rPr>
        <w:t xml:space="preserve">We use foreign currency derivatives to hedge foreign currency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As of June 30, 2010, AOCI includes net deferred gains of $17 million that relate to open and settled forward exchange contracts that were designated for hedge accounting. These forward exchange contracts hedge the cash flow variability associated with CAD-denominated interest payments on a CAD-denominated intercompany note as a result of changes in the foreign exchange rate. </w:t>
      </w:r>
    </w:p>
    <w:p>
      <w:pPr>
        <w:pStyle w:val="TextBody"/>
        <w:spacing w:before="180" w:after="0"/>
        <w:rPr>
          <w:rFonts w:ascii="Times New Roman" w:hAnsi="Times New Roman"/>
          <w:sz w:val="20"/>
        </w:rPr>
      </w:pPr>
      <w:r>
        <w:rPr>
          <w:rFonts w:ascii="Times New Roman" w:hAnsi="Times New Roman"/>
          <w:sz w:val="20"/>
        </w:rPr>
        <w:t xml:space="preserve">As of June 30, 2010, our outstanding foreign currency derivatives also include derivatives used to hedge CAD-denominated crude oil purchases and sales. We may from time to time hedge the commodity price risk associated with a CAD-denominated commodity transaction with a USD-denominated commodity derivative. In conjunction with entering into the commodity derivative, we enter into a foreign currency derivative to hedge the resulting foreign currency risk. These foreign currency derivatives are generally short-term in nature and are not designated for hedge accounting. </w:t>
      </w:r>
    </w:p>
    <w:p>
      <w:pPr>
        <w:pStyle w:val="TextBody"/>
        <w:spacing w:before="180" w:after="0"/>
        <w:rPr>
          <w:rFonts w:ascii="Times New Roman" w:hAnsi="Times New Roman"/>
          <w:sz w:val="20"/>
        </w:rPr>
      </w:pPr>
      <w:r>
        <w:rPr>
          <w:rFonts w:ascii="Times New Roman" w:hAnsi="Times New Roman"/>
          <w:sz w:val="20"/>
        </w:rPr>
        <w:t xml:space="preserve">At June 30, 2010, our open foreign exchange derivatives included forward exchange contracts that exchange CAD for USD on a net basis as follows (in millions):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3182"/>
        <w:gridCol w:w="539"/>
        <w:gridCol w:w="307"/>
        <w:gridCol w:w="574"/>
        <w:gridCol w:w="539"/>
        <w:gridCol w:w="223"/>
        <w:gridCol w:w="414"/>
        <w:gridCol w:w="539"/>
        <w:gridCol w:w="607"/>
        <w:gridCol w:w="1648"/>
      </w:tblGrid>
      <w:tr>
        <w:trPr/>
        <w:tc>
          <w:tcPr>
            <w:tcW w:w="3182"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bottom"/>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1648" w:type="dxa"/>
            <w:tcBorders/>
            <w:shd w:fill="auto" w:val="clear"/>
            <w:vAlign w:val="center"/>
          </w:tcPr>
          <w:p>
            <w:pPr>
              <w:pStyle w:val="TableContents"/>
              <w:spacing w:before="0" w:after="283"/>
              <w:rPr>
                <w:sz w:val="4"/>
                <w:szCs w:val="4"/>
              </w:rPr>
            </w:pPr>
            <w:r>
              <w:rPr>
                <w:sz w:val="4"/>
                <w:szCs w:val="4"/>
              </w:rPr>
            </w:r>
          </w:p>
        </w:tc>
      </w:tr>
      <w:tr>
        <w:trPr/>
        <w:tc>
          <w:tcPr>
            <w:tcW w:w="3182"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881"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CAD      </w:t>
            </w:r>
          </w:p>
        </w:tc>
        <w:tc>
          <w:tcPr>
            <w:tcW w:w="539" w:type="dxa"/>
            <w:tcBorders/>
            <w:shd w:fill="auto" w:val="clear"/>
            <w:vAlign w:val="bottom"/>
          </w:tcPr>
          <w:p>
            <w:pPr>
              <w:pStyle w:val="TableContents"/>
              <w:spacing w:before="0" w:after="283"/>
              <w:rPr/>
            </w:pPr>
            <w:r>
              <w:rPr/>
              <w:t>  </w:t>
            </w:r>
          </w:p>
        </w:tc>
        <w:tc>
          <w:tcPr>
            <w:tcW w:w="637"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USD    </w:t>
            </w:r>
          </w:p>
        </w:tc>
        <w:tc>
          <w:tcPr>
            <w:tcW w:w="539" w:type="dxa"/>
            <w:tcBorders/>
            <w:shd w:fill="auto" w:val="clear"/>
            <w:vAlign w:val="bottom"/>
          </w:tcPr>
          <w:p>
            <w:pPr>
              <w:pStyle w:val="TableContents"/>
              <w:spacing w:before="0" w:after="283"/>
              <w:rPr/>
            </w:pPr>
            <w:r>
              <w:rPr/>
              <w:t>  </w:t>
            </w:r>
          </w:p>
        </w:tc>
        <w:tc>
          <w:tcPr>
            <w:tcW w:w="225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Average Exchange Rate</w:t>
            </w:r>
          </w:p>
        </w:tc>
      </w:tr>
      <w:tr>
        <w:trPr/>
        <w:tc>
          <w:tcPr>
            <w:tcW w:w="3182" w:type="dxa"/>
            <w:tcBorders/>
            <w:shd w:fill="CCEEFF" w:val="clear"/>
          </w:tcPr>
          <w:p>
            <w:pPr>
              <w:pStyle w:val="TableContents"/>
              <w:spacing w:before="0" w:after="283"/>
              <w:rPr>
                <w:rFonts w:ascii="Times New Roman" w:hAnsi="Times New Roman"/>
                <w:sz w:val="20"/>
              </w:rPr>
            </w:pPr>
            <w:r>
              <w:rPr>
                <w:rFonts w:ascii="Times New Roman" w:hAnsi="Times New Roman"/>
                <w:sz w:val="20"/>
              </w:rPr>
              <w:t>2010</w:t>
            </w:r>
          </w:p>
        </w:tc>
        <w:tc>
          <w:tcPr>
            <w:tcW w:w="539"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53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539"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CAD $</w:t>
            </w:r>
          </w:p>
        </w:tc>
        <w:tc>
          <w:tcPr>
            <w:tcW w:w="1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 to USD $1.00</w:t>
            </w:r>
          </w:p>
        </w:tc>
      </w:tr>
      <w:tr>
        <w:trPr/>
        <w:tc>
          <w:tcPr>
            <w:tcW w:w="3182" w:type="dxa"/>
            <w:tcBorders/>
            <w:shd w:fill="auto" w:val="clear"/>
          </w:tcPr>
          <w:p>
            <w:pPr>
              <w:pStyle w:val="TableContents"/>
              <w:spacing w:before="0" w:after="283"/>
              <w:rPr>
                <w:rFonts w:ascii="Times New Roman" w:hAnsi="Times New Roman"/>
                <w:sz w:val="20"/>
              </w:rPr>
            </w:pPr>
            <w:r>
              <w:rPr>
                <w:rFonts w:ascii="Times New Roman" w:hAnsi="Times New Roman"/>
                <w:sz w:val="20"/>
              </w:rPr>
              <w:t>2011</w:t>
            </w:r>
          </w:p>
        </w:tc>
        <w:tc>
          <w:tcPr>
            <w:tcW w:w="539"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53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539"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CAD $</w:t>
            </w:r>
          </w:p>
        </w:tc>
        <w:tc>
          <w:tcPr>
            <w:tcW w:w="1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 to USD $1.00</w:t>
            </w:r>
          </w:p>
        </w:tc>
      </w:tr>
      <w:tr>
        <w:trPr/>
        <w:tc>
          <w:tcPr>
            <w:tcW w:w="3182" w:type="dxa"/>
            <w:tcBorders/>
            <w:shd w:fill="CCEEFF" w:val="clear"/>
          </w:tcPr>
          <w:p>
            <w:pPr>
              <w:pStyle w:val="TableContents"/>
              <w:spacing w:before="0" w:after="283"/>
              <w:rPr>
                <w:rFonts w:ascii="Times New Roman" w:hAnsi="Times New Roman"/>
                <w:sz w:val="20"/>
              </w:rPr>
            </w:pPr>
            <w:r>
              <w:rPr>
                <w:rFonts w:ascii="Times New Roman" w:hAnsi="Times New Roman"/>
                <w:sz w:val="20"/>
              </w:rPr>
              <w:t>2012</w:t>
            </w:r>
          </w:p>
        </w:tc>
        <w:tc>
          <w:tcPr>
            <w:tcW w:w="539"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53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539"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CAD $</w:t>
            </w:r>
          </w:p>
        </w:tc>
        <w:tc>
          <w:tcPr>
            <w:tcW w:w="1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 to USD $1.00</w:t>
            </w:r>
          </w:p>
        </w:tc>
      </w:tr>
      <w:tr>
        <w:trPr/>
        <w:tc>
          <w:tcPr>
            <w:tcW w:w="3182" w:type="dxa"/>
            <w:tcBorders/>
            <w:shd w:fill="auto" w:val="clear"/>
          </w:tcPr>
          <w:p>
            <w:pPr>
              <w:pStyle w:val="TableContents"/>
              <w:spacing w:before="0" w:after="283"/>
              <w:rPr>
                <w:rFonts w:ascii="Times New Roman" w:hAnsi="Times New Roman"/>
                <w:sz w:val="20"/>
              </w:rPr>
            </w:pPr>
            <w:r>
              <w:rPr>
                <w:rFonts w:ascii="Times New Roman" w:hAnsi="Times New Roman"/>
                <w:sz w:val="20"/>
              </w:rPr>
              <w:t>2013</w:t>
            </w:r>
          </w:p>
        </w:tc>
        <w:tc>
          <w:tcPr>
            <w:tcW w:w="539"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53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539"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CAD $</w:t>
            </w:r>
          </w:p>
        </w:tc>
        <w:tc>
          <w:tcPr>
            <w:tcW w:w="1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 to USD $1.00</w:t>
            </w:r>
          </w:p>
        </w:tc>
      </w:tr>
    </w:tbl>
    <w:p>
      <w:pPr>
        <w:pStyle w:val="TextBody"/>
        <w:spacing w:before="180" w:after="0"/>
        <w:rPr>
          <w:rFonts w:ascii="Times New Roman" w:hAnsi="Times New Roman"/>
          <w:sz w:val="20"/>
        </w:rPr>
      </w:pPr>
      <w:r>
        <w:rPr>
          <w:rFonts w:ascii="Times New Roman" w:hAnsi="Times New Roman"/>
          <w:sz w:val="20"/>
        </w:rPr>
        <w:t xml:space="preserve">These financial instruments are placed with large, highly rated financial institutions.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Summary of Financial Impact </w:t>
      </w:r>
    </w:p>
    <w:p>
      <w:pPr>
        <w:pStyle w:val="TextBody"/>
        <w:spacing w:before="90" w:after="0"/>
        <w:rPr>
          <w:rFonts w:ascii="Times New Roman" w:hAnsi="Times New Roman"/>
          <w:sz w:val="20"/>
        </w:rPr>
      </w:pPr>
      <w:r>
        <w:rPr>
          <w:rFonts w:ascii="Times New Roman" w:hAnsi="Times New Roman"/>
          <w:sz w:val="20"/>
        </w:rPr>
        <w:t xml:space="preserve">The majority of our derivative activity is related to our commodity price-risk hedging activities. All of our commodity derivatives that qualify for hedge accounting are designated as cash flow hedges. Therefore, the corresponding changes in fair value for the effective portion of the hedges are deferred to AOCI and recognized in earnings in the periods during which the underlying physical transactions impact earnings. Derivatives that do not qualify for hedge accounting and the portion of cash flow hedges that is not highly effective in offsetting changes in cash flows of the hedged items are recognized in earnings each period. Cash settlements associated with our derivative activities are reflected as operating cash flows in our consolidated statements of cash flows. </w:t>
      </w:r>
    </w:p>
    <w:p>
      <w:pPr>
        <w:pStyle w:val="TextBody"/>
        <w:spacing w:before="180" w:after="0"/>
        <w:rPr>
          <w:rFonts w:ascii="Times New Roman" w:hAnsi="Times New Roman"/>
          <w:sz w:val="20"/>
        </w:rPr>
      </w:pPr>
      <w:r>
        <w:rPr>
          <w:rFonts w:ascii="Times New Roman" w:hAnsi="Times New Roman"/>
          <w:sz w:val="20"/>
        </w:rPr>
        <w:t xml:space="preserve">A summary of the impact of our derivative activities recognized in earnings for the three and six months ended June 30, 2010 and 2009 is as follows (in millions): </w:t>
      </w:r>
    </w:p>
    <w:p>
      <w:pPr>
        <w:pStyle w:val="TextBody"/>
        <w:spacing w:before="270" w:after="0"/>
        <w:rPr>
          <w:rFonts w:ascii="Times New Roman" w:hAnsi="Times New Roman"/>
          <w:b/>
          <w:sz w:val="20"/>
        </w:rPr>
      </w:pPr>
      <w:r>
        <w:rPr>
          <w:rFonts w:ascii="Times New Roman" w:hAnsi="Times New Roman"/>
          <w:b/>
          <w:sz w:val="20"/>
        </w:rPr>
        <w:t xml:space="preserve">Three months ended June 30, 2010 and 2009: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517"/>
        <w:gridCol w:w="131"/>
        <w:gridCol w:w="125"/>
        <w:gridCol w:w="770"/>
        <w:gridCol w:w="125"/>
        <w:gridCol w:w="71"/>
        <w:gridCol w:w="125"/>
        <w:gridCol w:w="770"/>
        <w:gridCol w:w="131"/>
        <w:gridCol w:w="260"/>
        <w:gridCol w:w="481"/>
        <w:gridCol w:w="125"/>
        <w:gridCol w:w="71"/>
        <w:gridCol w:w="125"/>
        <w:gridCol w:w="770"/>
        <w:gridCol w:w="125"/>
        <w:gridCol w:w="71"/>
        <w:gridCol w:w="60"/>
        <w:gridCol w:w="131"/>
        <w:gridCol w:w="124"/>
        <w:gridCol w:w="770"/>
        <w:gridCol w:w="131"/>
        <w:gridCol w:w="125"/>
        <w:gridCol w:w="770"/>
        <w:gridCol w:w="125"/>
        <w:gridCol w:w="71"/>
        <w:gridCol w:w="286"/>
        <w:gridCol w:w="530"/>
        <w:gridCol w:w="125"/>
        <w:gridCol w:w="70"/>
        <w:gridCol w:w="125"/>
        <w:gridCol w:w="830"/>
        <w:gridCol w:w="139"/>
      </w:tblGrid>
      <w:tr>
        <w:trPr/>
        <w:tc>
          <w:tcPr>
            <w:tcW w:w="151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151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949" w:type="dxa"/>
            <w:gridSpan w:val="13"/>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 June 30, 2010</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082" w:type="dxa"/>
            <w:gridSpan w:val="13"/>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 June 30, 2009</w:t>
            </w:r>
          </w:p>
        </w:tc>
        <w:tc>
          <w:tcPr>
            <w:tcW w:w="139" w:type="dxa"/>
            <w:tcBorders/>
            <w:shd w:fill="auto" w:val="clear"/>
            <w:vAlign w:val="bottom"/>
          </w:tcPr>
          <w:p>
            <w:pPr>
              <w:pStyle w:val="TableContents"/>
              <w:spacing w:before="0" w:after="283"/>
              <w:rPr/>
            </w:pPr>
            <w:r>
              <w:rPr/>
              <w:t> </w:t>
            </w:r>
          </w:p>
        </w:tc>
      </w:tr>
      <w:tr>
        <w:trPr/>
        <w:tc>
          <w:tcPr>
            <w:tcW w:w="151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986"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Derivatives in Cash Flow</w:t>
              <w:br/>
              <w:t>Hedging Relationships</w:t>
            </w:r>
          </w:p>
        </w:tc>
        <w:tc>
          <w:tcPr>
            <w:tcW w:w="131" w:type="dxa"/>
            <w:tcBorders/>
            <w:shd w:fill="auto" w:val="clear"/>
            <w:vAlign w:val="bottom"/>
          </w:tcPr>
          <w:p>
            <w:pPr>
              <w:pStyle w:val="TableContents"/>
              <w:spacing w:before="0" w:after="283"/>
              <w:rPr/>
            </w:pPr>
            <w:r>
              <w:rPr/>
              <w:t>  </w:t>
            </w:r>
          </w:p>
        </w:tc>
        <w:tc>
          <w:tcPr>
            <w:tcW w:w="741"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Derivatives  Not</w:t>
            </w:r>
            <w:r>
              <w:rPr/>
              <w:br/>
            </w:r>
            <w:r>
              <w:rPr>
                <w:rFonts w:ascii="Times New Roman" w:hAnsi="Times New Roman"/>
                <w:b/>
                <w:sz w:val="14"/>
              </w:rPr>
              <w:t>Designated</w:t>
            </w:r>
            <w:r>
              <w:rPr/>
              <w:br/>
            </w:r>
            <w:r>
              <w:rPr>
                <w:rFonts w:ascii="Times New Roman" w:hAnsi="Times New Roman"/>
                <w:b/>
                <w:sz w:val="14"/>
              </w:rPr>
              <w:t>as a Hedge (3)</w:t>
            </w:r>
          </w:p>
        </w:tc>
        <w:tc>
          <w:tcPr>
            <w:tcW w:w="125" w:type="dxa"/>
            <w:vMerge w:val="restart"/>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95"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920"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Derivatives in Cash Flow</w:t>
              <w:br/>
              <w:t>Hedging Relationships</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16"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Derivatives  Not</w:t>
            </w:r>
            <w:r>
              <w:rPr/>
              <w:br/>
            </w:r>
            <w:r>
              <w:rPr>
                <w:rFonts w:ascii="Times New Roman" w:hAnsi="Times New Roman"/>
                <w:b/>
                <w:sz w:val="14"/>
              </w:rPr>
              <w:t>Designated</w:t>
              <w:br/>
              <w:t>as a Hedge (3)</w:t>
            </w:r>
          </w:p>
        </w:tc>
        <w:tc>
          <w:tcPr>
            <w:tcW w:w="125" w:type="dxa"/>
            <w:vMerge w:val="restart"/>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955" w:type="dxa"/>
            <w:gridSpan w:val="2"/>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1517"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Location of gain/(loss)</w:t>
            </w:r>
          </w:p>
        </w:tc>
        <w:tc>
          <w:tcPr>
            <w:tcW w:w="131" w:type="dxa"/>
            <w:tcBorders/>
            <w:shd w:fill="auto" w:val="clear"/>
            <w:vAlign w:val="bottom"/>
          </w:tcPr>
          <w:p>
            <w:pPr>
              <w:pStyle w:val="TableContents"/>
              <w:spacing w:before="0" w:after="283"/>
              <w:rPr/>
            </w:pPr>
            <w:r>
              <w:rPr/>
              <w:t>  </w:t>
            </w:r>
          </w:p>
        </w:tc>
        <w:tc>
          <w:tcPr>
            <w:tcW w:w="89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AOCI</w:t>
              <w:br/>
              <w:t>Reclass  (1)</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9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b/>
                <w:sz w:val="14"/>
              </w:rPr>
              <w:t>Ineffective</w:t>
              <w:br/>
              <w:t>Portion (2)</w:t>
            </w:r>
            <w:r>
              <w:rPr>
                <w:rFonts w:ascii="Times New Roman" w:hAnsi="Times New Roman"/>
                <w:sz w:val="14"/>
              </w:rPr>
              <w:t xml:space="preserve"> </w:t>
            </w:r>
          </w:p>
        </w:tc>
        <w:tc>
          <w:tcPr>
            <w:tcW w:w="131" w:type="dxa"/>
            <w:tcBorders/>
            <w:shd w:fill="auto" w:val="clear"/>
            <w:vAlign w:val="bottom"/>
          </w:tcPr>
          <w:p>
            <w:pPr>
              <w:pStyle w:val="TableContents"/>
              <w:spacing w:before="0" w:after="283"/>
              <w:rPr/>
            </w:pPr>
            <w:r>
              <w:rPr/>
              <w:t>  </w:t>
            </w:r>
          </w:p>
        </w:tc>
        <w:tc>
          <w:tcPr>
            <w:tcW w:w="741" w:type="dxa"/>
            <w:gridSpan w:val="2"/>
            <w:vMerge w:val="continue"/>
            <w:tcBorders>
              <w:bottom w:val="single" w:sz="2" w:space="0" w:color="000000"/>
            </w:tcBorders>
            <w:shd w:fill="auto" w:val="clear"/>
            <w:tcMar>
              <w:bottom w:w="28" w:type="dxa"/>
            </w:tcMar>
            <w:vAlign w:val="bottom"/>
          </w:tcPr>
          <w:p>
            <w:pPr>
              <w:pStyle w:val="Normal"/>
              <w:rPr/>
            </w:pPr>
            <w:r>
              <w:rPr/>
            </w:r>
          </w:p>
        </w:tc>
        <w:tc>
          <w:tcPr>
            <w:tcW w:w="125" w:type="dxa"/>
            <w:vMerge w:val="continue"/>
            <w:tcBorders/>
            <w:shd w:fill="auto" w:val="clear"/>
            <w:vAlign w:val="bottom"/>
          </w:tcPr>
          <w:p>
            <w:pPr>
              <w:pStyle w:val="Normal"/>
              <w:rPr/>
            </w:pPr>
            <w:r>
              <w:rPr/>
            </w:r>
          </w:p>
        </w:tc>
        <w:tc>
          <w:tcPr>
            <w:tcW w:w="71" w:type="dxa"/>
            <w:tcBorders/>
            <w:shd w:fill="auto" w:val="clear"/>
            <w:vAlign w:val="bottom"/>
          </w:tcPr>
          <w:p>
            <w:pPr>
              <w:pStyle w:val="TableContents"/>
              <w:spacing w:before="0" w:after="283"/>
              <w:rPr/>
            </w:pPr>
            <w:r>
              <w:rPr/>
              <w:t> </w:t>
            </w:r>
          </w:p>
        </w:tc>
        <w:tc>
          <w:tcPr>
            <w:tcW w:w="89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89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AOCI</w:t>
              <w:br/>
              <w:t>Reclass  (1)</w:t>
            </w:r>
          </w:p>
        </w:tc>
        <w:tc>
          <w:tcPr>
            <w:tcW w:w="131" w:type="dxa"/>
            <w:tcBorders/>
            <w:shd w:fill="auto" w:val="clear"/>
            <w:vAlign w:val="bottom"/>
          </w:tcPr>
          <w:p>
            <w:pPr>
              <w:pStyle w:val="TableContents"/>
              <w:spacing w:before="0" w:after="283"/>
              <w:rPr/>
            </w:pPr>
            <w:r>
              <w:rPr/>
              <w:t>  </w:t>
            </w:r>
          </w:p>
        </w:tc>
        <w:tc>
          <w:tcPr>
            <w:tcW w:w="89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b/>
                <w:sz w:val="14"/>
              </w:rPr>
              <w:t>Ineffective</w:t>
              <w:br/>
              <w:t>Portion (2)</w:t>
            </w:r>
            <w:r>
              <w:rPr>
                <w:rFonts w:ascii="Times New Roman" w:hAnsi="Times New Roman"/>
                <w:sz w:val="14"/>
              </w:rPr>
              <w:t xml:space="preserve"> </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16" w:type="dxa"/>
            <w:gridSpan w:val="2"/>
            <w:vMerge w:val="continue"/>
            <w:tcBorders>
              <w:bottom w:val="single" w:sz="2" w:space="0" w:color="000000"/>
            </w:tcBorders>
            <w:shd w:fill="auto" w:val="clear"/>
            <w:tcMar>
              <w:bottom w:w="28" w:type="dxa"/>
            </w:tcMar>
            <w:vAlign w:val="bottom"/>
          </w:tcPr>
          <w:p>
            <w:pPr>
              <w:pStyle w:val="Normal"/>
              <w:rPr/>
            </w:pPr>
            <w:r>
              <w:rPr/>
            </w:r>
          </w:p>
        </w:tc>
        <w:tc>
          <w:tcPr>
            <w:tcW w:w="125" w:type="dxa"/>
            <w:vMerge w:val="continue"/>
            <w:tcBorders/>
            <w:shd w:fill="auto" w:val="clear"/>
            <w:vAlign w:val="bottom"/>
          </w:tcPr>
          <w:p>
            <w:pPr>
              <w:pStyle w:val="Normal"/>
              <w:rPr/>
            </w:pPr>
            <w:r>
              <w:rPr/>
            </w:r>
          </w:p>
        </w:tc>
        <w:tc>
          <w:tcPr>
            <w:tcW w:w="70" w:type="dxa"/>
            <w:tcBorders/>
            <w:shd w:fill="auto" w:val="clear"/>
            <w:vAlign w:val="bottom"/>
          </w:tcPr>
          <w:p>
            <w:pPr>
              <w:pStyle w:val="TableContents"/>
              <w:spacing w:before="0" w:after="283"/>
              <w:rPr/>
            </w:pPr>
            <w:r>
              <w:rPr/>
              <w:t> </w:t>
            </w:r>
          </w:p>
        </w:tc>
        <w:tc>
          <w:tcPr>
            <w:tcW w:w="95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139" w:type="dxa"/>
            <w:tcBorders/>
            <w:shd w:fill="auto" w:val="clear"/>
            <w:vAlign w:val="bottom"/>
          </w:tcPr>
          <w:p>
            <w:pPr>
              <w:pStyle w:val="TableContents"/>
              <w:spacing w:before="0" w:after="283"/>
              <w:rPr/>
            </w:pPr>
            <w:r>
              <w:rPr/>
              <w:t> </w:t>
            </w:r>
          </w:p>
        </w:tc>
      </w:tr>
      <w:tr>
        <w:trPr/>
        <w:tc>
          <w:tcPr>
            <w:tcW w:w="1517" w:type="dxa"/>
            <w:tcBorders/>
            <w:shd w:fill="CCEEFF" w:val="clear"/>
          </w:tcPr>
          <w:p>
            <w:pPr>
              <w:pStyle w:val="TableContents"/>
              <w:spacing w:before="0" w:after="283"/>
              <w:rPr>
                <w:rFonts w:ascii="Times New Roman" w:hAnsi="Times New Roman"/>
                <w:b/>
                <w:sz w:val="20"/>
              </w:rPr>
            </w:pPr>
            <w:r>
              <w:rPr>
                <w:rFonts w:ascii="Times New Roman" w:hAnsi="Times New Roman"/>
                <w:b/>
                <w:sz w:val="20"/>
              </w:rPr>
              <w:t>Commodity Derivatives</w:t>
            </w:r>
          </w:p>
        </w:tc>
        <w:tc>
          <w:tcPr>
            <w:tcW w:w="1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sz w:val="4"/>
                <w:szCs w:val="4"/>
              </w:rPr>
            </w:pPr>
            <w:r>
              <w:rPr>
                <w:sz w:val="4"/>
                <w:szCs w:val="4"/>
              </w:rPr>
            </w:r>
          </w:p>
        </w:tc>
        <w:tc>
          <w:tcPr>
            <w:tcW w:w="48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53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0" w:type="dxa"/>
            <w:tcBorders/>
            <w:shd w:fill="CCEEFF" w:val="clear"/>
            <w:vAlign w:val="bottom"/>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sz w:val="4"/>
                <w:szCs w:val="4"/>
              </w:rPr>
            </w:pPr>
            <w:r>
              <w:rPr>
                <w:sz w:val="4"/>
                <w:szCs w:val="4"/>
              </w:rPr>
            </w:r>
          </w:p>
        </w:tc>
      </w:tr>
      <w:tr>
        <w:trPr/>
        <w:tc>
          <w:tcPr>
            <w:tcW w:w="1517" w:type="dxa"/>
            <w:tcBorders/>
            <w:shd w:fill="auto" w:val="clear"/>
          </w:tcPr>
          <w:p>
            <w:pPr>
              <w:pStyle w:val="TableContents"/>
              <w:spacing w:before="0" w:after="283"/>
              <w:rPr>
                <w:rFonts w:ascii="Times New Roman" w:hAnsi="Times New Roman"/>
                <w:sz w:val="20"/>
              </w:rPr>
            </w:pPr>
            <w:r>
              <w:rPr>
                <w:rFonts w:ascii="Times New Roman" w:hAnsi="Times New Roman"/>
                <w:sz w:val="20"/>
              </w:rPr>
              <w:t>Supply and Logistics segment revenues</w:t>
            </w:r>
          </w:p>
        </w:tc>
        <w:tc>
          <w:tcPr>
            <w:tcW w:w="1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5"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39" w:type="dxa"/>
            <w:tcBorders/>
            <w:shd w:fill="auto" w:val="clear"/>
            <w:vAlign w:val="bottom"/>
          </w:tcPr>
          <w:p>
            <w:pPr>
              <w:pStyle w:val="TableContents"/>
              <w:spacing w:before="0" w:after="283"/>
              <w:rPr/>
            </w:pPr>
            <w:r>
              <w:rPr/>
              <w:t>  </w:t>
            </w:r>
          </w:p>
        </w:tc>
      </w:tr>
      <w:tr>
        <w:trPr/>
        <w:tc>
          <w:tcPr>
            <w:tcW w:w="1517" w:type="dxa"/>
            <w:tcBorders/>
            <w:shd w:fill="CCEEFF" w:val="clear"/>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sz w:val="4"/>
                <w:szCs w:val="4"/>
              </w:rPr>
            </w:pPr>
            <w:r>
              <w:rPr>
                <w:sz w:val="4"/>
                <w:szCs w:val="4"/>
              </w:rPr>
            </w:r>
          </w:p>
        </w:tc>
        <w:tc>
          <w:tcPr>
            <w:tcW w:w="48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53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0" w:type="dxa"/>
            <w:tcBorders/>
            <w:shd w:fill="CCEEFF" w:val="clear"/>
            <w:vAlign w:val="bottom"/>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sz w:val="4"/>
                <w:szCs w:val="4"/>
              </w:rPr>
            </w:pPr>
            <w:r>
              <w:rPr>
                <w:sz w:val="4"/>
                <w:szCs w:val="4"/>
              </w:rPr>
            </w:r>
          </w:p>
        </w:tc>
      </w:tr>
      <w:tr>
        <w:trPr/>
        <w:tc>
          <w:tcPr>
            <w:tcW w:w="1517" w:type="dxa"/>
            <w:tcBorders/>
            <w:shd w:fill="auto" w:val="clear"/>
          </w:tcPr>
          <w:p>
            <w:pPr>
              <w:pStyle w:val="TableContents"/>
              <w:spacing w:before="0" w:after="283"/>
              <w:rPr>
                <w:rFonts w:ascii="Times New Roman" w:hAnsi="Times New Roman"/>
                <w:sz w:val="20"/>
              </w:rPr>
            </w:pPr>
            <w:r>
              <w:rPr>
                <w:rFonts w:ascii="Times New Roman" w:hAnsi="Times New Roman"/>
                <w:sz w:val="20"/>
              </w:rPr>
              <w:t>Transportation segment revenues</w:t>
            </w:r>
          </w:p>
        </w:tc>
        <w:tc>
          <w:tcPr>
            <w:tcW w:w="1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9" w:type="dxa"/>
            <w:tcBorders/>
            <w:shd w:fill="auto" w:val="clear"/>
            <w:vAlign w:val="bottom"/>
          </w:tcPr>
          <w:p>
            <w:pPr>
              <w:pStyle w:val="TableContents"/>
              <w:spacing w:before="0" w:after="283"/>
              <w:rPr/>
            </w:pPr>
            <w:r>
              <w:rPr/>
              <w:t>  </w:t>
            </w:r>
          </w:p>
        </w:tc>
      </w:tr>
      <w:tr>
        <w:trPr/>
        <w:tc>
          <w:tcPr>
            <w:tcW w:w="1517" w:type="dxa"/>
            <w:tcBorders/>
            <w:shd w:fill="CCEEFF" w:val="clear"/>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sz w:val="4"/>
                <w:szCs w:val="4"/>
              </w:rPr>
            </w:pPr>
            <w:r>
              <w:rPr>
                <w:sz w:val="4"/>
                <w:szCs w:val="4"/>
              </w:rPr>
            </w:r>
          </w:p>
        </w:tc>
        <w:tc>
          <w:tcPr>
            <w:tcW w:w="48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53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0" w:type="dxa"/>
            <w:tcBorders/>
            <w:shd w:fill="CCEEFF" w:val="clear"/>
            <w:vAlign w:val="bottom"/>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sz w:val="4"/>
                <w:szCs w:val="4"/>
              </w:rPr>
            </w:pPr>
            <w:r>
              <w:rPr>
                <w:sz w:val="4"/>
                <w:szCs w:val="4"/>
              </w:rPr>
            </w:r>
          </w:p>
        </w:tc>
      </w:tr>
      <w:tr>
        <w:trPr/>
        <w:tc>
          <w:tcPr>
            <w:tcW w:w="1517" w:type="dxa"/>
            <w:tcBorders/>
            <w:shd w:fill="auto" w:val="clear"/>
          </w:tcPr>
          <w:p>
            <w:pPr>
              <w:pStyle w:val="TableContents"/>
              <w:spacing w:before="0" w:after="283"/>
              <w:rPr>
                <w:rFonts w:ascii="Times New Roman" w:hAnsi="Times New Roman"/>
                <w:sz w:val="20"/>
              </w:rPr>
            </w:pPr>
            <w:r>
              <w:rPr>
                <w:rFonts w:ascii="Times New Roman" w:hAnsi="Times New Roman"/>
                <w:sz w:val="20"/>
              </w:rPr>
              <w:t>Purchases and related costs</w:t>
            </w:r>
          </w:p>
        </w:tc>
        <w:tc>
          <w:tcPr>
            <w:tcW w:w="1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5"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39" w:type="dxa"/>
            <w:tcBorders/>
            <w:shd w:fill="auto" w:val="clear"/>
            <w:vAlign w:val="bottom"/>
          </w:tcPr>
          <w:p>
            <w:pPr>
              <w:pStyle w:val="TableContents"/>
              <w:spacing w:before="0" w:after="283"/>
              <w:rPr/>
            </w:pPr>
            <w:r>
              <w:rPr/>
              <w:t>  </w:t>
            </w:r>
          </w:p>
        </w:tc>
      </w:tr>
      <w:tr>
        <w:trPr/>
        <w:tc>
          <w:tcPr>
            <w:tcW w:w="1517" w:type="dxa"/>
            <w:tcBorders/>
            <w:shd w:fill="CCEEFF" w:val="clear"/>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sz w:val="4"/>
                <w:szCs w:val="4"/>
              </w:rPr>
            </w:pPr>
            <w:r>
              <w:rPr>
                <w:sz w:val="4"/>
                <w:szCs w:val="4"/>
              </w:rPr>
            </w:r>
          </w:p>
        </w:tc>
        <w:tc>
          <w:tcPr>
            <w:tcW w:w="48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53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0" w:type="dxa"/>
            <w:tcBorders/>
            <w:shd w:fill="CCEEFF" w:val="clear"/>
            <w:vAlign w:val="bottom"/>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sz w:val="4"/>
                <w:szCs w:val="4"/>
              </w:rPr>
            </w:pPr>
            <w:r>
              <w:rPr>
                <w:sz w:val="4"/>
                <w:szCs w:val="4"/>
              </w:rPr>
            </w:r>
          </w:p>
        </w:tc>
      </w:tr>
      <w:tr>
        <w:trPr/>
        <w:tc>
          <w:tcPr>
            <w:tcW w:w="1517" w:type="dxa"/>
            <w:tcBorders/>
            <w:shd w:fill="auto" w:val="clear"/>
          </w:tcPr>
          <w:p>
            <w:pPr>
              <w:pStyle w:val="TableContents"/>
              <w:spacing w:before="0" w:after="283"/>
              <w:rPr>
                <w:rFonts w:ascii="Times New Roman" w:hAnsi="Times New Roman"/>
                <w:b/>
                <w:sz w:val="20"/>
              </w:rPr>
            </w:pPr>
            <w:r>
              <w:rPr>
                <w:rFonts w:ascii="Times New Roman" w:hAnsi="Times New Roman"/>
                <w:b/>
                <w:sz w:val="20"/>
              </w:rPr>
              <w:t>Interest Rate Derivatives</w:t>
            </w:r>
          </w:p>
        </w:tc>
        <w:tc>
          <w:tcPr>
            <w:tcW w:w="1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0"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sz w:val="4"/>
                <w:szCs w:val="4"/>
              </w:rPr>
            </w:pPr>
            <w:r>
              <w:rPr>
                <w:sz w:val="4"/>
                <w:szCs w:val="4"/>
              </w:rPr>
            </w:r>
          </w:p>
        </w:tc>
        <w:tc>
          <w:tcPr>
            <w:tcW w:w="4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770"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30"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r>
      <w:tr>
        <w:trPr/>
        <w:tc>
          <w:tcPr>
            <w:tcW w:w="1517" w:type="dxa"/>
            <w:tcBorders/>
            <w:shd w:fill="CCEEFF" w:val="clear"/>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sz w:val="4"/>
                <w:szCs w:val="4"/>
              </w:rPr>
            </w:pPr>
            <w:r>
              <w:rPr>
                <w:sz w:val="4"/>
                <w:szCs w:val="4"/>
              </w:rPr>
            </w:r>
          </w:p>
        </w:tc>
        <w:tc>
          <w:tcPr>
            <w:tcW w:w="48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53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0" w:type="dxa"/>
            <w:tcBorders/>
            <w:shd w:fill="CCEEFF" w:val="clear"/>
            <w:vAlign w:val="bottom"/>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sz w:val="4"/>
                <w:szCs w:val="4"/>
              </w:rPr>
            </w:pPr>
            <w:r>
              <w:rPr>
                <w:sz w:val="4"/>
                <w:szCs w:val="4"/>
              </w:rPr>
            </w:r>
          </w:p>
        </w:tc>
      </w:tr>
      <w:tr>
        <w:trPr/>
        <w:tc>
          <w:tcPr>
            <w:tcW w:w="1517"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1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9" w:type="dxa"/>
            <w:tcBorders/>
            <w:shd w:fill="auto" w:val="clear"/>
            <w:vAlign w:val="bottom"/>
          </w:tcPr>
          <w:p>
            <w:pPr>
              <w:pStyle w:val="TableContents"/>
              <w:spacing w:before="0" w:after="283"/>
              <w:rPr/>
            </w:pPr>
            <w:r>
              <w:rPr/>
              <w:t>  </w:t>
            </w:r>
          </w:p>
        </w:tc>
      </w:tr>
      <w:tr>
        <w:trPr/>
        <w:tc>
          <w:tcPr>
            <w:tcW w:w="1517" w:type="dxa"/>
            <w:tcBorders/>
            <w:shd w:fill="CCEEFF" w:val="clear"/>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sz w:val="4"/>
                <w:szCs w:val="4"/>
              </w:rPr>
            </w:pPr>
            <w:r>
              <w:rPr>
                <w:sz w:val="4"/>
                <w:szCs w:val="4"/>
              </w:rPr>
            </w:r>
          </w:p>
        </w:tc>
        <w:tc>
          <w:tcPr>
            <w:tcW w:w="48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53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0" w:type="dxa"/>
            <w:tcBorders/>
            <w:shd w:fill="CCEEFF" w:val="clear"/>
            <w:vAlign w:val="bottom"/>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sz w:val="4"/>
                <w:szCs w:val="4"/>
              </w:rPr>
            </w:pPr>
            <w:r>
              <w:rPr>
                <w:sz w:val="4"/>
                <w:szCs w:val="4"/>
              </w:rPr>
            </w:r>
          </w:p>
        </w:tc>
      </w:tr>
      <w:tr>
        <w:trPr/>
        <w:tc>
          <w:tcPr>
            <w:tcW w:w="1517" w:type="dxa"/>
            <w:tcBorders/>
            <w:shd w:fill="auto" w:val="clear"/>
          </w:tcPr>
          <w:p>
            <w:pPr>
              <w:pStyle w:val="TableContents"/>
              <w:spacing w:before="0" w:after="283"/>
              <w:rPr>
                <w:rFonts w:ascii="Times New Roman" w:hAnsi="Times New Roman"/>
                <w:b/>
                <w:sz w:val="20"/>
              </w:rPr>
            </w:pPr>
            <w:r>
              <w:rPr>
                <w:rFonts w:ascii="Times New Roman" w:hAnsi="Times New Roman"/>
                <w:b/>
                <w:sz w:val="20"/>
              </w:rPr>
              <w:t>Foreign Exchange Derivatives</w:t>
            </w:r>
          </w:p>
        </w:tc>
        <w:tc>
          <w:tcPr>
            <w:tcW w:w="1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0"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sz w:val="4"/>
                <w:szCs w:val="4"/>
              </w:rPr>
            </w:pPr>
            <w:r>
              <w:rPr>
                <w:sz w:val="4"/>
                <w:szCs w:val="4"/>
              </w:rPr>
            </w:r>
          </w:p>
        </w:tc>
        <w:tc>
          <w:tcPr>
            <w:tcW w:w="4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770"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30"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r>
      <w:tr>
        <w:trPr/>
        <w:tc>
          <w:tcPr>
            <w:tcW w:w="1517" w:type="dxa"/>
            <w:tcBorders/>
            <w:shd w:fill="CCEEFF" w:val="clear"/>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sz w:val="4"/>
                <w:szCs w:val="4"/>
              </w:rPr>
            </w:pPr>
            <w:r>
              <w:rPr>
                <w:sz w:val="4"/>
                <w:szCs w:val="4"/>
              </w:rPr>
            </w:r>
          </w:p>
        </w:tc>
        <w:tc>
          <w:tcPr>
            <w:tcW w:w="48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53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0" w:type="dxa"/>
            <w:tcBorders/>
            <w:shd w:fill="CCEEFF" w:val="clear"/>
            <w:vAlign w:val="bottom"/>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sz w:val="4"/>
                <w:szCs w:val="4"/>
              </w:rPr>
            </w:pPr>
            <w:r>
              <w:rPr>
                <w:sz w:val="4"/>
                <w:szCs w:val="4"/>
              </w:rPr>
            </w:r>
          </w:p>
        </w:tc>
      </w:tr>
      <w:tr>
        <w:trPr/>
        <w:tc>
          <w:tcPr>
            <w:tcW w:w="1517" w:type="dxa"/>
            <w:tcBorders/>
            <w:shd w:fill="auto" w:val="clear"/>
          </w:tcPr>
          <w:p>
            <w:pPr>
              <w:pStyle w:val="TableContents"/>
              <w:spacing w:before="0" w:after="283"/>
              <w:rPr>
                <w:rFonts w:ascii="Times New Roman" w:hAnsi="Times New Roman"/>
                <w:sz w:val="20"/>
              </w:rPr>
            </w:pPr>
            <w:r>
              <w:rPr>
                <w:rFonts w:ascii="Times New Roman" w:hAnsi="Times New Roman"/>
                <w:sz w:val="20"/>
              </w:rPr>
              <w:t>Supply and Logistics segment revenues</w:t>
            </w:r>
          </w:p>
        </w:tc>
        <w:tc>
          <w:tcPr>
            <w:tcW w:w="1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1"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39" w:type="dxa"/>
            <w:tcBorders/>
            <w:shd w:fill="auto" w:val="clear"/>
            <w:vAlign w:val="bottom"/>
          </w:tcPr>
          <w:p>
            <w:pPr>
              <w:pStyle w:val="TableContents"/>
              <w:spacing w:before="0" w:after="283"/>
              <w:rPr/>
            </w:pPr>
            <w:r>
              <w:rPr/>
              <w:t>  </w:t>
            </w:r>
          </w:p>
        </w:tc>
      </w:tr>
      <w:tr>
        <w:trPr/>
        <w:tc>
          <w:tcPr>
            <w:tcW w:w="1517" w:type="dxa"/>
            <w:tcBorders/>
            <w:shd w:fill="CCEEFF" w:val="clear"/>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sz w:val="4"/>
                <w:szCs w:val="4"/>
              </w:rPr>
            </w:pPr>
            <w:r>
              <w:rPr>
                <w:sz w:val="4"/>
                <w:szCs w:val="4"/>
              </w:rPr>
            </w:r>
          </w:p>
        </w:tc>
        <w:tc>
          <w:tcPr>
            <w:tcW w:w="48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53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0" w:type="dxa"/>
            <w:tcBorders/>
            <w:shd w:fill="CCEEFF" w:val="clear"/>
            <w:vAlign w:val="bottom"/>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sz w:val="4"/>
                <w:szCs w:val="4"/>
              </w:rPr>
            </w:pPr>
            <w:r>
              <w:rPr>
                <w:sz w:val="4"/>
                <w:szCs w:val="4"/>
              </w:rPr>
            </w:r>
          </w:p>
        </w:tc>
      </w:tr>
      <w:tr>
        <w:trPr/>
        <w:tc>
          <w:tcPr>
            <w:tcW w:w="1517" w:type="dxa"/>
            <w:tcBorders/>
            <w:shd w:fill="auto" w:val="clear"/>
          </w:tcPr>
          <w:p>
            <w:pPr>
              <w:pStyle w:val="TableContents"/>
              <w:spacing w:before="0" w:after="283"/>
              <w:rPr>
                <w:rFonts w:ascii="Times New Roman" w:hAnsi="Times New Roman"/>
                <w:sz w:val="20"/>
              </w:rPr>
            </w:pPr>
            <w:r>
              <w:rPr>
                <w:rFonts w:ascii="Times New Roman" w:hAnsi="Times New Roman"/>
                <w:sz w:val="20"/>
              </w:rPr>
              <w:t>Purchases and related costs</w:t>
            </w:r>
          </w:p>
        </w:tc>
        <w:tc>
          <w:tcPr>
            <w:tcW w:w="1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          </w:t>
            </w: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39" w:type="dxa"/>
            <w:tcBorders/>
            <w:shd w:fill="auto" w:val="clear"/>
            <w:vAlign w:val="bottom"/>
          </w:tcPr>
          <w:p>
            <w:pPr>
              <w:pStyle w:val="TableContents"/>
              <w:spacing w:before="0" w:after="283"/>
              <w:rPr/>
            </w:pPr>
            <w:r>
              <w:rPr/>
              <w:t>  </w:t>
            </w:r>
          </w:p>
        </w:tc>
      </w:tr>
      <w:tr>
        <w:trPr/>
        <w:tc>
          <w:tcPr>
            <w:tcW w:w="1517" w:type="dxa"/>
            <w:tcBorders/>
            <w:shd w:fill="CCEEFF" w:val="clear"/>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sz w:val="4"/>
                <w:szCs w:val="4"/>
              </w:rPr>
            </w:pPr>
            <w:r>
              <w:rPr>
                <w:sz w:val="4"/>
                <w:szCs w:val="4"/>
              </w:rPr>
            </w:r>
          </w:p>
        </w:tc>
        <w:tc>
          <w:tcPr>
            <w:tcW w:w="48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53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0" w:type="dxa"/>
            <w:tcBorders/>
            <w:shd w:fill="CCEEFF" w:val="clear"/>
            <w:vAlign w:val="bottom"/>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sz w:val="4"/>
                <w:szCs w:val="4"/>
              </w:rPr>
            </w:pPr>
            <w:r>
              <w:rPr>
                <w:sz w:val="4"/>
                <w:szCs w:val="4"/>
              </w:rPr>
            </w:r>
          </w:p>
        </w:tc>
      </w:tr>
      <w:tr>
        <w:trPr/>
        <w:tc>
          <w:tcPr>
            <w:tcW w:w="1517" w:type="dxa"/>
            <w:tcBorders/>
            <w:shd w:fill="auto" w:val="clear"/>
          </w:tcPr>
          <w:p>
            <w:pPr>
              <w:pStyle w:val="TableContents"/>
              <w:spacing w:before="0" w:after="283"/>
              <w:rPr>
                <w:rFonts w:ascii="Times New Roman" w:hAnsi="Times New Roman"/>
                <w:sz w:val="20"/>
              </w:rPr>
            </w:pPr>
            <w:r>
              <w:rPr>
                <w:rFonts w:ascii="Times New Roman" w:hAnsi="Times New Roman"/>
                <w:sz w:val="20"/>
              </w:rPr>
              <w:t>Other income, net</w:t>
            </w:r>
          </w:p>
        </w:tc>
        <w:tc>
          <w:tcPr>
            <w:tcW w:w="1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          </w:t>
            </w: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          </w:t>
            </w:r>
            <w:r>
              <w:rPr>
                <w:rFonts w:ascii="Times New Roman" w:hAnsi="Times New Roman"/>
                <w:sz w:val="20"/>
              </w:rPr>
              <w:t></w:t>
            </w:r>
          </w:p>
        </w:tc>
        <w:tc>
          <w:tcPr>
            <w:tcW w:w="13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          </w:t>
            </w:r>
            <w:r>
              <w:rPr>
                <w:rFonts w:ascii="Times New Roman" w:hAnsi="Times New Roman"/>
                <w:sz w:val="20"/>
              </w:rPr>
              <w:t></w:t>
            </w:r>
          </w:p>
        </w:tc>
        <w:tc>
          <w:tcPr>
            <w:tcW w:w="1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          </w:t>
            </w: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1517"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0" w:type="dxa"/>
            <w:tcBorders>
              <w:top w:val="single" w:sz="2"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60" w:type="dxa"/>
            <w:tcBorders>
              <w:top w:val="single" w:sz="2" w:space="0" w:color="000000"/>
            </w:tcBorders>
            <w:shd w:fill="auto" w:val="clear"/>
            <w:tcMar>
              <w:top w:w="28" w:type="dxa"/>
            </w:tcMar>
            <w:vAlign w:val="bottom"/>
          </w:tcPr>
          <w:p>
            <w:pPr>
              <w:pStyle w:val="TableContents"/>
              <w:spacing w:before="0" w:after="283"/>
              <w:rPr/>
            </w:pPr>
            <w:r>
              <w:rPr/>
              <w:t> </w:t>
            </w:r>
          </w:p>
        </w:tc>
        <w:tc>
          <w:tcPr>
            <w:tcW w:w="48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770" w:type="dxa"/>
            <w:tcBorders>
              <w:top w:val="single" w:sz="2"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286" w:type="dxa"/>
            <w:tcBorders>
              <w:top w:val="single" w:sz="2" w:space="0" w:color="000000"/>
            </w:tcBorders>
            <w:shd w:fill="auto" w:val="clear"/>
            <w:tcMar>
              <w:top w:w="28" w:type="dxa"/>
            </w:tcMar>
            <w:vAlign w:val="bottom"/>
          </w:tcPr>
          <w:p>
            <w:pPr>
              <w:pStyle w:val="TableContents"/>
              <w:spacing w:before="0" w:after="283"/>
              <w:rPr/>
            </w:pPr>
            <w:r>
              <w:rPr/>
              <w:t> </w:t>
            </w:r>
          </w:p>
        </w:tc>
        <w:tc>
          <w:tcPr>
            <w:tcW w:w="53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30" w:type="dxa"/>
            <w:tcBorders>
              <w:top w:val="single" w:sz="2" w:space="0" w:color="000000"/>
            </w:tcBorders>
            <w:shd w:fill="auto" w:val="clear"/>
            <w:tcMar>
              <w:top w:w="28" w:type="dxa"/>
            </w:tcMar>
            <w:vAlign w:val="bottom"/>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r>
      <w:tr>
        <w:trPr/>
        <w:tc>
          <w:tcPr>
            <w:tcW w:w="1517" w:type="dxa"/>
            <w:tcBorders/>
            <w:shd w:fill="CCEEFF" w:val="clear"/>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sz w:val="4"/>
                <w:szCs w:val="4"/>
              </w:rPr>
            </w:pPr>
            <w:r>
              <w:rPr>
                <w:sz w:val="4"/>
                <w:szCs w:val="4"/>
              </w:rPr>
            </w:r>
          </w:p>
        </w:tc>
        <w:tc>
          <w:tcPr>
            <w:tcW w:w="48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53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0" w:type="dxa"/>
            <w:tcBorders/>
            <w:shd w:fill="CCEEFF" w:val="clear"/>
            <w:vAlign w:val="bottom"/>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sz w:val="4"/>
                <w:szCs w:val="4"/>
              </w:rPr>
            </w:pPr>
            <w:r>
              <w:rPr>
                <w:sz w:val="4"/>
                <w:szCs w:val="4"/>
              </w:rPr>
            </w:r>
          </w:p>
        </w:tc>
      </w:tr>
      <w:tr>
        <w:trPr/>
        <w:tc>
          <w:tcPr>
            <w:tcW w:w="1517" w:type="dxa"/>
            <w:tcBorders/>
            <w:shd w:fill="auto" w:val="clear"/>
          </w:tcPr>
          <w:p>
            <w:pPr>
              <w:pStyle w:val="TableContents"/>
              <w:spacing w:before="0" w:after="283"/>
              <w:rPr>
                <w:rFonts w:ascii="Times New Roman" w:hAnsi="Times New Roman"/>
                <w:b/>
                <w:sz w:val="20"/>
              </w:rPr>
            </w:pPr>
            <w:r>
              <w:rPr>
                <w:rFonts w:ascii="Times New Roman" w:hAnsi="Times New Roman"/>
                <w:b/>
                <w:sz w:val="20"/>
              </w:rPr>
              <w:t>Total Gain/(Loss) on Derivatives Recognized in Income</w:t>
            </w:r>
          </w:p>
        </w:tc>
        <w:tc>
          <w:tcPr>
            <w:tcW w:w="1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770"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(15</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 </w:t>
            </w:r>
          </w:p>
        </w:tc>
        <w:tc>
          <w:tcPr>
            <w:tcW w:w="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770"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w:t>
            </w:r>
          </w:p>
        </w:tc>
        <w:tc>
          <w:tcPr>
            <w:tcW w:w="13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48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38</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770"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24</w:t>
            </w:r>
          </w:p>
        </w:tc>
        <w:tc>
          <w:tcPr>
            <w:tcW w:w="125"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770"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18</w:t>
            </w:r>
          </w:p>
        </w:tc>
        <w:tc>
          <w:tcPr>
            <w:tcW w:w="1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770"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(7</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 </w:t>
            </w:r>
          </w:p>
        </w:tc>
        <w:tc>
          <w:tcPr>
            <w:tcW w:w="71"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530"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60</w:t>
            </w:r>
          </w:p>
        </w:tc>
        <w:tc>
          <w:tcPr>
            <w:tcW w:w="125"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830" w:type="dxa"/>
            <w:tcBorders/>
            <w:shd w:fill="auto" w:val="clear"/>
            <w:vAlign w:val="bottom"/>
          </w:tcPr>
          <w:p>
            <w:pPr>
              <w:pStyle w:val="TableContents"/>
              <w:spacing w:before="0" w:after="283"/>
              <w:jc w:val="right"/>
              <w:rPr/>
            </w:pPr>
            <w:r>
              <w:rPr/>
              <w:t>          </w:t>
            </w:r>
            <w:r>
              <w:rPr>
                <w:rFonts w:ascii="Times New Roman" w:hAnsi="Times New Roman"/>
                <w:b/>
                <w:sz w:val="20"/>
              </w:rPr>
              <w:t>71</w:t>
            </w:r>
          </w:p>
        </w:tc>
        <w:tc>
          <w:tcPr>
            <w:tcW w:w="139" w:type="dxa"/>
            <w:tcBorders/>
            <w:shd w:fill="auto" w:val="clear"/>
            <w:vAlign w:val="bottom"/>
          </w:tcPr>
          <w:p>
            <w:pPr>
              <w:pStyle w:val="TableContents"/>
              <w:spacing w:before="0" w:after="283"/>
              <w:rPr/>
            </w:pPr>
            <w:r>
              <w:rPr/>
              <w:t>  </w:t>
            </w:r>
          </w:p>
        </w:tc>
      </w:tr>
      <w:tr>
        <w:trPr/>
        <w:tc>
          <w:tcPr>
            <w:tcW w:w="1517"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7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70" w:type="dxa"/>
            <w:tcBorders>
              <w:top w:val="double" w:sz="6"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60" w:type="dxa"/>
            <w:tcBorders>
              <w:top w:val="double" w:sz="6" w:space="0" w:color="000000"/>
            </w:tcBorders>
            <w:shd w:fill="auto" w:val="clear"/>
            <w:tcMar>
              <w:top w:w="28" w:type="dxa"/>
            </w:tcMar>
            <w:vAlign w:val="bottom"/>
          </w:tcPr>
          <w:p>
            <w:pPr>
              <w:pStyle w:val="TableContents"/>
              <w:spacing w:before="0" w:after="283"/>
              <w:rPr/>
            </w:pPr>
            <w:r>
              <w:rPr/>
              <w:t> </w:t>
            </w:r>
          </w:p>
        </w:tc>
        <w:tc>
          <w:tcPr>
            <w:tcW w:w="481"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7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770" w:type="dxa"/>
            <w:tcBorders>
              <w:top w:val="double" w:sz="6"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7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286" w:type="dxa"/>
            <w:tcBorders>
              <w:top w:val="double" w:sz="6" w:space="0" w:color="000000"/>
            </w:tcBorders>
            <w:shd w:fill="auto" w:val="clear"/>
            <w:tcMar>
              <w:top w:w="28" w:type="dxa"/>
            </w:tcMar>
            <w:vAlign w:val="bottom"/>
          </w:tcPr>
          <w:p>
            <w:pPr>
              <w:pStyle w:val="TableContents"/>
              <w:spacing w:before="0" w:after="283"/>
              <w:rPr/>
            </w:pPr>
            <w:r>
              <w:rPr/>
              <w:t> </w:t>
            </w:r>
          </w:p>
        </w:tc>
        <w:tc>
          <w:tcPr>
            <w:tcW w:w="53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30" w:type="dxa"/>
            <w:tcBorders>
              <w:top w:val="double" w:sz="6" w:space="0" w:color="000000"/>
            </w:tcBorders>
            <w:shd w:fill="auto" w:val="clear"/>
            <w:tcMar>
              <w:top w:w="28" w:type="dxa"/>
            </w:tcMar>
            <w:vAlign w:val="bottom"/>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Six months ended June 30, 2010 and 2009: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911"/>
        <w:gridCol w:w="173"/>
        <w:gridCol w:w="125"/>
        <w:gridCol w:w="605"/>
        <w:gridCol w:w="125"/>
        <w:gridCol w:w="114"/>
        <w:gridCol w:w="125"/>
        <w:gridCol w:w="663"/>
        <w:gridCol w:w="173"/>
        <w:gridCol w:w="131"/>
        <w:gridCol w:w="695"/>
        <w:gridCol w:w="125"/>
        <w:gridCol w:w="114"/>
        <w:gridCol w:w="125"/>
        <w:gridCol w:w="605"/>
        <w:gridCol w:w="125"/>
        <w:gridCol w:w="114"/>
        <w:gridCol w:w="60"/>
        <w:gridCol w:w="173"/>
        <w:gridCol w:w="125"/>
        <w:gridCol w:w="605"/>
        <w:gridCol w:w="125"/>
        <w:gridCol w:w="114"/>
        <w:gridCol w:w="124"/>
        <w:gridCol w:w="663"/>
        <w:gridCol w:w="125"/>
        <w:gridCol w:w="114"/>
        <w:gridCol w:w="131"/>
        <w:gridCol w:w="696"/>
        <w:gridCol w:w="125"/>
        <w:gridCol w:w="114"/>
        <w:gridCol w:w="125"/>
        <w:gridCol w:w="605"/>
        <w:gridCol w:w="133"/>
      </w:tblGrid>
      <w:tr>
        <w:trPr/>
        <w:tc>
          <w:tcPr>
            <w:tcW w:w="191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19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3725" w:type="dxa"/>
            <w:gridSpan w:val="13"/>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 June 30, 2010</w:t>
            </w:r>
          </w:p>
        </w:tc>
        <w:tc>
          <w:tcPr>
            <w:tcW w:w="12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3791"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 June 30, 2009</w:t>
            </w:r>
          </w:p>
        </w:tc>
        <w:tc>
          <w:tcPr>
            <w:tcW w:w="133" w:type="dxa"/>
            <w:tcBorders/>
            <w:shd w:fill="auto" w:val="clear"/>
            <w:vAlign w:val="bottom"/>
          </w:tcPr>
          <w:p>
            <w:pPr>
              <w:pStyle w:val="TableContents"/>
              <w:spacing w:before="0" w:after="283"/>
              <w:rPr/>
            </w:pPr>
            <w:r>
              <w:rPr/>
              <w:t> </w:t>
            </w:r>
          </w:p>
        </w:tc>
      </w:tr>
      <w:tr>
        <w:trPr/>
        <w:tc>
          <w:tcPr>
            <w:tcW w:w="19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757"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Derivatives in Cash Flow</w:t>
              <w:br/>
              <w:t>Hedging Relationships</w:t>
            </w:r>
          </w:p>
        </w:tc>
        <w:tc>
          <w:tcPr>
            <w:tcW w:w="173" w:type="dxa"/>
            <w:tcBorders/>
            <w:shd w:fill="auto" w:val="clear"/>
            <w:vAlign w:val="bottom"/>
          </w:tcPr>
          <w:p>
            <w:pPr>
              <w:pStyle w:val="TableContents"/>
              <w:spacing w:before="0" w:after="283"/>
              <w:rPr/>
            </w:pPr>
            <w:r>
              <w:rPr/>
              <w:t>  </w:t>
            </w:r>
          </w:p>
        </w:tc>
        <w:tc>
          <w:tcPr>
            <w:tcW w:w="826"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Derivatives  Not</w:t>
            </w:r>
            <w:r>
              <w:rPr/>
              <w:br/>
            </w:r>
            <w:r>
              <w:rPr>
                <w:rFonts w:ascii="Times New Roman" w:hAnsi="Times New Roman"/>
                <w:b/>
                <w:sz w:val="14"/>
              </w:rPr>
              <w:t>Designated</w:t>
              <w:br/>
              <w:t>as a Hedge (3)</w:t>
            </w:r>
          </w:p>
        </w:tc>
        <w:tc>
          <w:tcPr>
            <w:tcW w:w="125" w:type="dxa"/>
            <w:vMerge w:val="restart"/>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730"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756"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Derivatives in Cash Flow</w:t>
              <w:br/>
              <w:t>Hedging Relationships</w:t>
            </w:r>
          </w:p>
        </w:tc>
        <w:tc>
          <w:tcPr>
            <w:tcW w:w="12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827"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Derivatives  Not</w:t>
            </w:r>
            <w:r>
              <w:rPr/>
              <w:br/>
            </w:r>
            <w:r>
              <w:rPr>
                <w:rFonts w:ascii="Times New Roman" w:hAnsi="Times New Roman"/>
                <w:b/>
                <w:sz w:val="14"/>
              </w:rPr>
              <w:t>Designated</w:t>
              <w:br/>
              <w:t>as a Hedge (3)</w:t>
            </w:r>
          </w:p>
        </w:tc>
        <w:tc>
          <w:tcPr>
            <w:tcW w:w="125" w:type="dxa"/>
            <w:vMerge w:val="restart"/>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730" w:type="dxa"/>
            <w:gridSpan w:val="2"/>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1911"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Location of gain/(loss)</w:t>
            </w:r>
          </w:p>
        </w:tc>
        <w:tc>
          <w:tcPr>
            <w:tcW w:w="173" w:type="dxa"/>
            <w:tcBorders/>
            <w:shd w:fill="auto" w:val="clear"/>
            <w:vAlign w:val="bottom"/>
          </w:tcPr>
          <w:p>
            <w:pPr>
              <w:pStyle w:val="TableContents"/>
              <w:spacing w:before="0" w:after="283"/>
              <w:rPr/>
            </w:pPr>
            <w:r>
              <w:rPr/>
              <w:t>  </w:t>
            </w:r>
          </w:p>
        </w:tc>
        <w:tc>
          <w:tcPr>
            <w:tcW w:w="73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AOCI</w:t>
              <w:br/>
              <w:t>Reclass  (1)</w:t>
            </w:r>
          </w:p>
        </w:tc>
        <w:tc>
          <w:tcPr>
            <w:tcW w:w="12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78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b/>
                <w:sz w:val="14"/>
              </w:rPr>
              <w:t>Ineffective</w:t>
              <w:br/>
              <w:t>Portion (2)</w:t>
            </w:r>
            <w:r>
              <w:rPr>
                <w:rFonts w:ascii="Times New Roman" w:hAnsi="Times New Roman"/>
                <w:sz w:val="14"/>
              </w:rPr>
              <w:t xml:space="preserve"> </w:t>
            </w:r>
          </w:p>
        </w:tc>
        <w:tc>
          <w:tcPr>
            <w:tcW w:w="173" w:type="dxa"/>
            <w:tcBorders/>
            <w:shd w:fill="auto" w:val="clear"/>
            <w:vAlign w:val="bottom"/>
          </w:tcPr>
          <w:p>
            <w:pPr>
              <w:pStyle w:val="TableContents"/>
              <w:spacing w:before="0" w:after="283"/>
              <w:rPr/>
            </w:pPr>
            <w:r>
              <w:rPr/>
              <w:t>  </w:t>
            </w:r>
          </w:p>
        </w:tc>
        <w:tc>
          <w:tcPr>
            <w:tcW w:w="826" w:type="dxa"/>
            <w:gridSpan w:val="2"/>
            <w:vMerge w:val="continue"/>
            <w:tcBorders>
              <w:bottom w:val="single" w:sz="2" w:space="0" w:color="000000"/>
            </w:tcBorders>
            <w:shd w:fill="auto" w:val="clear"/>
            <w:tcMar>
              <w:bottom w:w="28" w:type="dxa"/>
            </w:tcMar>
            <w:vAlign w:val="bottom"/>
          </w:tcPr>
          <w:p>
            <w:pPr>
              <w:pStyle w:val="Normal"/>
              <w:rPr/>
            </w:pPr>
            <w:r>
              <w:rPr/>
            </w:r>
          </w:p>
        </w:tc>
        <w:tc>
          <w:tcPr>
            <w:tcW w:w="125" w:type="dxa"/>
            <w:vMerge w:val="continue"/>
            <w:tcBorders/>
            <w:shd w:fill="auto" w:val="clear"/>
            <w:vAlign w:val="bottom"/>
          </w:tcPr>
          <w:p>
            <w:pPr>
              <w:pStyle w:val="Normal"/>
              <w:rPr/>
            </w:pPr>
            <w:r>
              <w:rPr/>
            </w:r>
          </w:p>
        </w:tc>
        <w:tc>
          <w:tcPr>
            <w:tcW w:w="114" w:type="dxa"/>
            <w:tcBorders/>
            <w:shd w:fill="auto" w:val="clear"/>
            <w:vAlign w:val="bottom"/>
          </w:tcPr>
          <w:p>
            <w:pPr>
              <w:pStyle w:val="TableContents"/>
              <w:spacing w:before="0" w:after="283"/>
              <w:rPr/>
            </w:pPr>
            <w:r>
              <w:rPr/>
              <w:t> </w:t>
            </w:r>
          </w:p>
        </w:tc>
        <w:tc>
          <w:tcPr>
            <w:tcW w:w="73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12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73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AOCI</w:t>
              <w:br/>
              <w:t>Reclass  (1)</w:t>
            </w:r>
          </w:p>
        </w:tc>
        <w:tc>
          <w:tcPr>
            <w:tcW w:w="12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78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b/>
                <w:sz w:val="14"/>
              </w:rPr>
              <w:t>Ineffective</w:t>
              <w:br/>
              <w:t>Portion (2)</w:t>
            </w:r>
            <w:r>
              <w:rPr>
                <w:rFonts w:ascii="Times New Roman" w:hAnsi="Times New Roman"/>
                <w:sz w:val="14"/>
              </w:rPr>
              <w:t xml:space="preserve"> </w:t>
            </w:r>
          </w:p>
        </w:tc>
        <w:tc>
          <w:tcPr>
            <w:tcW w:w="12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827" w:type="dxa"/>
            <w:gridSpan w:val="2"/>
            <w:vMerge w:val="continue"/>
            <w:tcBorders>
              <w:bottom w:val="single" w:sz="2" w:space="0" w:color="000000"/>
            </w:tcBorders>
            <w:shd w:fill="auto" w:val="clear"/>
            <w:tcMar>
              <w:bottom w:w="28" w:type="dxa"/>
            </w:tcMar>
            <w:vAlign w:val="bottom"/>
          </w:tcPr>
          <w:p>
            <w:pPr>
              <w:pStyle w:val="Normal"/>
              <w:rPr/>
            </w:pPr>
            <w:r>
              <w:rPr/>
            </w:r>
          </w:p>
        </w:tc>
        <w:tc>
          <w:tcPr>
            <w:tcW w:w="125" w:type="dxa"/>
            <w:vMerge w:val="continue"/>
            <w:tcBorders/>
            <w:shd w:fill="auto" w:val="clear"/>
            <w:vAlign w:val="bottom"/>
          </w:tcPr>
          <w:p>
            <w:pPr>
              <w:pStyle w:val="Normal"/>
              <w:rPr/>
            </w:pPr>
            <w:r>
              <w:rPr/>
            </w:r>
          </w:p>
        </w:tc>
        <w:tc>
          <w:tcPr>
            <w:tcW w:w="114" w:type="dxa"/>
            <w:tcBorders/>
            <w:shd w:fill="auto" w:val="clear"/>
            <w:vAlign w:val="bottom"/>
          </w:tcPr>
          <w:p>
            <w:pPr>
              <w:pStyle w:val="TableContents"/>
              <w:spacing w:before="0" w:after="283"/>
              <w:rPr/>
            </w:pPr>
            <w:r>
              <w:rPr/>
              <w:t> </w:t>
            </w:r>
          </w:p>
        </w:tc>
        <w:tc>
          <w:tcPr>
            <w:tcW w:w="73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133" w:type="dxa"/>
            <w:tcBorders/>
            <w:shd w:fill="auto" w:val="clear"/>
            <w:vAlign w:val="bottom"/>
          </w:tcPr>
          <w:p>
            <w:pPr>
              <w:pStyle w:val="TableContents"/>
              <w:spacing w:before="0" w:after="283"/>
              <w:rPr/>
            </w:pPr>
            <w:r>
              <w:rPr/>
              <w:t> </w:t>
            </w:r>
          </w:p>
        </w:tc>
      </w:tr>
      <w:tr>
        <w:trPr/>
        <w:tc>
          <w:tcPr>
            <w:tcW w:w="1911" w:type="dxa"/>
            <w:tcBorders/>
            <w:shd w:fill="CCEEFF" w:val="clear"/>
          </w:tcPr>
          <w:p>
            <w:pPr>
              <w:pStyle w:val="TableContents"/>
              <w:spacing w:before="0" w:after="283"/>
              <w:rPr>
                <w:rFonts w:ascii="Times New Roman" w:hAnsi="Times New Roman"/>
                <w:b/>
                <w:sz w:val="20"/>
              </w:rPr>
            </w:pPr>
            <w:r>
              <w:rPr>
                <w:rFonts w:ascii="Times New Roman" w:hAnsi="Times New Roman"/>
                <w:b/>
                <w:sz w:val="20"/>
              </w:rPr>
              <w:t>Commodity Derivatives</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63" w:type="dxa"/>
            <w:tcBorders/>
            <w:shd w:fill="CCEEFF" w:val="clear"/>
            <w:vAlign w:val="bottom"/>
          </w:tcPr>
          <w:p>
            <w:pPr>
              <w:pStyle w:val="TableContents"/>
              <w:spacing w:before="0" w:after="283"/>
              <w:rPr>
                <w:sz w:val="4"/>
                <w:szCs w:val="4"/>
              </w:rPr>
            </w:pPr>
            <w:r>
              <w:rPr>
                <w:sz w:val="4"/>
                <w:szCs w:val="4"/>
              </w:rPr>
            </w:r>
          </w:p>
        </w:tc>
        <w:tc>
          <w:tcPr>
            <w:tcW w:w="173"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69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14"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1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66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1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69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5"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sz w:val="4"/>
                <w:szCs w:val="4"/>
              </w:rPr>
            </w:pPr>
            <w:r>
              <w:rPr>
                <w:sz w:val="4"/>
                <w:szCs w:val="4"/>
              </w:rPr>
            </w:r>
          </w:p>
        </w:tc>
      </w:tr>
      <w:tr>
        <w:trPr/>
        <w:tc>
          <w:tcPr>
            <w:tcW w:w="1911" w:type="dxa"/>
            <w:tcBorders/>
            <w:shd w:fill="auto" w:val="clea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1911" w:type="dxa"/>
            <w:tcBorders/>
            <w:shd w:fill="CCEEFF" w:val="clear"/>
          </w:tcPr>
          <w:p>
            <w:pPr>
              <w:pStyle w:val="TableContents"/>
              <w:spacing w:before="0" w:after="283"/>
              <w:rPr>
                <w:rFonts w:ascii="Times New Roman" w:hAnsi="Times New Roman"/>
                <w:sz w:val="20"/>
              </w:rPr>
            </w:pPr>
            <w:r>
              <w:rPr>
                <w:rFonts w:ascii="Times New Roman" w:hAnsi="Times New Roman"/>
                <w:sz w:val="20"/>
              </w:rPr>
              <w:t>Supply and Logistics segment revenues</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3"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w:t>
            </w:r>
          </w:p>
        </w:tc>
        <w:tc>
          <w:tcPr>
            <w:tcW w:w="133" w:type="dxa"/>
            <w:tcBorders/>
            <w:shd w:fill="CCEEFF" w:val="clear"/>
            <w:vAlign w:val="bottom"/>
          </w:tcPr>
          <w:p>
            <w:pPr>
              <w:pStyle w:val="TableContents"/>
              <w:spacing w:before="0" w:after="283"/>
              <w:rPr/>
            </w:pPr>
            <w:r>
              <w:rPr/>
              <w:t>  </w:t>
            </w:r>
          </w:p>
        </w:tc>
      </w:tr>
      <w:tr>
        <w:trPr/>
        <w:tc>
          <w:tcPr>
            <w:tcW w:w="1911" w:type="dxa"/>
            <w:tcBorders/>
            <w:shd w:fill="auto" w:val="clea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1911" w:type="dxa"/>
            <w:tcBorders/>
            <w:shd w:fill="CCEEFF" w:val="clear"/>
          </w:tcPr>
          <w:p>
            <w:pPr>
              <w:pStyle w:val="TableContents"/>
              <w:spacing w:before="0" w:after="283"/>
              <w:rPr>
                <w:rFonts w:ascii="Times New Roman" w:hAnsi="Times New Roman"/>
                <w:sz w:val="20"/>
              </w:rPr>
            </w:pPr>
            <w:r>
              <w:rPr>
                <w:rFonts w:ascii="Times New Roman" w:hAnsi="Times New Roman"/>
                <w:sz w:val="20"/>
              </w:rPr>
              <w:t>Transportation segment revenues</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pPr>
            <w:r>
              <w:rPr/>
              <w:t>        </w:t>
            </w:r>
            <w:r>
              <w:rPr>
                <w:rFonts w:ascii="Times New Roman" w:hAnsi="Times New Roman"/>
                <w:sz w:val="20"/>
              </w:rPr>
              <w:t>1</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pPr>
            <w:r>
              <w:rPr/>
              <w:t>        </w:t>
            </w:r>
            <w:r>
              <w:rPr>
                <w:rFonts w:ascii="Times New Roman" w:hAnsi="Times New Roman"/>
                <w:sz w:val="20"/>
              </w:rPr>
              <w:t></w:t>
            </w:r>
          </w:p>
        </w:tc>
        <w:tc>
          <w:tcPr>
            <w:tcW w:w="173"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pPr>
            <w:r>
              <w:rPr/>
              <w:t>        </w:t>
            </w: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pPr>
            <w:r>
              <w:rPr/>
              <w:t>        </w:t>
            </w:r>
            <w:r>
              <w:rPr>
                <w:rFonts w:ascii="Times New Roman" w:hAnsi="Times New Roman"/>
                <w:sz w:val="20"/>
              </w:rPr>
              <w:t>1</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pPr>
            <w:r>
              <w:rPr/>
              <w:t>        </w:t>
            </w:r>
            <w:r>
              <w:rPr>
                <w:rFonts w:ascii="Times New Roman" w:hAnsi="Times New Roman"/>
                <w:sz w:val="20"/>
              </w:rPr>
              <w:t>3</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pPr>
            <w:r>
              <w:rPr/>
              <w:t>        </w:t>
            </w: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pPr>
            <w:r>
              <w:rPr/>
              <w:t>        </w:t>
            </w: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pPr>
            <w:r>
              <w:rPr/>
              <w:t>        </w:t>
            </w:r>
            <w:r>
              <w:rPr>
                <w:rFonts w:ascii="Times New Roman" w:hAnsi="Times New Roman"/>
                <w:sz w:val="20"/>
              </w:rPr>
              <w:t>3</w:t>
            </w:r>
          </w:p>
        </w:tc>
        <w:tc>
          <w:tcPr>
            <w:tcW w:w="133" w:type="dxa"/>
            <w:tcBorders/>
            <w:shd w:fill="CCEEFF" w:val="clear"/>
            <w:vAlign w:val="bottom"/>
          </w:tcPr>
          <w:p>
            <w:pPr>
              <w:pStyle w:val="TableContents"/>
              <w:spacing w:before="0" w:after="283"/>
              <w:rPr/>
            </w:pPr>
            <w:r>
              <w:rPr/>
              <w:t>  </w:t>
            </w:r>
          </w:p>
        </w:tc>
      </w:tr>
      <w:tr>
        <w:trPr/>
        <w:tc>
          <w:tcPr>
            <w:tcW w:w="1911" w:type="dxa"/>
            <w:tcBorders/>
            <w:shd w:fill="auto" w:val="clea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1911" w:type="dxa"/>
            <w:tcBorders/>
            <w:shd w:fill="CCEEFF" w:val="clear"/>
          </w:tcPr>
          <w:p>
            <w:pPr>
              <w:pStyle w:val="TableContents"/>
              <w:spacing w:before="0" w:after="283"/>
              <w:rPr>
                <w:rFonts w:ascii="Times New Roman" w:hAnsi="Times New Roman"/>
                <w:sz w:val="20"/>
              </w:rPr>
            </w:pPr>
            <w:r>
              <w:rPr>
                <w:rFonts w:ascii="Times New Roman" w:hAnsi="Times New Roman"/>
                <w:sz w:val="20"/>
              </w:rPr>
              <w:t>Facilities segment revenues</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3"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CCEEFF" w:val="clear"/>
            <w:vAlign w:val="bottom"/>
          </w:tcPr>
          <w:p>
            <w:pPr>
              <w:pStyle w:val="TableContents"/>
              <w:spacing w:before="0" w:after="283"/>
              <w:rPr/>
            </w:pPr>
            <w:r>
              <w:rPr/>
              <w:t>  </w:t>
            </w:r>
          </w:p>
        </w:tc>
      </w:tr>
      <w:tr>
        <w:trPr/>
        <w:tc>
          <w:tcPr>
            <w:tcW w:w="1911" w:type="dxa"/>
            <w:tcBorders/>
            <w:shd w:fill="auto" w:val="clea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1911" w:type="dxa"/>
            <w:tcBorders/>
            <w:shd w:fill="CCEEFF" w:val="clear"/>
          </w:tcPr>
          <w:p>
            <w:pPr>
              <w:pStyle w:val="TableContents"/>
              <w:spacing w:before="0" w:after="283"/>
              <w:rPr>
                <w:rFonts w:ascii="Times New Roman" w:hAnsi="Times New Roman"/>
                <w:sz w:val="20"/>
              </w:rPr>
            </w:pPr>
            <w:r>
              <w:rPr>
                <w:rFonts w:ascii="Times New Roman" w:hAnsi="Times New Roman"/>
                <w:sz w:val="20"/>
              </w:rPr>
              <w:t>Purchases and related costs</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3"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w:t>
            </w:r>
          </w:p>
        </w:tc>
        <w:tc>
          <w:tcPr>
            <w:tcW w:w="133" w:type="dxa"/>
            <w:tcBorders/>
            <w:shd w:fill="CCEEFF" w:val="clear"/>
            <w:vAlign w:val="bottom"/>
          </w:tcPr>
          <w:p>
            <w:pPr>
              <w:pStyle w:val="TableContents"/>
              <w:spacing w:before="0" w:after="283"/>
              <w:rPr/>
            </w:pPr>
            <w:r>
              <w:rPr/>
              <w:t>  </w:t>
            </w:r>
          </w:p>
        </w:tc>
      </w:tr>
      <w:tr>
        <w:trPr/>
        <w:tc>
          <w:tcPr>
            <w:tcW w:w="1911" w:type="dxa"/>
            <w:tcBorders/>
            <w:shd w:fill="auto" w:val="clea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1911" w:type="dxa"/>
            <w:tcBorders/>
            <w:shd w:fill="CCEEFF" w:val="clear"/>
          </w:tcPr>
          <w:p>
            <w:pPr>
              <w:pStyle w:val="TableContents"/>
              <w:spacing w:before="0" w:after="283"/>
              <w:rPr>
                <w:rFonts w:ascii="Times New Roman" w:hAnsi="Times New Roman"/>
                <w:b/>
                <w:sz w:val="20"/>
              </w:rPr>
            </w:pPr>
            <w:r>
              <w:rPr>
                <w:rFonts w:ascii="Times New Roman" w:hAnsi="Times New Roman"/>
                <w:b/>
                <w:sz w:val="20"/>
              </w:rPr>
              <w:t>Interest Rate Derivatives</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63" w:type="dxa"/>
            <w:tcBorders/>
            <w:shd w:fill="CCEEFF" w:val="clear"/>
            <w:vAlign w:val="bottom"/>
          </w:tcPr>
          <w:p>
            <w:pPr>
              <w:pStyle w:val="TableContents"/>
              <w:spacing w:before="0" w:after="283"/>
              <w:rPr>
                <w:sz w:val="4"/>
                <w:szCs w:val="4"/>
              </w:rPr>
            </w:pPr>
            <w:r>
              <w:rPr>
                <w:sz w:val="4"/>
                <w:szCs w:val="4"/>
              </w:rPr>
            </w:r>
          </w:p>
        </w:tc>
        <w:tc>
          <w:tcPr>
            <w:tcW w:w="173"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69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14"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1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66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1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69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5"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sz w:val="4"/>
                <w:szCs w:val="4"/>
              </w:rPr>
            </w:pPr>
            <w:r>
              <w:rPr>
                <w:sz w:val="4"/>
                <w:szCs w:val="4"/>
              </w:rPr>
            </w:r>
          </w:p>
        </w:tc>
      </w:tr>
      <w:tr>
        <w:trPr/>
        <w:tc>
          <w:tcPr>
            <w:tcW w:w="1911" w:type="dxa"/>
            <w:tcBorders/>
            <w:shd w:fill="auto" w:val="clea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1911" w:type="dxa"/>
            <w:tcBorders/>
            <w:shd w:fill="CCEEFF" w:val="clear"/>
          </w:tcPr>
          <w:p>
            <w:pPr>
              <w:pStyle w:val="TableContents"/>
              <w:spacing w:before="0" w:after="283"/>
              <w:rPr>
                <w:rFonts w:ascii="Times New Roman" w:hAnsi="Times New Roman"/>
                <w:sz w:val="20"/>
              </w:rPr>
            </w:pPr>
            <w:r>
              <w:rPr>
                <w:rFonts w:ascii="Times New Roman" w:hAnsi="Times New Roman"/>
                <w:sz w:val="20"/>
              </w:rPr>
              <w:t>Other income, net</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3"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1911" w:type="dxa"/>
            <w:tcBorders/>
            <w:shd w:fill="auto" w:val="clea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1911"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3"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CCEEFF" w:val="clear"/>
            <w:vAlign w:val="bottom"/>
          </w:tcPr>
          <w:p>
            <w:pPr>
              <w:pStyle w:val="TableContents"/>
              <w:spacing w:before="0" w:after="283"/>
              <w:rPr/>
            </w:pPr>
            <w:r>
              <w:rPr/>
              <w:t>  </w:t>
            </w:r>
          </w:p>
        </w:tc>
      </w:tr>
      <w:tr>
        <w:trPr/>
        <w:tc>
          <w:tcPr>
            <w:tcW w:w="1911" w:type="dxa"/>
            <w:tcBorders/>
            <w:shd w:fill="auto" w:val="clea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1911" w:type="dxa"/>
            <w:tcBorders/>
            <w:shd w:fill="CCEEFF" w:val="clear"/>
          </w:tcPr>
          <w:p>
            <w:pPr>
              <w:pStyle w:val="TableContents"/>
              <w:spacing w:before="0" w:after="283"/>
              <w:rPr>
                <w:rFonts w:ascii="Times New Roman" w:hAnsi="Times New Roman"/>
                <w:b/>
                <w:sz w:val="20"/>
              </w:rPr>
            </w:pPr>
            <w:r>
              <w:rPr>
                <w:rFonts w:ascii="Times New Roman" w:hAnsi="Times New Roman"/>
                <w:b/>
                <w:sz w:val="20"/>
              </w:rPr>
              <w:t>Foreign Exchange Derivatives</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63" w:type="dxa"/>
            <w:tcBorders/>
            <w:shd w:fill="CCEEFF" w:val="clear"/>
            <w:vAlign w:val="bottom"/>
          </w:tcPr>
          <w:p>
            <w:pPr>
              <w:pStyle w:val="TableContents"/>
              <w:spacing w:before="0" w:after="283"/>
              <w:rPr>
                <w:sz w:val="4"/>
                <w:szCs w:val="4"/>
              </w:rPr>
            </w:pPr>
            <w:r>
              <w:rPr>
                <w:sz w:val="4"/>
                <w:szCs w:val="4"/>
              </w:rPr>
            </w:r>
          </w:p>
        </w:tc>
        <w:tc>
          <w:tcPr>
            <w:tcW w:w="173"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69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14"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1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66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1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69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5"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sz w:val="4"/>
                <w:szCs w:val="4"/>
              </w:rPr>
            </w:pPr>
            <w:r>
              <w:rPr>
                <w:sz w:val="4"/>
                <w:szCs w:val="4"/>
              </w:rPr>
            </w:r>
          </w:p>
        </w:tc>
      </w:tr>
      <w:tr>
        <w:trPr/>
        <w:tc>
          <w:tcPr>
            <w:tcW w:w="1911" w:type="dxa"/>
            <w:tcBorders/>
            <w:shd w:fill="auto" w:val="clea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1911" w:type="dxa"/>
            <w:tcBorders/>
            <w:shd w:fill="CCEEFF" w:val="clear"/>
          </w:tcPr>
          <w:p>
            <w:pPr>
              <w:pStyle w:val="TableContents"/>
              <w:spacing w:before="0" w:after="283"/>
              <w:rPr>
                <w:rFonts w:ascii="Times New Roman" w:hAnsi="Times New Roman"/>
                <w:sz w:val="20"/>
              </w:rPr>
            </w:pPr>
            <w:r>
              <w:rPr>
                <w:rFonts w:ascii="Times New Roman" w:hAnsi="Times New Roman"/>
                <w:sz w:val="20"/>
              </w:rPr>
              <w:t>Supply and Logistics segment revenues</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3"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33" w:type="dxa"/>
            <w:tcBorders/>
            <w:shd w:fill="CCEEFF" w:val="clear"/>
            <w:vAlign w:val="bottom"/>
          </w:tcPr>
          <w:p>
            <w:pPr>
              <w:pStyle w:val="TableContents"/>
              <w:spacing w:before="0" w:after="283"/>
              <w:rPr/>
            </w:pPr>
            <w:r>
              <w:rPr/>
              <w:t>  </w:t>
            </w:r>
          </w:p>
        </w:tc>
      </w:tr>
      <w:tr>
        <w:trPr/>
        <w:tc>
          <w:tcPr>
            <w:tcW w:w="1911" w:type="dxa"/>
            <w:tcBorders/>
            <w:shd w:fill="auto" w:val="clea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1911" w:type="dxa"/>
            <w:tcBorders/>
            <w:shd w:fill="CCEEFF" w:val="clear"/>
          </w:tcPr>
          <w:p>
            <w:pPr>
              <w:pStyle w:val="TableContents"/>
              <w:spacing w:before="0" w:after="283"/>
              <w:rPr>
                <w:rFonts w:ascii="Times New Roman" w:hAnsi="Times New Roman"/>
                <w:sz w:val="20"/>
              </w:rPr>
            </w:pPr>
            <w:r>
              <w:rPr>
                <w:rFonts w:ascii="Times New Roman" w:hAnsi="Times New Roman"/>
                <w:sz w:val="20"/>
              </w:rPr>
              <w:t>Purchases and related costs</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3"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1911" w:type="dxa"/>
            <w:tcBorders/>
            <w:shd w:fill="auto" w:val="clea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1911" w:type="dxa"/>
            <w:tcBorders/>
            <w:shd w:fill="CCEEFF" w:val="clear"/>
          </w:tcPr>
          <w:p>
            <w:pPr>
              <w:pStyle w:val="TableContents"/>
              <w:spacing w:before="0" w:after="283"/>
              <w:rPr>
                <w:rFonts w:ascii="Times New Roman" w:hAnsi="Times New Roman"/>
                <w:sz w:val="20"/>
              </w:rPr>
            </w:pPr>
            <w:r>
              <w:rPr>
                <w:rFonts w:ascii="Times New Roman" w:hAnsi="Times New Roman"/>
                <w:sz w:val="20"/>
              </w:rPr>
              <w:t>Other income, net</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3"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33" w:type="dxa"/>
            <w:tcBorders/>
            <w:shd w:fill="CCEEFF" w:val="clear"/>
            <w:vAlign w:val="bottom"/>
          </w:tcPr>
          <w:p>
            <w:pPr>
              <w:pStyle w:val="TableContents"/>
              <w:spacing w:before="0" w:after="283"/>
              <w:rPr/>
            </w:pPr>
            <w:r>
              <w:rPr/>
              <w:t>  </w:t>
            </w:r>
          </w:p>
        </w:tc>
      </w:tr>
      <w:tr>
        <w:trPr/>
        <w:tc>
          <w:tcPr>
            <w:tcW w:w="1911"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31" w:type="dxa"/>
            <w:tcBorders>
              <w:top w:val="single" w:sz="2" w:space="0" w:color="000000"/>
            </w:tcBorders>
            <w:shd w:fill="auto" w:val="clear"/>
            <w:tcMar>
              <w:top w:w="28" w:type="dxa"/>
            </w:tcMar>
            <w:vAlign w:val="bottom"/>
          </w:tcPr>
          <w:p>
            <w:pPr>
              <w:pStyle w:val="TableContents"/>
              <w:spacing w:before="0" w:after="283"/>
              <w:rPr/>
            </w:pPr>
            <w:r>
              <w:rPr/>
              <w:t> </w:t>
            </w:r>
          </w:p>
        </w:tc>
        <w:tc>
          <w:tcPr>
            <w:tcW w:w="69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31" w:type="dxa"/>
            <w:tcBorders>
              <w:top w:val="single" w:sz="2" w:space="0" w:color="000000"/>
            </w:tcBorders>
            <w:shd w:fill="auto" w:val="clear"/>
            <w:tcMar>
              <w:top w:w="28" w:type="dxa"/>
            </w:tcMar>
            <w:vAlign w:val="bottom"/>
          </w:tcPr>
          <w:p>
            <w:pPr>
              <w:pStyle w:val="TableContents"/>
              <w:spacing w:before="0" w:after="283"/>
              <w:rPr/>
            </w:pPr>
            <w:r>
              <w:rPr/>
              <w:t> </w:t>
            </w:r>
          </w:p>
        </w:tc>
        <w:tc>
          <w:tcPr>
            <w:tcW w:w="69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5" w:type="dxa"/>
            <w:tcBorders>
              <w:top w:val="single" w:sz="2" w:space="0" w:color="000000"/>
            </w:tcBorders>
            <w:shd w:fill="auto" w:val="clear"/>
            <w:tcMar>
              <w:top w:w="28" w:type="dxa"/>
            </w:tcMar>
            <w:vAlign w:val="bottom"/>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1911" w:type="dxa"/>
            <w:tcBorders/>
            <w:shd w:fill="auto" w:val="clea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1911"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Gain/(Loss) on Derivatives Recognized in Income</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605"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(29</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663"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173"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695"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44</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605"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15</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605"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118</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663"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(8</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 </w:t>
            </w:r>
          </w:p>
        </w:tc>
        <w:tc>
          <w:tcPr>
            <w:tcW w:w="11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696"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120</w:t>
            </w:r>
          </w:p>
        </w:tc>
        <w:tc>
          <w:tcPr>
            <w:tcW w:w="12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605"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230</w:t>
            </w:r>
          </w:p>
        </w:tc>
        <w:tc>
          <w:tcPr>
            <w:tcW w:w="133" w:type="dxa"/>
            <w:tcBorders/>
            <w:shd w:fill="CCEEFF" w:val="clear"/>
            <w:vAlign w:val="bottom"/>
          </w:tcPr>
          <w:p>
            <w:pPr>
              <w:pStyle w:val="TableContents"/>
              <w:spacing w:before="0" w:after="283"/>
              <w:rPr/>
            </w:pPr>
            <w:r>
              <w:rPr/>
              <w:t>  </w:t>
            </w:r>
          </w:p>
        </w:tc>
      </w:tr>
      <w:tr>
        <w:trPr/>
        <w:tc>
          <w:tcPr>
            <w:tcW w:w="1911"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0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63" w:type="dxa"/>
            <w:tcBorders>
              <w:top w:val="double" w:sz="6" w:space="0" w:color="000000"/>
            </w:tcBorders>
            <w:shd w:fill="auto" w:val="clear"/>
            <w:tcMar>
              <w:top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31" w:type="dxa"/>
            <w:tcBorders>
              <w:top w:val="double" w:sz="6" w:space="0" w:color="000000"/>
            </w:tcBorders>
            <w:shd w:fill="auto" w:val="clear"/>
            <w:tcMar>
              <w:top w:w="28" w:type="dxa"/>
            </w:tcMar>
            <w:vAlign w:val="bottom"/>
          </w:tcPr>
          <w:p>
            <w:pPr>
              <w:pStyle w:val="TableContents"/>
              <w:spacing w:before="0" w:after="283"/>
              <w:rPr/>
            </w:pPr>
            <w:r>
              <w:rPr/>
              <w:t> </w:t>
            </w:r>
          </w:p>
        </w:tc>
        <w:tc>
          <w:tcPr>
            <w:tcW w:w="69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0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0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66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31" w:type="dxa"/>
            <w:tcBorders>
              <w:top w:val="double" w:sz="6" w:space="0" w:color="000000"/>
            </w:tcBorders>
            <w:shd w:fill="auto" w:val="clear"/>
            <w:tcMar>
              <w:top w:w="28" w:type="dxa"/>
            </w:tcMar>
            <w:vAlign w:val="bottom"/>
          </w:tcPr>
          <w:p>
            <w:pPr>
              <w:pStyle w:val="TableContents"/>
              <w:spacing w:before="0" w:after="283"/>
              <w:rPr/>
            </w:pPr>
            <w:r>
              <w:rPr/>
              <w:t> </w:t>
            </w:r>
          </w:p>
        </w:tc>
        <w:tc>
          <w:tcPr>
            <w:tcW w:w="69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05" w:type="dxa"/>
            <w:tcBorders>
              <w:top w:val="double" w:sz="6" w:space="0" w:color="000000"/>
            </w:tcBorders>
            <w:shd w:fill="auto" w:val="clear"/>
            <w:tcMar>
              <w:top w:w="28" w:type="dxa"/>
            </w:tcMar>
            <w:vAlign w:val="bottom"/>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r>
    </w:tbl>
    <w:p>
      <w:pPr>
        <w:pStyle w:val="TextBody"/>
        <w:pBdr>
          <w:bottom w:val="single" w:sz="16"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Amounts represent derivative gains and losses that were reclassified from AOCI to earnings during the period to coincide with the earnings impact of the respective hedged transaction.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Amounts represent the ineffective portion of the fair value of our unrealized cash flow hedges that were recognized in earnings during the period.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realized and unrealized gains or losses for derivatives not designated for hedge accounting during the period.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following table summarizes the derivative assets and liabilities on our consolidated balance sheet on a gross basis as of June 30, 2010 (in millions): </w:t>
      </w:r>
    </w:p>
    <w:p>
      <w:pPr>
        <w:pStyle w:val="TextBody"/>
        <w:spacing w:before="180" w:after="0"/>
        <w:rPr>
          <w:rFonts w:ascii="Times New Roman" w:hAnsi="Times New Roman"/>
          <w:sz w:val="20"/>
        </w:rPr>
      </w:pPr>
      <w:r>
        <w:rPr>
          <w:rFonts w:ascii="Times New Roman" w:hAnsi="Times New Roman"/>
          <w:sz w:val="20"/>
        </w:rPr>
        <w:t xml:space="preserve">As of June 30, 2010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926"/>
        <w:gridCol w:w="209"/>
        <w:gridCol w:w="2397"/>
        <w:gridCol w:w="209"/>
        <w:gridCol w:w="181"/>
        <w:gridCol w:w="474"/>
        <w:gridCol w:w="155"/>
        <w:gridCol w:w="60"/>
        <w:gridCol w:w="209"/>
        <w:gridCol w:w="2397"/>
        <w:gridCol w:w="209"/>
        <w:gridCol w:w="160"/>
        <w:gridCol w:w="493"/>
        <w:gridCol w:w="126"/>
      </w:tblGrid>
      <w:tr>
        <w:trPr/>
        <w:tc>
          <w:tcPr>
            <w:tcW w:w="292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2397"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2397"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3261" w:type="dxa"/>
            <w:gridSpan w:val="4"/>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Asset Derivatives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3259" w:type="dxa"/>
            <w:gridSpan w:val="4"/>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Liability Derivatives</w:t>
            </w:r>
          </w:p>
        </w:tc>
        <w:tc>
          <w:tcPr>
            <w:tcW w:w="126" w:type="dxa"/>
            <w:tcBorders/>
            <w:shd w:fill="auto" w:val="clear"/>
            <w:vAlign w:val="bottom"/>
          </w:tcPr>
          <w:p>
            <w:pPr>
              <w:pStyle w:val="TableContents"/>
              <w:spacing w:before="0" w:after="283"/>
              <w:rPr/>
            </w:pPr>
            <w:r>
              <w:rPr/>
              <w:t> </w:t>
            </w:r>
          </w:p>
        </w:tc>
      </w:tr>
      <w:tr>
        <w:trPr/>
        <w:tc>
          <w:tcPr>
            <w:tcW w:w="2926"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397"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Balance Sheet</w:t>
            </w:r>
          </w:p>
          <w:p>
            <w:pPr>
              <w:pStyle w:val="TableContents"/>
              <w:spacing w:before="0" w:after="15"/>
              <w:jc w:val="center"/>
              <w:rPr>
                <w:rFonts w:ascii="Times New Roman" w:hAnsi="Times New Roman"/>
                <w:b/>
                <w:sz w:val="14"/>
              </w:rPr>
            </w:pPr>
            <w:r>
              <w:rPr>
                <w:rFonts w:ascii="Times New Roman" w:hAnsi="Times New Roman"/>
                <w:b/>
                <w:sz w:val="14"/>
              </w:rPr>
              <w:t>Location</w:t>
            </w:r>
          </w:p>
        </w:tc>
        <w:tc>
          <w:tcPr>
            <w:tcW w:w="209" w:type="dxa"/>
            <w:tcBorders/>
            <w:shd w:fill="auto" w:val="clear"/>
            <w:vAlign w:val="bottom"/>
          </w:tcPr>
          <w:p>
            <w:pPr>
              <w:pStyle w:val="TableContents"/>
              <w:spacing w:before="0" w:after="283"/>
              <w:rPr/>
            </w:pPr>
            <w:r>
              <w:rPr/>
              <w:t>  </w:t>
            </w:r>
          </w:p>
        </w:tc>
        <w:tc>
          <w:tcPr>
            <w:tcW w:w="65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Fair Value</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397"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Balance Sheet</w:t>
            </w:r>
          </w:p>
          <w:p>
            <w:pPr>
              <w:pStyle w:val="TableContents"/>
              <w:spacing w:before="0" w:after="15"/>
              <w:jc w:val="center"/>
              <w:rPr>
                <w:rFonts w:ascii="Times New Roman" w:hAnsi="Times New Roman"/>
                <w:b/>
                <w:sz w:val="14"/>
              </w:rPr>
            </w:pPr>
            <w:r>
              <w:rPr>
                <w:rFonts w:ascii="Times New Roman" w:hAnsi="Times New Roman"/>
                <w:b/>
                <w:sz w:val="14"/>
              </w:rPr>
              <w:t>Location</w:t>
            </w:r>
          </w:p>
        </w:tc>
        <w:tc>
          <w:tcPr>
            <w:tcW w:w="209" w:type="dxa"/>
            <w:tcBorders/>
            <w:shd w:fill="auto" w:val="clear"/>
            <w:vAlign w:val="bottom"/>
          </w:tcPr>
          <w:p>
            <w:pPr>
              <w:pStyle w:val="TableContents"/>
              <w:spacing w:before="0" w:after="283"/>
              <w:rPr/>
            </w:pPr>
            <w:r>
              <w:rPr/>
              <w:t>  </w:t>
            </w:r>
          </w:p>
        </w:tc>
        <w:tc>
          <w:tcPr>
            <w:tcW w:w="65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Fair Value</w:t>
            </w:r>
          </w:p>
        </w:tc>
        <w:tc>
          <w:tcPr>
            <w:tcW w:w="126" w:type="dxa"/>
            <w:tcBorders/>
            <w:shd w:fill="auto" w:val="clear"/>
            <w:vAlign w:val="bottom"/>
          </w:tcPr>
          <w:p>
            <w:pPr>
              <w:pStyle w:val="TableContents"/>
              <w:spacing w:before="0" w:after="283"/>
              <w:rPr/>
            </w:pPr>
            <w:r>
              <w:rPr/>
              <w:t> </w:t>
            </w:r>
          </w:p>
        </w:tc>
      </w:tr>
      <w:tr>
        <w:trPr/>
        <w:tc>
          <w:tcPr>
            <w:tcW w:w="2926" w:type="dxa"/>
            <w:tcBorders/>
            <w:shd w:fill="CCEEFF" w:val="clear"/>
          </w:tcPr>
          <w:p>
            <w:pPr>
              <w:pStyle w:val="TableContents"/>
              <w:spacing w:before="0" w:after="283"/>
              <w:rPr>
                <w:rFonts w:ascii="Times New Roman" w:hAnsi="Times New Roman"/>
                <w:b/>
                <w:sz w:val="14"/>
              </w:rPr>
            </w:pPr>
            <w:r>
              <w:rPr>
                <w:rFonts w:ascii="Times New Roman" w:hAnsi="Times New Roman"/>
                <w:b/>
                <w:sz w:val="14"/>
              </w:rPr>
              <w:t>Derivatives designated as hedging instruments:</w:t>
            </w:r>
          </w:p>
        </w:tc>
        <w:tc>
          <w:tcPr>
            <w:tcW w:w="209" w:type="dxa"/>
            <w:tcBorders/>
            <w:shd w:fill="CCEEFF" w:val="clear"/>
            <w:vAlign w:val="bottom"/>
          </w:tcPr>
          <w:p>
            <w:pPr>
              <w:pStyle w:val="TableContents"/>
              <w:spacing w:before="0" w:after="283"/>
              <w:rPr/>
            </w:pPr>
            <w:r>
              <w:rPr/>
              <w:t>  </w:t>
            </w:r>
          </w:p>
        </w:tc>
        <w:tc>
          <w:tcPr>
            <w:tcW w:w="2397" w:type="dxa"/>
            <w:tcBorders/>
            <w:shd w:fill="CCEEFF" w:val="clear"/>
            <w:vAlign w:val="bottom"/>
          </w:tcPr>
          <w:p>
            <w:pPr>
              <w:pStyle w:val="TableContents"/>
              <w:spacing w:before="0" w:after="283"/>
              <w:rPr>
                <w:sz w:val="4"/>
                <w:szCs w:val="4"/>
              </w:rPr>
            </w:pPr>
            <w:r>
              <w:rPr>
                <w:sz w:val="4"/>
                <w:szCs w:val="4"/>
              </w:rPr>
            </w:r>
          </w:p>
        </w:tc>
        <w:tc>
          <w:tcPr>
            <w:tcW w:w="209"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sz w:val="4"/>
                <w:szCs w:val="4"/>
              </w:rPr>
            </w:pPr>
            <w:r>
              <w:rPr>
                <w:sz w:val="4"/>
                <w:szCs w:val="4"/>
              </w:rPr>
            </w:r>
          </w:p>
        </w:tc>
        <w:tc>
          <w:tcPr>
            <w:tcW w:w="47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397" w:type="dxa"/>
            <w:tcBorders/>
            <w:shd w:fill="CCEEFF" w:val="clear"/>
            <w:vAlign w:val="bottom"/>
          </w:tcPr>
          <w:p>
            <w:pPr>
              <w:pStyle w:val="TableContents"/>
              <w:spacing w:before="0" w:after="283"/>
              <w:rPr>
                <w:sz w:val="4"/>
                <w:szCs w:val="4"/>
              </w:rPr>
            </w:pPr>
            <w:r>
              <w:rPr>
                <w:sz w:val="4"/>
                <w:szCs w:val="4"/>
              </w:rPr>
            </w:r>
          </w:p>
        </w:tc>
        <w:tc>
          <w:tcPr>
            <w:tcW w:w="20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sz w:val="4"/>
                <w:szCs w:val="4"/>
              </w:rPr>
            </w:pPr>
            <w:r>
              <w:rPr>
                <w:sz w:val="4"/>
                <w:szCs w:val="4"/>
              </w:rPr>
            </w:r>
          </w:p>
        </w:tc>
        <w:tc>
          <w:tcPr>
            <w:tcW w:w="493"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2926" w:type="dxa"/>
            <w:tcBorders/>
            <w:shd w:fill="auto" w:val="clear"/>
          </w:tcPr>
          <w:p>
            <w:pPr>
              <w:pStyle w:val="TableContents"/>
              <w:spacing w:before="0" w:after="283"/>
              <w:rPr>
                <w:rFonts w:ascii="Times New Roman" w:hAnsi="Times New Roman"/>
                <w:sz w:val="14"/>
              </w:rPr>
            </w:pPr>
            <w:r>
              <w:rPr>
                <w:rFonts w:ascii="Times New Roman" w:hAnsi="Times New Roman"/>
                <w:sz w:val="14"/>
              </w:rPr>
              <w:t>Commodity derivatives</w:t>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current assets</w:t>
            </w:r>
          </w:p>
        </w:tc>
        <w:tc>
          <w:tcPr>
            <w:tcW w:w="209"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210</w:t>
            </w:r>
          </w:p>
        </w:tc>
        <w:tc>
          <w:tcPr>
            <w:tcW w:w="155"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current assets</w:t>
            </w:r>
          </w:p>
        </w:tc>
        <w:tc>
          <w:tcPr>
            <w:tcW w:w="209"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9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(88</w:t>
            </w:r>
          </w:p>
        </w:tc>
        <w:tc>
          <w:tcPr>
            <w:tcW w:w="12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926" w:type="dxa"/>
            <w:tcBorders/>
            <w:shd w:fill="CCEEFF" w:val="clear"/>
          </w:tcPr>
          <w:p>
            <w:pPr>
              <w:pStyle w:val="TableContents"/>
              <w:spacing w:before="0" w:after="283"/>
              <w:rPr>
                <w:sz w:val="4"/>
                <w:szCs w:val="4"/>
              </w:rPr>
            </w:pPr>
            <w:r>
              <w:rPr>
                <w:sz w:val="4"/>
                <w:szCs w:val="4"/>
              </w:rPr>
            </w:r>
          </w:p>
        </w:tc>
        <w:tc>
          <w:tcPr>
            <w:tcW w:w="209" w:type="dxa"/>
            <w:tcBorders/>
            <w:shd w:fill="CCEEFF" w:val="clear"/>
            <w:vAlign w:val="bottom"/>
          </w:tcPr>
          <w:p>
            <w:pPr>
              <w:pStyle w:val="TableContents"/>
              <w:spacing w:before="0" w:after="283"/>
              <w:rPr/>
            </w:pPr>
            <w:r>
              <w:rPr/>
              <w:t>  </w:t>
            </w:r>
          </w:p>
        </w:tc>
        <w:tc>
          <w:tcPr>
            <w:tcW w:w="239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long-term assets</w:t>
            </w:r>
          </w:p>
        </w:tc>
        <w:tc>
          <w:tcPr>
            <w:tcW w:w="209"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w:t>
            </w:r>
          </w:p>
        </w:tc>
        <w:tc>
          <w:tcPr>
            <w:tcW w:w="155"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39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long-term assets</w:t>
            </w:r>
          </w:p>
        </w:tc>
        <w:tc>
          <w:tcPr>
            <w:tcW w:w="20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49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6" w:type="dxa"/>
            <w:tcBorders/>
            <w:shd w:fill="CCEEFF" w:val="clear"/>
            <w:vAlign w:val="bottom"/>
          </w:tcPr>
          <w:p>
            <w:pPr>
              <w:pStyle w:val="TableContents"/>
              <w:spacing w:before="0" w:after="283"/>
              <w:rPr/>
            </w:pPr>
            <w:r>
              <w:rPr/>
              <w:t>  </w:t>
            </w:r>
          </w:p>
        </w:tc>
      </w:tr>
      <w:tr>
        <w:trPr/>
        <w:tc>
          <w:tcPr>
            <w:tcW w:w="2926" w:type="dxa"/>
            <w:tcBorders/>
            <w:shd w:fill="auto" w:val="clea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long-term liabilities</w:t>
            </w:r>
          </w:p>
        </w:tc>
        <w:tc>
          <w:tcPr>
            <w:tcW w:w="209"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55"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long-term liabilities</w:t>
            </w:r>
          </w:p>
        </w:tc>
        <w:tc>
          <w:tcPr>
            <w:tcW w:w="209"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49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2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926" w:type="dxa"/>
            <w:tcBorders/>
            <w:shd w:fill="CCEEFF" w:val="clear"/>
          </w:tcPr>
          <w:p>
            <w:pPr>
              <w:pStyle w:val="TableContents"/>
              <w:spacing w:before="0" w:after="283"/>
              <w:rPr>
                <w:sz w:val="4"/>
                <w:szCs w:val="4"/>
              </w:rPr>
            </w:pPr>
            <w:r>
              <w:rPr>
                <w:sz w:val="4"/>
                <w:szCs w:val="4"/>
              </w:rPr>
            </w:r>
          </w:p>
        </w:tc>
        <w:tc>
          <w:tcPr>
            <w:tcW w:w="209" w:type="dxa"/>
            <w:tcBorders/>
            <w:shd w:fill="CCEEFF" w:val="clear"/>
            <w:vAlign w:val="bottom"/>
          </w:tcPr>
          <w:p>
            <w:pPr>
              <w:pStyle w:val="TableContents"/>
              <w:spacing w:before="0" w:after="283"/>
              <w:rPr/>
            </w:pPr>
            <w:r>
              <w:rPr/>
              <w:t>  </w:t>
            </w:r>
          </w:p>
        </w:tc>
        <w:tc>
          <w:tcPr>
            <w:tcW w:w="239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current liabilities</w:t>
            </w:r>
          </w:p>
        </w:tc>
        <w:tc>
          <w:tcPr>
            <w:tcW w:w="209"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55"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39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current liabilities</w:t>
            </w:r>
          </w:p>
        </w:tc>
        <w:tc>
          <w:tcPr>
            <w:tcW w:w="20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49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w:t>
            </w:r>
          </w:p>
        </w:tc>
        <w:tc>
          <w:tcPr>
            <w:tcW w:w="12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926" w:type="dxa"/>
            <w:tcBorders/>
            <w:shd w:fill="auto" w:val="clear"/>
          </w:tcPr>
          <w:p>
            <w:pPr>
              <w:pStyle w:val="TableContents"/>
              <w:spacing w:before="0" w:after="283"/>
              <w:rPr>
                <w:rFonts w:ascii="Times New Roman" w:hAnsi="Times New Roman"/>
                <w:sz w:val="14"/>
              </w:rPr>
            </w:pPr>
            <w:r>
              <w:rPr>
                <w:rFonts w:ascii="Times New Roman" w:hAnsi="Times New Roman"/>
                <w:sz w:val="14"/>
              </w:rPr>
              <w:t>Interest rate derivatives</w:t>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current liabilities</w:t>
            </w:r>
          </w:p>
        </w:tc>
        <w:tc>
          <w:tcPr>
            <w:tcW w:w="209"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55"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current liabilities</w:t>
            </w:r>
          </w:p>
        </w:tc>
        <w:tc>
          <w:tcPr>
            <w:tcW w:w="209"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49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w:t>
            </w:r>
          </w:p>
        </w:tc>
        <w:tc>
          <w:tcPr>
            <w:tcW w:w="12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926" w:type="dxa"/>
            <w:tcBorders/>
            <w:shd w:fill="CCEEFF" w:val="clear"/>
          </w:tcPr>
          <w:p>
            <w:pPr>
              <w:pStyle w:val="TableContents"/>
              <w:spacing w:before="0" w:after="283"/>
              <w:rPr>
                <w:rFonts w:ascii="Times New Roman" w:hAnsi="Times New Roman"/>
                <w:sz w:val="14"/>
              </w:rPr>
            </w:pPr>
            <w:r>
              <w:rPr>
                <w:rFonts w:ascii="Times New Roman" w:hAnsi="Times New Roman"/>
                <w:sz w:val="14"/>
              </w:rPr>
              <w:t>Foreign exchange derivatives</w:t>
            </w:r>
          </w:p>
        </w:tc>
        <w:tc>
          <w:tcPr>
            <w:tcW w:w="209" w:type="dxa"/>
            <w:tcBorders/>
            <w:shd w:fill="CCEEFF" w:val="clear"/>
            <w:vAlign w:val="bottom"/>
          </w:tcPr>
          <w:p>
            <w:pPr>
              <w:pStyle w:val="TableContents"/>
              <w:spacing w:before="0" w:after="283"/>
              <w:rPr/>
            </w:pPr>
            <w:r>
              <w:rPr/>
              <w:t>  </w:t>
            </w:r>
          </w:p>
        </w:tc>
        <w:tc>
          <w:tcPr>
            <w:tcW w:w="239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long-term assets</w:t>
            </w:r>
          </w:p>
        </w:tc>
        <w:tc>
          <w:tcPr>
            <w:tcW w:w="209"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w:t>
            </w:r>
          </w:p>
        </w:tc>
        <w:tc>
          <w:tcPr>
            <w:tcW w:w="155"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39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long-term liabilities</w:t>
            </w:r>
          </w:p>
        </w:tc>
        <w:tc>
          <w:tcPr>
            <w:tcW w:w="20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49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6" w:type="dxa"/>
            <w:tcBorders/>
            <w:shd w:fill="CCEEFF" w:val="clear"/>
            <w:vAlign w:val="bottom"/>
          </w:tcPr>
          <w:p>
            <w:pPr>
              <w:pStyle w:val="TableContents"/>
              <w:spacing w:before="0" w:after="283"/>
              <w:rPr/>
            </w:pPr>
            <w:r>
              <w:rPr/>
              <w:t>  </w:t>
            </w:r>
          </w:p>
        </w:tc>
      </w:tr>
      <w:tr>
        <w:trPr/>
        <w:tc>
          <w:tcPr>
            <w:tcW w:w="2926"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181" w:type="dxa"/>
            <w:tcBorders>
              <w:top w:val="single" w:sz="2" w:space="0" w:color="000000"/>
            </w:tcBorders>
            <w:shd w:fill="auto" w:val="clear"/>
            <w:tcMar>
              <w:top w:w="28" w:type="dxa"/>
            </w:tcMar>
            <w:vAlign w:val="bottom"/>
          </w:tcPr>
          <w:p>
            <w:pPr>
              <w:pStyle w:val="TableContents"/>
              <w:spacing w:before="0" w:after="283"/>
              <w:rPr/>
            </w:pPr>
            <w:r>
              <w:rPr/>
              <w:t> </w:t>
            </w:r>
          </w:p>
        </w:tc>
        <w:tc>
          <w:tcPr>
            <w:tcW w:w="474" w:type="dxa"/>
            <w:tcBorders>
              <w:top w:val="single" w:sz="2" w:space="0" w:color="000000"/>
            </w:tcBorders>
            <w:shd w:fill="auto" w:val="clear"/>
            <w:tcMar>
              <w:top w:w="28" w:type="dxa"/>
            </w:tcM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160" w:type="dxa"/>
            <w:tcBorders>
              <w:top w:val="single" w:sz="2" w:space="0" w:color="000000"/>
            </w:tcBorders>
            <w:shd w:fill="auto" w:val="clear"/>
            <w:tcMar>
              <w:top w:w="28" w:type="dxa"/>
            </w:tcMar>
            <w:vAlign w:val="bottom"/>
          </w:tcPr>
          <w:p>
            <w:pPr>
              <w:pStyle w:val="TableContents"/>
              <w:spacing w:before="0" w:after="283"/>
              <w:rPr/>
            </w:pPr>
            <w:r>
              <w:rPr/>
              <w:t> </w:t>
            </w:r>
          </w:p>
        </w:tc>
        <w:tc>
          <w:tcPr>
            <w:tcW w:w="493" w:type="dxa"/>
            <w:tcBorders>
              <w:top w:val="single" w:sz="2" w:space="0" w:color="000000"/>
            </w:tcBorders>
            <w:shd w:fill="auto" w:val="clear"/>
            <w:tcMar>
              <w:top w:w="28" w:type="dxa"/>
            </w:tcMar>
            <w:vAlign w:val="bottom"/>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2926" w:type="dxa"/>
            <w:tcBorders/>
            <w:shd w:fill="auto" w:val="clea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sz w:val="4"/>
                <w:szCs w:val="4"/>
              </w:rPr>
            </w:pPr>
            <w:r>
              <w:rPr>
                <w:sz w:val="4"/>
                <w:szCs w:val="4"/>
              </w:rPr>
            </w:r>
          </w:p>
        </w:tc>
        <w:tc>
          <w:tcPr>
            <w:tcW w:w="47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sz w:val="4"/>
                <w:szCs w:val="4"/>
              </w:rPr>
            </w:pPr>
            <w:r>
              <w:rPr>
                <w:sz w:val="4"/>
                <w:szCs w:val="4"/>
              </w:rPr>
            </w:r>
          </w:p>
        </w:tc>
        <w:tc>
          <w:tcPr>
            <w:tcW w:w="493"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2926" w:type="dxa"/>
            <w:tcBorders/>
            <w:shd w:fill="CCEEFF" w:val="clear"/>
          </w:tcPr>
          <w:p>
            <w:pPr>
              <w:pStyle w:val="TableContents"/>
              <w:spacing w:before="0" w:after="283"/>
              <w:rPr>
                <w:rFonts w:ascii="Times New Roman" w:hAnsi="Times New Roman"/>
                <w:sz w:val="14"/>
              </w:rPr>
            </w:pPr>
            <w:r>
              <w:rPr>
                <w:rFonts w:ascii="Times New Roman" w:hAnsi="Times New Roman"/>
                <w:sz w:val="14"/>
              </w:rPr>
              <w:t>Total derivatives designated as hedging instruments</w:t>
            </w:r>
          </w:p>
        </w:tc>
        <w:tc>
          <w:tcPr>
            <w:tcW w:w="209" w:type="dxa"/>
            <w:tcBorders/>
            <w:shd w:fill="CCEEFF" w:val="clear"/>
            <w:vAlign w:val="bottom"/>
          </w:tcPr>
          <w:p>
            <w:pPr>
              <w:pStyle w:val="TableContents"/>
              <w:spacing w:before="0" w:after="283"/>
              <w:rPr/>
            </w:pPr>
            <w:r>
              <w:rPr/>
              <w:t>  </w:t>
            </w:r>
          </w:p>
        </w:tc>
        <w:tc>
          <w:tcPr>
            <w:tcW w:w="2397" w:type="dxa"/>
            <w:tcBorders/>
            <w:shd w:fill="CCEEFF" w:val="clear"/>
            <w:vAlign w:val="bottom"/>
          </w:tcPr>
          <w:p>
            <w:pPr>
              <w:pStyle w:val="TableContents"/>
              <w:spacing w:before="0" w:after="283"/>
              <w:rPr>
                <w:sz w:val="4"/>
                <w:szCs w:val="4"/>
              </w:rPr>
            </w:pPr>
            <w:r>
              <w:rPr>
                <w:sz w:val="4"/>
                <w:szCs w:val="4"/>
              </w:rPr>
            </w:r>
          </w:p>
        </w:tc>
        <w:tc>
          <w:tcPr>
            <w:tcW w:w="209"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239</w:t>
            </w:r>
          </w:p>
        </w:tc>
        <w:tc>
          <w:tcPr>
            <w:tcW w:w="155"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397" w:type="dxa"/>
            <w:tcBorders/>
            <w:shd w:fill="CCEEFF" w:val="clear"/>
            <w:vAlign w:val="bottom"/>
          </w:tcPr>
          <w:p>
            <w:pPr>
              <w:pStyle w:val="TableContents"/>
              <w:spacing w:before="0" w:after="283"/>
              <w:rPr>
                <w:sz w:val="4"/>
                <w:szCs w:val="4"/>
              </w:rPr>
            </w:pPr>
            <w:r>
              <w:rPr>
                <w:sz w:val="4"/>
                <w:szCs w:val="4"/>
              </w:rPr>
            </w:r>
          </w:p>
        </w:tc>
        <w:tc>
          <w:tcPr>
            <w:tcW w:w="20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9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(94</w:t>
            </w:r>
          </w:p>
        </w:tc>
        <w:tc>
          <w:tcPr>
            <w:tcW w:w="12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926"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181" w:type="dxa"/>
            <w:tcBorders>
              <w:top w:val="double" w:sz="6" w:space="0" w:color="000000"/>
            </w:tcBorders>
            <w:shd w:fill="auto" w:val="clear"/>
            <w:tcMar>
              <w:top w:w="28" w:type="dxa"/>
            </w:tcMar>
            <w:vAlign w:val="bottom"/>
          </w:tcPr>
          <w:p>
            <w:pPr>
              <w:pStyle w:val="TableContents"/>
              <w:spacing w:before="0" w:after="283"/>
              <w:rPr/>
            </w:pPr>
            <w:r>
              <w:rPr/>
              <w:t> </w:t>
            </w:r>
          </w:p>
        </w:tc>
        <w:tc>
          <w:tcPr>
            <w:tcW w:w="474" w:type="dxa"/>
            <w:tcBorders>
              <w:top w:val="double" w:sz="6" w:space="0" w:color="000000"/>
            </w:tcBorders>
            <w:shd w:fill="auto" w:val="clear"/>
            <w:tcMar>
              <w:top w:w="28" w:type="dxa"/>
            </w:tcM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160" w:type="dxa"/>
            <w:tcBorders>
              <w:top w:val="double" w:sz="6" w:space="0" w:color="000000"/>
            </w:tcBorders>
            <w:shd w:fill="auto" w:val="clear"/>
            <w:tcMar>
              <w:top w:w="28" w:type="dxa"/>
            </w:tcMar>
            <w:vAlign w:val="bottom"/>
          </w:tcPr>
          <w:p>
            <w:pPr>
              <w:pStyle w:val="TableContents"/>
              <w:spacing w:before="0" w:after="283"/>
              <w:rPr/>
            </w:pPr>
            <w:r>
              <w:rPr/>
              <w:t> </w:t>
            </w:r>
          </w:p>
        </w:tc>
        <w:tc>
          <w:tcPr>
            <w:tcW w:w="493" w:type="dxa"/>
            <w:tcBorders>
              <w:top w:val="double" w:sz="6" w:space="0" w:color="000000"/>
            </w:tcBorders>
            <w:shd w:fill="auto" w:val="clear"/>
            <w:tcMar>
              <w:top w:w="28" w:type="dxa"/>
            </w:tcMar>
            <w:vAlign w:val="bottom"/>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2926" w:type="dxa"/>
            <w:tcBorders/>
            <w:shd w:fill="auto" w:val="clea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sz w:val="4"/>
                <w:szCs w:val="4"/>
              </w:rPr>
            </w:pPr>
            <w:r>
              <w:rPr>
                <w:sz w:val="4"/>
                <w:szCs w:val="4"/>
              </w:rPr>
            </w:r>
          </w:p>
        </w:tc>
        <w:tc>
          <w:tcPr>
            <w:tcW w:w="47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sz w:val="4"/>
                <w:szCs w:val="4"/>
              </w:rPr>
            </w:pPr>
            <w:r>
              <w:rPr>
                <w:sz w:val="4"/>
                <w:szCs w:val="4"/>
              </w:rPr>
            </w:r>
          </w:p>
        </w:tc>
        <w:tc>
          <w:tcPr>
            <w:tcW w:w="493"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2926" w:type="dxa"/>
            <w:tcBorders/>
            <w:shd w:fill="CCEEFF" w:val="clear"/>
          </w:tcPr>
          <w:p>
            <w:pPr>
              <w:pStyle w:val="TableContents"/>
              <w:spacing w:before="0" w:after="283"/>
              <w:rPr>
                <w:rFonts w:ascii="Times New Roman" w:hAnsi="Times New Roman"/>
                <w:b/>
                <w:sz w:val="14"/>
              </w:rPr>
            </w:pPr>
            <w:r>
              <w:rPr>
                <w:rFonts w:ascii="Times New Roman" w:hAnsi="Times New Roman"/>
                <w:b/>
                <w:sz w:val="14"/>
              </w:rPr>
              <w:t>Derivatives not designated as hedging instruments:</w:t>
            </w:r>
          </w:p>
        </w:tc>
        <w:tc>
          <w:tcPr>
            <w:tcW w:w="209" w:type="dxa"/>
            <w:tcBorders/>
            <w:shd w:fill="CCEEFF" w:val="clear"/>
            <w:vAlign w:val="bottom"/>
          </w:tcPr>
          <w:p>
            <w:pPr>
              <w:pStyle w:val="TableContents"/>
              <w:spacing w:before="0" w:after="283"/>
              <w:rPr/>
            </w:pPr>
            <w:r>
              <w:rPr/>
              <w:t>  </w:t>
            </w:r>
          </w:p>
        </w:tc>
        <w:tc>
          <w:tcPr>
            <w:tcW w:w="2397" w:type="dxa"/>
            <w:tcBorders/>
            <w:shd w:fill="CCEEFF" w:val="clear"/>
            <w:vAlign w:val="bottom"/>
          </w:tcPr>
          <w:p>
            <w:pPr>
              <w:pStyle w:val="TableContents"/>
              <w:spacing w:before="0" w:after="283"/>
              <w:rPr>
                <w:sz w:val="4"/>
                <w:szCs w:val="4"/>
              </w:rPr>
            </w:pPr>
            <w:r>
              <w:rPr>
                <w:sz w:val="4"/>
                <w:szCs w:val="4"/>
              </w:rPr>
            </w:r>
          </w:p>
        </w:tc>
        <w:tc>
          <w:tcPr>
            <w:tcW w:w="209"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sz w:val="4"/>
                <w:szCs w:val="4"/>
              </w:rPr>
            </w:pPr>
            <w:r>
              <w:rPr>
                <w:sz w:val="4"/>
                <w:szCs w:val="4"/>
              </w:rPr>
            </w:r>
          </w:p>
        </w:tc>
        <w:tc>
          <w:tcPr>
            <w:tcW w:w="47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397" w:type="dxa"/>
            <w:tcBorders/>
            <w:shd w:fill="CCEEFF" w:val="clear"/>
            <w:vAlign w:val="bottom"/>
          </w:tcPr>
          <w:p>
            <w:pPr>
              <w:pStyle w:val="TableContents"/>
              <w:spacing w:before="0" w:after="283"/>
              <w:rPr>
                <w:sz w:val="4"/>
                <w:szCs w:val="4"/>
              </w:rPr>
            </w:pPr>
            <w:r>
              <w:rPr>
                <w:sz w:val="4"/>
                <w:szCs w:val="4"/>
              </w:rPr>
            </w:r>
          </w:p>
        </w:tc>
        <w:tc>
          <w:tcPr>
            <w:tcW w:w="20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sz w:val="4"/>
                <w:szCs w:val="4"/>
              </w:rPr>
            </w:pPr>
            <w:r>
              <w:rPr>
                <w:sz w:val="4"/>
                <w:szCs w:val="4"/>
              </w:rPr>
            </w:r>
          </w:p>
        </w:tc>
        <w:tc>
          <w:tcPr>
            <w:tcW w:w="493"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2926" w:type="dxa"/>
            <w:tcBorders/>
            <w:shd w:fill="auto" w:val="clear"/>
          </w:tcPr>
          <w:p>
            <w:pPr>
              <w:pStyle w:val="TableContents"/>
              <w:spacing w:before="0" w:after="283"/>
              <w:rPr>
                <w:rFonts w:ascii="Times New Roman" w:hAnsi="Times New Roman"/>
                <w:sz w:val="14"/>
              </w:rPr>
            </w:pPr>
            <w:r>
              <w:rPr>
                <w:rFonts w:ascii="Times New Roman" w:hAnsi="Times New Roman"/>
                <w:sz w:val="14"/>
              </w:rPr>
              <w:t>Commodity derivatives</w:t>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current assets</w:t>
            </w:r>
          </w:p>
        </w:tc>
        <w:tc>
          <w:tcPr>
            <w:tcW w:w="209"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150</w:t>
            </w:r>
          </w:p>
        </w:tc>
        <w:tc>
          <w:tcPr>
            <w:tcW w:w="155"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current assets</w:t>
            </w:r>
          </w:p>
        </w:tc>
        <w:tc>
          <w:tcPr>
            <w:tcW w:w="209"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9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(114</w:t>
            </w:r>
          </w:p>
        </w:tc>
        <w:tc>
          <w:tcPr>
            <w:tcW w:w="12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926" w:type="dxa"/>
            <w:tcBorders/>
            <w:shd w:fill="CCEEFF" w:val="clear"/>
          </w:tcPr>
          <w:p>
            <w:pPr>
              <w:pStyle w:val="TableContents"/>
              <w:spacing w:before="0" w:after="283"/>
              <w:rPr>
                <w:sz w:val="4"/>
                <w:szCs w:val="4"/>
              </w:rPr>
            </w:pPr>
            <w:r>
              <w:rPr>
                <w:sz w:val="4"/>
                <w:szCs w:val="4"/>
              </w:rPr>
            </w:r>
          </w:p>
        </w:tc>
        <w:tc>
          <w:tcPr>
            <w:tcW w:w="209" w:type="dxa"/>
            <w:tcBorders/>
            <w:shd w:fill="CCEEFF" w:val="clear"/>
            <w:vAlign w:val="bottom"/>
          </w:tcPr>
          <w:p>
            <w:pPr>
              <w:pStyle w:val="TableContents"/>
              <w:spacing w:before="0" w:after="283"/>
              <w:rPr/>
            </w:pPr>
            <w:r>
              <w:rPr/>
              <w:t>  </w:t>
            </w:r>
          </w:p>
        </w:tc>
        <w:tc>
          <w:tcPr>
            <w:tcW w:w="239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long-term assets</w:t>
            </w:r>
          </w:p>
        </w:tc>
        <w:tc>
          <w:tcPr>
            <w:tcW w:w="209"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27</w:t>
            </w:r>
          </w:p>
        </w:tc>
        <w:tc>
          <w:tcPr>
            <w:tcW w:w="155"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397" w:type="dxa"/>
            <w:tcBorders/>
            <w:shd w:fill="CCEEFF" w:val="clear"/>
            <w:vAlign w:val="bottom"/>
          </w:tcPr>
          <w:p>
            <w:pPr>
              <w:pStyle w:val="TableContents"/>
              <w:spacing w:before="0" w:after="15"/>
              <w:rPr>
                <w:rFonts w:ascii="Times New Roman" w:hAnsi="Times New Roman"/>
                <w:sz w:val="14"/>
              </w:rPr>
            </w:pPr>
            <w:r>
              <w:rPr>
                <w:rFonts w:ascii="Times New Roman" w:hAnsi="Times New Roman"/>
                <w:sz w:val="14"/>
              </w:rPr>
              <w:t>Other long-term assets</w:t>
            </w:r>
          </w:p>
        </w:tc>
        <w:tc>
          <w:tcPr>
            <w:tcW w:w="20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49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w:t>
            </w:r>
          </w:p>
        </w:tc>
        <w:tc>
          <w:tcPr>
            <w:tcW w:w="12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926" w:type="dxa"/>
            <w:tcBorders/>
            <w:shd w:fill="auto" w:val="clea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long-term liabilities</w:t>
            </w:r>
          </w:p>
        </w:tc>
        <w:tc>
          <w:tcPr>
            <w:tcW w:w="209"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55"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15"/>
              <w:rPr>
                <w:rFonts w:ascii="Times New Roman" w:hAnsi="Times New Roman"/>
                <w:sz w:val="14"/>
              </w:rPr>
            </w:pPr>
            <w:r>
              <w:rPr>
                <w:rFonts w:ascii="Times New Roman" w:hAnsi="Times New Roman"/>
                <w:sz w:val="14"/>
              </w:rPr>
              <w:t>Other long-term liabilities</w:t>
            </w:r>
          </w:p>
        </w:tc>
        <w:tc>
          <w:tcPr>
            <w:tcW w:w="209"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49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w:t>
            </w:r>
          </w:p>
        </w:tc>
        <w:tc>
          <w:tcPr>
            <w:tcW w:w="12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926" w:type="dxa"/>
            <w:tcBorders/>
            <w:shd w:fill="CCEEFF" w:val="clear"/>
          </w:tcPr>
          <w:p>
            <w:pPr>
              <w:pStyle w:val="TableContents"/>
              <w:spacing w:before="0" w:after="283"/>
              <w:rPr>
                <w:rFonts w:ascii="Times New Roman" w:hAnsi="Times New Roman"/>
                <w:sz w:val="14"/>
              </w:rPr>
            </w:pPr>
            <w:r>
              <w:rPr>
                <w:rFonts w:ascii="Times New Roman" w:hAnsi="Times New Roman"/>
                <w:sz w:val="14"/>
              </w:rPr>
              <w:t>Interest rate derivatives</w:t>
            </w:r>
          </w:p>
        </w:tc>
        <w:tc>
          <w:tcPr>
            <w:tcW w:w="209" w:type="dxa"/>
            <w:tcBorders/>
            <w:shd w:fill="CCEEFF" w:val="clear"/>
            <w:vAlign w:val="bottom"/>
          </w:tcPr>
          <w:p>
            <w:pPr>
              <w:pStyle w:val="TableContents"/>
              <w:spacing w:before="0" w:after="283"/>
              <w:rPr/>
            </w:pPr>
            <w:r>
              <w:rPr/>
              <w:t>  </w:t>
            </w:r>
          </w:p>
        </w:tc>
        <w:tc>
          <w:tcPr>
            <w:tcW w:w="239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current assets</w:t>
            </w:r>
          </w:p>
        </w:tc>
        <w:tc>
          <w:tcPr>
            <w:tcW w:w="209"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55"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39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current assets</w:t>
            </w:r>
          </w:p>
        </w:tc>
        <w:tc>
          <w:tcPr>
            <w:tcW w:w="20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49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6" w:type="dxa"/>
            <w:tcBorders/>
            <w:shd w:fill="CCEEFF" w:val="clear"/>
            <w:vAlign w:val="bottom"/>
          </w:tcPr>
          <w:p>
            <w:pPr>
              <w:pStyle w:val="TableContents"/>
              <w:spacing w:before="0" w:after="283"/>
              <w:rPr/>
            </w:pPr>
            <w:r>
              <w:rPr/>
              <w:t>  </w:t>
            </w:r>
          </w:p>
        </w:tc>
      </w:tr>
      <w:tr>
        <w:trPr/>
        <w:tc>
          <w:tcPr>
            <w:tcW w:w="2926" w:type="dxa"/>
            <w:tcBorders/>
            <w:shd w:fill="auto" w:val="clea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long-term assets</w:t>
            </w:r>
          </w:p>
        </w:tc>
        <w:tc>
          <w:tcPr>
            <w:tcW w:w="209"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w:t>
            </w:r>
          </w:p>
        </w:tc>
        <w:tc>
          <w:tcPr>
            <w:tcW w:w="155"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long-term assets</w:t>
            </w:r>
          </w:p>
        </w:tc>
        <w:tc>
          <w:tcPr>
            <w:tcW w:w="209"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49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6" w:type="dxa"/>
            <w:tcBorders/>
            <w:shd w:fill="auto" w:val="clear"/>
            <w:vAlign w:val="bottom"/>
          </w:tcPr>
          <w:p>
            <w:pPr>
              <w:pStyle w:val="TableContents"/>
              <w:spacing w:before="0" w:after="283"/>
              <w:rPr/>
            </w:pPr>
            <w:r>
              <w:rPr/>
              <w:t>  </w:t>
            </w:r>
          </w:p>
        </w:tc>
      </w:tr>
      <w:tr>
        <w:trPr/>
        <w:tc>
          <w:tcPr>
            <w:tcW w:w="2926" w:type="dxa"/>
            <w:tcBorders/>
            <w:shd w:fill="CCEEFF" w:val="clear"/>
          </w:tcPr>
          <w:p>
            <w:pPr>
              <w:pStyle w:val="TableContents"/>
              <w:spacing w:before="0" w:after="283"/>
              <w:rPr>
                <w:sz w:val="4"/>
                <w:szCs w:val="4"/>
              </w:rPr>
            </w:pPr>
            <w:r>
              <w:rPr>
                <w:sz w:val="4"/>
                <w:szCs w:val="4"/>
              </w:rPr>
            </w:r>
          </w:p>
        </w:tc>
        <w:tc>
          <w:tcPr>
            <w:tcW w:w="209" w:type="dxa"/>
            <w:tcBorders/>
            <w:shd w:fill="CCEEFF" w:val="clear"/>
            <w:vAlign w:val="bottom"/>
          </w:tcPr>
          <w:p>
            <w:pPr>
              <w:pStyle w:val="TableContents"/>
              <w:spacing w:before="0" w:after="283"/>
              <w:rPr/>
            </w:pPr>
            <w:r>
              <w:rPr/>
              <w:t>  </w:t>
            </w:r>
          </w:p>
        </w:tc>
        <w:tc>
          <w:tcPr>
            <w:tcW w:w="239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current liabilities</w:t>
            </w:r>
          </w:p>
        </w:tc>
        <w:tc>
          <w:tcPr>
            <w:tcW w:w="209"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55"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39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current liabilities</w:t>
            </w:r>
          </w:p>
        </w:tc>
        <w:tc>
          <w:tcPr>
            <w:tcW w:w="20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49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26" w:type="dxa"/>
            <w:tcBorders/>
            <w:shd w:fill="CCEEFF" w:val="clear"/>
            <w:vAlign w:val="bottom"/>
          </w:tcPr>
          <w:p>
            <w:pPr>
              <w:pStyle w:val="TableContents"/>
              <w:spacing w:before="0" w:after="283"/>
              <w:rPr/>
            </w:pPr>
            <w:r>
              <w:rPr/>
              <w:t>  </w:t>
            </w:r>
          </w:p>
        </w:tc>
      </w:tr>
      <w:tr>
        <w:trPr/>
        <w:tc>
          <w:tcPr>
            <w:tcW w:w="2926" w:type="dxa"/>
            <w:tcBorders/>
            <w:shd w:fill="auto" w:val="clear"/>
          </w:tcPr>
          <w:p>
            <w:pPr>
              <w:pStyle w:val="TableContents"/>
              <w:spacing w:before="0" w:after="283"/>
              <w:rPr>
                <w:rFonts w:ascii="Times New Roman" w:hAnsi="Times New Roman"/>
                <w:sz w:val="14"/>
              </w:rPr>
            </w:pPr>
            <w:r>
              <w:rPr>
                <w:rFonts w:ascii="Times New Roman" w:hAnsi="Times New Roman"/>
                <w:sz w:val="14"/>
              </w:rPr>
              <w:t>Foreign exchange derivatives</w:t>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current liabilities</w:t>
            </w:r>
          </w:p>
        </w:tc>
        <w:tc>
          <w:tcPr>
            <w:tcW w:w="209"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155"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current liabilities</w:t>
            </w:r>
          </w:p>
        </w:tc>
        <w:tc>
          <w:tcPr>
            <w:tcW w:w="209"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49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w:t>
            </w:r>
          </w:p>
        </w:tc>
        <w:tc>
          <w:tcPr>
            <w:tcW w:w="12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926"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181" w:type="dxa"/>
            <w:tcBorders>
              <w:top w:val="single" w:sz="2" w:space="0" w:color="000000"/>
            </w:tcBorders>
            <w:shd w:fill="auto" w:val="clear"/>
            <w:tcMar>
              <w:top w:w="28" w:type="dxa"/>
            </w:tcMar>
            <w:vAlign w:val="bottom"/>
          </w:tcPr>
          <w:p>
            <w:pPr>
              <w:pStyle w:val="TableContents"/>
              <w:spacing w:before="0" w:after="283"/>
              <w:rPr/>
            </w:pPr>
            <w:r>
              <w:rPr/>
              <w:t> </w:t>
            </w:r>
          </w:p>
        </w:tc>
        <w:tc>
          <w:tcPr>
            <w:tcW w:w="474" w:type="dxa"/>
            <w:tcBorders>
              <w:top w:val="single" w:sz="2" w:space="0" w:color="000000"/>
            </w:tcBorders>
            <w:shd w:fill="auto" w:val="clear"/>
            <w:tcMar>
              <w:top w:w="28" w:type="dxa"/>
            </w:tcM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160" w:type="dxa"/>
            <w:tcBorders>
              <w:top w:val="single" w:sz="2" w:space="0" w:color="000000"/>
            </w:tcBorders>
            <w:shd w:fill="auto" w:val="clear"/>
            <w:tcMar>
              <w:top w:w="28" w:type="dxa"/>
            </w:tcMar>
            <w:vAlign w:val="bottom"/>
          </w:tcPr>
          <w:p>
            <w:pPr>
              <w:pStyle w:val="TableContents"/>
              <w:spacing w:before="0" w:after="283"/>
              <w:rPr/>
            </w:pPr>
            <w:r>
              <w:rPr/>
              <w:t> </w:t>
            </w:r>
          </w:p>
        </w:tc>
        <w:tc>
          <w:tcPr>
            <w:tcW w:w="493" w:type="dxa"/>
            <w:tcBorders>
              <w:top w:val="single" w:sz="2" w:space="0" w:color="000000"/>
            </w:tcBorders>
            <w:shd w:fill="auto" w:val="clear"/>
            <w:tcMar>
              <w:top w:w="28" w:type="dxa"/>
            </w:tcMar>
            <w:vAlign w:val="bottom"/>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2926" w:type="dxa"/>
            <w:tcBorders/>
            <w:shd w:fill="CCEEFF" w:val="clear"/>
          </w:tcPr>
          <w:p>
            <w:pPr>
              <w:pStyle w:val="TableContents"/>
              <w:spacing w:before="0" w:after="283"/>
              <w:rPr>
                <w:rFonts w:ascii="Times New Roman" w:hAnsi="Times New Roman"/>
                <w:sz w:val="14"/>
              </w:rPr>
            </w:pPr>
            <w:r>
              <w:rPr>
                <w:rFonts w:ascii="Times New Roman" w:hAnsi="Times New Roman"/>
                <w:sz w:val="14"/>
              </w:rPr>
              <w:t>Total derivatives not designated as hedging instruments</w:t>
            </w:r>
          </w:p>
        </w:tc>
        <w:tc>
          <w:tcPr>
            <w:tcW w:w="209" w:type="dxa"/>
            <w:tcBorders/>
            <w:shd w:fill="CCEEFF" w:val="clear"/>
            <w:vAlign w:val="bottom"/>
          </w:tcPr>
          <w:p>
            <w:pPr>
              <w:pStyle w:val="TableContents"/>
              <w:spacing w:before="0" w:after="283"/>
              <w:rPr/>
            </w:pPr>
            <w:r>
              <w:rPr/>
              <w:t>  </w:t>
            </w:r>
          </w:p>
        </w:tc>
        <w:tc>
          <w:tcPr>
            <w:tcW w:w="2397" w:type="dxa"/>
            <w:tcBorders/>
            <w:shd w:fill="CCEEFF" w:val="clear"/>
            <w:vAlign w:val="bottom"/>
          </w:tcPr>
          <w:p>
            <w:pPr>
              <w:pStyle w:val="TableContents"/>
              <w:spacing w:before="0" w:after="283"/>
              <w:rPr>
                <w:sz w:val="4"/>
                <w:szCs w:val="4"/>
              </w:rPr>
            </w:pPr>
            <w:r>
              <w:rPr>
                <w:sz w:val="4"/>
                <w:szCs w:val="4"/>
              </w:rPr>
            </w:r>
          </w:p>
        </w:tc>
        <w:tc>
          <w:tcPr>
            <w:tcW w:w="209"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182</w:t>
            </w:r>
          </w:p>
        </w:tc>
        <w:tc>
          <w:tcPr>
            <w:tcW w:w="155"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397" w:type="dxa"/>
            <w:tcBorders/>
            <w:shd w:fill="CCEEFF" w:val="clear"/>
            <w:vAlign w:val="bottom"/>
          </w:tcPr>
          <w:p>
            <w:pPr>
              <w:pStyle w:val="TableContents"/>
              <w:spacing w:before="0" w:after="283"/>
              <w:rPr>
                <w:sz w:val="4"/>
                <w:szCs w:val="4"/>
              </w:rPr>
            </w:pPr>
            <w:r>
              <w:rPr>
                <w:sz w:val="4"/>
                <w:szCs w:val="4"/>
              </w:rPr>
            </w:r>
          </w:p>
        </w:tc>
        <w:tc>
          <w:tcPr>
            <w:tcW w:w="20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9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(133</w:t>
            </w:r>
          </w:p>
        </w:tc>
        <w:tc>
          <w:tcPr>
            <w:tcW w:w="12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926"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181" w:type="dxa"/>
            <w:tcBorders>
              <w:top w:val="double" w:sz="6" w:space="0" w:color="000000"/>
            </w:tcBorders>
            <w:shd w:fill="auto" w:val="clear"/>
            <w:tcMar>
              <w:top w:w="28" w:type="dxa"/>
            </w:tcMar>
            <w:vAlign w:val="bottom"/>
          </w:tcPr>
          <w:p>
            <w:pPr>
              <w:pStyle w:val="TableContents"/>
              <w:spacing w:before="0" w:after="283"/>
              <w:rPr/>
            </w:pPr>
            <w:r>
              <w:rPr/>
              <w:t> </w:t>
            </w:r>
          </w:p>
        </w:tc>
        <w:tc>
          <w:tcPr>
            <w:tcW w:w="474" w:type="dxa"/>
            <w:tcBorders>
              <w:top w:val="double" w:sz="6" w:space="0" w:color="000000"/>
            </w:tcBorders>
            <w:shd w:fill="auto" w:val="clear"/>
            <w:tcMar>
              <w:top w:w="28" w:type="dxa"/>
            </w:tcM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160" w:type="dxa"/>
            <w:tcBorders>
              <w:top w:val="double" w:sz="6" w:space="0" w:color="000000"/>
            </w:tcBorders>
            <w:shd w:fill="auto" w:val="clear"/>
            <w:tcMar>
              <w:top w:w="28" w:type="dxa"/>
            </w:tcMar>
            <w:vAlign w:val="bottom"/>
          </w:tcPr>
          <w:p>
            <w:pPr>
              <w:pStyle w:val="TableContents"/>
              <w:spacing w:before="0" w:after="283"/>
              <w:rPr/>
            </w:pPr>
            <w:r>
              <w:rPr/>
              <w:t> </w:t>
            </w:r>
          </w:p>
        </w:tc>
        <w:tc>
          <w:tcPr>
            <w:tcW w:w="493" w:type="dxa"/>
            <w:tcBorders>
              <w:top w:val="double" w:sz="6" w:space="0" w:color="000000"/>
            </w:tcBorders>
            <w:shd w:fill="auto" w:val="clear"/>
            <w:tcMar>
              <w:top w:w="28" w:type="dxa"/>
            </w:tcMar>
            <w:vAlign w:val="bottom"/>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2926" w:type="dxa"/>
            <w:tcBorders/>
            <w:shd w:fill="auto" w:val="clea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sz w:val="4"/>
                <w:szCs w:val="4"/>
              </w:rPr>
            </w:pPr>
            <w:r>
              <w:rPr>
                <w:sz w:val="4"/>
                <w:szCs w:val="4"/>
              </w:rPr>
            </w:r>
          </w:p>
        </w:tc>
        <w:tc>
          <w:tcPr>
            <w:tcW w:w="47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sz w:val="4"/>
                <w:szCs w:val="4"/>
              </w:rPr>
            </w:pPr>
            <w:r>
              <w:rPr>
                <w:sz w:val="4"/>
                <w:szCs w:val="4"/>
              </w:rPr>
            </w:r>
          </w:p>
        </w:tc>
        <w:tc>
          <w:tcPr>
            <w:tcW w:w="493"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2926" w:type="dxa"/>
            <w:tcBorders/>
            <w:shd w:fill="CCEEFF" w:val="clear"/>
          </w:tcPr>
          <w:p>
            <w:pPr>
              <w:pStyle w:val="TableContents"/>
              <w:spacing w:before="0" w:after="283"/>
              <w:rPr>
                <w:rFonts w:ascii="Times New Roman" w:hAnsi="Times New Roman"/>
                <w:sz w:val="14"/>
              </w:rPr>
            </w:pPr>
            <w:r>
              <w:rPr>
                <w:rFonts w:ascii="Times New Roman" w:hAnsi="Times New Roman"/>
                <w:sz w:val="14"/>
              </w:rPr>
              <w:t>Total derivatives</w:t>
            </w:r>
          </w:p>
        </w:tc>
        <w:tc>
          <w:tcPr>
            <w:tcW w:w="209" w:type="dxa"/>
            <w:tcBorders/>
            <w:shd w:fill="CCEEFF" w:val="clear"/>
            <w:vAlign w:val="bottom"/>
          </w:tcPr>
          <w:p>
            <w:pPr>
              <w:pStyle w:val="TableContents"/>
              <w:spacing w:before="0" w:after="283"/>
              <w:rPr/>
            </w:pPr>
            <w:r>
              <w:rPr/>
              <w:t>  </w:t>
            </w:r>
          </w:p>
        </w:tc>
        <w:tc>
          <w:tcPr>
            <w:tcW w:w="2397" w:type="dxa"/>
            <w:tcBorders/>
            <w:shd w:fill="CCEEFF" w:val="clear"/>
            <w:vAlign w:val="bottom"/>
          </w:tcPr>
          <w:p>
            <w:pPr>
              <w:pStyle w:val="TableContents"/>
              <w:spacing w:before="0" w:after="283"/>
              <w:rPr>
                <w:sz w:val="4"/>
                <w:szCs w:val="4"/>
              </w:rPr>
            </w:pPr>
            <w:r>
              <w:rPr>
                <w:sz w:val="4"/>
                <w:szCs w:val="4"/>
              </w:rPr>
            </w:r>
          </w:p>
        </w:tc>
        <w:tc>
          <w:tcPr>
            <w:tcW w:w="209"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421</w:t>
            </w:r>
          </w:p>
        </w:tc>
        <w:tc>
          <w:tcPr>
            <w:tcW w:w="155"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397" w:type="dxa"/>
            <w:tcBorders/>
            <w:shd w:fill="CCEEFF" w:val="clear"/>
            <w:vAlign w:val="bottom"/>
          </w:tcPr>
          <w:p>
            <w:pPr>
              <w:pStyle w:val="TableContents"/>
              <w:spacing w:before="0" w:after="283"/>
              <w:rPr>
                <w:sz w:val="4"/>
                <w:szCs w:val="4"/>
              </w:rPr>
            </w:pPr>
            <w:r>
              <w:rPr>
                <w:sz w:val="4"/>
                <w:szCs w:val="4"/>
              </w:rPr>
            </w:r>
          </w:p>
        </w:tc>
        <w:tc>
          <w:tcPr>
            <w:tcW w:w="20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9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(227</w:t>
            </w:r>
          </w:p>
        </w:tc>
        <w:tc>
          <w:tcPr>
            <w:tcW w:w="12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926"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181" w:type="dxa"/>
            <w:tcBorders>
              <w:top w:val="double" w:sz="6" w:space="0" w:color="000000"/>
            </w:tcBorders>
            <w:shd w:fill="auto" w:val="clear"/>
            <w:tcMar>
              <w:top w:w="28" w:type="dxa"/>
            </w:tcMar>
            <w:vAlign w:val="bottom"/>
          </w:tcPr>
          <w:p>
            <w:pPr>
              <w:pStyle w:val="TableContents"/>
              <w:spacing w:before="0" w:after="283"/>
              <w:rPr/>
            </w:pPr>
            <w:r>
              <w:rPr/>
              <w:t> </w:t>
            </w:r>
          </w:p>
        </w:tc>
        <w:tc>
          <w:tcPr>
            <w:tcW w:w="474" w:type="dxa"/>
            <w:tcBorders>
              <w:top w:val="double" w:sz="6" w:space="0" w:color="000000"/>
            </w:tcBorders>
            <w:shd w:fill="auto" w:val="clear"/>
            <w:tcMar>
              <w:top w:w="28" w:type="dxa"/>
            </w:tcM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397"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160" w:type="dxa"/>
            <w:tcBorders>
              <w:top w:val="double" w:sz="6" w:space="0" w:color="000000"/>
            </w:tcBorders>
            <w:shd w:fill="auto" w:val="clear"/>
            <w:tcMar>
              <w:top w:w="28" w:type="dxa"/>
            </w:tcMar>
            <w:vAlign w:val="bottom"/>
          </w:tcPr>
          <w:p>
            <w:pPr>
              <w:pStyle w:val="TableContents"/>
              <w:spacing w:before="0" w:after="283"/>
              <w:rPr/>
            </w:pPr>
            <w:r>
              <w:rPr/>
              <w:t> </w:t>
            </w:r>
          </w:p>
        </w:tc>
        <w:tc>
          <w:tcPr>
            <w:tcW w:w="493" w:type="dxa"/>
            <w:tcBorders>
              <w:top w:val="double" w:sz="6" w:space="0" w:color="000000"/>
            </w:tcBorders>
            <w:shd w:fill="auto" w:val="clear"/>
            <w:tcMar>
              <w:top w:w="28" w:type="dxa"/>
            </w:tcMar>
            <w:vAlign w:val="bottom"/>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following table summarizes the derivative assets and liabilities on our consolidated balance sheet on a gross basis as of December 31, 2009 (in millions):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342"/>
        <w:gridCol w:w="226"/>
        <w:gridCol w:w="1724"/>
        <w:gridCol w:w="226"/>
        <w:gridCol w:w="181"/>
        <w:gridCol w:w="476"/>
        <w:gridCol w:w="173"/>
        <w:gridCol w:w="60"/>
        <w:gridCol w:w="226"/>
        <w:gridCol w:w="2564"/>
        <w:gridCol w:w="226"/>
        <w:gridCol w:w="160"/>
        <w:gridCol w:w="495"/>
        <w:gridCol w:w="126"/>
      </w:tblGrid>
      <w:tr>
        <w:trPr/>
        <w:tc>
          <w:tcPr>
            <w:tcW w:w="334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sz w:val="4"/>
                <w:szCs w:val="4"/>
              </w:rPr>
            </w:pPr>
            <w:r>
              <w:rPr>
                <w:sz w:val="4"/>
                <w:szCs w:val="4"/>
              </w:rPr>
            </w:r>
          </w:p>
        </w:tc>
        <w:tc>
          <w:tcPr>
            <w:tcW w:w="17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sz w:val="4"/>
                <w:szCs w:val="4"/>
              </w:rPr>
            </w:pPr>
            <w:r>
              <w:rPr>
                <w:sz w:val="4"/>
                <w:szCs w:val="4"/>
              </w:rPr>
            </w:r>
          </w:p>
        </w:tc>
        <w:tc>
          <w:tcPr>
            <w:tcW w:w="256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3342"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607" w:type="dxa"/>
            <w:gridSpan w:val="4"/>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Asset Derivatives</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3445" w:type="dxa"/>
            <w:gridSpan w:val="4"/>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Liability Derivatives</w:t>
            </w:r>
          </w:p>
        </w:tc>
        <w:tc>
          <w:tcPr>
            <w:tcW w:w="126" w:type="dxa"/>
            <w:tcBorders/>
            <w:shd w:fill="auto" w:val="clear"/>
            <w:vAlign w:val="bottom"/>
          </w:tcPr>
          <w:p>
            <w:pPr>
              <w:pStyle w:val="TableContents"/>
              <w:spacing w:before="0" w:after="283"/>
              <w:rPr/>
            </w:pPr>
            <w:r>
              <w:rPr/>
              <w:t> </w:t>
            </w:r>
          </w:p>
        </w:tc>
      </w:tr>
      <w:tr>
        <w:trPr/>
        <w:tc>
          <w:tcPr>
            <w:tcW w:w="3342"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724"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Balance Sheet</w:t>
            </w:r>
          </w:p>
          <w:p>
            <w:pPr>
              <w:pStyle w:val="TableContents"/>
              <w:spacing w:before="0" w:after="15"/>
              <w:jc w:val="center"/>
              <w:rPr>
                <w:rFonts w:ascii="Times New Roman" w:hAnsi="Times New Roman"/>
                <w:b/>
                <w:sz w:val="14"/>
              </w:rPr>
            </w:pPr>
            <w:r>
              <w:rPr>
                <w:rFonts w:ascii="Times New Roman" w:hAnsi="Times New Roman"/>
                <w:b/>
                <w:sz w:val="14"/>
              </w:rPr>
              <w:t>Location</w:t>
            </w:r>
          </w:p>
        </w:tc>
        <w:tc>
          <w:tcPr>
            <w:tcW w:w="226" w:type="dxa"/>
            <w:tcBorders/>
            <w:shd w:fill="auto" w:val="clear"/>
            <w:vAlign w:val="bottom"/>
          </w:tcPr>
          <w:p>
            <w:pPr>
              <w:pStyle w:val="TableContents"/>
              <w:spacing w:before="0" w:after="283"/>
              <w:rPr/>
            </w:pPr>
            <w:r>
              <w:rPr/>
              <w:t>  </w:t>
            </w:r>
          </w:p>
        </w:tc>
        <w:tc>
          <w:tcPr>
            <w:tcW w:w="65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Fair Value</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564"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Balance Sheet</w:t>
            </w:r>
          </w:p>
          <w:p>
            <w:pPr>
              <w:pStyle w:val="TableContents"/>
              <w:spacing w:before="0" w:after="15"/>
              <w:jc w:val="center"/>
              <w:rPr>
                <w:rFonts w:ascii="Times New Roman" w:hAnsi="Times New Roman"/>
                <w:b/>
                <w:sz w:val="14"/>
              </w:rPr>
            </w:pPr>
            <w:r>
              <w:rPr>
                <w:rFonts w:ascii="Times New Roman" w:hAnsi="Times New Roman"/>
                <w:b/>
                <w:sz w:val="14"/>
              </w:rPr>
              <w:t>Location</w:t>
            </w:r>
          </w:p>
        </w:tc>
        <w:tc>
          <w:tcPr>
            <w:tcW w:w="226" w:type="dxa"/>
            <w:tcBorders/>
            <w:shd w:fill="auto" w:val="clear"/>
            <w:vAlign w:val="bottom"/>
          </w:tcPr>
          <w:p>
            <w:pPr>
              <w:pStyle w:val="TableContents"/>
              <w:spacing w:before="0" w:after="283"/>
              <w:rPr/>
            </w:pPr>
            <w:r>
              <w:rPr/>
              <w:t>  </w:t>
            </w:r>
          </w:p>
        </w:tc>
        <w:tc>
          <w:tcPr>
            <w:tcW w:w="65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Fair Value</w:t>
            </w:r>
          </w:p>
        </w:tc>
        <w:tc>
          <w:tcPr>
            <w:tcW w:w="126" w:type="dxa"/>
            <w:tcBorders/>
            <w:shd w:fill="auto" w:val="clear"/>
            <w:vAlign w:val="bottom"/>
          </w:tcPr>
          <w:p>
            <w:pPr>
              <w:pStyle w:val="TableContents"/>
              <w:spacing w:before="0" w:after="283"/>
              <w:rPr/>
            </w:pPr>
            <w:r>
              <w:rPr/>
              <w:t> </w:t>
            </w:r>
          </w:p>
        </w:tc>
      </w:tr>
      <w:tr>
        <w:trPr/>
        <w:tc>
          <w:tcPr>
            <w:tcW w:w="3342" w:type="dxa"/>
            <w:tcBorders/>
            <w:shd w:fill="CCEEFF" w:val="clear"/>
          </w:tcPr>
          <w:p>
            <w:pPr>
              <w:pStyle w:val="TableContents"/>
              <w:spacing w:before="0" w:after="283"/>
              <w:rPr>
                <w:rFonts w:ascii="Times New Roman" w:hAnsi="Times New Roman"/>
                <w:b/>
                <w:sz w:val="14"/>
              </w:rPr>
            </w:pPr>
            <w:r>
              <w:rPr>
                <w:rFonts w:ascii="Times New Roman" w:hAnsi="Times New Roman"/>
                <w:b/>
                <w:sz w:val="14"/>
              </w:rPr>
              <w:t>Derivatives designated as hedging instruments:</w:t>
            </w:r>
          </w:p>
        </w:tc>
        <w:tc>
          <w:tcPr>
            <w:tcW w:w="226" w:type="dxa"/>
            <w:tcBorders/>
            <w:shd w:fill="CCEEFF" w:val="clear"/>
            <w:vAlign w:val="bottom"/>
          </w:tcPr>
          <w:p>
            <w:pPr>
              <w:pStyle w:val="TableContents"/>
              <w:spacing w:before="0" w:after="283"/>
              <w:rPr/>
            </w:pPr>
            <w:r>
              <w:rPr/>
              <w:t>  </w:t>
            </w:r>
          </w:p>
        </w:tc>
        <w:tc>
          <w:tcPr>
            <w:tcW w:w="1724" w:type="dxa"/>
            <w:tcBorders/>
            <w:shd w:fill="CCEEFF" w:val="clear"/>
            <w:vAlign w:val="bottom"/>
          </w:tcPr>
          <w:p>
            <w:pPr>
              <w:pStyle w:val="TableContents"/>
              <w:spacing w:before="0" w:after="283"/>
              <w:rPr>
                <w:sz w:val="4"/>
                <w:szCs w:val="4"/>
              </w:rPr>
            </w:pPr>
            <w:r>
              <w:rPr>
                <w:sz w:val="4"/>
                <w:szCs w:val="4"/>
              </w:rPr>
            </w:r>
          </w:p>
        </w:tc>
        <w:tc>
          <w:tcPr>
            <w:tcW w:w="22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sz w:val="4"/>
                <w:szCs w:val="4"/>
              </w:rPr>
            </w:pPr>
            <w:r>
              <w:rPr>
                <w:sz w:val="4"/>
                <w:szCs w:val="4"/>
              </w:rPr>
            </w:r>
          </w:p>
        </w:tc>
        <w:tc>
          <w:tcPr>
            <w:tcW w:w="476" w:type="dxa"/>
            <w:tcBorders/>
            <w:shd w:fill="CCEEFF" w:val="clear"/>
            <w:vAlign w:val="bottom"/>
          </w:tcPr>
          <w:p>
            <w:pPr>
              <w:pStyle w:val="TableContents"/>
              <w:spacing w:before="0" w:after="283"/>
              <w:rPr>
                <w:sz w:val="4"/>
                <w:szCs w:val="4"/>
              </w:rPr>
            </w:pPr>
            <w:r>
              <w:rPr>
                <w:sz w:val="4"/>
                <w:szCs w:val="4"/>
              </w:rPr>
            </w:r>
          </w:p>
        </w:tc>
        <w:tc>
          <w:tcPr>
            <w:tcW w:w="173"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564" w:type="dxa"/>
            <w:tcBorders/>
            <w:shd w:fill="CCEEFF" w:val="clear"/>
            <w:vAlign w:val="bottom"/>
          </w:tcPr>
          <w:p>
            <w:pPr>
              <w:pStyle w:val="TableContents"/>
              <w:spacing w:before="0" w:after="283"/>
              <w:rPr>
                <w:sz w:val="4"/>
                <w:szCs w:val="4"/>
              </w:rPr>
            </w:pPr>
            <w:r>
              <w:rPr>
                <w:sz w:val="4"/>
                <w:szCs w:val="4"/>
              </w:rPr>
            </w:r>
          </w:p>
        </w:tc>
        <w:tc>
          <w:tcPr>
            <w:tcW w:w="22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sz w:val="4"/>
                <w:szCs w:val="4"/>
              </w:rPr>
            </w:pPr>
            <w:r>
              <w:rPr>
                <w:sz w:val="4"/>
                <w:szCs w:val="4"/>
              </w:rPr>
            </w:r>
          </w:p>
        </w:tc>
        <w:tc>
          <w:tcPr>
            <w:tcW w:w="495"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3342" w:type="dxa"/>
            <w:tcBorders/>
            <w:shd w:fill="auto" w:val="clear"/>
          </w:tcPr>
          <w:p>
            <w:pPr>
              <w:pStyle w:val="TableContents"/>
              <w:spacing w:before="0" w:after="283"/>
              <w:rPr>
                <w:rFonts w:ascii="Times New Roman" w:hAnsi="Times New Roman"/>
                <w:sz w:val="14"/>
              </w:rPr>
            </w:pPr>
            <w:r>
              <w:rPr>
                <w:rFonts w:ascii="Times New Roman" w:hAnsi="Times New Roman"/>
                <w:sz w:val="14"/>
              </w:rPr>
              <w:t>Commodity derivatives</w:t>
            </w:r>
          </w:p>
        </w:tc>
        <w:tc>
          <w:tcPr>
            <w:tcW w:w="226" w:type="dxa"/>
            <w:tcBorders/>
            <w:shd w:fill="auto" w:val="clear"/>
            <w:vAlign w:val="bottom"/>
          </w:tcPr>
          <w:p>
            <w:pPr>
              <w:pStyle w:val="TableContents"/>
              <w:spacing w:before="0" w:after="283"/>
              <w:rPr/>
            </w:pPr>
            <w:r>
              <w:rPr/>
              <w:t>  </w:t>
            </w:r>
          </w:p>
        </w:tc>
        <w:tc>
          <w:tcPr>
            <w:tcW w:w="17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current assets</w:t>
            </w:r>
          </w:p>
        </w:tc>
        <w:tc>
          <w:tcPr>
            <w:tcW w:w="22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7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153</w:t>
            </w:r>
          </w:p>
        </w:tc>
        <w:tc>
          <w:tcPr>
            <w:tcW w:w="173"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56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current liabilities</w:t>
            </w:r>
          </w:p>
        </w:tc>
        <w:tc>
          <w:tcPr>
            <w:tcW w:w="22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(140</w:t>
            </w:r>
          </w:p>
        </w:tc>
        <w:tc>
          <w:tcPr>
            <w:tcW w:w="12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3342" w:type="dxa"/>
            <w:tcBorders/>
            <w:shd w:fill="CCEEFF" w:val="clear"/>
          </w:tcPr>
          <w:p>
            <w:pPr>
              <w:pStyle w:val="TableContents"/>
              <w:spacing w:before="0" w:after="283"/>
              <w:rPr>
                <w:sz w:val="4"/>
                <w:szCs w:val="4"/>
              </w:rPr>
            </w:pPr>
            <w:r>
              <w:rPr>
                <w:sz w:val="4"/>
                <w:szCs w:val="4"/>
              </w:rPr>
            </w:r>
          </w:p>
        </w:tc>
        <w:tc>
          <w:tcPr>
            <w:tcW w:w="226" w:type="dxa"/>
            <w:tcBorders/>
            <w:shd w:fill="CCEEFF" w:val="clear"/>
            <w:vAlign w:val="bottom"/>
          </w:tcPr>
          <w:p>
            <w:pPr>
              <w:pStyle w:val="TableContents"/>
              <w:spacing w:before="0" w:after="283"/>
              <w:rPr/>
            </w:pPr>
            <w:r>
              <w:rPr/>
              <w:t>  </w:t>
            </w:r>
          </w:p>
        </w:tc>
        <w:tc>
          <w:tcPr>
            <w:tcW w:w="17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long-term assets</w:t>
            </w:r>
          </w:p>
        </w:tc>
        <w:tc>
          <w:tcPr>
            <w:tcW w:w="22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w:t>
            </w:r>
          </w:p>
        </w:tc>
        <w:tc>
          <w:tcPr>
            <w:tcW w:w="173"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56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long-term liabilities</w:t>
            </w:r>
          </w:p>
        </w:tc>
        <w:tc>
          <w:tcPr>
            <w:tcW w:w="22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2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3342" w:type="dxa"/>
            <w:tcBorders/>
            <w:shd w:fill="auto" w:val="clear"/>
          </w:tcPr>
          <w:p>
            <w:pPr>
              <w:pStyle w:val="TableContents"/>
              <w:spacing w:before="0" w:after="283"/>
              <w:rPr>
                <w:rFonts w:ascii="Times New Roman" w:hAnsi="Times New Roman"/>
                <w:sz w:val="14"/>
              </w:rPr>
            </w:pPr>
            <w:r>
              <w:rPr>
                <w:rFonts w:ascii="Times New Roman" w:hAnsi="Times New Roman"/>
                <w:sz w:val="14"/>
              </w:rPr>
              <w:t>Foreign exchange derivatives</w:t>
            </w:r>
          </w:p>
        </w:tc>
        <w:tc>
          <w:tcPr>
            <w:tcW w:w="226" w:type="dxa"/>
            <w:tcBorders/>
            <w:shd w:fill="auto" w:val="clear"/>
            <w:vAlign w:val="bottom"/>
          </w:tcPr>
          <w:p>
            <w:pPr>
              <w:pStyle w:val="TableContents"/>
              <w:spacing w:before="0" w:after="283"/>
              <w:rPr/>
            </w:pPr>
            <w:r>
              <w:rPr/>
              <w:t>  </w:t>
            </w:r>
          </w:p>
        </w:tc>
        <w:tc>
          <w:tcPr>
            <w:tcW w:w="17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long-term assets</w:t>
            </w:r>
          </w:p>
        </w:tc>
        <w:tc>
          <w:tcPr>
            <w:tcW w:w="22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w:t>
            </w:r>
          </w:p>
        </w:tc>
        <w:tc>
          <w:tcPr>
            <w:tcW w:w="173"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56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long-term liabilities</w:t>
            </w:r>
          </w:p>
        </w:tc>
        <w:tc>
          <w:tcPr>
            <w:tcW w:w="22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6" w:type="dxa"/>
            <w:tcBorders/>
            <w:shd w:fill="auto" w:val="clear"/>
            <w:vAlign w:val="bottom"/>
          </w:tcPr>
          <w:p>
            <w:pPr>
              <w:pStyle w:val="TableContents"/>
              <w:spacing w:before="0" w:after="283"/>
              <w:rPr/>
            </w:pPr>
            <w:r>
              <w:rPr/>
              <w:t>  </w:t>
            </w:r>
          </w:p>
        </w:tc>
      </w:tr>
      <w:tr>
        <w:trPr/>
        <w:tc>
          <w:tcPr>
            <w:tcW w:w="3342"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724"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81" w:type="dxa"/>
            <w:tcBorders>
              <w:top w:val="single" w:sz="2" w:space="0" w:color="000000"/>
            </w:tcBorders>
            <w:shd w:fill="auto" w:val="clear"/>
            <w:tcMar>
              <w:top w:w="28" w:type="dxa"/>
            </w:tcMar>
            <w:vAlign w:val="bottom"/>
          </w:tcPr>
          <w:p>
            <w:pPr>
              <w:pStyle w:val="TableContents"/>
              <w:spacing w:before="0" w:after="283"/>
              <w:rPr/>
            </w:pPr>
            <w:r>
              <w:rPr/>
              <w:t> </w:t>
            </w:r>
          </w:p>
        </w:tc>
        <w:tc>
          <w:tcPr>
            <w:tcW w:w="476" w:type="dxa"/>
            <w:tcBorders>
              <w:top w:val="single" w:sz="2" w:space="0" w:color="000000"/>
            </w:tcBorders>
            <w:shd w:fill="auto" w:val="clear"/>
            <w:tcMar>
              <w:top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564"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60" w:type="dxa"/>
            <w:tcBorders>
              <w:top w:val="single" w:sz="2" w:space="0" w:color="000000"/>
            </w:tcBorders>
            <w:shd w:fill="auto" w:val="clear"/>
            <w:tcMar>
              <w:top w:w="28" w:type="dxa"/>
            </w:tcMar>
            <w:vAlign w:val="bottom"/>
          </w:tcPr>
          <w:p>
            <w:pPr>
              <w:pStyle w:val="TableContents"/>
              <w:spacing w:before="0" w:after="283"/>
              <w:rPr/>
            </w:pPr>
            <w:r>
              <w:rPr/>
              <w:t> </w:t>
            </w:r>
          </w:p>
        </w:tc>
        <w:tc>
          <w:tcPr>
            <w:tcW w:w="495" w:type="dxa"/>
            <w:tcBorders>
              <w:top w:val="single" w:sz="2" w:space="0" w:color="000000"/>
            </w:tcBorders>
            <w:shd w:fill="auto" w:val="clear"/>
            <w:tcMar>
              <w:top w:w="28" w:type="dxa"/>
            </w:tcMar>
            <w:vAlign w:val="bottom"/>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3342" w:type="dxa"/>
            <w:tcBorders/>
            <w:shd w:fill="CCEEFF" w:val="clear"/>
          </w:tcPr>
          <w:p>
            <w:pPr>
              <w:pStyle w:val="TableContents"/>
              <w:spacing w:before="0" w:after="283"/>
              <w:rPr>
                <w:rFonts w:ascii="Times New Roman" w:hAnsi="Times New Roman"/>
                <w:sz w:val="14"/>
              </w:rPr>
            </w:pPr>
            <w:r>
              <w:rPr>
                <w:rFonts w:ascii="Times New Roman" w:hAnsi="Times New Roman"/>
                <w:sz w:val="14"/>
              </w:rPr>
              <w:t>Total derivatives designated as hedging instruments</w:t>
            </w:r>
          </w:p>
        </w:tc>
        <w:tc>
          <w:tcPr>
            <w:tcW w:w="226" w:type="dxa"/>
            <w:tcBorders/>
            <w:shd w:fill="CCEEFF" w:val="clear"/>
            <w:vAlign w:val="bottom"/>
          </w:tcPr>
          <w:p>
            <w:pPr>
              <w:pStyle w:val="TableContents"/>
              <w:spacing w:before="0" w:after="283"/>
              <w:rPr/>
            </w:pPr>
            <w:r>
              <w:rPr/>
              <w:t>  </w:t>
            </w:r>
          </w:p>
        </w:tc>
        <w:tc>
          <w:tcPr>
            <w:tcW w:w="1724" w:type="dxa"/>
            <w:tcBorders/>
            <w:shd w:fill="CCEEFF" w:val="clear"/>
            <w:vAlign w:val="bottom"/>
          </w:tcPr>
          <w:p>
            <w:pPr>
              <w:pStyle w:val="TableContents"/>
              <w:spacing w:before="0" w:after="283"/>
              <w:rPr>
                <w:sz w:val="4"/>
                <w:szCs w:val="4"/>
              </w:rPr>
            </w:pPr>
            <w:r>
              <w:rPr>
                <w:sz w:val="4"/>
                <w:szCs w:val="4"/>
              </w:rPr>
            </w:r>
          </w:p>
        </w:tc>
        <w:tc>
          <w:tcPr>
            <w:tcW w:w="22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7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189</w:t>
            </w:r>
          </w:p>
        </w:tc>
        <w:tc>
          <w:tcPr>
            <w:tcW w:w="173"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564" w:type="dxa"/>
            <w:tcBorders/>
            <w:shd w:fill="CCEEFF" w:val="clear"/>
            <w:vAlign w:val="bottom"/>
          </w:tcPr>
          <w:p>
            <w:pPr>
              <w:pStyle w:val="TableContents"/>
              <w:spacing w:before="0" w:after="283"/>
              <w:rPr>
                <w:sz w:val="4"/>
                <w:szCs w:val="4"/>
              </w:rPr>
            </w:pPr>
            <w:r>
              <w:rPr>
                <w:sz w:val="4"/>
                <w:szCs w:val="4"/>
              </w:rPr>
            </w:r>
          </w:p>
        </w:tc>
        <w:tc>
          <w:tcPr>
            <w:tcW w:w="22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(141</w:t>
            </w:r>
          </w:p>
        </w:tc>
        <w:tc>
          <w:tcPr>
            <w:tcW w:w="12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3342"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724"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81" w:type="dxa"/>
            <w:tcBorders>
              <w:top w:val="double" w:sz="6" w:space="0" w:color="000000"/>
            </w:tcBorders>
            <w:shd w:fill="auto" w:val="clear"/>
            <w:tcMar>
              <w:top w:w="28" w:type="dxa"/>
            </w:tcMar>
            <w:vAlign w:val="bottom"/>
          </w:tcPr>
          <w:p>
            <w:pPr>
              <w:pStyle w:val="TableContents"/>
              <w:spacing w:before="0" w:after="283"/>
              <w:rPr/>
            </w:pPr>
            <w:r>
              <w:rPr/>
              <w:t> </w:t>
            </w:r>
          </w:p>
        </w:tc>
        <w:tc>
          <w:tcPr>
            <w:tcW w:w="476" w:type="dxa"/>
            <w:tcBorders>
              <w:top w:val="double" w:sz="6" w:space="0" w:color="000000"/>
            </w:tcBorders>
            <w:shd w:fill="auto" w:val="clear"/>
            <w:tcMar>
              <w:top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564"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60" w:type="dxa"/>
            <w:tcBorders>
              <w:top w:val="double" w:sz="6" w:space="0" w:color="000000"/>
            </w:tcBorders>
            <w:shd w:fill="auto" w:val="clear"/>
            <w:tcMar>
              <w:top w:w="28" w:type="dxa"/>
            </w:tcMar>
            <w:vAlign w:val="bottom"/>
          </w:tcPr>
          <w:p>
            <w:pPr>
              <w:pStyle w:val="TableContents"/>
              <w:spacing w:before="0" w:after="283"/>
              <w:rPr/>
            </w:pPr>
            <w:r>
              <w:rPr/>
              <w:t> </w:t>
            </w:r>
          </w:p>
        </w:tc>
        <w:tc>
          <w:tcPr>
            <w:tcW w:w="495" w:type="dxa"/>
            <w:tcBorders>
              <w:top w:val="double" w:sz="6" w:space="0" w:color="000000"/>
            </w:tcBorders>
            <w:shd w:fill="auto" w:val="clear"/>
            <w:tcMar>
              <w:top w:w="28" w:type="dxa"/>
            </w:tcMar>
            <w:vAlign w:val="bottom"/>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3342" w:type="dxa"/>
            <w:tcBorders/>
            <w:shd w:fill="auto" w:val="clea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724"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sz w:val="4"/>
                <w:szCs w:val="4"/>
              </w:rPr>
            </w:pPr>
            <w:r>
              <w:rPr>
                <w:sz w:val="4"/>
                <w:szCs w:val="4"/>
              </w:rPr>
            </w:r>
          </w:p>
        </w:tc>
        <w:tc>
          <w:tcPr>
            <w:tcW w:w="476"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564"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sz w:val="4"/>
                <w:szCs w:val="4"/>
              </w:rPr>
            </w:pPr>
            <w:r>
              <w:rPr>
                <w:sz w:val="4"/>
                <w:szCs w:val="4"/>
              </w:rPr>
            </w:r>
          </w:p>
        </w:tc>
        <w:tc>
          <w:tcPr>
            <w:tcW w:w="495"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3342" w:type="dxa"/>
            <w:tcBorders/>
            <w:shd w:fill="CCEEFF" w:val="clear"/>
          </w:tcPr>
          <w:p>
            <w:pPr>
              <w:pStyle w:val="TableContents"/>
              <w:spacing w:before="0" w:after="283"/>
              <w:rPr>
                <w:rFonts w:ascii="Times New Roman" w:hAnsi="Times New Roman"/>
                <w:b/>
                <w:sz w:val="14"/>
              </w:rPr>
            </w:pPr>
            <w:r>
              <w:rPr>
                <w:rFonts w:ascii="Times New Roman" w:hAnsi="Times New Roman"/>
                <w:b/>
                <w:sz w:val="14"/>
              </w:rPr>
              <w:t>Derivatives not designated as hedging instruments:</w:t>
            </w:r>
          </w:p>
        </w:tc>
        <w:tc>
          <w:tcPr>
            <w:tcW w:w="226" w:type="dxa"/>
            <w:tcBorders/>
            <w:shd w:fill="CCEEFF" w:val="clear"/>
            <w:vAlign w:val="bottom"/>
          </w:tcPr>
          <w:p>
            <w:pPr>
              <w:pStyle w:val="TableContents"/>
              <w:spacing w:before="0" w:after="283"/>
              <w:rPr/>
            </w:pPr>
            <w:r>
              <w:rPr/>
              <w:t>  </w:t>
            </w:r>
          </w:p>
        </w:tc>
        <w:tc>
          <w:tcPr>
            <w:tcW w:w="1724" w:type="dxa"/>
            <w:tcBorders/>
            <w:shd w:fill="CCEEFF" w:val="clear"/>
            <w:vAlign w:val="bottom"/>
          </w:tcPr>
          <w:p>
            <w:pPr>
              <w:pStyle w:val="TableContents"/>
              <w:spacing w:before="0" w:after="283"/>
              <w:rPr>
                <w:sz w:val="4"/>
                <w:szCs w:val="4"/>
              </w:rPr>
            </w:pPr>
            <w:r>
              <w:rPr>
                <w:sz w:val="4"/>
                <w:szCs w:val="4"/>
              </w:rPr>
            </w:r>
          </w:p>
        </w:tc>
        <w:tc>
          <w:tcPr>
            <w:tcW w:w="22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sz w:val="4"/>
                <w:szCs w:val="4"/>
              </w:rPr>
            </w:pPr>
            <w:r>
              <w:rPr>
                <w:sz w:val="4"/>
                <w:szCs w:val="4"/>
              </w:rPr>
            </w:r>
          </w:p>
        </w:tc>
        <w:tc>
          <w:tcPr>
            <w:tcW w:w="476" w:type="dxa"/>
            <w:tcBorders/>
            <w:shd w:fill="CCEEFF" w:val="clear"/>
            <w:vAlign w:val="bottom"/>
          </w:tcPr>
          <w:p>
            <w:pPr>
              <w:pStyle w:val="TableContents"/>
              <w:spacing w:before="0" w:after="283"/>
              <w:rPr>
                <w:sz w:val="4"/>
                <w:szCs w:val="4"/>
              </w:rPr>
            </w:pPr>
            <w:r>
              <w:rPr>
                <w:sz w:val="4"/>
                <w:szCs w:val="4"/>
              </w:rPr>
            </w:r>
          </w:p>
        </w:tc>
        <w:tc>
          <w:tcPr>
            <w:tcW w:w="173"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564" w:type="dxa"/>
            <w:tcBorders/>
            <w:shd w:fill="CCEEFF" w:val="clear"/>
            <w:vAlign w:val="bottom"/>
          </w:tcPr>
          <w:p>
            <w:pPr>
              <w:pStyle w:val="TableContents"/>
              <w:spacing w:before="0" w:after="283"/>
              <w:rPr>
                <w:sz w:val="4"/>
                <w:szCs w:val="4"/>
              </w:rPr>
            </w:pPr>
            <w:r>
              <w:rPr>
                <w:sz w:val="4"/>
                <w:szCs w:val="4"/>
              </w:rPr>
            </w:r>
          </w:p>
        </w:tc>
        <w:tc>
          <w:tcPr>
            <w:tcW w:w="22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sz w:val="4"/>
                <w:szCs w:val="4"/>
              </w:rPr>
            </w:pPr>
            <w:r>
              <w:rPr>
                <w:sz w:val="4"/>
                <w:szCs w:val="4"/>
              </w:rPr>
            </w:r>
          </w:p>
        </w:tc>
        <w:tc>
          <w:tcPr>
            <w:tcW w:w="495"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3342" w:type="dxa"/>
            <w:tcBorders/>
            <w:shd w:fill="auto" w:val="clear"/>
          </w:tcPr>
          <w:p>
            <w:pPr>
              <w:pStyle w:val="TableContents"/>
              <w:spacing w:before="0" w:after="283"/>
              <w:rPr>
                <w:rFonts w:ascii="Times New Roman" w:hAnsi="Times New Roman"/>
                <w:sz w:val="14"/>
              </w:rPr>
            </w:pPr>
            <w:r>
              <w:rPr>
                <w:rFonts w:ascii="Times New Roman" w:hAnsi="Times New Roman"/>
                <w:sz w:val="14"/>
              </w:rPr>
              <w:t>Commodity derivatives</w:t>
            </w:r>
          </w:p>
        </w:tc>
        <w:tc>
          <w:tcPr>
            <w:tcW w:w="226" w:type="dxa"/>
            <w:tcBorders/>
            <w:shd w:fill="auto" w:val="clear"/>
            <w:vAlign w:val="bottom"/>
          </w:tcPr>
          <w:p>
            <w:pPr>
              <w:pStyle w:val="TableContents"/>
              <w:spacing w:before="0" w:after="283"/>
              <w:rPr/>
            </w:pPr>
            <w:r>
              <w:rPr/>
              <w:t>  </w:t>
            </w:r>
          </w:p>
        </w:tc>
        <w:tc>
          <w:tcPr>
            <w:tcW w:w="17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current assets</w:t>
            </w:r>
          </w:p>
        </w:tc>
        <w:tc>
          <w:tcPr>
            <w:tcW w:w="22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7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34</w:t>
            </w:r>
          </w:p>
        </w:tc>
        <w:tc>
          <w:tcPr>
            <w:tcW w:w="173"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56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current liabilities</w:t>
            </w:r>
          </w:p>
        </w:tc>
        <w:tc>
          <w:tcPr>
            <w:tcW w:w="22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(91</w:t>
            </w:r>
          </w:p>
        </w:tc>
        <w:tc>
          <w:tcPr>
            <w:tcW w:w="12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3342" w:type="dxa"/>
            <w:tcBorders/>
            <w:shd w:fill="CCEEFF" w:val="clear"/>
          </w:tcPr>
          <w:p>
            <w:pPr>
              <w:pStyle w:val="TableContents"/>
              <w:spacing w:before="0" w:after="283"/>
              <w:rPr>
                <w:sz w:val="4"/>
                <w:szCs w:val="4"/>
              </w:rPr>
            </w:pPr>
            <w:r>
              <w:rPr>
                <w:sz w:val="4"/>
                <w:szCs w:val="4"/>
              </w:rPr>
            </w:r>
          </w:p>
        </w:tc>
        <w:tc>
          <w:tcPr>
            <w:tcW w:w="226" w:type="dxa"/>
            <w:tcBorders/>
            <w:shd w:fill="CCEEFF" w:val="clear"/>
            <w:vAlign w:val="bottom"/>
          </w:tcPr>
          <w:p>
            <w:pPr>
              <w:pStyle w:val="TableContents"/>
              <w:spacing w:before="0" w:after="283"/>
              <w:rPr/>
            </w:pPr>
            <w:r>
              <w:rPr/>
              <w:t>  </w:t>
            </w:r>
          </w:p>
        </w:tc>
        <w:tc>
          <w:tcPr>
            <w:tcW w:w="17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long-term assets</w:t>
            </w:r>
          </w:p>
        </w:tc>
        <w:tc>
          <w:tcPr>
            <w:tcW w:w="22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41</w:t>
            </w:r>
          </w:p>
        </w:tc>
        <w:tc>
          <w:tcPr>
            <w:tcW w:w="173"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56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long-term liabilities</w:t>
            </w:r>
          </w:p>
        </w:tc>
        <w:tc>
          <w:tcPr>
            <w:tcW w:w="22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w:t>
            </w:r>
          </w:p>
        </w:tc>
        <w:tc>
          <w:tcPr>
            <w:tcW w:w="12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3342" w:type="dxa"/>
            <w:tcBorders/>
            <w:shd w:fill="auto" w:val="clear"/>
          </w:tcPr>
          <w:p>
            <w:pPr>
              <w:pStyle w:val="TableContents"/>
              <w:spacing w:before="0" w:after="283"/>
              <w:rPr>
                <w:rFonts w:ascii="Times New Roman" w:hAnsi="Times New Roman"/>
                <w:sz w:val="14"/>
              </w:rPr>
            </w:pPr>
            <w:r>
              <w:rPr>
                <w:rFonts w:ascii="Times New Roman" w:hAnsi="Times New Roman"/>
                <w:sz w:val="14"/>
              </w:rPr>
              <w:t>Interest rate derivatives</w:t>
            </w:r>
          </w:p>
        </w:tc>
        <w:tc>
          <w:tcPr>
            <w:tcW w:w="226" w:type="dxa"/>
            <w:tcBorders/>
            <w:shd w:fill="auto" w:val="clear"/>
            <w:vAlign w:val="bottom"/>
          </w:tcPr>
          <w:p>
            <w:pPr>
              <w:pStyle w:val="TableContents"/>
              <w:spacing w:before="0" w:after="283"/>
              <w:rPr/>
            </w:pPr>
            <w:r>
              <w:rPr/>
              <w:t>  </w:t>
            </w:r>
          </w:p>
        </w:tc>
        <w:tc>
          <w:tcPr>
            <w:tcW w:w="17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current assets</w:t>
            </w:r>
          </w:p>
        </w:tc>
        <w:tc>
          <w:tcPr>
            <w:tcW w:w="22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73"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56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current liabilities</w:t>
            </w:r>
          </w:p>
        </w:tc>
        <w:tc>
          <w:tcPr>
            <w:tcW w:w="22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6" w:type="dxa"/>
            <w:tcBorders/>
            <w:shd w:fill="auto" w:val="clear"/>
            <w:vAlign w:val="bottom"/>
          </w:tcPr>
          <w:p>
            <w:pPr>
              <w:pStyle w:val="TableContents"/>
              <w:spacing w:before="0" w:after="283"/>
              <w:rPr/>
            </w:pPr>
            <w:r>
              <w:rPr/>
              <w:t>  </w:t>
            </w:r>
          </w:p>
        </w:tc>
      </w:tr>
      <w:tr>
        <w:trPr/>
        <w:tc>
          <w:tcPr>
            <w:tcW w:w="3342" w:type="dxa"/>
            <w:tcBorders/>
            <w:shd w:fill="CCEEFF" w:val="clear"/>
          </w:tcPr>
          <w:p>
            <w:pPr>
              <w:pStyle w:val="TableContents"/>
              <w:spacing w:before="0" w:after="283"/>
              <w:rPr>
                <w:sz w:val="4"/>
                <w:szCs w:val="4"/>
              </w:rPr>
            </w:pPr>
            <w:r>
              <w:rPr>
                <w:sz w:val="4"/>
                <w:szCs w:val="4"/>
              </w:rPr>
            </w:r>
          </w:p>
        </w:tc>
        <w:tc>
          <w:tcPr>
            <w:tcW w:w="226" w:type="dxa"/>
            <w:tcBorders/>
            <w:shd w:fill="CCEEFF" w:val="clear"/>
            <w:vAlign w:val="bottom"/>
          </w:tcPr>
          <w:p>
            <w:pPr>
              <w:pStyle w:val="TableContents"/>
              <w:spacing w:before="0" w:after="283"/>
              <w:rPr/>
            </w:pPr>
            <w:r>
              <w:rPr/>
              <w:t>  </w:t>
            </w:r>
          </w:p>
        </w:tc>
        <w:tc>
          <w:tcPr>
            <w:tcW w:w="17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long-term assets</w:t>
            </w:r>
          </w:p>
        </w:tc>
        <w:tc>
          <w:tcPr>
            <w:tcW w:w="22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73"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56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long-term liabilities</w:t>
            </w:r>
          </w:p>
        </w:tc>
        <w:tc>
          <w:tcPr>
            <w:tcW w:w="22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6" w:type="dxa"/>
            <w:tcBorders/>
            <w:shd w:fill="CCEEFF" w:val="clear"/>
            <w:vAlign w:val="bottom"/>
          </w:tcPr>
          <w:p>
            <w:pPr>
              <w:pStyle w:val="TableContents"/>
              <w:spacing w:before="0" w:after="283"/>
              <w:rPr/>
            </w:pPr>
            <w:r>
              <w:rPr/>
              <w:t>  </w:t>
            </w:r>
          </w:p>
        </w:tc>
      </w:tr>
      <w:tr>
        <w:trPr/>
        <w:tc>
          <w:tcPr>
            <w:tcW w:w="3342" w:type="dxa"/>
            <w:tcBorders/>
            <w:shd w:fill="auto" w:val="clear"/>
          </w:tcPr>
          <w:p>
            <w:pPr>
              <w:pStyle w:val="TableContents"/>
              <w:spacing w:before="0" w:after="283"/>
              <w:rPr>
                <w:rFonts w:ascii="Times New Roman" w:hAnsi="Times New Roman"/>
                <w:sz w:val="14"/>
              </w:rPr>
            </w:pPr>
            <w:r>
              <w:rPr>
                <w:rFonts w:ascii="Times New Roman" w:hAnsi="Times New Roman"/>
                <w:sz w:val="14"/>
              </w:rPr>
              <w:t>Foreign exchange derivatives</w:t>
            </w:r>
          </w:p>
        </w:tc>
        <w:tc>
          <w:tcPr>
            <w:tcW w:w="226" w:type="dxa"/>
            <w:tcBorders/>
            <w:shd w:fill="auto" w:val="clear"/>
            <w:vAlign w:val="bottom"/>
          </w:tcPr>
          <w:p>
            <w:pPr>
              <w:pStyle w:val="TableContents"/>
              <w:spacing w:before="0" w:after="283"/>
              <w:rPr/>
            </w:pPr>
            <w:r>
              <w:rPr/>
              <w:t>  </w:t>
            </w:r>
          </w:p>
        </w:tc>
        <w:tc>
          <w:tcPr>
            <w:tcW w:w="17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current assets</w:t>
            </w:r>
          </w:p>
        </w:tc>
        <w:tc>
          <w:tcPr>
            <w:tcW w:w="22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w:t>
            </w:r>
          </w:p>
        </w:tc>
        <w:tc>
          <w:tcPr>
            <w:tcW w:w="173"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56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current liabilities</w:t>
            </w:r>
          </w:p>
        </w:tc>
        <w:tc>
          <w:tcPr>
            <w:tcW w:w="22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w:t>
            </w:r>
          </w:p>
        </w:tc>
        <w:tc>
          <w:tcPr>
            <w:tcW w:w="12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3342"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724"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81" w:type="dxa"/>
            <w:tcBorders>
              <w:top w:val="single" w:sz="2" w:space="0" w:color="000000"/>
            </w:tcBorders>
            <w:shd w:fill="auto" w:val="clear"/>
            <w:tcMar>
              <w:top w:w="28" w:type="dxa"/>
            </w:tcMar>
            <w:vAlign w:val="bottom"/>
          </w:tcPr>
          <w:p>
            <w:pPr>
              <w:pStyle w:val="TableContents"/>
              <w:spacing w:before="0" w:after="283"/>
              <w:rPr/>
            </w:pPr>
            <w:r>
              <w:rPr/>
              <w:t> </w:t>
            </w:r>
          </w:p>
        </w:tc>
        <w:tc>
          <w:tcPr>
            <w:tcW w:w="476" w:type="dxa"/>
            <w:tcBorders>
              <w:top w:val="single" w:sz="2" w:space="0" w:color="000000"/>
            </w:tcBorders>
            <w:shd w:fill="auto" w:val="clear"/>
            <w:tcMar>
              <w:top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564"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60" w:type="dxa"/>
            <w:tcBorders>
              <w:top w:val="single" w:sz="2" w:space="0" w:color="000000"/>
            </w:tcBorders>
            <w:shd w:fill="auto" w:val="clear"/>
            <w:tcMar>
              <w:top w:w="28" w:type="dxa"/>
            </w:tcMar>
            <w:vAlign w:val="bottom"/>
          </w:tcPr>
          <w:p>
            <w:pPr>
              <w:pStyle w:val="TableContents"/>
              <w:spacing w:before="0" w:after="283"/>
              <w:rPr/>
            </w:pPr>
            <w:r>
              <w:rPr/>
              <w:t> </w:t>
            </w:r>
          </w:p>
        </w:tc>
        <w:tc>
          <w:tcPr>
            <w:tcW w:w="495" w:type="dxa"/>
            <w:tcBorders>
              <w:top w:val="single" w:sz="2" w:space="0" w:color="000000"/>
            </w:tcBorders>
            <w:shd w:fill="auto" w:val="clear"/>
            <w:tcMar>
              <w:top w:w="28" w:type="dxa"/>
            </w:tcMar>
            <w:vAlign w:val="bottom"/>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3342" w:type="dxa"/>
            <w:tcBorders/>
            <w:shd w:fill="CCEEFF" w:val="clear"/>
          </w:tcPr>
          <w:p>
            <w:pPr>
              <w:pStyle w:val="TableContents"/>
              <w:spacing w:before="0" w:after="283"/>
              <w:rPr>
                <w:rFonts w:ascii="Times New Roman" w:hAnsi="Times New Roman"/>
                <w:sz w:val="14"/>
              </w:rPr>
            </w:pPr>
            <w:r>
              <w:rPr>
                <w:rFonts w:ascii="Times New Roman" w:hAnsi="Times New Roman"/>
                <w:sz w:val="14"/>
              </w:rPr>
              <w:t>Total derivatives not designated as hedging instruments</w:t>
            </w:r>
          </w:p>
        </w:tc>
        <w:tc>
          <w:tcPr>
            <w:tcW w:w="226" w:type="dxa"/>
            <w:tcBorders/>
            <w:shd w:fill="CCEEFF" w:val="clear"/>
            <w:vAlign w:val="bottom"/>
          </w:tcPr>
          <w:p>
            <w:pPr>
              <w:pStyle w:val="TableContents"/>
              <w:spacing w:before="0" w:after="283"/>
              <w:rPr/>
            </w:pPr>
            <w:r>
              <w:rPr/>
              <w:t>  </w:t>
            </w:r>
          </w:p>
        </w:tc>
        <w:tc>
          <w:tcPr>
            <w:tcW w:w="1724" w:type="dxa"/>
            <w:tcBorders/>
            <w:shd w:fill="CCEEFF" w:val="clear"/>
            <w:vAlign w:val="bottom"/>
          </w:tcPr>
          <w:p>
            <w:pPr>
              <w:pStyle w:val="TableContents"/>
              <w:spacing w:before="0" w:after="283"/>
              <w:rPr>
                <w:sz w:val="4"/>
                <w:szCs w:val="4"/>
              </w:rPr>
            </w:pPr>
            <w:r>
              <w:rPr>
                <w:sz w:val="4"/>
                <w:szCs w:val="4"/>
              </w:rPr>
            </w:r>
          </w:p>
        </w:tc>
        <w:tc>
          <w:tcPr>
            <w:tcW w:w="22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7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79</w:t>
            </w:r>
          </w:p>
        </w:tc>
        <w:tc>
          <w:tcPr>
            <w:tcW w:w="173" w:type="dxa"/>
            <w:tcBorders/>
            <w:shd w:fill="CCEEFF" w:val="clear"/>
            <w:vAlign w:val="bottom"/>
          </w:tcPr>
          <w:p>
            <w:pPr>
              <w:pStyle w:val="TableContents"/>
              <w:spacing w:before="0" w:after="283"/>
              <w:rPr/>
            </w:pPr>
            <w:r>
              <w:rPr/>
              <w:t> </w:t>
            </w:r>
          </w:p>
        </w:tc>
        <w:tc>
          <w:tcPr>
            <w:tcW w:w="60" w:type="dxa"/>
            <w:tcBorders>
              <w:right w:val="single" w:sz="2" w:space="0" w:color="000000"/>
            </w:tcBorders>
            <w:shd w:fill="CCEEFF" w:val="clear"/>
            <w:tcMar>
              <w:right w:w="28" w:type="dxa"/>
            </w:tcM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564" w:type="dxa"/>
            <w:tcBorders/>
            <w:shd w:fill="CCEEFF" w:val="clear"/>
            <w:vAlign w:val="bottom"/>
          </w:tcPr>
          <w:p>
            <w:pPr>
              <w:pStyle w:val="TableContents"/>
              <w:spacing w:before="0" w:after="283"/>
              <w:rPr>
                <w:sz w:val="4"/>
                <w:szCs w:val="4"/>
              </w:rPr>
            </w:pPr>
            <w:r>
              <w:rPr>
                <w:sz w:val="4"/>
                <w:szCs w:val="4"/>
              </w:rPr>
            </w:r>
          </w:p>
        </w:tc>
        <w:tc>
          <w:tcPr>
            <w:tcW w:w="22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(128</w:t>
            </w:r>
          </w:p>
        </w:tc>
        <w:tc>
          <w:tcPr>
            <w:tcW w:w="12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3342"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724"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81" w:type="dxa"/>
            <w:tcBorders>
              <w:top w:val="double" w:sz="6" w:space="0" w:color="000000"/>
            </w:tcBorders>
            <w:shd w:fill="auto" w:val="clear"/>
            <w:tcMar>
              <w:top w:w="28" w:type="dxa"/>
            </w:tcMar>
            <w:vAlign w:val="bottom"/>
          </w:tcPr>
          <w:p>
            <w:pPr>
              <w:pStyle w:val="TableContents"/>
              <w:spacing w:before="0" w:after="283"/>
              <w:rPr/>
            </w:pPr>
            <w:r>
              <w:rPr/>
              <w:t> </w:t>
            </w:r>
          </w:p>
        </w:tc>
        <w:tc>
          <w:tcPr>
            <w:tcW w:w="476" w:type="dxa"/>
            <w:tcBorders>
              <w:top w:val="double" w:sz="6" w:space="0" w:color="000000"/>
            </w:tcBorders>
            <w:shd w:fill="auto" w:val="clear"/>
            <w:tcMar>
              <w:top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564"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60" w:type="dxa"/>
            <w:tcBorders>
              <w:top w:val="double" w:sz="6" w:space="0" w:color="000000"/>
            </w:tcBorders>
            <w:shd w:fill="auto" w:val="clear"/>
            <w:tcMar>
              <w:top w:w="28" w:type="dxa"/>
            </w:tcMar>
            <w:vAlign w:val="bottom"/>
          </w:tcPr>
          <w:p>
            <w:pPr>
              <w:pStyle w:val="TableContents"/>
              <w:spacing w:before="0" w:after="283"/>
              <w:rPr/>
            </w:pPr>
            <w:r>
              <w:rPr/>
              <w:t> </w:t>
            </w:r>
          </w:p>
        </w:tc>
        <w:tc>
          <w:tcPr>
            <w:tcW w:w="495" w:type="dxa"/>
            <w:tcBorders>
              <w:top w:val="double" w:sz="6" w:space="0" w:color="000000"/>
            </w:tcBorders>
            <w:shd w:fill="auto" w:val="clear"/>
            <w:tcMar>
              <w:top w:w="28" w:type="dxa"/>
            </w:tcMar>
            <w:vAlign w:val="bottom"/>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3342" w:type="dxa"/>
            <w:tcBorders/>
            <w:shd w:fill="auto" w:val="clear"/>
          </w:tcPr>
          <w:p>
            <w:pPr>
              <w:pStyle w:val="TableContents"/>
              <w:spacing w:before="0" w:after="283"/>
              <w:rPr>
                <w:rFonts w:ascii="Times New Roman" w:hAnsi="Times New Roman"/>
                <w:sz w:val="14"/>
              </w:rPr>
            </w:pPr>
            <w:r>
              <w:rPr>
                <w:rFonts w:ascii="Times New Roman" w:hAnsi="Times New Roman"/>
                <w:sz w:val="14"/>
              </w:rPr>
              <w:t>Total derivatives</w:t>
            </w:r>
          </w:p>
        </w:tc>
        <w:tc>
          <w:tcPr>
            <w:tcW w:w="226" w:type="dxa"/>
            <w:tcBorders/>
            <w:shd w:fill="auto" w:val="clear"/>
            <w:vAlign w:val="bottom"/>
          </w:tcPr>
          <w:p>
            <w:pPr>
              <w:pStyle w:val="TableContents"/>
              <w:spacing w:before="0" w:after="283"/>
              <w:rPr/>
            </w:pPr>
            <w:r>
              <w:rPr/>
              <w:t>  </w:t>
            </w:r>
          </w:p>
        </w:tc>
        <w:tc>
          <w:tcPr>
            <w:tcW w:w="1724"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7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268</w:t>
            </w:r>
          </w:p>
        </w:tc>
        <w:tc>
          <w:tcPr>
            <w:tcW w:w="173"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564"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(269</w:t>
            </w:r>
          </w:p>
        </w:tc>
        <w:tc>
          <w:tcPr>
            <w:tcW w:w="12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3342"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724"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81" w:type="dxa"/>
            <w:tcBorders>
              <w:top w:val="double" w:sz="6" w:space="0" w:color="000000"/>
            </w:tcBorders>
            <w:shd w:fill="auto" w:val="clear"/>
            <w:tcMar>
              <w:top w:w="28" w:type="dxa"/>
            </w:tcMar>
            <w:vAlign w:val="bottom"/>
          </w:tcPr>
          <w:p>
            <w:pPr>
              <w:pStyle w:val="TableContents"/>
              <w:spacing w:before="0" w:after="283"/>
              <w:rPr/>
            </w:pPr>
            <w:r>
              <w:rPr/>
              <w:t> </w:t>
            </w:r>
          </w:p>
        </w:tc>
        <w:tc>
          <w:tcPr>
            <w:tcW w:w="476" w:type="dxa"/>
            <w:tcBorders>
              <w:top w:val="double" w:sz="6" w:space="0" w:color="000000"/>
            </w:tcBorders>
            <w:shd w:fill="auto" w:val="clear"/>
            <w:tcMar>
              <w:top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564"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60" w:type="dxa"/>
            <w:tcBorders>
              <w:top w:val="double" w:sz="6" w:space="0" w:color="000000"/>
            </w:tcBorders>
            <w:shd w:fill="auto" w:val="clear"/>
            <w:tcMar>
              <w:top w:w="28" w:type="dxa"/>
            </w:tcMar>
            <w:vAlign w:val="bottom"/>
          </w:tcPr>
          <w:p>
            <w:pPr>
              <w:pStyle w:val="TableContents"/>
              <w:spacing w:before="0" w:after="283"/>
              <w:rPr/>
            </w:pPr>
            <w:r>
              <w:rPr/>
              <w:t> </w:t>
            </w:r>
          </w:p>
        </w:tc>
        <w:tc>
          <w:tcPr>
            <w:tcW w:w="495" w:type="dxa"/>
            <w:tcBorders>
              <w:top w:val="double" w:sz="6" w:space="0" w:color="000000"/>
            </w:tcBorders>
            <w:shd w:fill="auto" w:val="clear"/>
            <w:tcMar>
              <w:top w:w="28" w:type="dxa"/>
            </w:tcMar>
            <w:vAlign w:val="bottom"/>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As of June 30, 2010, there was a net gain of $61 million deferred in AOCI. The total amount of deferred net gain recorded in AOCI is expected to be reclassified to future earnings contemporaneously with (i) the earnings recognition of the underlying hedged physical transaction, (ii) interest expense accruals associated with underlying debt instruments or (iii) the recognition of a foreign currency gain or loss upon the remeasurement of certain CAD-denominated intercompany balances. Of the total net gain deferred in AOCI at June 30, 2010, we expect to reclassify a net gain of approximately $27 million to earnings in the next twelve months. Of the remaining deferred gain in AOCI, approximately 98% is expected to be reclassified to earnings prior to 2013 with the remaining deferred gain being reclassified to earnings through 2019. These amounts are predominately based on market prices at the current period end, thus actual amounts to be reclassified will differ and could vary materially as a result of changes in market conditions.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During the six months ended June 30, 2009, we discontinued a cash flow hedge as a result of the hedged transaction becoming no longer probable of occurring and reclassified a deferred gain of approximately $6 million from AOCI to other income. During the three months ended June 30, 2010 and 2009 and the six months ended June 30, 2010, all of our hedged transactions were probable of occurring.</w:t>
      </w:r>
    </w:p>
    <w:p>
      <w:pPr>
        <w:pStyle w:val="TextBody"/>
        <w:spacing w:before="180" w:after="0"/>
        <w:rPr>
          <w:rFonts w:ascii="Times New Roman" w:hAnsi="Times New Roman"/>
          <w:sz w:val="20"/>
        </w:rPr>
      </w:pPr>
      <w:r>
        <w:rPr>
          <w:rFonts w:ascii="Times New Roman" w:hAnsi="Times New Roman"/>
          <w:sz w:val="20"/>
        </w:rPr>
        <w:t xml:space="preserve">Net deferred gain/(loss) recognized in AOCI on derivatives (effective portion) during the three and six months ended June 30, 2010 and June 30, 2009 are as follows (in millions):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932"/>
        <w:gridCol w:w="568"/>
        <w:gridCol w:w="405"/>
        <w:gridCol w:w="853"/>
        <w:gridCol w:w="568"/>
        <w:gridCol w:w="300"/>
        <w:gridCol w:w="954"/>
        <w:gridCol w:w="125"/>
        <w:gridCol w:w="510"/>
        <w:gridCol w:w="387"/>
        <w:gridCol w:w="726"/>
        <w:gridCol w:w="125"/>
        <w:gridCol w:w="509"/>
        <w:gridCol w:w="331"/>
        <w:gridCol w:w="780"/>
        <w:gridCol w:w="132"/>
      </w:tblGrid>
      <w:tr>
        <w:trPr/>
        <w:tc>
          <w:tcPr>
            <w:tcW w:w="2932"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bottom"/>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bottom"/>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2932"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pPr>
            <w:r>
              <w:rPr/>
              <w:t>  </w:t>
            </w:r>
          </w:p>
        </w:tc>
        <w:tc>
          <w:tcPr>
            <w:tcW w:w="125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br/>
              <w:t>June 30, 2010</w:t>
            </w:r>
          </w:p>
        </w:tc>
        <w:tc>
          <w:tcPr>
            <w:tcW w:w="568" w:type="dxa"/>
            <w:tcBorders/>
            <w:shd w:fill="auto" w:val="clear"/>
            <w:vAlign w:val="bottom"/>
          </w:tcPr>
          <w:p>
            <w:pPr>
              <w:pStyle w:val="TableContents"/>
              <w:spacing w:before="0" w:after="283"/>
              <w:rPr/>
            </w:pPr>
            <w:r>
              <w:rPr/>
              <w:t>  </w:t>
            </w:r>
          </w:p>
        </w:tc>
        <w:tc>
          <w:tcPr>
            <w:tcW w:w="125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br/>
              <w:t>June 30, 2009</w:t>
            </w:r>
          </w:p>
        </w:tc>
        <w:tc>
          <w:tcPr>
            <w:tcW w:w="125"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11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w:t>
              <w:br/>
              <w:t>June 30, 2010</w:t>
            </w:r>
          </w:p>
        </w:tc>
        <w:tc>
          <w:tcPr>
            <w:tcW w:w="125"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11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w:t>
              <w:br/>
              <w:t>June 30, 2009</w:t>
            </w:r>
          </w:p>
        </w:tc>
        <w:tc>
          <w:tcPr>
            <w:tcW w:w="132" w:type="dxa"/>
            <w:tcBorders/>
            <w:shd w:fill="auto" w:val="clear"/>
            <w:vAlign w:val="bottom"/>
          </w:tcPr>
          <w:p>
            <w:pPr>
              <w:pStyle w:val="TableContents"/>
              <w:spacing w:before="0" w:after="283"/>
              <w:rPr/>
            </w:pPr>
            <w:r>
              <w:rPr/>
              <w:t> </w:t>
            </w:r>
          </w:p>
        </w:tc>
      </w:tr>
      <w:tr>
        <w:trPr/>
        <w:tc>
          <w:tcPr>
            <w:tcW w:w="2932" w:type="dxa"/>
            <w:tcBorders/>
            <w:shd w:fill="CCEEFF" w:val="clear"/>
          </w:tcPr>
          <w:p>
            <w:pPr>
              <w:pStyle w:val="TableContents"/>
              <w:spacing w:before="0" w:after="283"/>
              <w:rPr>
                <w:rFonts w:ascii="Times New Roman" w:hAnsi="Times New Roman"/>
                <w:sz w:val="20"/>
              </w:rPr>
            </w:pPr>
            <w:r>
              <w:rPr>
                <w:rFonts w:ascii="Times New Roman" w:hAnsi="Times New Roman"/>
                <w:sz w:val="20"/>
              </w:rPr>
              <w:t>Commodity derivatives</w:t>
            </w:r>
          </w:p>
        </w:tc>
        <w:tc>
          <w:tcPr>
            <w:tcW w:w="568"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568"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1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5"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932" w:type="dxa"/>
            <w:tcBorders/>
            <w:shd w:fill="auto" w:val="clear"/>
          </w:tcPr>
          <w:p>
            <w:pPr>
              <w:pStyle w:val="TableContents"/>
              <w:spacing w:before="0" w:after="283"/>
              <w:rPr>
                <w:rFonts w:ascii="Times New Roman" w:hAnsi="Times New Roman"/>
                <w:sz w:val="20"/>
              </w:rPr>
            </w:pPr>
            <w:r>
              <w:rPr>
                <w:rFonts w:ascii="Times New Roman" w:hAnsi="Times New Roman"/>
                <w:sz w:val="20"/>
              </w:rPr>
              <w:t>Foreign exchange derivatives</w:t>
            </w:r>
          </w:p>
        </w:tc>
        <w:tc>
          <w:tcPr>
            <w:tcW w:w="568"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568"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1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9"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932"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rate derivatives</w:t>
            </w:r>
          </w:p>
        </w:tc>
        <w:tc>
          <w:tcPr>
            <w:tcW w:w="568"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568"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9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CCEEFF" w:val="clear"/>
            <w:vAlign w:val="bottom"/>
          </w:tcPr>
          <w:p>
            <w:pPr>
              <w:pStyle w:val="TableContents"/>
              <w:spacing w:before="0" w:after="283"/>
              <w:rPr/>
            </w:pPr>
            <w:r>
              <w:rPr/>
              <w:t>  </w:t>
            </w:r>
          </w:p>
        </w:tc>
      </w:tr>
      <w:tr>
        <w:trPr/>
        <w:tc>
          <w:tcPr>
            <w:tcW w:w="2932"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bottom"/>
          </w:tcPr>
          <w:p>
            <w:pPr>
              <w:pStyle w:val="TableContents"/>
              <w:spacing w:before="0" w:after="283"/>
              <w:rPr/>
            </w:pPr>
            <w:r>
              <w:rPr/>
              <w:t>  </w:t>
            </w:r>
          </w:p>
        </w:tc>
        <w:tc>
          <w:tcPr>
            <w:tcW w:w="405" w:type="dxa"/>
            <w:tcBorders>
              <w:top w:val="single" w:sz="2" w:space="0" w:color="000000"/>
            </w:tcBorders>
            <w:shd w:fill="auto" w:val="clear"/>
            <w:tcMar>
              <w:top w:w="28" w:type="dxa"/>
            </w:tcMar>
            <w:vAlign w:val="bottom"/>
          </w:tcPr>
          <w:p>
            <w:pPr>
              <w:pStyle w:val="TableContents"/>
              <w:spacing w:before="0" w:after="283"/>
              <w:rPr/>
            </w:pPr>
            <w:r>
              <w:rPr/>
              <w:t> </w:t>
            </w:r>
          </w:p>
        </w:tc>
        <w:tc>
          <w:tcPr>
            <w:tcW w:w="853" w:type="dxa"/>
            <w:tcBorders>
              <w:top w:val="single" w:sz="2" w:space="0" w:color="000000"/>
            </w:tcBorders>
            <w:shd w:fill="auto" w:val="clear"/>
            <w:tcMar>
              <w:top w:w="28" w:type="dxa"/>
            </w:tcM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pPr>
            <w:r>
              <w:rPr/>
              <w:t>  </w:t>
            </w:r>
          </w:p>
        </w:tc>
        <w:tc>
          <w:tcPr>
            <w:tcW w:w="300" w:type="dxa"/>
            <w:tcBorders>
              <w:top w:val="single" w:sz="2" w:space="0" w:color="000000"/>
            </w:tcBorders>
            <w:shd w:fill="auto" w:val="clear"/>
            <w:tcMar>
              <w:top w:w="28" w:type="dxa"/>
            </w:tcMar>
            <w:vAlign w:val="bottom"/>
          </w:tcPr>
          <w:p>
            <w:pPr>
              <w:pStyle w:val="TableContents"/>
              <w:spacing w:before="0" w:after="283"/>
              <w:rPr/>
            </w:pPr>
            <w:r>
              <w:rPr/>
              <w:t> </w:t>
            </w:r>
          </w:p>
        </w:tc>
        <w:tc>
          <w:tcPr>
            <w:tcW w:w="95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87" w:type="dxa"/>
            <w:tcBorders>
              <w:top w:val="single" w:sz="2" w:space="0" w:color="000000"/>
            </w:tcBorders>
            <w:shd w:fill="auto" w:val="clear"/>
            <w:tcMar>
              <w:top w:w="28" w:type="dxa"/>
            </w:tcMar>
            <w:vAlign w:val="bottom"/>
          </w:tcPr>
          <w:p>
            <w:pPr>
              <w:pStyle w:val="TableContents"/>
              <w:spacing w:before="0" w:after="283"/>
              <w:rPr/>
            </w:pPr>
            <w:r>
              <w:rPr/>
              <w:t> </w:t>
            </w:r>
          </w:p>
        </w:tc>
        <w:tc>
          <w:tcPr>
            <w:tcW w:w="7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31" w:type="dxa"/>
            <w:tcBorders>
              <w:top w:val="single" w:sz="2" w:space="0" w:color="000000"/>
            </w:tcBorders>
            <w:shd w:fill="auto" w:val="clear"/>
            <w:tcMar>
              <w:top w:w="28" w:type="dxa"/>
            </w:tcMar>
            <w:vAlign w:val="bottom"/>
          </w:tcPr>
          <w:p>
            <w:pPr>
              <w:pStyle w:val="TableContents"/>
              <w:spacing w:before="0" w:after="283"/>
              <w:rPr/>
            </w:pPr>
            <w:r>
              <w:rPr/>
              <w:t> </w:t>
            </w:r>
          </w:p>
        </w:tc>
        <w:tc>
          <w:tcPr>
            <w:tcW w:w="780" w:type="dxa"/>
            <w:tcBorders>
              <w:top w:val="single" w:sz="2"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2932"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568"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568"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1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5"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932"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bottom"/>
          </w:tcPr>
          <w:p>
            <w:pPr>
              <w:pStyle w:val="TableContents"/>
              <w:spacing w:before="0" w:after="283"/>
              <w:rPr/>
            </w:pPr>
            <w:r>
              <w:rPr/>
              <w:t>  </w:t>
            </w:r>
          </w:p>
        </w:tc>
        <w:tc>
          <w:tcPr>
            <w:tcW w:w="405" w:type="dxa"/>
            <w:tcBorders>
              <w:top w:val="double" w:sz="6" w:space="0" w:color="000000"/>
            </w:tcBorders>
            <w:shd w:fill="auto" w:val="clear"/>
            <w:tcMar>
              <w:top w:w="28" w:type="dxa"/>
            </w:tcMar>
            <w:vAlign w:val="bottom"/>
          </w:tcPr>
          <w:p>
            <w:pPr>
              <w:pStyle w:val="TableContents"/>
              <w:spacing w:before="0" w:after="283"/>
              <w:rPr/>
            </w:pPr>
            <w:r>
              <w:rPr/>
              <w:t> </w:t>
            </w:r>
          </w:p>
        </w:tc>
        <w:tc>
          <w:tcPr>
            <w:tcW w:w="853" w:type="dxa"/>
            <w:tcBorders>
              <w:top w:val="double" w:sz="6" w:space="0" w:color="000000"/>
            </w:tcBorders>
            <w:shd w:fill="auto" w:val="clear"/>
            <w:tcMar>
              <w:top w:w="28" w:type="dxa"/>
            </w:tcM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pPr>
            <w:r>
              <w:rPr/>
              <w:t>  </w:t>
            </w:r>
          </w:p>
        </w:tc>
        <w:tc>
          <w:tcPr>
            <w:tcW w:w="300" w:type="dxa"/>
            <w:tcBorders>
              <w:top w:val="double" w:sz="6" w:space="0" w:color="000000"/>
            </w:tcBorders>
            <w:shd w:fill="auto" w:val="clear"/>
            <w:tcMar>
              <w:top w:w="28" w:type="dxa"/>
            </w:tcMar>
            <w:vAlign w:val="bottom"/>
          </w:tcPr>
          <w:p>
            <w:pPr>
              <w:pStyle w:val="TableContents"/>
              <w:spacing w:before="0" w:after="283"/>
              <w:rPr/>
            </w:pPr>
            <w:r>
              <w:rPr/>
              <w:t> </w:t>
            </w:r>
          </w:p>
        </w:tc>
        <w:tc>
          <w:tcPr>
            <w:tcW w:w="954"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87" w:type="dxa"/>
            <w:tcBorders>
              <w:top w:val="double" w:sz="6" w:space="0" w:color="000000"/>
            </w:tcBorders>
            <w:shd w:fill="auto" w:val="clear"/>
            <w:tcMar>
              <w:top w:w="28" w:type="dxa"/>
            </w:tcMar>
            <w:vAlign w:val="bottom"/>
          </w:tcPr>
          <w:p>
            <w:pPr>
              <w:pStyle w:val="TableContents"/>
              <w:spacing w:before="0" w:after="283"/>
              <w:rPr/>
            </w:pPr>
            <w:r>
              <w:rPr/>
              <w:t> </w:t>
            </w:r>
          </w:p>
        </w:tc>
        <w:tc>
          <w:tcPr>
            <w:tcW w:w="72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31" w:type="dxa"/>
            <w:tcBorders>
              <w:top w:val="double" w:sz="6" w:space="0" w:color="000000"/>
            </w:tcBorders>
            <w:shd w:fill="auto" w:val="clear"/>
            <w:tcMar>
              <w:top w:w="28" w:type="dxa"/>
            </w:tcMar>
            <w:vAlign w:val="bottom"/>
          </w:tcPr>
          <w:p>
            <w:pPr>
              <w:pStyle w:val="TableContents"/>
              <w:spacing w:before="0" w:after="283"/>
              <w:rPr/>
            </w:pPr>
            <w:r>
              <w:rPr/>
              <w:t> </w:t>
            </w:r>
          </w:p>
        </w:tc>
        <w:tc>
          <w:tcPr>
            <w:tcW w:w="780" w:type="dxa"/>
            <w:tcBorders>
              <w:top w:val="double" w:sz="6"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Our accounting policy is to offset derivative assets and liabilities executed with the same counterparty when a master netting agreement exists. Accordingly, we also offset derivative assets and liabilities with amounts associated with cash margin. Our exchange-traded derivatives are transacted through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June 30, 2010, we had a net broker payable of approximately $130 million (consisting of initial margin of $45 million reduced by $175 million of variation margin that had been returned to us). As of December 31, 2009, we had a net broker receivable of approximately $53 million (consisting of initial margin of $71 million reduced by $18 million of variation margin that had been returned to us). </w:t>
      </w:r>
    </w:p>
    <w:p>
      <w:pPr>
        <w:pStyle w:val="TextBody"/>
        <w:spacing w:before="0" w:after="0"/>
        <w:rPr>
          <w:rFonts w:ascii="Times New Roman" w:hAnsi="Times New Roman"/>
          <w:sz w:val="20"/>
        </w:rPr>
      </w:pPr>
      <w:r>
        <w:rPr>
          <w:rFonts w:ascii="Times New Roman" w:hAnsi="Times New Roman"/>
          <w:sz w:val="20"/>
        </w:rPr>
        <w:t xml:space="preserve">At June 30, 2010 and December 31, 2009, none of our outstanding derivatives contained credit-risk related contingent features that would result in a material adverse impact to us upon any change in our credit ratings. </w:t>
      </w:r>
    </w:p>
    <w:p>
      <w:pPr>
        <w:pStyle w:val="TextBody"/>
        <w:spacing w:before="180" w:after="0"/>
        <w:rPr>
          <w:rFonts w:ascii="Times New Roman" w:hAnsi="Times New Roman"/>
          <w:sz w:val="20"/>
        </w:rPr>
      </w:pPr>
      <w:r>
        <w:rPr>
          <w:rFonts w:ascii="Times New Roman" w:hAnsi="Times New Roman"/>
          <w:sz w:val="20"/>
        </w:rPr>
        <w:t xml:space="preserve">The following table sets forth by level within the fair value hierarchy our financial assets and liabilities that were accounted for at fair value on a recurring basis as of June 30, 2010. Financial assets and liabilities are classified in their entirety based on the lowest level of input that is significant to the fair value measurement. Our assessment of the significance of a particular input to the fair value measurement requires judgment, which does affect the placement of assets and liabilities within the fair value hierarchy levels.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660"/>
        <w:gridCol w:w="197"/>
        <w:gridCol w:w="125"/>
        <w:gridCol w:w="336"/>
        <w:gridCol w:w="197"/>
        <w:gridCol w:w="147"/>
        <w:gridCol w:w="313"/>
        <w:gridCol w:w="197"/>
        <w:gridCol w:w="205"/>
        <w:gridCol w:w="281"/>
        <w:gridCol w:w="125"/>
        <w:gridCol w:w="145"/>
        <w:gridCol w:w="125"/>
        <w:gridCol w:w="336"/>
        <w:gridCol w:w="125"/>
        <w:gridCol w:w="145"/>
        <w:gridCol w:w="147"/>
        <w:gridCol w:w="312"/>
        <w:gridCol w:w="197"/>
        <w:gridCol w:w="147"/>
        <w:gridCol w:w="313"/>
        <w:gridCol w:w="197"/>
        <w:gridCol w:w="137"/>
        <w:gridCol w:w="321"/>
        <w:gridCol w:w="125"/>
        <w:gridCol w:w="145"/>
        <w:gridCol w:w="141"/>
        <w:gridCol w:w="227"/>
        <w:gridCol w:w="137"/>
      </w:tblGrid>
      <w:tr>
        <w:trPr/>
        <w:tc>
          <w:tcPr>
            <w:tcW w:w="466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r>
      <w:tr>
        <w:trPr/>
        <w:tc>
          <w:tcPr>
            <w:tcW w:w="4660"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532" w:type="dxa"/>
            <w:gridSpan w:val="1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Fair Value as of June 30, 2010</w:t>
            </w:r>
            <w:r>
              <w:rPr/>
              <w:br/>
            </w:r>
            <w:r>
              <w:rPr>
                <w:rFonts w:ascii="Times New Roman" w:hAnsi="Times New Roman"/>
                <w:b/>
                <w:sz w:val="14"/>
              </w:rPr>
              <w:t>(in millions)</w:t>
            </w:r>
          </w:p>
        </w:tc>
        <w:tc>
          <w:tcPr>
            <w:tcW w:w="12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2409" w:type="dxa"/>
            <w:gridSpan w:val="1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Fair Value as of December 31, 2009</w:t>
              <w:br/>
              <w:t>(in millions)</w:t>
            </w:r>
          </w:p>
        </w:tc>
        <w:tc>
          <w:tcPr>
            <w:tcW w:w="137" w:type="dxa"/>
            <w:tcBorders/>
            <w:shd w:fill="auto" w:val="clear"/>
            <w:vAlign w:val="bottom"/>
          </w:tcPr>
          <w:p>
            <w:pPr>
              <w:pStyle w:val="TableContents"/>
              <w:spacing w:before="0" w:after="283"/>
              <w:rPr/>
            </w:pPr>
            <w:r>
              <w:rPr/>
              <w:t> </w:t>
            </w:r>
          </w:p>
        </w:tc>
      </w:tr>
      <w:tr>
        <w:trPr/>
        <w:tc>
          <w:tcPr>
            <w:tcW w:w="4660"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b/>
                <w:sz w:val="14"/>
              </w:rPr>
              <w:t>Recurring Fair Value Measures(1)</w:t>
            </w:r>
            <w:r>
              <w:rPr>
                <w:rFonts w:ascii="Times New Roman" w:hAnsi="Times New Roman"/>
                <w:sz w:val="14"/>
              </w:rPr>
              <w:t xml:space="preserve"> </w:t>
            </w:r>
          </w:p>
        </w:tc>
        <w:tc>
          <w:tcPr>
            <w:tcW w:w="197" w:type="dxa"/>
            <w:tcBorders/>
            <w:shd w:fill="auto" w:val="clear"/>
            <w:vAlign w:val="bottom"/>
          </w:tcPr>
          <w:p>
            <w:pPr>
              <w:pStyle w:val="TableContents"/>
              <w:spacing w:before="0" w:after="283"/>
              <w:rPr/>
            </w:pPr>
            <w:r>
              <w:rPr/>
              <w:t>  </w:t>
            </w:r>
          </w:p>
        </w:tc>
        <w:tc>
          <w:tcPr>
            <w:tcW w:w="46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Level 1</w:t>
            </w:r>
          </w:p>
        </w:tc>
        <w:tc>
          <w:tcPr>
            <w:tcW w:w="197" w:type="dxa"/>
            <w:tcBorders/>
            <w:shd w:fill="auto" w:val="clear"/>
            <w:vAlign w:val="bottom"/>
          </w:tcPr>
          <w:p>
            <w:pPr>
              <w:pStyle w:val="TableContents"/>
              <w:spacing w:before="0" w:after="283"/>
              <w:rPr/>
            </w:pPr>
            <w:r>
              <w:rPr/>
              <w:t>  </w:t>
            </w:r>
          </w:p>
        </w:tc>
        <w:tc>
          <w:tcPr>
            <w:tcW w:w="4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Level 2</w:t>
            </w:r>
          </w:p>
        </w:tc>
        <w:tc>
          <w:tcPr>
            <w:tcW w:w="197" w:type="dxa"/>
            <w:tcBorders/>
            <w:shd w:fill="auto" w:val="clear"/>
            <w:vAlign w:val="bottom"/>
          </w:tcPr>
          <w:p>
            <w:pPr>
              <w:pStyle w:val="TableContents"/>
              <w:spacing w:before="0" w:after="283"/>
              <w:rPr/>
            </w:pPr>
            <w:r>
              <w:rPr/>
              <w:t>  </w:t>
            </w:r>
          </w:p>
        </w:tc>
        <w:tc>
          <w:tcPr>
            <w:tcW w:w="48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Level 3</w:t>
            </w:r>
          </w:p>
        </w:tc>
        <w:tc>
          <w:tcPr>
            <w:tcW w:w="12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46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125" w:type="dxa"/>
            <w:tcBorders/>
            <w:shd w:fill="auto" w:val="clear"/>
            <w:vAlign w:val="bottom"/>
          </w:tcPr>
          <w:p>
            <w:pPr>
              <w:pStyle w:val="TableContents"/>
              <w:spacing w:before="0" w:after="283"/>
              <w:rPr/>
            </w:pPr>
            <w:r>
              <w:rPr/>
              <w:t> </w:t>
            </w:r>
          </w:p>
        </w:tc>
        <w:tc>
          <w:tcPr>
            <w:tcW w:w="145" w:type="dxa"/>
            <w:tcBorders>
              <w:left w:val="single" w:sz="2" w:space="0" w:color="000000"/>
            </w:tcBorders>
            <w:shd w:fill="auto" w:val="clear"/>
            <w:tcMar>
              <w:left w:w="28" w:type="dxa"/>
            </w:tcMar>
            <w:vAlign w:val="bottom"/>
          </w:tcPr>
          <w:p>
            <w:pPr>
              <w:pStyle w:val="TableContents"/>
              <w:spacing w:before="0" w:after="283"/>
              <w:rPr/>
            </w:pPr>
            <w:r>
              <w:rPr/>
              <w:t> </w:t>
            </w:r>
          </w:p>
        </w:tc>
        <w:tc>
          <w:tcPr>
            <w:tcW w:w="45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Level 1</w:t>
            </w:r>
          </w:p>
        </w:tc>
        <w:tc>
          <w:tcPr>
            <w:tcW w:w="197" w:type="dxa"/>
            <w:tcBorders/>
            <w:shd w:fill="auto" w:val="clear"/>
            <w:vAlign w:val="bottom"/>
          </w:tcPr>
          <w:p>
            <w:pPr>
              <w:pStyle w:val="TableContents"/>
              <w:spacing w:before="0" w:after="283"/>
              <w:rPr/>
            </w:pPr>
            <w:r>
              <w:rPr/>
              <w:t>  </w:t>
            </w:r>
          </w:p>
        </w:tc>
        <w:tc>
          <w:tcPr>
            <w:tcW w:w="4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Level 2</w:t>
            </w:r>
          </w:p>
        </w:tc>
        <w:tc>
          <w:tcPr>
            <w:tcW w:w="197" w:type="dxa"/>
            <w:tcBorders/>
            <w:shd w:fill="auto" w:val="clear"/>
            <w:vAlign w:val="bottom"/>
          </w:tcPr>
          <w:p>
            <w:pPr>
              <w:pStyle w:val="TableContents"/>
              <w:spacing w:before="0" w:after="283"/>
              <w:rPr/>
            </w:pPr>
            <w:r>
              <w:rPr/>
              <w:t>  </w:t>
            </w:r>
          </w:p>
        </w:tc>
        <w:tc>
          <w:tcPr>
            <w:tcW w:w="45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Level 3</w:t>
            </w:r>
          </w:p>
        </w:tc>
        <w:tc>
          <w:tcPr>
            <w:tcW w:w="12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6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137" w:type="dxa"/>
            <w:tcBorders/>
            <w:shd w:fill="auto" w:val="clear"/>
            <w:vAlign w:val="bottom"/>
          </w:tcPr>
          <w:p>
            <w:pPr>
              <w:pStyle w:val="TableContents"/>
              <w:spacing w:before="0" w:after="283"/>
              <w:rPr/>
            </w:pPr>
            <w:r>
              <w:rPr/>
              <w:t> </w:t>
            </w:r>
          </w:p>
        </w:tc>
      </w:tr>
      <w:tr>
        <w:trPr/>
        <w:tc>
          <w:tcPr>
            <w:tcW w:w="4660" w:type="dxa"/>
            <w:tcBorders/>
            <w:shd w:fill="CCEEFF" w:val="clear"/>
          </w:tcPr>
          <w:p>
            <w:pPr>
              <w:pStyle w:val="TableContents"/>
              <w:spacing w:before="0" w:after="283"/>
              <w:rPr>
                <w:rFonts w:ascii="Times New Roman" w:hAnsi="Times New Roman"/>
                <w:sz w:val="20"/>
              </w:rPr>
            </w:pPr>
            <w:r>
              <w:rPr>
                <w:rFonts w:ascii="Times New Roman" w:hAnsi="Times New Roman"/>
                <w:sz w:val="20"/>
              </w:rPr>
              <w:t>Commodity derivatives</w:t>
            </w:r>
          </w:p>
        </w:tc>
        <w:tc>
          <w:tcPr>
            <w:tcW w:w="1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w:t>
            </w:r>
          </w:p>
        </w:tc>
        <w:tc>
          <w:tcPr>
            <w:tcW w:w="19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7"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5"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w:t>
            </w:r>
          </w:p>
        </w:tc>
        <w:tc>
          <w:tcPr>
            <w:tcW w:w="125" w:type="dxa"/>
            <w:tcBorders/>
            <w:shd w:fill="CCEEFF" w:val="clear"/>
            <w:vAlign w:val="bottom"/>
          </w:tcPr>
          <w:p>
            <w:pPr>
              <w:pStyle w:val="TableContents"/>
              <w:spacing w:before="0" w:after="283"/>
              <w:rPr/>
            </w:pPr>
            <w:r>
              <w:rPr/>
              <w:t>  </w:t>
            </w:r>
          </w:p>
        </w:tc>
        <w:tc>
          <w:tcPr>
            <w:tcW w:w="145" w:type="dxa"/>
            <w:tcBorders>
              <w:left w:val="single" w:sz="2" w:space="0" w:color="000000"/>
            </w:tcBorders>
            <w:shd w:fill="CCEEFF" w:val="clear"/>
            <w:tcMar>
              <w:left w:w="28" w:type="dxa"/>
            </w:tcM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9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7"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4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660" w:type="dxa"/>
            <w:tcBorders/>
            <w:shd w:fill="auto" w:val="clear"/>
          </w:tcPr>
          <w:p>
            <w:pPr>
              <w:pStyle w:val="TableContents"/>
              <w:spacing w:before="0" w:after="283"/>
              <w:rPr>
                <w:rFonts w:ascii="Times New Roman" w:hAnsi="Times New Roman"/>
                <w:sz w:val="20"/>
              </w:rPr>
            </w:pPr>
            <w:r>
              <w:rPr>
                <w:rFonts w:ascii="Times New Roman" w:hAnsi="Times New Roman"/>
                <w:sz w:val="20"/>
              </w:rPr>
              <w:t>Interest rate derivatives</w:t>
            </w:r>
          </w:p>
        </w:tc>
        <w:tc>
          <w:tcPr>
            <w:tcW w:w="1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c>
          <w:tcPr>
            <w:tcW w:w="145" w:type="dxa"/>
            <w:tcBorders>
              <w:left w:val="single" w:sz="2" w:space="0" w:color="000000"/>
            </w:tcBorders>
            <w:shd w:fill="auto" w:val="clear"/>
            <w:tcMar>
              <w:left w:w="28" w:type="dxa"/>
            </w:tcM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37" w:type="dxa"/>
            <w:tcBorders/>
            <w:shd w:fill="auto" w:val="clear"/>
            <w:vAlign w:val="bottom"/>
          </w:tcPr>
          <w:p>
            <w:pPr>
              <w:pStyle w:val="TableContents"/>
              <w:spacing w:before="0" w:after="283"/>
              <w:rPr/>
            </w:pPr>
            <w:r>
              <w:rPr/>
              <w:t>  </w:t>
            </w:r>
          </w:p>
        </w:tc>
      </w:tr>
      <w:tr>
        <w:trPr/>
        <w:tc>
          <w:tcPr>
            <w:tcW w:w="4660" w:type="dxa"/>
            <w:tcBorders/>
            <w:shd w:fill="CCEEFF" w:val="clear"/>
          </w:tcPr>
          <w:p>
            <w:pPr>
              <w:pStyle w:val="TableContents"/>
              <w:spacing w:before="0" w:after="283"/>
              <w:rPr>
                <w:rFonts w:ascii="Times New Roman" w:hAnsi="Times New Roman"/>
                <w:sz w:val="20"/>
              </w:rPr>
            </w:pPr>
            <w:r>
              <w:rPr>
                <w:rFonts w:ascii="Times New Roman" w:hAnsi="Times New Roman"/>
                <w:sz w:val="20"/>
              </w:rPr>
              <w:t>Foreign currency derivatives</w:t>
            </w:r>
          </w:p>
        </w:tc>
        <w:tc>
          <w:tcPr>
            <w:tcW w:w="1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7"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45" w:type="dxa"/>
            <w:tcBorders>
              <w:left w:val="single" w:sz="2" w:space="0" w:color="000000"/>
            </w:tcBorders>
            <w:shd w:fill="CCEEFF" w:val="clear"/>
            <w:tcMar>
              <w:left w:w="28" w:type="dxa"/>
            </w:tcM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7"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7"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7" w:type="dxa"/>
            <w:tcBorders/>
            <w:shd w:fill="CCEEFF" w:val="clear"/>
            <w:vAlign w:val="bottom"/>
          </w:tcPr>
          <w:p>
            <w:pPr>
              <w:pStyle w:val="TableContents"/>
              <w:spacing w:before="0" w:after="283"/>
              <w:rPr/>
            </w:pPr>
            <w:r>
              <w:rPr/>
              <w:t>  </w:t>
            </w:r>
          </w:p>
        </w:tc>
      </w:tr>
      <w:tr>
        <w:trPr/>
        <w:tc>
          <w:tcPr>
            <w:tcW w:w="4660" w:type="dxa"/>
            <w:tcBorders/>
            <w:shd w:fill="auto" w:val="clear"/>
            <w:vAlign w:val="bottom"/>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36" w:type="dxa"/>
            <w:tcBorders>
              <w:top w:val="single" w:sz="2" w:space="0" w:color="000000"/>
            </w:tcBorders>
            <w:shd w:fill="auto" w:val="clear"/>
            <w:tcMar>
              <w:top w:w="28" w:type="dxa"/>
            </w:tcM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47" w:type="dxa"/>
            <w:tcBorders>
              <w:top w:val="single" w:sz="2" w:space="0" w:color="000000"/>
            </w:tcBorders>
            <w:shd w:fill="auto" w:val="clear"/>
            <w:tcMar>
              <w:top w:w="28" w:type="dxa"/>
            </w:tcMar>
            <w:vAlign w:val="bottom"/>
          </w:tcPr>
          <w:p>
            <w:pPr>
              <w:pStyle w:val="TableContents"/>
              <w:spacing w:before="0" w:after="283"/>
              <w:rPr/>
            </w:pPr>
            <w:r>
              <w:rPr/>
              <w:t> </w:t>
            </w:r>
          </w:p>
        </w:tc>
        <w:tc>
          <w:tcPr>
            <w:tcW w:w="313" w:type="dxa"/>
            <w:tcBorders>
              <w:top w:val="single" w:sz="2" w:space="0" w:color="000000"/>
            </w:tcBorders>
            <w:shd w:fill="auto" w:val="clear"/>
            <w:tcMar>
              <w:top w:w="28" w:type="dxa"/>
            </w:tcM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05" w:type="dxa"/>
            <w:tcBorders>
              <w:top w:val="single" w:sz="2" w:space="0" w:color="000000"/>
            </w:tcBorders>
            <w:shd w:fill="auto" w:val="clear"/>
            <w:tcMar>
              <w:top w:w="28" w:type="dxa"/>
            </w:tcMar>
            <w:vAlign w:val="bottom"/>
          </w:tcPr>
          <w:p>
            <w:pPr>
              <w:pStyle w:val="TableContents"/>
              <w:spacing w:before="0" w:after="283"/>
              <w:rPr/>
            </w:pPr>
            <w:r>
              <w:rPr/>
              <w:t> </w:t>
            </w:r>
          </w:p>
        </w:tc>
        <w:tc>
          <w:tcPr>
            <w:tcW w:w="28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3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45" w:type="dxa"/>
            <w:tcBorders>
              <w:left w:val="single" w:sz="2" w:space="0" w:color="000000"/>
            </w:tcBorders>
            <w:shd w:fill="auto" w:val="clear"/>
            <w:tcMar>
              <w:left w:w="28" w:type="dxa"/>
            </w:tcMar>
            <w:vAlign w:val="bottom"/>
          </w:tcPr>
          <w:p>
            <w:pPr>
              <w:pStyle w:val="TableContents"/>
              <w:spacing w:before="0" w:after="283"/>
              <w:rPr/>
            </w:pPr>
            <w:r>
              <w:rPr/>
              <w:t> </w:t>
            </w:r>
          </w:p>
        </w:tc>
        <w:tc>
          <w:tcPr>
            <w:tcW w:w="147" w:type="dxa"/>
            <w:tcBorders>
              <w:top w:val="single" w:sz="2" w:space="0" w:color="000000"/>
            </w:tcBorders>
            <w:shd w:fill="auto" w:val="clear"/>
            <w:tcMar>
              <w:top w:w="28" w:type="dxa"/>
            </w:tcMar>
            <w:vAlign w:val="bottom"/>
          </w:tcPr>
          <w:p>
            <w:pPr>
              <w:pStyle w:val="TableContents"/>
              <w:spacing w:before="0" w:after="283"/>
              <w:rPr/>
            </w:pPr>
            <w:r>
              <w:rPr/>
              <w:t> </w:t>
            </w:r>
          </w:p>
        </w:tc>
        <w:tc>
          <w:tcPr>
            <w:tcW w:w="312" w:type="dxa"/>
            <w:tcBorders>
              <w:top w:val="single" w:sz="2" w:space="0" w:color="000000"/>
            </w:tcBorders>
            <w:shd w:fill="auto" w:val="clear"/>
            <w:tcMar>
              <w:top w:w="28" w:type="dxa"/>
            </w:tcM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47" w:type="dxa"/>
            <w:tcBorders>
              <w:top w:val="single" w:sz="2" w:space="0" w:color="000000"/>
            </w:tcBorders>
            <w:shd w:fill="auto" w:val="clear"/>
            <w:tcMar>
              <w:top w:w="28" w:type="dxa"/>
            </w:tcMar>
            <w:vAlign w:val="bottom"/>
          </w:tcPr>
          <w:p>
            <w:pPr>
              <w:pStyle w:val="TableContents"/>
              <w:spacing w:before="0" w:after="283"/>
              <w:rPr/>
            </w:pPr>
            <w:r>
              <w:rPr/>
              <w:t> </w:t>
            </w:r>
          </w:p>
        </w:tc>
        <w:tc>
          <w:tcPr>
            <w:tcW w:w="313" w:type="dxa"/>
            <w:tcBorders>
              <w:top w:val="single" w:sz="2" w:space="0" w:color="000000"/>
            </w:tcBorders>
            <w:shd w:fill="auto" w:val="clear"/>
            <w:tcMar>
              <w:top w:w="28" w:type="dxa"/>
            </w:tcM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37" w:type="dxa"/>
            <w:tcBorders>
              <w:top w:val="single" w:sz="2" w:space="0" w:color="000000"/>
            </w:tcBorders>
            <w:shd w:fill="auto" w:val="clear"/>
            <w:tcMar>
              <w:top w:w="28" w:type="dxa"/>
            </w:tcMar>
            <w:vAlign w:val="bottom"/>
          </w:tcPr>
          <w:p>
            <w:pPr>
              <w:pStyle w:val="TableContents"/>
              <w:spacing w:before="0" w:after="283"/>
              <w:rPr/>
            </w:pPr>
            <w:r>
              <w:rPr/>
              <w:t> </w:t>
            </w:r>
          </w:p>
        </w:tc>
        <w:tc>
          <w:tcPr>
            <w:tcW w:w="32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1" w:type="dxa"/>
            <w:tcBorders>
              <w:top w:val="single" w:sz="2" w:space="0" w:color="000000"/>
            </w:tcBorders>
            <w:shd w:fill="auto" w:val="clear"/>
            <w:tcMar>
              <w:top w:w="28" w:type="dxa"/>
            </w:tcMar>
            <w:vAlign w:val="bottom"/>
          </w:tcPr>
          <w:p>
            <w:pPr>
              <w:pStyle w:val="TableContents"/>
              <w:spacing w:before="0" w:after="283"/>
              <w:rPr/>
            </w:pPr>
            <w:r>
              <w:rPr/>
              <w:t> </w:t>
            </w:r>
          </w:p>
        </w:tc>
        <w:tc>
          <w:tcPr>
            <w:tcW w:w="227" w:type="dxa"/>
            <w:tcBorders>
              <w:top w:val="single" w:sz="2" w:space="0" w:color="000000"/>
            </w:tcBorders>
            <w:shd w:fill="auto" w:val="clear"/>
            <w:tcMar>
              <w:top w:w="28" w:type="dxa"/>
            </w:tcMar>
            <w:vAlign w:val="bottom"/>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r>
      <w:tr>
        <w:trPr/>
        <w:tc>
          <w:tcPr>
            <w:tcW w:w="4660"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1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186</w:t>
            </w:r>
          </w:p>
        </w:tc>
        <w:tc>
          <w:tcPr>
            <w:tcW w:w="19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194</w:t>
            </w:r>
          </w:p>
        </w:tc>
        <w:tc>
          <w:tcPr>
            <w:tcW w:w="125" w:type="dxa"/>
            <w:tcBorders/>
            <w:shd w:fill="auto" w:val="clear"/>
            <w:vAlign w:val="bottom"/>
          </w:tcPr>
          <w:p>
            <w:pPr>
              <w:pStyle w:val="TableContents"/>
              <w:spacing w:before="0" w:after="283"/>
              <w:rPr/>
            </w:pPr>
            <w:r>
              <w:rPr/>
              <w:t>  </w:t>
            </w:r>
          </w:p>
        </w:tc>
        <w:tc>
          <w:tcPr>
            <w:tcW w:w="145" w:type="dxa"/>
            <w:tcBorders>
              <w:left w:val="single" w:sz="2" w:space="0" w:color="000000"/>
            </w:tcBorders>
            <w:shd w:fill="auto" w:val="clear"/>
            <w:tcMar>
              <w:left w:w="28" w:type="dxa"/>
            </w:tcM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9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4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660" w:type="dxa"/>
            <w:tcBorders/>
            <w:shd w:fill="auto" w:val="clear"/>
            <w:vAlign w:val="bottom"/>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336" w:type="dxa"/>
            <w:tcBorders>
              <w:top w:val="double" w:sz="6" w:space="0" w:color="000000"/>
            </w:tcBorders>
            <w:shd w:fill="auto" w:val="clear"/>
            <w:tcMar>
              <w:top w:w="28" w:type="dxa"/>
            </w:tcM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47" w:type="dxa"/>
            <w:tcBorders>
              <w:top w:val="double" w:sz="6" w:space="0" w:color="000000"/>
            </w:tcBorders>
            <w:shd w:fill="auto" w:val="clear"/>
            <w:tcMar>
              <w:top w:w="28" w:type="dxa"/>
            </w:tcMar>
            <w:vAlign w:val="bottom"/>
          </w:tcPr>
          <w:p>
            <w:pPr>
              <w:pStyle w:val="TableContents"/>
              <w:spacing w:before="0" w:after="283"/>
              <w:rPr/>
            </w:pPr>
            <w:r>
              <w:rPr/>
              <w:t> </w:t>
            </w:r>
          </w:p>
        </w:tc>
        <w:tc>
          <w:tcPr>
            <w:tcW w:w="313" w:type="dxa"/>
            <w:tcBorders>
              <w:top w:val="double" w:sz="6" w:space="0" w:color="000000"/>
            </w:tcBorders>
            <w:shd w:fill="auto" w:val="clear"/>
            <w:tcMar>
              <w:top w:w="28" w:type="dxa"/>
            </w:tcM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05" w:type="dxa"/>
            <w:tcBorders>
              <w:top w:val="double" w:sz="6" w:space="0" w:color="000000"/>
            </w:tcBorders>
            <w:shd w:fill="auto" w:val="clear"/>
            <w:tcMar>
              <w:top w:w="28" w:type="dxa"/>
            </w:tcMar>
            <w:vAlign w:val="bottom"/>
          </w:tcPr>
          <w:p>
            <w:pPr>
              <w:pStyle w:val="TableContents"/>
              <w:spacing w:before="0" w:after="283"/>
              <w:rPr/>
            </w:pPr>
            <w:r>
              <w:rPr/>
              <w:t> </w:t>
            </w:r>
          </w:p>
        </w:tc>
        <w:tc>
          <w:tcPr>
            <w:tcW w:w="281"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33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45" w:type="dxa"/>
            <w:tcBorders>
              <w:left w:val="single" w:sz="2" w:space="0" w:color="000000"/>
            </w:tcBorders>
            <w:shd w:fill="auto" w:val="clear"/>
            <w:tcMar>
              <w:left w:w="28" w:type="dxa"/>
            </w:tcMar>
            <w:vAlign w:val="bottom"/>
          </w:tcPr>
          <w:p>
            <w:pPr>
              <w:pStyle w:val="TableContents"/>
              <w:spacing w:before="0" w:after="283"/>
              <w:rPr/>
            </w:pPr>
            <w:r>
              <w:rPr/>
              <w:t> </w:t>
            </w:r>
          </w:p>
        </w:tc>
        <w:tc>
          <w:tcPr>
            <w:tcW w:w="147" w:type="dxa"/>
            <w:tcBorders>
              <w:top w:val="double" w:sz="6" w:space="0" w:color="000000"/>
            </w:tcBorders>
            <w:shd w:fill="auto" w:val="clear"/>
            <w:tcMar>
              <w:top w:w="28" w:type="dxa"/>
            </w:tcMar>
            <w:vAlign w:val="bottom"/>
          </w:tcPr>
          <w:p>
            <w:pPr>
              <w:pStyle w:val="TableContents"/>
              <w:spacing w:before="0" w:after="283"/>
              <w:rPr/>
            </w:pPr>
            <w:r>
              <w:rPr/>
              <w:t> </w:t>
            </w:r>
          </w:p>
        </w:tc>
        <w:tc>
          <w:tcPr>
            <w:tcW w:w="312" w:type="dxa"/>
            <w:tcBorders>
              <w:top w:val="double" w:sz="6" w:space="0" w:color="000000"/>
            </w:tcBorders>
            <w:shd w:fill="auto" w:val="clear"/>
            <w:tcMar>
              <w:top w:w="28" w:type="dxa"/>
            </w:tcM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47" w:type="dxa"/>
            <w:tcBorders>
              <w:top w:val="double" w:sz="6" w:space="0" w:color="000000"/>
            </w:tcBorders>
            <w:shd w:fill="auto" w:val="clear"/>
            <w:tcMar>
              <w:top w:w="28" w:type="dxa"/>
            </w:tcMar>
            <w:vAlign w:val="bottom"/>
          </w:tcPr>
          <w:p>
            <w:pPr>
              <w:pStyle w:val="TableContents"/>
              <w:spacing w:before="0" w:after="283"/>
              <w:rPr/>
            </w:pPr>
            <w:r>
              <w:rPr/>
              <w:t> </w:t>
            </w:r>
          </w:p>
        </w:tc>
        <w:tc>
          <w:tcPr>
            <w:tcW w:w="313" w:type="dxa"/>
            <w:tcBorders>
              <w:top w:val="double" w:sz="6" w:space="0" w:color="000000"/>
            </w:tcBorders>
            <w:shd w:fill="auto" w:val="clear"/>
            <w:tcMar>
              <w:top w:w="28" w:type="dxa"/>
            </w:tcM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37" w:type="dxa"/>
            <w:tcBorders>
              <w:top w:val="double" w:sz="6" w:space="0" w:color="000000"/>
            </w:tcBorders>
            <w:shd w:fill="auto" w:val="clear"/>
            <w:tcMar>
              <w:top w:w="28" w:type="dxa"/>
            </w:tcMar>
            <w:vAlign w:val="bottom"/>
          </w:tcPr>
          <w:p>
            <w:pPr>
              <w:pStyle w:val="TableContents"/>
              <w:spacing w:before="0" w:after="283"/>
              <w:rPr/>
            </w:pPr>
            <w:r>
              <w:rPr/>
              <w:t> </w:t>
            </w:r>
          </w:p>
        </w:tc>
        <w:tc>
          <w:tcPr>
            <w:tcW w:w="321"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1" w:type="dxa"/>
            <w:tcBorders>
              <w:top w:val="double" w:sz="6" w:space="0" w:color="000000"/>
            </w:tcBorders>
            <w:shd w:fill="auto" w:val="clear"/>
            <w:tcMar>
              <w:top w:w="28" w:type="dxa"/>
            </w:tcMar>
            <w:vAlign w:val="bottom"/>
          </w:tcPr>
          <w:p>
            <w:pPr>
              <w:pStyle w:val="TableContents"/>
              <w:spacing w:before="0" w:after="283"/>
              <w:rPr/>
            </w:pPr>
            <w:r>
              <w:rPr/>
              <w:t> </w:t>
            </w:r>
          </w:p>
        </w:tc>
        <w:tc>
          <w:tcPr>
            <w:tcW w:w="227" w:type="dxa"/>
            <w:tcBorders>
              <w:top w:val="double" w:sz="6" w:space="0" w:color="000000"/>
            </w:tcBorders>
            <w:shd w:fill="auto" w:val="clear"/>
            <w:tcMar>
              <w:top w:w="28" w:type="dxa"/>
            </w:tcMar>
            <w:vAlign w:val="bottom"/>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r>
    </w:tbl>
    <w:p>
      <w:pPr>
        <w:pStyle w:val="TextBody"/>
        <w:pBdr>
          <w:bottom w:val="single" w:sz="16"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rFonts w:ascii="Times New Roman" w:hAnsi="Times New Roman"/>
                <w:sz w:val="14"/>
              </w:rPr>
              <w:t>(1)</w:t>
            </w:r>
            <w:r>
              <w:rPr/>
              <w:t xml:space="preserve"> </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Derivative assets and liabilities are presented above on a net basis but do not include related cash collateral amounts.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determination of the fair values above includes not only the credit standing of the counterparties involved and the impact of credit enhancements (such as cash deposits and letters of credit) but also the impact of our nonperformance risk on our liabilities. The fair value of our commodity derivatives, interest-rate derivatives and foreign currency derivatives includes adjustments for credit risk. We measure credit risk by deriving a probability of default from market-observed credit default swap spreads as of the measurement date. The probability of default is applied to the net credit exposure of each of our counterparties and includes a recovery rate adjustment. The recovery rate is an estimate of what would ultimately be recovered through a bankruptcy proceeding in the event of default. There were no changes to any of our valuation techniques during the period. </w:t>
      </w:r>
    </w:p>
    <w:p>
      <w:pPr>
        <w:pStyle w:val="TextBody"/>
        <w:spacing w:before="270" w:after="0"/>
        <w:rPr>
          <w:rFonts w:ascii="Times New Roman" w:hAnsi="Times New Roman"/>
          <w:b/>
          <w:i/>
          <w:sz w:val="20"/>
        </w:rPr>
      </w:pPr>
      <w:r>
        <w:rPr>
          <w:rFonts w:ascii="Times New Roman" w:hAnsi="Times New Roman"/>
          <w:b/>
          <w:i/>
          <w:sz w:val="20"/>
        </w:rPr>
        <w:t xml:space="preserve">Level 1 </w:t>
      </w:r>
    </w:p>
    <w:p>
      <w:pPr>
        <w:pStyle w:val="TextBody"/>
        <w:spacing w:before="90" w:after="0"/>
        <w:rPr>
          <w:rFonts w:ascii="Times New Roman" w:hAnsi="Times New Roman"/>
          <w:sz w:val="20"/>
        </w:rPr>
      </w:pPr>
      <w:r>
        <w:rPr>
          <w:rFonts w:ascii="Times New Roman" w:hAnsi="Times New Roman"/>
          <w:sz w:val="20"/>
        </w:rPr>
        <w:t xml:space="preserve">Included within level 1 of the fair value hierarchy are exchange-traded commodity derivatives such as futures, options and swaps. The fair value of exchange-traded commodity derivatives is based on unadjusted quoted prices in active markets and is therefore classified within level 1 of the fair value hierarchy. </w:t>
      </w:r>
    </w:p>
    <w:p>
      <w:pPr>
        <w:pStyle w:val="TextBody"/>
        <w:spacing w:before="270" w:after="0"/>
        <w:rPr>
          <w:rFonts w:ascii="Times New Roman" w:hAnsi="Times New Roman"/>
          <w:b/>
          <w:i/>
          <w:sz w:val="20"/>
        </w:rPr>
      </w:pPr>
      <w:r>
        <w:rPr>
          <w:rFonts w:ascii="Times New Roman" w:hAnsi="Times New Roman"/>
          <w:b/>
          <w:i/>
          <w:sz w:val="20"/>
        </w:rPr>
        <w:t xml:space="preserve">Level 2 </w:t>
      </w:r>
    </w:p>
    <w:p>
      <w:pPr>
        <w:pStyle w:val="TextBody"/>
        <w:spacing w:before="90" w:after="0"/>
        <w:rPr>
          <w:rFonts w:ascii="Times New Roman" w:hAnsi="Times New Roman"/>
          <w:sz w:val="20"/>
        </w:rPr>
      </w:pPr>
      <w:r>
        <w:rPr>
          <w:rFonts w:ascii="Times New Roman" w:hAnsi="Times New Roman"/>
          <w:sz w:val="20"/>
        </w:rPr>
        <w:t xml:space="preserve">There was no activity during the quarter within level 2 of the fair value hierarchy. </w:t>
      </w:r>
    </w:p>
    <w:p>
      <w:pPr>
        <w:pStyle w:val="TextBody"/>
        <w:spacing w:before="270" w:after="0"/>
        <w:rPr>
          <w:rFonts w:ascii="Times New Roman" w:hAnsi="Times New Roman"/>
          <w:b/>
          <w:i/>
          <w:sz w:val="20"/>
        </w:rPr>
      </w:pPr>
      <w:r>
        <w:rPr>
          <w:rFonts w:ascii="Times New Roman" w:hAnsi="Times New Roman"/>
          <w:b/>
          <w:i/>
          <w:sz w:val="20"/>
        </w:rPr>
        <w:t xml:space="preserve">Level 3 </w:t>
      </w:r>
    </w:p>
    <w:p>
      <w:pPr>
        <w:pStyle w:val="TextBody"/>
        <w:spacing w:before="90" w:after="0"/>
        <w:rPr>
          <w:rFonts w:ascii="Times New Roman" w:hAnsi="Times New Roman"/>
          <w:sz w:val="20"/>
        </w:rPr>
      </w:pPr>
      <w:r>
        <w:rPr>
          <w:rFonts w:ascii="Times New Roman" w:hAnsi="Times New Roman"/>
          <w:sz w:val="20"/>
        </w:rPr>
        <w:t xml:space="preserve">Included within level 3 of the fair value hierarchy are the following derivatives: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Commodity Derivatives: Level 3 commodity derivatives include over-the-counter commodity derivatives such as forwards, swaps and options and certain physical commodity contracts. The fair value of our level 3 commodity derivatives is based on either an indicative broker or dealer price quotation or a valuation model. Our valuation models utilize inputs such as price, volatility and correlation but do not involve significant management judgments.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Interest Rate Derivatives: Level 3 interest rate derivatives include interest rate swaps and treasury locks. The fair value of our interest rate derivatives is based on indicative broker or dealer price quotations. Broker or dealer price quotations are corroborated with objective inputs including forward LIBOR curves and forward treasury yields that are obtained from pricing services.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Foreign Currency Derivatives: Level 3 foreign currency derivatives include foreign currency swaps, forward exchange contracts and options. The fair value of our foreign currency derivatives is based on indicative broker or dealer price quotations. Broker or dealer price quotations are corroborated with objective inputs including forward CAD/USD forward exchange rates that are obtained from pricing services. </w:t>
            </w:r>
          </w:p>
        </w:tc>
      </w:tr>
    </w:tbl>
    <w:p>
      <w:pPr>
        <w:pStyle w:val="TextBody"/>
        <w:spacing w:before="180" w:after="0"/>
        <w:rPr>
          <w:rFonts w:ascii="Times New Roman" w:hAnsi="Times New Roman"/>
          <w:sz w:val="20"/>
        </w:rPr>
      </w:pPr>
      <w:r>
        <w:rPr>
          <w:rFonts w:ascii="Times New Roman" w:hAnsi="Times New Roman"/>
          <w:sz w:val="20"/>
        </w:rPr>
        <w:t xml:space="preserve">The majority of our level 3 derivatives are classified as such because the broker or dealer price quotations used to measure fair value and the pricing services used to corroborate the quotations are indicative quotations rather than quotations whereby the broker or dealer is ready and willing to transact. However, the fair value of these level 3 derivatives is not based upon significant management assumptions or subjective inputs.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Rollforward of Level 3 Net Liability </w:t>
      </w:r>
    </w:p>
    <w:p>
      <w:pPr>
        <w:pStyle w:val="TextBody"/>
        <w:spacing w:before="90" w:after="0"/>
        <w:rPr>
          <w:rFonts w:ascii="Times New Roman" w:hAnsi="Times New Roman"/>
          <w:sz w:val="20"/>
        </w:rPr>
      </w:pPr>
      <w:r>
        <w:rPr>
          <w:rFonts w:ascii="Times New Roman" w:hAnsi="Times New Roman"/>
          <w:sz w:val="20"/>
        </w:rPr>
        <w:t xml:space="preserve">The following table provides a reconciliation of changes in fair value of the beginning and ending balances for our derivatives classified as level 3 (in millions):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660"/>
        <w:gridCol w:w="260"/>
        <w:gridCol w:w="163"/>
        <w:gridCol w:w="301"/>
        <w:gridCol w:w="163"/>
        <w:gridCol w:w="275"/>
        <w:gridCol w:w="163"/>
        <w:gridCol w:w="384"/>
        <w:gridCol w:w="124"/>
        <w:gridCol w:w="260"/>
        <w:gridCol w:w="125"/>
        <w:gridCol w:w="290"/>
        <w:gridCol w:w="125"/>
        <w:gridCol w:w="260"/>
        <w:gridCol w:w="125"/>
        <w:gridCol w:w="395"/>
        <w:gridCol w:w="132"/>
      </w:tblGrid>
      <w:tr>
        <w:trPr/>
        <w:tc>
          <w:tcPr>
            <w:tcW w:w="66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66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449"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br/>
              <w:t>June 30,</w:t>
            </w:r>
          </w:p>
        </w:tc>
        <w:tc>
          <w:tcPr>
            <w:tcW w:w="124"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320"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w:t>
              <w:br/>
              <w:t>June 30,</w:t>
            </w:r>
          </w:p>
        </w:tc>
        <w:tc>
          <w:tcPr>
            <w:tcW w:w="132" w:type="dxa"/>
            <w:tcBorders/>
            <w:shd w:fill="auto" w:val="clear"/>
            <w:vAlign w:val="bottom"/>
          </w:tcPr>
          <w:p>
            <w:pPr>
              <w:pStyle w:val="TableContents"/>
              <w:spacing w:before="0" w:after="283"/>
              <w:rPr/>
            </w:pPr>
            <w:r>
              <w:rPr/>
              <w:t> </w:t>
            </w:r>
          </w:p>
        </w:tc>
      </w:tr>
      <w:tr>
        <w:trPr/>
        <w:tc>
          <w:tcPr>
            <w:tcW w:w="66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46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63"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4"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4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5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32" w:type="dxa"/>
            <w:tcBorders/>
            <w:shd w:fill="auto" w:val="clear"/>
            <w:vAlign w:val="bottom"/>
          </w:tcPr>
          <w:p>
            <w:pPr>
              <w:pStyle w:val="TableContents"/>
              <w:spacing w:before="0" w:after="283"/>
              <w:rPr/>
            </w:pPr>
            <w:r>
              <w:rPr/>
              <w:t> </w:t>
            </w:r>
          </w:p>
        </w:tc>
      </w:tr>
      <w:tr>
        <w:trPr/>
        <w:tc>
          <w:tcPr>
            <w:tcW w:w="6660" w:type="dxa"/>
            <w:tcBorders/>
            <w:shd w:fill="CCEEFF" w:val="clear"/>
          </w:tcPr>
          <w:p>
            <w:pPr>
              <w:pStyle w:val="TableContents"/>
              <w:spacing w:before="0" w:after="283"/>
              <w:rPr>
                <w:rFonts w:ascii="Times New Roman" w:hAnsi="Times New Roman"/>
                <w:sz w:val="20"/>
              </w:rPr>
            </w:pPr>
            <w:r>
              <w:rPr>
                <w:rFonts w:ascii="Times New Roman" w:hAnsi="Times New Roman"/>
                <w:sz w:val="20"/>
              </w:rPr>
              <w:t>Beginning Balance</w:t>
            </w:r>
          </w:p>
        </w:tc>
        <w:tc>
          <w:tcPr>
            <w:tcW w:w="2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4"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w:t>
            </w:r>
          </w:p>
        </w:tc>
        <w:tc>
          <w:tcPr>
            <w:tcW w:w="132" w:type="dxa"/>
            <w:tcBorders/>
            <w:shd w:fill="CCEEFF" w:val="clear"/>
            <w:vAlign w:val="bottom"/>
          </w:tcPr>
          <w:p>
            <w:pPr>
              <w:pStyle w:val="TableContents"/>
              <w:spacing w:before="0" w:after="283"/>
              <w:rPr/>
            </w:pPr>
            <w:r>
              <w:rPr/>
              <w:t>  </w:t>
            </w:r>
          </w:p>
        </w:tc>
      </w:tr>
      <w:tr>
        <w:trPr/>
        <w:tc>
          <w:tcPr>
            <w:tcW w:w="6660" w:type="dxa"/>
            <w:tcBorders/>
            <w:shd w:fill="auto" w:val="clear"/>
          </w:tcPr>
          <w:p>
            <w:pPr>
              <w:pStyle w:val="TableContents"/>
              <w:spacing w:before="0" w:after="283"/>
              <w:rPr>
                <w:rFonts w:ascii="Times New Roman" w:hAnsi="Times New Roman"/>
                <w:sz w:val="20"/>
              </w:rPr>
            </w:pPr>
            <w:r>
              <w:rPr>
                <w:rFonts w:ascii="Times New Roman" w:hAnsi="Times New Roman"/>
                <w:sz w:val="20"/>
              </w:rPr>
              <w:t>Unrealized gains/(losses):</w:t>
            </w:r>
          </w:p>
        </w:tc>
        <w:tc>
          <w:tcPr>
            <w:tcW w:w="2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r>
      <w:tr>
        <w:trPr/>
        <w:tc>
          <w:tcPr>
            <w:tcW w:w="6660" w:type="dxa"/>
            <w:tcBorders/>
            <w:shd w:fill="CCEEFF" w:val="clear"/>
          </w:tcPr>
          <w:p>
            <w:pPr>
              <w:pStyle w:val="TableContents"/>
              <w:spacing w:before="0" w:after="283"/>
              <w:rPr/>
            </w:pPr>
            <w:r>
              <w:rPr>
                <w:rFonts w:ascii="Times New Roman" w:hAnsi="Times New Roman"/>
                <w:sz w:val="20"/>
              </w:rPr>
              <w:t xml:space="preserve">Included in earnings </w:t>
            </w:r>
            <w:r>
              <w:rPr>
                <w:rFonts w:ascii="Times New Roman" w:hAnsi="Times New Roman"/>
                <w:sz w:val="14"/>
              </w:rPr>
              <w:t>(1)</w:t>
            </w:r>
          </w:p>
        </w:tc>
        <w:tc>
          <w:tcPr>
            <w:tcW w:w="2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63"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4"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5"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32" w:type="dxa"/>
            <w:tcBorders/>
            <w:shd w:fill="CCEEFF" w:val="clear"/>
            <w:vAlign w:val="bottom"/>
          </w:tcPr>
          <w:p>
            <w:pPr>
              <w:pStyle w:val="TableContents"/>
              <w:spacing w:before="0" w:after="283"/>
              <w:rPr/>
            </w:pPr>
            <w:r>
              <w:rPr/>
              <w:t>  </w:t>
            </w:r>
          </w:p>
        </w:tc>
      </w:tr>
      <w:tr>
        <w:trPr/>
        <w:tc>
          <w:tcPr>
            <w:tcW w:w="6660" w:type="dxa"/>
            <w:tcBorders/>
            <w:shd w:fill="auto" w:val="clear"/>
          </w:tcPr>
          <w:p>
            <w:pPr>
              <w:pStyle w:val="TableContents"/>
              <w:spacing w:before="0" w:after="283"/>
              <w:rPr>
                <w:rFonts w:ascii="Times New Roman" w:hAnsi="Times New Roman"/>
                <w:sz w:val="20"/>
              </w:rPr>
            </w:pPr>
            <w:r>
              <w:rPr>
                <w:rFonts w:ascii="Times New Roman" w:hAnsi="Times New Roman"/>
                <w:sz w:val="20"/>
              </w:rPr>
              <w:t>Included in other comprehensive income</w:t>
            </w:r>
          </w:p>
        </w:tc>
        <w:tc>
          <w:tcPr>
            <w:tcW w:w="2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63"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60" w:type="dxa"/>
            <w:tcBorders/>
            <w:shd w:fill="CCEEFF" w:val="clear"/>
          </w:tcPr>
          <w:p>
            <w:pPr>
              <w:pStyle w:val="TableContents"/>
              <w:spacing w:before="0" w:after="283"/>
              <w:rPr>
                <w:rFonts w:ascii="Times New Roman" w:hAnsi="Times New Roman"/>
                <w:sz w:val="20"/>
              </w:rPr>
            </w:pPr>
            <w:r>
              <w:rPr>
                <w:rFonts w:ascii="Times New Roman" w:hAnsi="Times New Roman"/>
                <w:sz w:val="20"/>
              </w:rPr>
              <w:t>Settlements and derivatives entered into during the period</w:t>
            </w:r>
          </w:p>
        </w:tc>
        <w:tc>
          <w:tcPr>
            <w:tcW w:w="2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63"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5"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60"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pPr>
            <w:r>
              <w:rPr/>
              <w:t> </w:t>
            </w:r>
          </w:p>
        </w:tc>
        <w:tc>
          <w:tcPr>
            <w:tcW w:w="163" w:type="dxa"/>
            <w:tcBorders>
              <w:top w:val="single" w:sz="2" w:space="0" w:color="000000"/>
            </w:tcBorders>
            <w:shd w:fill="auto" w:val="clear"/>
            <w:tcMar>
              <w:top w:w="28" w:type="dxa"/>
            </w:tcMar>
            <w:vAlign w:val="bottom"/>
          </w:tcPr>
          <w:p>
            <w:pPr>
              <w:pStyle w:val="TableContents"/>
              <w:spacing w:before="0" w:after="283"/>
              <w:rPr/>
            </w:pPr>
            <w:r>
              <w:rPr/>
              <w:t> </w:t>
            </w:r>
          </w:p>
        </w:tc>
        <w:tc>
          <w:tcPr>
            <w:tcW w:w="301" w:type="dxa"/>
            <w:tcBorders>
              <w:top w:val="single" w:sz="2" w:space="0" w:color="000000"/>
            </w:tcBorders>
            <w:shd w:fill="auto" w:val="clear"/>
            <w:tcMar>
              <w:top w:w="28" w:type="dxa"/>
            </w:tcMar>
            <w:vAlign w:val="bottom"/>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63" w:type="dxa"/>
            <w:tcBorders>
              <w:top w:val="single" w:sz="2" w:space="0" w:color="000000"/>
            </w:tcBorders>
            <w:shd w:fill="auto" w:val="clear"/>
            <w:tcMar>
              <w:top w:w="28" w:type="dxa"/>
            </w:tcMar>
            <w:vAlign w:val="bottom"/>
          </w:tcPr>
          <w:p>
            <w:pPr>
              <w:pStyle w:val="TableContents"/>
              <w:spacing w:before="0" w:after="283"/>
              <w:rPr/>
            </w:pPr>
            <w:r>
              <w:rPr/>
              <w:t> </w:t>
            </w:r>
          </w:p>
        </w:tc>
        <w:tc>
          <w:tcPr>
            <w:tcW w:w="384"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29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95" w:type="dxa"/>
            <w:tcBorders>
              <w:top w:val="single" w:sz="2"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6660" w:type="dxa"/>
            <w:tcBorders/>
            <w:shd w:fill="auto" w:val="clear"/>
          </w:tcPr>
          <w:p>
            <w:pPr>
              <w:pStyle w:val="TableContents"/>
              <w:spacing w:before="0" w:after="283"/>
              <w:rPr>
                <w:rFonts w:ascii="Times New Roman" w:hAnsi="Times New Roman"/>
                <w:sz w:val="20"/>
              </w:rPr>
            </w:pPr>
            <w:r>
              <w:rPr>
                <w:rFonts w:ascii="Times New Roman" w:hAnsi="Times New Roman"/>
                <w:sz w:val="20"/>
              </w:rPr>
              <w:t>Ending Balance</w:t>
            </w:r>
          </w:p>
        </w:tc>
        <w:tc>
          <w:tcPr>
            <w:tcW w:w="2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63"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60"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pPr>
            <w:r>
              <w:rPr/>
              <w:t> </w:t>
            </w:r>
          </w:p>
        </w:tc>
        <w:tc>
          <w:tcPr>
            <w:tcW w:w="163" w:type="dxa"/>
            <w:tcBorders>
              <w:top w:val="double" w:sz="6" w:space="0" w:color="000000"/>
            </w:tcBorders>
            <w:shd w:fill="auto" w:val="clear"/>
            <w:tcMar>
              <w:top w:w="28" w:type="dxa"/>
            </w:tcMar>
            <w:vAlign w:val="bottom"/>
          </w:tcPr>
          <w:p>
            <w:pPr>
              <w:pStyle w:val="TableContents"/>
              <w:spacing w:before="0" w:after="283"/>
              <w:rPr/>
            </w:pPr>
            <w:r>
              <w:rPr/>
              <w:t> </w:t>
            </w:r>
          </w:p>
        </w:tc>
        <w:tc>
          <w:tcPr>
            <w:tcW w:w="301" w:type="dxa"/>
            <w:tcBorders>
              <w:top w:val="double" w:sz="6" w:space="0" w:color="000000"/>
            </w:tcBorders>
            <w:shd w:fill="auto" w:val="clear"/>
            <w:tcMar>
              <w:top w:w="28" w:type="dxa"/>
            </w:tcMar>
            <w:vAlign w:val="bottom"/>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63" w:type="dxa"/>
            <w:tcBorders>
              <w:top w:val="double" w:sz="6" w:space="0" w:color="000000"/>
            </w:tcBorders>
            <w:shd w:fill="auto" w:val="clear"/>
            <w:tcMar>
              <w:top w:w="28" w:type="dxa"/>
            </w:tcMar>
            <w:vAlign w:val="bottom"/>
          </w:tcPr>
          <w:p>
            <w:pPr>
              <w:pStyle w:val="TableContents"/>
              <w:spacing w:before="0" w:after="283"/>
              <w:rPr/>
            </w:pPr>
            <w:r>
              <w:rPr/>
              <w:t> </w:t>
            </w:r>
          </w:p>
        </w:tc>
        <w:tc>
          <w:tcPr>
            <w:tcW w:w="384" w:type="dxa"/>
            <w:tcBorders>
              <w:top w:val="double" w:sz="6"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29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395" w:type="dxa"/>
            <w:tcBorders>
              <w:top w:val="double" w:sz="6"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6660" w:type="dxa"/>
            <w:tcBorders/>
            <w:shd w:fill="CCEEFF" w:val="clear"/>
          </w:tcPr>
          <w:p>
            <w:pPr>
              <w:pStyle w:val="TableContents"/>
              <w:spacing w:before="0" w:after="283"/>
              <w:rPr>
                <w:rFonts w:ascii="Times New Roman" w:hAnsi="Times New Roman"/>
                <w:sz w:val="20"/>
              </w:rPr>
            </w:pPr>
            <w:r>
              <w:rPr>
                <w:rFonts w:ascii="Times New Roman" w:hAnsi="Times New Roman"/>
                <w:sz w:val="20"/>
              </w:rPr>
              <w:t xml:space="preserve">Change in unrealized gains/(losses) included in earnings relating to level 3 derivatives still held at the end of the periods </w:t>
            </w:r>
          </w:p>
        </w:tc>
        <w:tc>
          <w:tcPr>
            <w:tcW w:w="2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63"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5"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pBdr>
          <w:bottom w:val="single" w:sz="16"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reported unrealized gains and losses associated with level 3 commodity derivatives in our consolidated statements of operations as supply and logistics segment revenues. Gains and losses associated with interest rate derivatives are reported in our consolidated statements of operations as interest expense. Gains and losses associated with foreign currency derivatives are reported in our consolidated statements of operations as either supply and logistics segment revenues, purchases and related costs, or other income, net. </w:t>
            </w:r>
          </w:p>
        </w:tc>
      </w:tr>
    </w:tbl>
    <w:p>
      <w:pPr>
        <w:pStyle w:val="TextBody"/>
        <w:spacing w:before="180" w:after="0"/>
        <w:rPr>
          <w:rFonts w:ascii="Times New Roman" w:hAnsi="Times New Roman"/>
          <w:sz w:val="20"/>
        </w:rPr>
      </w:pPr>
      <w:r>
        <w:rPr>
          <w:rFonts w:ascii="Times New Roman" w:hAnsi="Times New Roman"/>
          <w:sz w:val="20"/>
        </w:rPr>
        <w:t xml:space="preserve">We believe that a proper analysis of our level 3 gains or losses must incorporate the understanding that these items are generally used to hedge our commodity price risk, interest rate risk and foreign currency exchange risk and will therefore be offset by gains or losses on the underlying transactions. </w:t>
      </w:r>
    </w:p>
    <w:p>
      <w:pPr>
        <w:pStyle w:val="TextBody"/>
        <w:spacing w:before="270" w:after="0"/>
        <w:rPr>
          <w:rFonts w:ascii="Times New Roman" w:hAnsi="Times New Roman"/>
          <w:b/>
          <w:sz w:val="20"/>
        </w:rPr>
      </w:pPr>
      <w:bookmarkStart w:id="21" w:name="tx73093_19"/>
      <w:bookmarkEnd w:id="21"/>
      <w:r>
        <w:rPr>
          <w:rFonts w:ascii="Times New Roman" w:hAnsi="Times New Roman"/>
          <w:b/>
          <w:sz w:val="20"/>
        </w:rPr>
        <w:t xml:space="preserve">Note 10Commitments and Contingencies </w:t>
      </w:r>
    </w:p>
    <w:p>
      <w:pPr>
        <w:pStyle w:val="TextBody"/>
        <w:spacing w:before="90" w:after="0"/>
        <w:rPr>
          <w:rFonts w:ascii="Times New Roman" w:hAnsi="Times New Roman"/>
          <w:b/>
          <w:i/>
          <w:sz w:val="20"/>
        </w:rPr>
      </w:pPr>
      <w:r>
        <w:rPr>
          <w:rFonts w:ascii="Times New Roman" w:hAnsi="Times New Roman"/>
          <w:b/>
          <w:i/>
          <w:sz w:val="20"/>
        </w:rPr>
        <w:t xml:space="preserve">Litigation </w:t>
      </w:r>
    </w:p>
    <w:p>
      <w:pPr>
        <w:pStyle w:val="TextBody"/>
        <w:spacing w:before="90" w:after="0"/>
        <w:rPr>
          <w:rFonts w:ascii="Times New Roman" w:hAnsi="Times New Roman"/>
          <w:sz w:val="20"/>
        </w:rPr>
      </w:pPr>
      <w:r>
        <w:rPr>
          <w:rFonts w:ascii="Times New Roman" w:hAnsi="Times New Roman"/>
          <w:i/>
          <w:sz w:val="20"/>
        </w:rPr>
        <w:t>Pipeline Releases.</w:t>
      </w:r>
      <w:r>
        <w:rPr>
          <w:rFonts w:ascii="Times New Roman" w:hAnsi="Times New Roman"/>
          <w:sz w:val="20"/>
        </w:rPr>
        <w:t xml:space="preserve"> In early January 2005, an overflow from a temporary storage tank located in East Texas resulted in the release of approximately 1,200 barrels of crude oil, a portion of which reached the Sabine River. In late December 2004, one of our pipelines in West Texas experienced a rupture that resulted in the release of approximately 4,500 barrels of crude oil, a portion of which reached a remote location of the Pecos River. Approximately 980 and 4,200 barrels were recovered from the two respective sites. Aggregate costs associated with the releases, including estimated remediation costs, are estimated to be approximately $5 million to $6 million. The EPA has referred these two crude oil releases, as well as several other smaller releases, to the DOJ for further investigation in connection with a civil penalty enforcement action under the Federal Clean Water Act. We have cooperated in the investigation and are currently involved in settlement discussions with DOJ and EPA. Our assessment is that it is probable we will pay penalties related to the releases. We may also be subjected to injunctive remedies that would impose additional requirements, costs and constraints on our operations. We have accrued our current estimate of the likely penalties as a loss contingency (which is included in the estimated aggregate costs set forth above) and have incorporated into our budget process the projected costs associated with potential injunctive remedies. We understand that the maximum permissible penalty, if any, that EPA could assess with respect to the subject releases under relevant statutes would be approximately $6.8 million. Such statutes contemplate the potential for substantial reduction in penalties based on mitigating circumstances and factors. We believe that several of such circumstances and factors exist, and thus have been a primary focus in our discussions with the DOJ and EPA with respect to these matters.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i/>
          <w:sz w:val="20"/>
        </w:rPr>
        <w:t>SemCrude L.P., et al  Debtors (U.S. Bankruptcy Court  Delaware).</w:t>
      </w:r>
      <w:r>
        <w:rPr>
          <w:rFonts w:ascii="Times New Roman" w:hAnsi="Times New Roman"/>
          <w:sz w:val="20"/>
        </w:rPr>
        <w:t xml:space="preserve"> We will from time to time have claims relating to insolvent suppliers, customers or counterparties, such as the bankruptcy proceedings of SemCrude, which commenced in July 2008. Statutory protections and our contractual rights of setoff covered substantially all of our pre-petition claims against SemCrude. In addition, certain creditors of SemCrude and its affiliates have challenged our contractual and statutory rights to setoff certain of our payables to the debtor against our receivables from the debtor. Certain SemCrude creditors have also filed state court actions alleging a producers lien on crude oil sold to SemCrude and its affiliates, and the continuation of such lien when SemCrude and its affiliates sold the oil to subsequent purchasers such as us. On May 29, 2009, we filed a complaint for declaratory relief to resolve these claims. Certain of these actions have been removed to federal court and transferred to the U.S. Bankruptcy Court in Delaware. We will seek the same procedure with respect to all such actions so that they may be consolidated with our declaratory relief action in Bankruptcy Court. The aggregate amount subject to challenge is approximately $23 million. We intend to vigorously defend our contractual and statutory rights. </w:t>
      </w:r>
    </w:p>
    <w:p>
      <w:pPr>
        <w:pStyle w:val="TextBody"/>
        <w:spacing w:before="180" w:after="0"/>
        <w:rPr>
          <w:rFonts w:ascii="Times New Roman" w:hAnsi="Times New Roman"/>
          <w:sz w:val="20"/>
        </w:rPr>
      </w:pPr>
      <w:r>
        <w:rPr>
          <w:rFonts w:ascii="Times New Roman" w:hAnsi="Times New Roman"/>
          <w:sz w:val="20"/>
        </w:rPr>
        <w:t xml:space="preserve">On November 15, 2006, we completed the Pacific merger. The following is a summary of the more significant matters that relate to Pacific, its assets or operations. </w:t>
      </w:r>
    </w:p>
    <w:p>
      <w:pPr>
        <w:pStyle w:val="TextBody"/>
        <w:spacing w:before="180" w:after="0"/>
        <w:rPr>
          <w:rFonts w:ascii="Times New Roman" w:hAnsi="Times New Roman"/>
          <w:sz w:val="20"/>
        </w:rPr>
      </w:pPr>
      <w:r>
        <w:rPr>
          <w:rFonts w:ascii="Times New Roman" w:hAnsi="Times New Roman"/>
          <w:i/>
          <w:sz w:val="20"/>
        </w:rPr>
        <w:t>ExxonMobil Corp. v. GATX Corp. (Superior Court of New Jersey  Gloucester County).</w:t>
      </w:r>
      <w:r>
        <w:rPr>
          <w:rFonts w:ascii="Times New Roman" w:hAnsi="Times New Roman"/>
          <w:sz w:val="20"/>
        </w:rPr>
        <w:t xml:space="preserve"> This Pacific legacy matter was filed by ExxonMobil in April 2003 and involves the allocation of responsibility for remediation of MTBE and other petroleum product contamination at the PAT facility at Paulsboro, New Jersey. We estimate that the maximum potential cost to effectively remediate ranges up to $10 million although the NJDEP is asserting a much larger expenditure. Both ExxonMobil and GATX were prior owners of the terminal. We contend that ExxonMobil and/or GATX are primarily responsible for the majority of the remediation costs. We are in dispute with Kinder Morgan (as successor in interest to GATX) regarding the indemnity by GATX in favor of Pacific in connection with Pacifics purchase of the facility. We are vigorously defending against any claim that PAT is directly or indirectly liable for damages or costs associated with the MTBE contamination. </w:t>
      </w:r>
    </w:p>
    <w:p>
      <w:pPr>
        <w:pStyle w:val="TextBody"/>
        <w:spacing w:before="180" w:after="0"/>
        <w:rPr>
          <w:rFonts w:ascii="Times New Roman" w:hAnsi="Times New Roman"/>
          <w:sz w:val="20"/>
        </w:rPr>
      </w:pPr>
      <w:r>
        <w:rPr>
          <w:rFonts w:ascii="Times New Roman" w:hAnsi="Times New Roman"/>
          <w:i/>
          <w:sz w:val="20"/>
        </w:rPr>
        <w:t xml:space="preserve">NJDEP v. ExxonMobil Corp. et al. </w:t>
      </w:r>
      <w:r>
        <w:rPr>
          <w:rFonts w:ascii="Times New Roman" w:hAnsi="Times New Roman"/>
          <w:sz w:val="20"/>
        </w:rPr>
        <w:t xml:space="preserve">In a matter related to ExxonMobil v. GATX, in June 2007, the NJDEP brought suit against GATX, Exxon and PAT to recover natural resources damages associated with, and to require remediation of, the contamination. ExxonMobil and GATX have filed third-party demands against PAT, seeking indemnity and contribution. NJDEP environmental consultants have asserted a clean-up expense that is significantly larger than our estimate. </w:t>
      </w:r>
    </w:p>
    <w:p>
      <w:pPr>
        <w:pStyle w:val="TextBody"/>
        <w:spacing w:before="180" w:after="0"/>
        <w:rPr>
          <w:rFonts w:ascii="Times New Roman" w:hAnsi="Times New Roman"/>
          <w:sz w:val="20"/>
        </w:rPr>
      </w:pPr>
      <w:r>
        <w:rPr>
          <w:rFonts w:ascii="Times New Roman" w:hAnsi="Times New Roman"/>
          <w:i/>
          <w:sz w:val="20"/>
        </w:rPr>
        <w:t>EPA v. RMPS.</w:t>
      </w:r>
      <w:r>
        <w:rPr>
          <w:rFonts w:ascii="Times New Roman" w:hAnsi="Times New Roman"/>
          <w:sz w:val="20"/>
        </w:rPr>
        <w:t xml:space="preserve"> In February 2009, we received a request for information from EPA regarding aspects of the fuel handling activities of RMPS, a subsidiary acquired in the Pacific merger, at two truck terminals in Colorado. These activities, performed at the request of customers, included the mixture of certain blendstocks with gasoline. We provided the information requested, and cooperated in EPAs investigation of such activities. In January 2010, we received a notice of violations from EPA, alleging failure of RMPS to comply with provisions of the CAA related to registration, sampling, recording and reporting in connection with such activities. EPA further alleges that the violations occurred on an ongoing basis from October 2006 through February 2009. EPA has referred the matter to DOJ. We continue to engage in discussion with EPA, and to emphasize those factors that should mitigate the severity of any penalties imposed. In December 2009, RMPS self-reported late filing of certain reports required under Clean Air Act Diesel Fuel Regulations. All reports have now been filed. </w:t>
      </w:r>
    </w:p>
    <w:p>
      <w:pPr>
        <w:pStyle w:val="TextBody"/>
        <w:spacing w:before="180" w:after="0"/>
        <w:rPr>
          <w:rFonts w:ascii="Times New Roman" w:hAnsi="Times New Roman"/>
          <w:sz w:val="20"/>
        </w:rPr>
      </w:pPr>
      <w:r>
        <w:rPr>
          <w:rFonts w:ascii="Times New Roman" w:hAnsi="Times New Roman"/>
          <w:i/>
          <w:sz w:val="20"/>
        </w:rPr>
        <w:t>Other Pacific-Legacy Matters.</w:t>
      </w:r>
      <w:r>
        <w:rPr>
          <w:rFonts w:ascii="Times New Roman" w:hAnsi="Times New Roman"/>
          <w:sz w:val="20"/>
        </w:rPr>
        <w:t xml:space="preserve"> At the time of its merger with Plains, Pacific had completed a number of acquisitions that had not been fully integrated into its operations. Accordingly, we have and may become aware of various instances in which some of these operations may not have been fully compliant with applicable environmental and safety regulations. Although we have been working to bring all of these operations into compliance with applicable requirements, any past noncompliance could result in the imposition of fines, penalties or corrective action requirements by governmental entities. Although we believe that our operations are presently in material compliance with applicable requirements, it is possible that EPA or other governmental entities may seek to impose fines, penalties or performance obligations on us, or on a portion of our operations, as a result of any past noncompliance that may have occurred. </w:t>
      </w:r>
    </w:p>
    <w:p>
      <w:pPr>
        <w:pStyle w:val="TextBody"/>
        <w:spacing w:before="180" w:after="0"/>
        <w:rPr>
          <w:rFonts w:ascii="Times New Roman" w:hAnsi="Times New Roman"/>
          <w:sz w:val="20"/>
        </w:rPr>
      </w:pPr>
      <w:r>
        <w:rPr>
          <w:rFonts w:ascii="Times New Roman" w:hAnsi="Times New Roman"/>
          <w:i/>
          <w:sz w:val="20"/>
        </w:rPr>
        <w:t>General.</w:t>
      </w:r>
      <w:r>
        <w:rPr>
          <w:rFonts w:ascii="Times New Roman" w:hAnsi="Times New Roman"/>
          <w:sz w:val="20"/>
        </w:rPr>
        <w:t xml:space="preserve"> We, in the ordinary course of business, are a claimant and/or a defendant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materially adverse effect on our financial condition, results of operations or cash flows.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b/>
          <w:i/>
          <w:sz w:val="20"/>
        </w:rPr>
        <w:t>Environmental</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Although we believe that our efforts to enhance our leak prevention and detection capabilities have produced positive results, we have experienced (and likely will experience future) releases of hydrocarbon products into the environment from our pipeline and storage operations. These releases can result from unpredictable man-made or natural forces and may reach navigable waters or other sensitive environments. For example, when the area around Lubbock, Texas received an unusually heavy rainfall in early July 2010, a branch of the Brazos River became swollen beyond flood stage. The unusually erosive power of the water undercut existing river banks and caused them to collapse. This phenomenon occurred at a river crossing for one of our 4-inch gathering lines. The combined force of the shifting mass of earth and rushing water severed the pipe, apparently allowing the release of crude oil into the river. We estimate that a maximum of 165 barrels may have been released. We also may discover environmental impacts from past releases that were previously unidentified. Whether current or past, damages and liabilities associated with any such releases from our assets may substantially affect our business. </w:t>
      </w:r>
    </w:p>
    <w:p>
      <w:pPr>
        <w:pStyle w:val="TextBody"/>
        <w:spacing w:before="180" w:after="0"/>
        <w:rPr>
          <w:rFonts w:ascii="Times New Roman" w:hAnsi="Times New Roman"/>
          <w:sz w:val="20"/>
        </w:rPr>
      </w:pPr>
      <w:r>
        <w:rPr>
          <w:rFonts w:ascii="Times New Roman" w:hAnsi="Times New Roman"/>
          <w:sz w:val="20"/>
        </w:rPr>
        <w:t xml:space="preserve">As we expand our pipeline assets through acquisitions, we typically improve on (reduce) the releases from such assets (in terms of frequency or volume) as we implement our procedures, remove selected assets from service and spend capital to upgrade the assets. However, the inclusion of additional miles of pipe in our operations may result in an increase in the absolute number of releases company-wide compared to prior periods. We experienced such an increase in connection with the Pacific acquisition, which added approximately 5,000 miles of pipeline to our operations, and in connection with the purchase of assets from Link in April 2004, which added approximately 7,000 miles of pipeline to our operations. As a result, we have also received an increased number of requests for information from governmental agencies with respect to such releases of crude oil (such as EPA requests under Clean Water Act Section 308), commensurate with the scale and scope of our pipeline operations. See Pipeline Releases above. </w:t>
      </w:r>
    </w:p>
    <w:p>
      <w:pPr>
        <w:pStyle w:val="TextBody"/>
        <w:spacing w:before="180" w:after="0"/>
        <w:rPr>
          <w:rFonts w:ascii="Times New Roman" w:hAnsi="Times New Roman"/>
          <w:sz w:val="20"/>
        </w:rPr>
      </w:pPr>
      <w:r>
        <w:rPr>
          <w:rFonts w:ascii="Times New Roman" w:hAnsi="Times New Roman"/>
          <w:sz w:val="20"/>
        </w:rPr>
        <w:t xml:space="preserve">At June 30, 2010, our reserve for environmental liabilities totaled approximately $61 million, of which approximately $9 million is classified as short-term and $52 million is classified as long-term. At June 30, 2010, we have recorded receivables totaling approximately $5 million for amounts that are probable of recovery under insurance and from third parties under indemnification agreements. </w:t>
      </w:r>
    </w:p>
    <w:p>
      <w:pPr>
        <w:pStyle w:val="TextBody"/>
        <w:spacing w:before="180" w:after="0"/>
        <w:rPr>
          <w:rFonts w:ascii="Times New Roman" w:hAnsi="Times New Roman"/>
          <w:sz w:val="20"/>
        </w:rPr>
      </w:pPr>
      <w:r>
        <w:rPr>
          <w:rFonts w:ascii="Times New Roman" w:hAnsi="Times New Roman"/>
          <w:sz w:val="20"/>
        </w:rPr>
        <w:t xml:space="preserve">In some cases, the actual cash expenditures may not occur for three to five years. Our estimates used in these reserves are based on known facts and believed to be relevant at the time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Therefore, although we believe that the reserve is adequate, costs incurred may be in excess of the reserve and may potentially have a material adverse effect on our financial condition, results of operations, or cash flows. </w:t>
      </w:r>
    </w:p>
    <w:p>
      <w:pPr>
        <w:pStyle w:val="TextBody"/>
        <w:spacing w:before="270" w:after="0"/>
        <w:rPr>
          <w:rFonts w:ascii="Times New Roman" w:hAnsi="Times New Roman"/>
          <w:b/>
          <w:i/>
          <w:sz w:val="20"/>
        </w:rPr>
      </w:pPr>
      <w:r>
        <w:rPr>
          <w:rFonts w:ascii="Times New Roman" w:hAnsi="Times New Roman"/>
          <w:b/>
          <w:i/>
          <w:sz w:val="20"/>
        </w:rPr>
        <w:t xml:space="preserve">Insurance </w:t>
      </w:r>
    </w:p>
    <w:p>
      <w:pPr>
        <w:pStyle w:val="TextBody"/>
        <w:spacing w:before="90" w:after="0"/>
        <w:rPr>
          <w:rFonts w:ascii="Times New Roman" w:hAnsi="Times New Roman"/>
          <w:sz w:val="20"/>
        </w:rPr>
      </w:pPr>
      <w:r>
        <w:rPr>
          <w:rFonts w:ascii="Times New Roman" w:hAnsi="Times New Roman"/>
          <w:sz w:val="20"/>
        </w:rPr>
        <w:t xml:space="preserve">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insurance of various types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 </w:t>
      </w:r>
    </w:p>
    <w:p>
      <w:pPr>
        <w:pStyle w:val="TextBody"/>
        <w:spacing w:before="180" w:after="0"/>
        <w:rPr>
          <w:rFonts w:ascii="Times New Roman" w:hAnsi="Times New Roman"/>
          <w:sz w:val="20"/>
        </w:rPr>
      </w:pPr>
      <w:r>
        <w:rPr>
          <w:rFonts w:ascii="Times New Roman" w:hAnsi="Times New Roman"/>
          <w:sz w:val="20"/>
        </w:rPr>
        <w:t xml:space="preserve">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With respect to all of our coverage, we may not be able to maintain adequate insurance in the future at rates we consider reasonable. As a result, we may elect to self-insure or utilize higher deductibles in certain insurance programs. In addition, although we believe that we have established adequate reserves to the extent that such risks are not insured, costs incurred in excess of these reserves may be higher and may potentially have a material adverse effect on our financial conditions, results of operations or cash flows.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bookmarkStart w:id="22" w:name="tx73093_20"/>
      <w:bookmarkEnd w:id="22"/>
      <w:r>
        <w:rPr>
          <w:rFonts w:ascii="Times New Roman" w:hAnsi="Times New Roman"/>
          <w:b/>
          <w:sz w:val="20"/>
        </w:rPr>
        <w:t xml:space="preserve">Note 11Operating Segments </w:t>
      </w:r>
    </w:p>
    <w:p>
      <w:pPr>
        <w:pStyle w:val="TextBody"/>
        <w:spacing w:before="90" w:after="0"/>
        <w:rPr>
          <w:rFonts w:ascii="Times New Roman" w:hAnsi="Times New Roman"/>
          <w:sz w:val="20"/>
        </w:rPr>
      </w:pPr>
      <w:r>
        <w:rPr>
          <w:rFonts w:ascii="Times New Roman" w:hAnsi="Times New Roman"/>
          <w:sz w:val="20"/>
        </w:rPr>
        <w:t xml:space="preserve">We manage our operations through three operating segments: (i) Transportation, (ii) Facilities and (iii) Supply and Logistics. The following table reflects certain financial data for each segment for the periods indicated (in millions):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3621"/>
        <w:gridCol w:w="289"/>
        <w:gridCol w:w="125"/>
        <w:gridCol w:w="1102"/>
        <w:gridCol w:w="289"/>
        <w:gridCol w:w="125"/>
        <w:gridCol w:w="966"/>
        <w:gridCol w:w="289"/>
        <w:gridCol w:w="169"/>
        <w:gridCol w:w="1005"/>
        <w:gridCol w:w="289"/>
        <w:gridCol w:w="125"/>
        <w:gridCol w:w="994"/>
      </w:tblGrid>
      <w:tr>
        <w:trPr/>
        <w:tc>
          <w:tcPr>
            <w:tcW w:w="3621"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r>
      <w:tr>
        <w:trPr/>
        <w:tc>
          <w:tcPr>
            <w:tcW w:w="362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Transportation</w:t>
            </w:r>
          </w:p>
        </w:tc>
        <w:tc>
          <w:tcPr>
            <w:tcW w:w="289" w:type="dxa"/>
            <w:tcBorders/>
            <w:shd w:fill="auto" w:val="clear"/>
            <w:vAlign w:val="bottom"/>
          </w:tcPr>
          <w:p>
            <w:pPr>
              <w:pStyle w:val="TableContents"/>
              <w:spacing w:before="0" w:after="283"/>
              <w:rPr/>
            </w:pPr>
            <w:r>
              <w:rPr/>
              <w:t>  </w:t>
            </w:r>
          </w:p>
        </w:tc>
        <w:tc>
          <w:tcPr>
            <w:tcW w:w="109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Facilities</w:t>
            </w:r>
          </w:p>
        </w:tc>
        <w:tc>
          <w:tcPr>
            <w:tcW w:w="289" w:type="dxa"/>
            <w:tcBorders/>
            <w:shd w:fill="auto" w:val="clear"/>
            <w:vAlign w:val="bottom"/>
          </w:tcPr>
          <w:p>
            <w:pPr>
              <w:pStyle w:val="TableContents"/>
              <w:spacing w:before="0" w:after="283"/>
              <w:rPr/>
            </w:pPr>
            <w:r>
              <w:rPr/>
              <w:t>  </w:t>
            </w:r>
          </w:p>
        </w:tc>
        <w:tc>
          <w:tcPr>
            <w:tcW w:w="117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Supply &amp; Logistics</w:t>
            </w:r>
          </w:p>
        </w:tc>
        <w:tc>
          <w:tcPr>
            <w:tcW w:w="289" w:type="dxa"/>
            <w:tcBorders/>
            <w:shd w:fill="auto" w:val="clear"/>
            <w:vAlign w:val="bottom"/>
          </w:tcPr>
          <w:p>
            <w:pPr>
              <w:pStyle w:val="TableContents"/>
              <w:spacing w:before="0" w:after="283"/>
              <w:rPr/>
            </w:pPr>
            <w:r>
              <w:rPr/>
              <w:t>  </w:t>
            </w:r>
          </w:p>
        </w:tc>
        <w:tc>
          <w:tcPr>
            <w:tcW w:w="11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r>
      <w:tr>
        <w:trPr/>
        <w:tc>
          <w:tcPr>
            <w:tcW w:w="3621" w:type="dxa"/>
            <w:tcBorders/>
            <w:shd w:fill="CCEEFF" w:val="clear"/>
          </w:tcPr>
          <w:p>
            <w:pPr>
              <w:pStyle w:val="TableContents"/>
              <w:spacing w:before="0" w:after="283"/>
              <w:rPr>
                <w:rFonts w:ascii="Times New Roman" w:hAnsi="Times New Roman"/>
                <w:b/>
                <w:sz w:val="20"/>
              </w:rPr>
            </w:pPr>
            <w:r>
              <w:rPr>
                <w:rFonts w:ascii="Times New Roman" w:hAnsi="Times New Roman"/>
                <w:b/>
                <w:sz w:val="20"/>
              </w:rPr>
              <w:t>Three Months Ended June 30, 2010</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02"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66"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sz w:val="4"/>
                <w:szCs w:val="4"/>
              </w:rPr>
            </w:pPr>
            <w:r>
              <w:rPr>
                <w:sz w:val="4"/>
                <w:szCs w:val="4"/>
              </w:rPr>
            </w:r>
          </w:p>
        </w:tc>
        <w:tc>
          <w:tcPr>
            <w:tcW w:w="1005"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94" w:type="dxa"/>
            <w:tcBorders/>
            <w:shd w:fill="CCEEFF" w:val="clear"/>
            <w:vAlign w:val="bottom"/>
          </w:tcPr>
          <w:p>
            <w:pPr>
              <w:pStyle w:val="TableContents"/>
              <w:spacing w:before="0" w:after="283"/>
              <w:rPr>
                <w:sz w:val="4"/>
                <w:szCs w:val="4"/>
              </w:rPr>
            </w:pPr>
            <w:r>
              <w:rPr>
                <w:sz w:val="4"/>
                <w:szCs w:val="4"/>
              </w:rPr>
            </w:r>
          </w:p>
        </w:tc>
      </w:tr>
      <w:tr>
        <w:trPr/>
        <w:tc>
          <w:tcPr>
            <w:tcW w:w="3621" w:type="dxa"/>
            <w:tcBorders/>
            <w:shd w:fill="auto" w:val="clear"/>
          </w:tcPr>
          <w:p>
            <w:pPr>
              <w:pStyle w:val="TableContents"/>
              <w:spacing w:before="0" w:after="283"/>
              <w:rPr>
                <w:rFonts w:ascii="Times New Roman" w:hAnsi="Times New Roman"/>
                <w:sz w:val="20"/>
              </w:rPr>
            </w:pPr>
            <w:r>
              <w:rPr>
                <w:rFonts w:ascii="Times New Roman" w:hAnsi="Times New Roman"/>
                <w:sz w:val="20"/>
              </w:rPr>
              <w:t>Revenues:</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102"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66"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sz w:val="4"/>
                <w:szCs w:val="4"/>
              </w:rPr>
            </w:pPr>
            <w:r>
              <w:rPr>
                <w:sz w:val="4"/>
                <w:szCs w:val="4"/>
              </w:rPr>
            </w:r>
          </w:p>
        </w:tc>
        <w:tc>
          <w:tcPr>
            <w:tcW w:w="1005"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94" w:type="dxa"/>
            <w:tcBorders/>
            <w:shd w:fill="auto" w:val="clear"/>
            <w:vAlign w:val="bottom"/>
          </w:tcPr>
          <w:p>
            <w:pPr>
              <w:pStyle w:val="TableContents"/>
              <w:spacing w:before="0" w:after="283"/>
              <w:rPr>
                <w:sz w:val="4"/>
                <w:szCs w:val="4"/>
              </w:rPr>
            </w:pPr>
            <w:r>
              <w:rPr>
                <w:sz w:val="4"/>
                <w:szCs w:val="4"/>
              </w:rPr>
            </w:r>
          </w:p>
        </w:tc>
      </w:tr>
      <w:tr>
        <w:trPr/>
        <w:tc>
          <w:tcPr>
            <w:tcW w:w="3621" w:type="dxa"/>
            <w:tcBorders/>
            <w:shd w:fill="CCEEFF" w:val="clear"/>
          </w:tcPr>
          <w:p>
            <w:pPr>
              <w:pStyle w:val="TableContents"/>
              <w:spacing w:before="0" w:after="283"/>
              <w:rPr>
                <w:rFonts w:ascii="Times New Roman" w:hAnsi="Times New Roman"/>
                <w:sz w:val="20"/>
              </w:rPr>
            </w:pPr>
            <w:r>
              <w:rPr>
                <w:rFonts w:ascii="Times New Roman" w:hAnsi="Times New Roman"/>
                <w:sz w:val="20"/>
              </w:rPr>
              <w:t>External Customers</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w:t>
            </w:r>
          </w:p>
        </w:tc>
        <w:tc>
          <w:tcPr>
            <w:tcW w:w="28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5,901</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4" w:type="dxa"/>
            <w:tcBorders/>
            <w:shd w:fill="CCEEFF" w:val="clear"/>
            <w:vAlign w:val="bottom"/>
          </w:tcPr>
          <w:p>
            <w:pPr>
              <w:pStyle w:val="TableContents"/>
              <w:spacing w:before="0" w:after="283"/>
              <w:jc w:val="right"/>
              <w:rPr/>
            </w:pPr>
            <w:r>
              <w:rPr/>
              <w:t>        </w:t>
            </w:r>
            <w:r>
              <w:rPr>
                <w:rFonts w:ascii="Times New Roman" w:hAnsi="Times New Roman"/>
                <w:sz w:val="20"/>
              </w:rPr>
              <w:t>6,124</w:t>
            </w:r>
          </w:p>
        </w:tc>
      </w:tr>
      <w:tr>
        <w:trPr/>
        <w:tc>
          <w:tcPr>
            <w:tcW w:w="3621" w:type="dxa"/>
            <w:tcBorders/>
            <w:shd w:fill="auto" w:val="clear"/>
          </w:tcPr>
          <w:p>
            <w:pPr>
              <w:pStyle w:val="TableContents"/>
              <w:spacing w:before="0" w:after="283"/>
              <w:rPr/>
            </w:pPr>
            <w:r>
              <w:rPr>
                <w:rFonts w:ascii="Times New Roman" w:hAnsi="Times New Roman"/>
                <w:sz w:val="20"/>
              </w:rPr>
              <w:t xml:space="preserve">Intersegment </w:t>
            </w:r>
            <w:r>
              <w:rPr>
                <w:rFonts w:ascii="Times New Roman" w:hAnsi="Times New Roman"/>
                <w:sz w:val="14"/>
              </w:rPr>
              <w:t>(1)</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28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0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r>
      <w:tr>
        <w:trPr/>
        <w:tc>
          <w:tcPr>
            <w:tcW w:w="3621"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02" w:type="dxa"/>
            <w:tcBorders>
              <w:top w:val="single" w:sz="2"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6" w:type="dxa"/>
            <w:tcBorders>
              <w:top w:val="single" w:sz="2"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9" w:type="dxa"/>
            <w:tcBorders>
              <w:top w:val="single" w:sz="2" w:space="0" w:color="000000"/>
            </w:tcBorders>
            <w:shd w:fill="auto" w:val="clear"/>
            <w:tcMar>
              <w:top w:w="28" w:type="dxa"/>
            </w:tcMar>
            <w:vAlign w:val="bottom"/>
          </w:tcPr>
          <w:p>
            <w:pPr>
              <w:pStyle w:val="TableContents"/>
              <w:spacing w:before="0" w:after="283"/>
              <w:rPr/>
            </w:pPr>
            <w:r>
              <w:rPr/>
              <w:t> </w:t>
            </w:r>
          </w:p>
        </w:tc>
        <w:tc>
          <w:tcPr>
            <w:tcW w:w="1005" w:type="dxa"/>
            <w:tcBorders>
              <w:top w:val="single" w:sz="2"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94"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3621"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 of reportable segments</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259</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jc w:val="right"/>
              <w:rPr/>
            </w:pPr>
            <w:r>
              <w:rPr/>
              <w:t>          </w:t>
            </w:r>
            <w:r>
              <w:rPr>
                <w:rFonts w:ascii="Times New Roman" w:hAnsi="Times New Roman"/>
                <w:sz w:val="20"/>
              </w:rPr>
              <w:t>121</w:t>
            </w:r>
          </w:p>
        </w:tc>
        <w:tc>
          <w:tcPr>
            <w:tcW w:w="28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5" w:type="dxa"/>
            <w:tcBorders/>
            <w:shd w:fill="CCEEFF" w:val="clear"/>
            <w:vAlign w:val="bottom"/>
          </w:tcPr>
          <w:p>
            <w:pPr>
              <w:pStyle w:val="TableContents"/>
              <w:spacing w:before="0" w:after="283"/>
              <w:jc w:val="right"/>
              <w:rPr/>
            </w:pPr>
            <w:r>
              <w:rPr/>
              <w:t>    </w:t>
            </w:r>
            <w:r>
              <w:rPr>
                <w:rFonts w:ascii="Times New Roman" w:hAnsi="Times New Roman"/>
                <w:sz w:val="20"/>
              </w:rPr>
              <w:t>5,901</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6,281</w:t>
            </w:r>
          </w:p>
        </w:tc>
      </w:tr>
      <w:tr>
        <w:trPr/>
        <w:tc>
          <w:tcPr>
            <w:tcW w:w="3621"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02"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9" w:type="dxa"/>
            <w:tcBorders>
              <w:top w:val="double" w:sz="6" w:space="0" w:color="000000"/>
            </w:tcBorders>
            <w:shd w:fill="auto" w:val="clear"/>
            <w:tcMar>
              <w:top w:w="28" w:type="dxa"/>
            </w:tcMar>
            <w:vAlign w:val="bottom"/>
          </w:tcPr>
          <w:p>
            <w:pPr>
              <w:pStyle w:val="TableContents"/>
              <w:spacing w:before="0" w:after="283"/>
              <w:rPr/>
            </w:pPr>
            <w:r>
              <w:rPr/>
              <w:t> </w:t>
            </w:r>
          </w:p>
        </w:tc>
        <w:tc>
          <w:tcPr>
            <w:tcW w:w="1005"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94" w:type="dxa"/>
            <w:tcBorders>
              <w:top w:val="double" w:sz="6" w:space="0" w:color="000000"/>
            </w:tcBorders>
            <w:shd w:fill="auto" w:val="clear"/>
            <w:tcMar>
              <w:top w:w="28" w:type="dxa"/>
            </w:tcMar>
            <w:vAlign w:val="bottom"/>
          </w:tcPr>
          <w:p>
            <w:pPr>
              <w:pStyle w:val="TableContents"/>
              <w:spacing w:before="0" w:after="283"/>
              <w:rPr/>
            </w:pPr>
            <w:r>
              <w:rPr/>
              <w:t> </w:t>
            </w:r>
          </w:p>
        </w:tc>
      </w:tr>
      <w:tr>
        <w:trPr/>
        <w:tc>
          <w:tcPr>
            <w:tcW w:w="3621" w:type="dxa"/>
            <w:tcBorders/>
            <w:shd w:fill="auto" w:val="clear"/>
          </w:tcPr>
          <w:p>
            <w:pPr>
              <w:pStyle w:val="TableContents"/>
              <w:spacing w:before="0" w:after="283"/>
              <w:rPr>
                <w:rFonts w:ascii="Times New Roman" w:hAnsi="Times New Roman"/>
                <w:sz w:val="20"/>
              </w:rPr>
            </w:pPr>
            <w:r>
              <w:rPr>
                <w:rFonts w:ascii="Times New Roman" w:hAnsi="Times New Roman"/>
                <w:sz w:val="20"/>
              </w:rPr>
              <w:t>Equity earnings of unconsolidated entities</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8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r>
      <w:tr>
        <w:trPr/>
        <w:tc>
          <w:tcPr>
            <w:tcW w:w="3621"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02"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9" w:type="dxa"/>
            <w:tcBorders>
              <w:top w:val="double" w:sz="6" w:space="0" w:color="000000"/>
            </w:tcBorders>
            <w:shd w:fill="auto" w:val="clear"/>
            <w:tcMar>
              <w:top w:w="28" w:type="dxa"/>
            </w:tcMar>
            <w:vAlign w:val="bottom"/>
          </w:tcPr>
          <w:p>
            <w:pPr>
              <w:pStyle w:val="TableContents"/>
              <w:spacing w:before="0" w:after="283"/>
              <w:rPr/>
            </w:pPr>
            <w:r>
              <w:rPr/>
              <w:t> </w:t>
            </w:r>
          </w:p>
        </w:tc>
        <w:tc>
          <w:tcPr>
            <w:tcW w:w="1005"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94" w:type="dxa"/>
            <w:tcBorders>
              <w:top w:val="double" w:sz="6" w:space="0" w:color="000000"/>
            </w:tcBorders>
            <w:shd w:fill="auto" w:val="clear"/>
            <w:tcMar>
              <w:top w:w="28" w:type="dxa"/>
            </w:tcMar>
            <w:vAlign w:val="bottom"/>
          </w:tcPr>
          <w:p>
            <w:pPr>
              <w:pStyle w:val="TableContents"/>
              <w:spacing w:before="0" w:after="283"/>
              <w:rPr/>
            </w:pPr>
            <w:r>
              <w:rPr/>
              <w:t> </w:t>
            </w:r>
          </w:p>
        </w:tc>
      </w:tr>
      <w:tr>
        <w:trPr/>
        <w:tc>
          <w:tcPr>
            <w:tcW w:w="3621" w:type="dxa"/>
            <w:tcBorders/>
            <w:shd w:fill="CCEEFF" w:val="clear"/>
          </w:tcPr>
          <w:p>
            <w:pPr>
              <w:pStyle w:val="TableContents"/>
              <w:spacing w:before="0" w:after="283"/>
              <w:rPr/>
            </w:pPr>
            <w:r>
              <w:rPr>
                <w:rFonts w:ascii="Times New Roman" w:hAnsi="Times New Roman"/>
                <w:sz w:val="20"/>
              </w:rPr>
              <w:t>Segment profit</w:t>
            </w:r>
            <w:r>
              <w:rPr/>
              <w:t xml:space="preserve"> </w:t>
            </w:r>
            <w:r>
              <w:rPr>
                <w:rFonts w:ascii="Times New Roman" w:hAnsi="Times New Roman"/>
                <w:sz w:val="14"/>
              </w:rPr>
              <w:t xml:space="preserve">(2) (3) </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2" w:type="dxa"/>
            <w:tcBorders/>
            <w:shd w:fill="CCEEFF" w:val="clear"/>
            <w:vAlign w:val="bottom"/>
          </w:tcPr>
          <w:p>
            <w:pPr>
              <w:pStyle w:val="TableContents"/>
              <w:spacing w:before="0" w:after="283"/>
              <w:jc w:val="right"/>
              <w:rPr/>
            </w:pPr>
            <w:r>
              <w:rPr/>
              <w:t>            </w:t>
            </w:r>
            <w:r>
              <w:rPr>
                <w:rFonts w:ascii="Times New Roman" w:hAnsi="Times New Roman"/>
                <w:sz w:val="20"/>
              </w:rPr>
              <w:t>130</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28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w:t>
            </w:r>
          </w:p>
        </w:tc>
      </w:tr>
      <w:tr>
        <w:trPr/>
        <w:tc>
          <w:tcPr>
            <w:tcW w:w="3621"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02"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9" w:type="dxa"/>
            <w:tcBorders>
              <w:top w:val="double" w:sz="6" w:space="0" w:color="000000"/>
            </w:tcBorders>
            <w:shd w:fill="auto" w:val="clear"/>
            <w:tcMar>
              <w:top w:w="28" w:type="dxa"/>
            </w:tcMar>
            <w:vAlign w:val="bottom"/>
          </w:tcPr>
          <w:p>
            <w:pPr>
              <w:pStyle w:val="TableContents"/>
              <w:spacing w:before="0" w:after="283"/>
              <w:rPr/>
            </w:pPr>
            <w:r>
              <w:rPr/>
              <w:t> </w:t>
            </w:r>
          </w:p>
        </w:tc>
        <w:tc>
          <w:tcPr>
            <w:tcW w:w="1005"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94" w:type="dxa"/>
            <w:tcBorders>
              <w:top w:val="double" w:sz="6" w:space="0" w:color="000000"/>
            </w:tcBorders>
            <w:shd w:fill="auto" w:val="clear"/>
            <w:tcMar>
              <w:top w:w="28" w:type="dxa"/>
            </w:tcMar>
            <w:vAlign w:val="bottom"/>
          </w:tcPr>
          <w:p>
            <w:pPr>
              <w:pStyle w:val="TableContents"/>
              <w:spacing w:before="0" w:after="283"/>
              <w:rPr/>
            </w:pPr>
            <w:r>
              <w:rPr/>
              <w:t> </w:t>
            </w:r>
          </w:p>
        </w:tc>
      </w:tr>
      <w:tr>
        <w:trPr/>
        <w:tc>
          <w:tcPr>
            <w:tcW w:w="3621" w:type="dxa"/>
            <w:tcBorders/>
            <w:shd w:fill="auto" w:val="clear"/>
          </w:tcPr>
          <w:p>
            <w:pPr>
              <w:pStyle w:val="TableContents"/>
              <w:spacing w:before="0" w:after="283"/>
              <w:rPr>
                <w:rFonts w:ascii="Times New Roman" w:hAnsi="Times New Roman"/>
                <w:sz w:val="20"/>
              </w:rPr>
            </w:pPr>
            <w:r>
              <w:rPr>
                <w:rFonts w:ascii="Times New Roman" w:hAnsi="Times New Roman"/>
                <w:sz w:val="20"/>
              </w:rPr>
              <w:t>Maintenance capital</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28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r>
      <w:tr>
        <w:trPr/>
        <w:tc>
          <w:tcPr>
            <w:tcW w:w="3621"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02"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9" w:type="dxa"/>
            <w:tcBorders>
              <w:top w:val="double" w:sz="6" w:space="0" w:color="000000"/>
            </w:tcBorders>
            <w:shd w:fill="auto" w:val="clear"/>
            <w:tcMar>
              <w:top w:w="28" w:type="dxa"/>
            </w:tcMar>
            <w:vAlign w:val="bottom"/>
          </w:tcPr>
          <w:p>
            <w:pPr>
              <w:pStyle w:val="TableContents"/>
              <w:spacing w:before="0" w:after="283"/>
              <w:rPr/>
            </w:pPr>
            <w:r>
              <w:rPr/>
              <w:t> </w:t>
            </w:r>
          </w:p>
        </w:tc>
        <w:tc>
          <w:tcPr>
            <w:tcW w:w="1005"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94" w:type="dxa"/>
            <w:tcBorders>
              <w:top w:val="double" w:sz="6" w:space="0" w:color="000000"/>
            </w:tcBorders>
            <w:shd w:fill="auto" w:val="clear"/>
            <w:tcMar>
              <w:top w:w="28" w:type="dxa"/>
            </w:tcMar>
            <w:vAlign w:val="bottom"/>
          </w:tcPr>
          <w:p>
            <w:pPr>
              <w:pStyle w:val="TableContents"/>
              <w:spacing w:before="0" w:after="283"/>
              <w:rPr/>
            </w:pPr>
            <w:r>
              <w:rPr/>
              <w:t> </w:t>
            </w:r>
          </w:p>
        </w:tc>
      </w:tr>
      <w:tr>
        <w:trPr/>
        <w:tc>
          <w:tcPr>
            <w:tcW w:w="3621" w:type="dxa"/>
            <w:tcBorders/>
            <w:shd w:fill="CCEEFF" w:val="clear"/>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02"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66"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sz w:val="4"/>
                <w:szCs w:val="4"/>
              </w:rPr>
            </w:pPr>
            <w:r>
              <w:rPr>
                <w:sz w:val="4"/>
                <w:szCs w:val="4"/>
              </w:rPr>
            </w:r>
          </w:p>
        </w:tc>
        <w:tc>
          <w:tcPr>
            <w:tcW w:w="1005"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94" w:type="dxa"/>
            <w:tcBorders/>
            <w:shd w:fill="CCEEFF" w:val="clear"/>
            <w:vAlign w:val="bottom"/>
          </w:tcPr>
          <w:p>
            <w:pPr>
              <w:pStyle w:val="TableContents"/>
              <w:spacing w:before="0" w:after="283"/>
              <w:rPr>
                <w:sz w:val="4"/>
                <w:szCs w:val="4"/>
              </w:rPr>
            </w:pPr>
            <w:r>
              <w:rPr>
                <w:sz w:val="4"/>
                <w:szCs w:val="4"/>
              </w:rPr>
            </w:r>
          </w:p>
        </w:tc>
      </w:tr>
      <w:tr>
        <w:trPr/>
        <w:tc>
          <w:tcPr>
            <w:tcW w:w="3621" w:type="dxa"/>
            <w:tcBorders/>
            <w:shd w:fill="auto" w:val="clear"/>
          </w:tcPr>
          <w:p>
            <w:pPr>
              <w:pStyle w:val="TableContents"/>
              <w:spacing w:before="0" w:after="283"/>
              <w:rPr>
                <w:rFonts w:ascii="Times New Roman" w:hAnsi="Times New Roman"/>
                <w:b/>
                <w:sz w:val="20"/>
              </w:rPr>
            </w:pPr>
            <w:r>
              <w:rPr>
                <w:rFonts w:ascii="Times New Roman" w:hAnsi="Times New Roman"/>
                <w:b/>
                <w:sz w:val="20"/>
              </w:rPr>
              <w:t>Three Months Ended June 30, 2009</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102"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66"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sz w:val="4"/>
                <w:szCs w:val="4"/>
              </w:rPr>
            </w:pPr>
            <w:r>
              <w:rPr>
                <w:sz w:val="4"/>
                <w:szCs w:val="4"/>
              </w:rPr>
            </w:r>
          </w:p>
        </w:tc>
        <w:tc>
          <w:tcPr>
            <w:tcW w:w="1005"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94" w:type="dxa"/>
            <w:tcBorders/>
            <w:shd w:fill="auto" w:val="clear"/>
            <w:vAlign w:val="bottom"/>
          </w:tcPr>
          <w:p>
            <w:pPr>
              <w:pStyle w:val="TableContents"/>
              <w:spacing w:before="0" w:after="283"/>
              <w:rPr>
                <w:sz w:val="4"/>
                <w:szCs w:val="4"/>
              </w:rPr>
            </w:pPr>
            <w:r>
              <w:rPr>
                <w:sz w:val="4"/>
                <w:szCs w:val="4"/>
              </w:rPr>
            </w:r>
          </w:p>
        </w:tc>
      </w:tr>
      <w:tr>
        <w:trPr/>
        <w:tc>
          <w:tcPr>
            <w:tcW w:w="3621"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02"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66"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sz w:val="4"/>
                <w:szCs w:val="4"/>
              </w:rPr>
            </w:pPr>
            <w:r>
              <w:rPr>
                <w:sz w:val="4"/>
                <w:szCs w:val="4"/>
              </w:rPr>
            </w:r>
          </w:p>
        </w:tc>
        <w:tc>
          <w:tcPr>
            <w:tcW w:w="1005"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94" w:type="dxa"/>
            <w:tcBorders/>
            <w:shd w:fill="CCEEFF" w:val="clear"/>
            <w:vAlign w:val="bottom"/>
          </w:tcPr>
          <w:p>
            <w:pPr>
              <w:pStyle w:val="TableContents"/>
              <w:spacing w:before="0" w:after="283"/>
              <w:rPr>
                <w:sz w:val="4"/>
                <w:szCs w:val="4"/>
              </w:rPr>
            </w:pPr>
            <w:r>
              <w:rPr>
                <w:sz w:val="4"/>
                <w:szCs w:val="4"/>
              </w:rPr>
            </w:r>
          </w:p>
        </w:tc>
      </w:tr>
      <w:tr>
        <w:trPr/>
        <w:tc>
          <w:tcPr>
            <w:tcW w:w="3621" w:type="dxa"/>
            <w:tcBorders/>
            <w:shd w:fill="auto" w:val="clear"/>
          </w:tcPr>
          <w:p>
            <w:pPr>
              <w:pStyle w:val="TableContents"/>
              <w:spacing w:before="0" w:after="283"/>
              <w:rPr>
                <w:rFonts w:ascii="Times New Roman" w:hAnsi="Times New Roman"/>
                <w:sz w:val="20"/>
              </w:rPr>
            </w:pPr>
            <w:r>
              <w:rPr>
                <w:rFonts w:ascii="Times New Roman" w:hAnsi="Times New Roman"/>
                <w:sz w:val="20"/>
              </w:rPr>
              <w:t>External Customers</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28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4,099</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4,282</w:t>
            </w:r>
          </w:p>
        </w:tc>
      </w:tr>
      <w:tr>
        <w:trPr/>
        <w:tc>
          <w:tcPr>
            <w:tcW w:w="3621" w:type="dxa"/>
            <w:tcBorders/>
            <w:shd w:fill="CCEEFF" w:val="clear"/>
          </w:tcPr>
          <w:p>
            <w:pPr>
              <w:pStyle w:val="TableContents"/>
              <w:spacing w:before="0" w:after="283"/>
              <w:rPr/>
            </w:pPr>
            <w:r>
              <w:rPr>
                <w:rFonts w:ascii="Times New Roman" w:hAnsi="Times New Roman"/>
                <w:sz w:val="20"/>
              </w:rPr>
              <w:t xml:space="preserve">Intersegment </w:t>
            </w:r>
            <w:r>
              <w:rPr>
                <w:rFonts w:ascii="Times New Roman" w:hAnsi="Times New Roman"/>
                <w:sz w:val="14"/>
              </w:rPr>
              <w:t>(1)</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28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0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w:t>
            </w:r>
          </w:p>
        </w:tc>
      </w:tr>
      <w:tr>
        <w:trPr/>
        <w:tc>
          <w:tcPr>
            <w:tcW w:w="3621"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02" w:type="dxa"/>
            <w:tcBorders>
              <w:top w:val="single" w:sz="2"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6" w:type="dxa"/>
            <w:tcBorders>
              <w:top w:val="single" w:sz="2"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9" w:type="dxa"/>
            <w:tcBorders>
              <w:top w:val="single" w:sz="2" w:space="0" w:color="000000"/>
            </w:tcBorders>
            <w:shd w:fill="auto" w:val="clear"/>
            <w:tcMar>
              <w:top w:w="28" w:type="dxa"/>
            </w:tcMar>
            <w:vAlign w:val="bottom"/>
          </w:tcPr>
          <w:p>
            <w:pPr>
              <w:pStyle w:val="TableContents"/>
              <w:spacing w:before="0" w:after="283"/>
              <w:rPr/>
            </w:pPr>
            <w:r>
              <w:rPr/>
              <w:t> </w:t>
            </w:r>
          </w:p>
        </w:tc>
        <w:tc>
          <w:tcPr>
            <w:tcW w:w="1005" w:type="dxa"/>
            <w:tcBorders>
              <w:top w:val="single" w:sz="2"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94"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3621" w:type="dxa"/>
            <w:tcBorders/>
            <w:shd w:fill="auto" w:val="clear"/>
          </w:tcPr>
          <w:p>
            <w:pPr>
              <w:pStyle w:val="TableContents"/>
              <w:spacing w:before="0" w:after="283"/>
              <w:rPr>
                <w:rFonts w:ascii="Times New Roman" w:hAnsi="Times New Roman"/>
                <w:sz w:val="20"/>
              </w:rPr>
            </w:pPr>
            <w:r>
              <w:rPr>
                <w:rFonts w:ascii="Times New Roman" w:hAnsi="Times New Roman"/>
                <w:sz w:val="20"/>
              </w:rPr>
              <w:t>Total revenues of reportable segments</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238</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28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4,099</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4,422</w:t>
            </w:r>
          </w:p>
        </w:tc>
      </w:tr>
      <w:tr>
        <w:trPr/>
        <w:tc>
          <w:tcPr>
            <w:tcW w:w="3621"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02"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9" w:type="dxa"/>
            <w:tcBorders>
              <w:top w:val="double" w:sz="6" w:space="0" w:color="000000"/>
            </w:tcBorders>
            <w:shd w:fill="auto" w:val="clear"/>
            <w:tcMar>
              <w:top w:w="28" w:type="dxa"/>
            </w:tcMar>
            <w:vAlign w:val="bottom"/>
          </w:tcPr>
          <w:p>
            <w:pPr>
              <w:pStyle w:val="TableContents"/>
              <w:spacing w:before="0" w:after="283"/>
              <w:rPr/>
            </w:pPr>
            <w:r>
              <w:rPr/>
              <w:t> </w:t>
            </w:r>
          </w:p>
        </w:tc>
        <w:tc>
          <w:tcPr>
            <w:tcW w:w="1005"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94" w:type="dxa"/>
            <w:tcBorders>
              <w:top w:val="double" w:sz="6" w:space="0" w:color="000000"/>
            </w:tcBorders>
            <w:shd w:fill="auto" w:val="clear"/>
            <w:tcMar>
              <w:top w:w="28" w:type="dxa"/>
            </w:tcMar>
            <w:vAlign w:val="bottom"/>
          </w:tcPr>
          <w:p>
            <w:pPr>
              <w:pStyle w:val="TableContents"/>
              <w:spacing w:before="0" w:after="283"/>
              <w:rPr/>
            </w:pPr>
            <w:r>
              <w:rPr/>
              <w:t> </w:t>
            </w:r>
          </w:p>
        </w:tc>
      </w:tr>
      <w:tr>
        <w:trPr/>
        <w:tc>
          <w:tcPr>
            <w:tcW w:w="3621" w:type="dxa"/>
            <w:tcBorders/>
            <w:shd w:fill="CCEEFF" w:val="clear"/>
          </w:tcPr>
          <w:p>
            <w:pPr>
              <w:pStyle w:val="TableContents"/>
              <w:spacing w:before="0" w:after="283"/>
              <w:rPr>
                <w:rFonts w:ascii="Times New Roman" w:hAnsi="Times New Roman"/>
                <w:sz w:val="20"/>
              </w:rPr>
            </w:pPr>
            <w:r>
              <w:rPr>
                <w:rFonts w:ascii="Times New Roman" w:hAnsi="Times New Roman"/>
                <w:sz w:val="20"/>
              </w:rPr>
              <w:t>Equity earnings of unconsolidated entities</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28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r>
      <w:tr>
        <w:trPr/>
        <w:tc>
          <w:tcPr>
            <w:tcW w:w="3621"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02"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9" w:type="dxa"/>
            <w:tcBorders>
              <w:top w:val="double" w:sz="6" w:space="0" w:color="000000"/>
            </w:tcBorders>
            <w:shd w:fill="auto" w:val="clear"/>
            <w:tcMar>
              <w:top w:w="28" w:type="dxa"/>
            </w:tcMar>
            <w:vAlign w:val="bottom"/>
          </w:tcPr>
          <w:p>
            <w:pPr>
              <w:pStyle w:val="TableContents"/>
              <w:spacing w:before="0" w:after="283"/>
              <w:rPr/>
            </w:pPr>
            <w:r>
              <w:rPr/>
              <w:t> </w:t>
            </w:r>
          </w:p>
        </w:tc>
        <w:tc>
          <w:tcPr>
            <w:tcW w:w="1005"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94" w:type="dxa"/>
            <w:tcBorders>
              <w:top w:val="double" w:sz="6" w:space="0" w:color="000000"/>
            </w:tcBorders>
            <w:shd w:fill="auto" w:val="clear"/>
            <w:tcMar>
              <w:top w:w="28" w:type="dxa"/>
            </w:tcMar>
            <w:vAlign w:val="bottom"/>
          </w:tcPr>
          <w:p>
            <w:pPr>
              <w:pStyle w:val="TableContents"/>
              <w:spacing w:before="0" w:after="283"/>
              <w:rPr/>
            </w:pPr>
            <w:r>
              <w:rPr/>
              <w:t> </w:t>
            </w:r>
          </w:p>
        </w:tc>
      </w:tr>
      <w:tr>
        <w:trPr/>
        <w:tc>
          <w:tcPr>
            <w:tcW w:w="3621" w:type="dxa"/>
            <w:tcBorders/>
            <w:shd w:fill="auto" w:val="clear"/>
          </w:tcPr>
          <w:p>
            <w:pPr>
              <w:pStyle w:val="TableContents"/>
              <w:spacing w:before="0" w:after="283"/>
              <w:rPr/>
            </w:pPr>
            <w:r>
              <w:rPr>
                <w:rFonts w:ascii="Times New Roman" w:hAnsi="Times New Roman"/>
                <w:sz w:val="20"/>
              </w:rPr>
              <w:t>Segment profit</w:t>
            </w:r>
            <w:r>
              <w:rPr/>
              <w:t xml:space="preserve"> </w:t>
            </w:r>
            <w:r>
              <w:rPr>
                <w:rFonts w:ascii="Times New Roman" w:hAnsi="Times New Roman"/>
                <w:sz w:val="14"/>
              </w:rPr>
              <w:t xml:space="preserve">(2) (3) </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28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244</w:t>
            </w:r>
          </w:p>
        </w:tc>
      </w:tr>
      <w:tr>
        <w:trPr/>
        <w:tc>
          <w:tcPr>
            <w:tcW w:w="3621"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02"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9" w:type="dxa"/>
            <w:tcBorders>
              <w:top w:val="double" w:sz="6" w:space="0" w:color="000000"/>
            </w:tcBorders>
            <w:shd w:fill="auto" w:val="clear"/>
            <w:tcMar>
              <w:top w:w="28" w:type="dxa"/>
            </w:tcMar>
            <w:vAlign w:val="bottom"/>
          </w:tcPr>
          <w:p>
            <w:pPr>
              <w:pStyle w:val="TableContents"/>
              <w:spacing w:before="0" w:after="283"/>
              <w:rPr/>
            </w:pPr>
            <w:r>
              <w:rPr/>
              <w:t> </w:t>
            </w:r>
          </w:p>
        </w:tc>
        <w:tc>
          <w:tcPr>
            <w:tcW w:w="1005"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94" w:type="dxa"/>
            <w:tcBorders>
              <w:top w:val="double" w:sz="6" w:space="0" w:color="000000"/>
            </w:tcBorders>
            <w:shd w:fill="auto" w:val="clear"/>
            <w:tcMar>
              <w:top w:w="28" w:type="dxa"/>
            </w:tcMar>
            <w:vAlign w:val="bottom"/>
          </w:tcPr>
          <w:p>
            <w:pPr>
              <w:pStyle w:val="TableContents"/>
              <w:spacing w:before="0" w:after="283"/>
              <w:rPr/>
            </w:pPr>
            <w:r>
              <w:rPr/>
              <w:t> </w:t>
            </w:r>
          </w:p>
        </w:tc>
      </w:tr>
      <w:tr>
        <w:trPr/>
        <w:tc>
          <w:tcPr>
            <w:tcW w:w="3621" w:type="dxa"/>
            <w:tcBorders/>
            <w:shd w:fill="CCEEFF" w:val="clear"/>
          </w:tcPr>
          <w:p>
            <w:pPr>
              <w:pStyle w:val="TableContents"/>
              <w:spacing w:before="0" w:after="283"/>
              <w:rPr>
                <w:rFonts w:ascii="Times New Roman" w:hAnsi="Times New Roman"/>
                <w:sz w:val="20"/>
              </w:rPr>
            </w:pPr>
            <w:r>
              <w:rPr>
                <w:rFonts w:ascii="Times New Roman" w:hAnsi="Times New Roman"/>
                <w:sz w:val="20"/>
              </w:rPr>
              <w:t>Maintenance capital</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28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r>
      <w:tr>
        <w:trPr/>
        <w:tc>
          <w:tcPr>
            <w:tcW w:w="3621"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02"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9" w:type="dxa"/>
            <w:tcBorders>
              <w:top w:val="double" w:sz="6" w:space="0" w:color="000000"/>
            </w:tcBorders>
            <w:shd w:fill="auto" w:val="clear"/>
            <w:tcMar>
              <w:top w:w="28" w:type="dxa"/>
            </w:tcMar>
            <w:vAlign w:val="bottom"/>
          </w:tcPr>
          <w:p>
            <w:pPr>
              <w:pStyle w:val="TableContents"/>
              <w:spacing w:before="0" w:after="283"/>
              <w:rPr/>
            </w:pPr>
            <w:r>
              <w:rPr/>
              <w:t> </w:t>
            </w:r>
          </w:p>
        </w:tc>
        <w:tc>
          <w:tcPr>
            <w:tcW w:w="1005"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94" w:type="dxa"/>
            <w:tcBorders>
              <w:top w:val="double" w:sz="6" w:space="0" w:color="000000"/>
            </w:tcBorders>
            <w:shd w:fill="auto" w:val="clear"/>
            <w:tcMar>
              <w:top w:w="28" w:type="dxa"/>
            </w:tcMar>
            <w:vAlign w:val="bottom"/>
          </w:tcPr>
          <w:p>
            <w:pPr>
              <w:pStyle w:val="TableContents"/>
              <w:spacing w:before="0" w:after="283"/>
              <w:rPr/>
            </w:pPr>
            <w:r>
              <w:rPr/>
              <w:t> </w:t>
            </w:r>
          </w:p>
        </w:tc>
      </w:tr>
      <w:tr>
        <w:trPr>
          <w:trHeight w:val="240" w:hRule="atLeast"/>
        </w:trPr>
        <w:tc>
          <w:tcPr>
            <w:tcW w:w="3621" w:type="dxa"/>
            <w:tcBorders/>
            <w:shd w:fill="auto" w:val="clear"/>
            <w:vAlign w:val="center"/>
          </w:tcPr>
          <w:p>
            <w:pPr>
              <w:pStyle w:val="TableContents"/>
              <w:spacing w:before="0" w:after="283"/>
              <w:rPr>
                <w:sz w:val="4"/>
                <w:szCs w:val="4"/>
              </w:rPr>
            </w:pPr>
            <w:r>
              <w:rPr>
                <w:sz w:val="4"/>
                <w:szCs w:val="4"/>
              </w:rPr>
            </w:r>
          </w:p>
        </w:tc>
        <w:tc>
          <w:tcPr>
            <w:tcW w:w="1516" w:type="dxa"/>
            <w:gridSpan w:val="3"/>
            <w:tcBorders/>
            <w:shd w:fill="auto" w:val="clear"/>
            <w:vAlign w:val="center"/>
          </w:tcPr>
          <w:p>
            <w:pPr>
              <w:pStyle w:val="TableContents"/>
              <w:spacing w:before="0" w:after="283"/>
              <w:rPr>
                <w:sz w:val="4"/>
                <w:szCs w:val="4"/>
              </w:rPr>
            </w:pPr>
            <w:r>
              <w:rPr>
                <w:sz w:val="4"/>
                <w:szCs w:val="4"/>
              </w:rPr>
            </w:r>
          </w:p>
        </w:tc>
        <w:tc>
          <w:tcPr>
            <w:tcW w:w="1380"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c>
          <w:tcPr>
            <w:tcW w:w="1408" w:type="dxa"/>
            <w:gridSpan w:val="3"/>
            <w:tcBorders/>
            <w:shd w:fill="auto" w:val="clear"/>
            <w:vAlign w:val="center"/>
          </w:tcPr>
          <w:p>
            <w:pPr>
              <w:pStyle w:val="TableContents"/>
              <w:spacing w:before="0" w:after="283"/>
              <w:rPr>
                <w:sz w:val="4"/>
                <w:szCs w:val="4"/>
              </w:rPr>
            </w:pPr>
            <w:r>
              <w:rPr>
                <w:sz w:val="4"/>
                <w:szCs w:val="4"/>
              </w:rPr>
            </w:r>
          </w:p>
        </w:tc>
      </w:tr>
      <w:tr>
        <w:trPr/>
        <w:tc>
          <w:tcPr>
            <w:tcW w:w="3621"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Transportation</w:t>
            </w:r>
          </w:p>
        </w:tc>
        <w:tc>
          <w:tcPr>
            <w:tcW w:w="289" w:type="dxa"/>
            <w:tcBorders/>
            <w:shd w:fill="auto" w:val="clear"/>
            <w:vAlign w:val="bottom"/>
          </w:tcPr>
          <w:p>
            <w:pPr>
              <w:pStyle w:val="TableContents"/>
              <w:spacing w:before="0" w:after="283"/>
              <w:rPr/>
            </w:pPr>
            <w:r>
              <w:rPr/>
              <w:t>  </w:t>
            </w:r>
          </w:p>
        </w:tc>
        <w:tc>
          <w:tcPr>
            <w:tcW w:w="109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Facilities</w:t>
            </w:r>
          </w:p>
        </w:tc>
        <w:tc>
          <w:tcPr>
            <w:tcW w:w="289" w:type="dxa"/>
            <w:tcBorders/>
            <w:shd w:fill="auto" w:val="clear"/>
            <w:vAlign w:val="bottom"/>
          </w:tcPr>
          <w:p>
            <w:pPr>
              <w:pStyle w:val="TableContents"/>
              <w:spacing w:before="0" w:after="283"/>
              <w:rPr/>
            </w:pPr>
            <w:r>
              <w:rPr/>
              <w:t>  </w:t>
            </w:r>
          </w:p>
        </w:tc>
        <w:tc>
          <w:tcPr>
            <w:tcW w:w="117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Supply &amp; Logistics</w:t>
            </w:r>
          </w:p>
        </w:tc>
        <w:tc>
          <w:tcPr>
            <w:tcW w:w="289" w:type="dxa"/>
            <w:tcBorders/>
            <w:shd w:fill="auto" w:val="clear"/>
            <w:vAlign w:val="bottom"/>
          </w:tcPr>
          <w:p>
            <w:pPr>
              <w:pStyle w:val="TableContents"/>
              <w:spacing w:before="0" w:after="283"/>
              <w:rPr/>
            </w:pPr>
            <w:r>
              <w:rPr/>
              <w:t>  </w:t>
            </w:r>
          </w:p>
        </w:tc>
        <w:tc>
          <w:tcPr>
            <w:tcW w:w="11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r>
      <w:tr>
        <w:trPr/>
        <w:tc>
          <w:tcPr>
            <w:tcW w:w="3621" w:type="dxa"/>
            <w:tcBorders/>
            <w:shd w:fill="CCEEFF" w:val="clear"/>
          </w:tcPr>
          <w:p>
            <w:pPr>
              <w:pStyle w:val="TableContents"/>
              <w:spacing w:before="0" w:after="283"/>
              <w:rPr>
                <w:rFonts w:ascii="Times New Roman" w:hAnsi="Times New Roman"/>
                <w:b/>
                <w:sz w:val="20"/>
              </w:rPr>
            </w:pPr>
            <w:r>
              <w:rPr>
                <w:rFonts w:ascii="Times New Roman" w:hAnsi="Times New Roman"/>
                <w:b/>
                <w:sz w:val="20"/>
              </w:rPr>
              <w:t>Six Months Ended June 30, 2010</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02"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66"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sz w:val="4"/>
                <w:szCs w:val="4"/>
              </w:rPr>
            </w:pPr>
            <w:r>
              <w:rPr>
                <w:sz w:val="4"/>
                <w:szCs w:val="4"/>
              </w:rPr>
            </w:r>
          </w:p>
        </w:tc>
        <w:tc>
          <w:tcPr>
            <w:tcW w:w="1005"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94" w:type="dxa"/>
            <w:tcBorders/>
            <w:shd w:fill="CCEEFF" w:val="clear"/>
            <w:vAlign w:val="bottom"/>
          </w:tcPr>
          <w:p>
            <w:pPr>
              <w:pStyle w:val="TableContents"/>
              <w:spacing w:before="0" w:after="283"/>
              <w:rPr>
                <w:sz w:val="4"/>
                <w:szCs w:val="4"/>
              </w:rPr>
            </w:pPr>
            <w:r>
              <w:rPr>
                <w:sz w:val="4"/>
                <w:szCs w:val="4"/>
              </w:rPr>
            </w:r>
          </w:p>
        </w:tc>
      </w:tr>
      <w:tr>
        <w:trPr/>
        <w:tc>
          <w:tcPr>
            <w:tcW w:w="3621" w:type="dxa"/>
            <w:tcBorders/>
            <w:shd w:fill="auto" w:val="clear"/>
          </w:tcPr>
          <w:p>
            <w:pPr>
              <w:pStyle w:val="TableContents"/>
              <w:spacing w:before="0" w:after="283"/>
              <w:rPr>
                <w:rFonts w:ascii="Times New Roman" w:hAnsi="Times New Roman"/>
                <w:sz w:val="20"/>
              </w:rPr>
            </w:pPr>
            <w:r>
              <w:rPr>
                <w:rFonts w:ascii="Times New Roman" w:hAnsi="Times New Roman"/>
                <w:sz w:val="20"/>
              </w:rPr>
              <w:t>Revenues:</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102"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66"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sz w:val="4"/>
                <w:szCs w:val="4"/>
              </w:rPr>
            </w:pPr>
            <w:r>
              <w:rPr>
                <w:sz w:val="4"/>
                <w:szCs w:val="4"/>
              </w:rPr>
            </w:r>
          </w:p>
        </w:tc>
        <w:tc>
          <w:tcPr>
            <w:tcW w:w="1005"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94" w:type="dxa"/>
            <w:tcBorders/>
            <w:shd w:fill="auto" w:val="clear"/>
            <w:vAlign w:val="bottom"/>
          </w:tcPr>
          <w:p>
            <w:pPr>
              <w:pStyle w:val="TableContents"/>
              <w:spacing w:before="0" w:after="283"/>
              <w:rPr>
                <w:sz w:val="4"/>
                <w:szCs w:val="4"/>
              </w:rPr>
            </w:pPr>
            <w:r>
              <w:rPr>
                <w:sz w:val="4"/>
                <w:szCs w:val="4"/>
              </w:rPr>
            </w:r>
          </w:p>
        </w:tc>
      </w:tr>
      <w:tr>
        <w:trPr/>
        <w:tc>
          <w:tcPr>
            <w:tcW w:w="3621" w:type="dxa"/>
            <w:tcBorders/>
            <w:shd w:fill="CCEEFF" w:val="clear"/>
          </w:tcPr>
          <w:p>
            <w:pPr>
              <w:pStyle w:val="TableContents"/>
              <w:spacing w:before="0" w:after="283"/>
              <w:rPr>
                <w:rFonts w:ascii="Times New Roman" w:hAnsi="Times New Roman"/>
                <w:sz w:val="20"/>
              </w:rPr>
            </w:pPr>
            <w:r>
              <w:rPr>
                <w:rFonts w:ascii="Times New Roman" w:hAnsi="Times New Roman"/>
                <w:sz w:val="20"/>
              </w:rPr>
              <w:t>External Customers</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277</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w:t>
            </w:r>
          </w:p>
        </w:tc>
        <w:tc>
          <w:tcPr>
            <w:tcW w:w="28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11,813</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12,248</w:t>
            </w:r>
          </w:p>
        </w:tc>
      </w:tr>
      <w:tr>
        <w:trPr/>
        <w:tc>
          <w:tcPr>
            <w:tcW w:w="3621" w:type="dxa"/>
            <w:tcBorders/>
            <w:shd w:fill="auto" w:val="clear"/>
          </w:tcPr>
          <w:p>
            <w:pPr>
              <w:pStyle w:val="TableContents"/>
              <w:spacing w:before="0" w:after="283"/>
              <w:rPr/>
            </w:pPr>
            <w:r>
              <w:rPr>
                <w:rFonts w:ascii="Times New Roman" w:hAnsi="Times New Roman"/>
                <w:sz w:val="20"/>
              </w:rPr>
              <w:t xml:space="preserve">Intersegment </w:t>
            </w:r>
            <w:r>
              <w:rPr>
                <w:rFonts w:ascii="Times New Roman" w:hAnsi="Times New Roman"/>
                <w:sz w:val="14"/>
              </w:rPr>
              <w:t>(1)</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232</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w:t>
            </w:r>
          </w:p>
        </w:tc>
        <w:tc>
          <w:tcPr>
            <w:tcW w:w="28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0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310</w:t>
            </w:r>
          </w:p>
        </w:tc>
      </w:tr>
      <w:tr>
        <w:trPr/>
        <w:tc>
          <w:tcPr>
            <w:tcW w:w="3621"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02" w:type="dxa"/>
            <w:tcBorders>
              <w:top w:val="single" w:sz="2"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6" w:type="dxa"/>
            <w:tcBorders>
              <w:top w:val="single" w:sz="2"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9" w:type="dxa"/>
            <w:tcBorders>
              <w:top w:val="single" w:sz="2" w:space="0" w:color="000000"/>
            </w:tcBorders>
            <w:shd w:fill="auto" w:val="clear"/>
            <w:tcMar>
              <w:top w:w="28" w:type="dxa"/>
            </w:tcMar>
            <w:vAlign w:val="bottom"/>
          </w:tcPr>
          <w:p>
            <w:pPr>
              <w:pStyle w:val="TableContents"/>
              <w:spacing w:before="0" w:after="283"/>
              <w:rPr/>
            </w:pPr>
            <w:r>
              <w:rPr/>
              <w:t> </w:t>
            </w:r>
          </w:p>
        </w:tc>
        <w:tc>
          <w:tcPr>
            <w:tcW w:w="1005" w:type="dxa"/>
            <w:tcBorders>
              <w:top w:val="single" w:sz="2"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94"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3621"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 of reportable segments</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509</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w:t>
            </w:r>
          </w:p>
        </w:tc>
        <w:tc>
          <w:tcPr>
            <w:tcW w:w="28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11,814</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12,558</w:t>
            </w:r>
          </w:p>
        </w:tc>
      </w:tr>
      <w:tr>
        <w:trPr/>
        <w:tc>
          <w:tcPr>
            <w:tcW w:w="3621"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02"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9" w:type="dxa"/>
            <w:tcBorders>
              <w:top w:val="double" w:sz="6" w:space="0" w:color="000000"/>
            </w:tcBorders>
            <w:shd w:fill="auto" w:val="clear"/>
            <w:tcMar>
              <w:top w:w="28" w:type="dxa"/>
            </w:tcMar>
            <w:vAlign w:val="bottom"/>
          </w:tcPr>
          <w:p>
            <w:pPr>
              <w:pStyle w:val="TableContents"/>
              <w:spacing w:before="0" w:after="283"/>
              <w:rPr/>
            </w:pPr>
            <w:r>
              <w:rPr/>
              <w:t> </w:t>
            </w:r>
          </w:p>
        </w:tc>
        <w:tc>
          <w:tcPr>
            <w:tcW w:w="1005"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94" w:type="dxa"/>
            <w:tcBorders>
              <w:top w:val="double" w:sz="6" w:space="0" w:color="000000"/>
            </w:tcBorders>
            <w:shd w:fill="auto" w:val="clear"/>
            <w:tcMar>
              <w:top w:w="28" w:type="dxa"/>
            </w:tcMar>
            <w:vAlign w:val="bottom"/>
          </w:tcPr>
          <w:p>
            <w:pPr>
              <w:pStyle w:val="TableContents"/>
              <w:spacing w:before="0" w:after="283"/>
              <w:rPr/>
            </w:pPr>
            <w:r>
              <w:rPr/>
              <w:t> </w:t>
            </w:r>
          </w:p>
        </w:tc>
      </w:tr>
      <w:tr>
        <w:trPr/>
        <w:tc>
          <w:tcPr>
            <w:tcW w:w="3621" w:type="dxa"/>
            <w:tcBorders/>
            <w:shd w:fill="auto" w:val="clear"/>
          </w:tcPr>
          <w:p>
            <w:pPr>
              <w:pStyle w:val="TableContents"/>
              <w:spacing w:before="0" w:after="283"/>
              <w:rPr>
                <w:rFonts w:ascii="Times New Roman" w:hAnsi="Times New Roman"/>
                <w:sz w:val="20"/>
              </w:rPr>
            </w:pPr>
            <w:r>
              <w:rPr>
                <w:rFonts w:ascii="Times New Roman" w:hAnsi="Times New Roman"/>
                <w:sz w:val="20"/>
              </w:rPr>
              <w:t>Equity earnings of unconsolidated entities</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8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r>
      <w:tr>
        <w:trPr/>
        <w:tc>
          <w:tcPr>
            <w:tcW w:w="3621"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02"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9" w:type="dxa"/>
            <w:tcBorders>
              <w:top w:val="double" w:sz="6" w:space="0" w:color="000000"/>
            </w:tcBorders>
            <w:shd w:fill="auto" w:val="clear"/>
            <w:tcMar>
              <w:top w:w="28" w:type="dxa"/>
            </w:tcMar>
            <w:vAlign w:val="bottom"/>
          </w:tcPr>
          <w:p>
            <w:pPr>
              <w:pStyle w:val="TableContents"/>
              <w:spacing w:before="0" w:after="283"/>
              <w:rPr/>
            </w:pPr>
            <w:r>
              <w:rPr/>
              <w:t> </w:t>
            </w:r>
          </w:p>
        </w:tc>
        <w:tc>
          <w:tcPr>
            <w:tcW w:w="1005"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94" w:type="dxa"/>
            <w:tcBorders>
              <w:top w:val="double" w:sz="6" w:space="0" w:color="000000"/>
            </w:tcBorders>
            <w:shd w:fill="auto" w:val="clear"/>
            <w:tcMar>
              <w:top w:w="28" w:type="dxa"/>
            </w:tcMar>
            <w:vAlign w:val="bottom"/>
          </w:tcPr>
          <w:p>
            <w:pPr>
              <w:pStyle w:val="TableContents"/>
              <w:spacing w:before="0" w:after="283"/>
              <w:rPr/>
            </w:pPr>
            <w:r>
              <w:rPr/>
              <w:t> </w:t>
            </w:r>
          </w:p>
        </w:tc>
      </w:tr>
      <w:tr>
        <w:trPr/>
        <w:tc>
          <w:tcPr>
            <w:tcW w:w="3621" w:type="dxa"/>
            <w:tcBorders/>
            <w:shd w:fill="CCEEFF" w:val="clear"/>
          </w:tcPr>
          <w:p>
            <w:pPr>
              <w:pStyle w:val="TableContents"/>
              <w:spacing w:before="0" w:after="283"/>
              <w:rPr/>
            </w:pPr>
            <w:r>
              <w:rPr>
                <w:rFonts w:ascii="Times New Roman" w:hAnsi="Times New Roman"/>
                <w:sz w:val="20"/>
              </w:rPr>
              <w:t>Segment profit</w:t>
            </w:r>
            <w:r>
              <w:rPr/>
              <w:t xml:space="preserve"> </w:t>
            </w:r>
            <w:r>
              <w:rPr>
                <w:rFonts w:ascii="Times New Roman" w:hAnsi="Times New Roman"/>
                <w:sz w:val="14"/>
              </w:rPr>
              <w:t xml:space="preserve">(2) (3) </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w:t>
            </w:r>
          </w:p>
        </w:tc>
        <w:tc>
          <w:tcPr>
            <w:tcW w:w="28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536</w:t>
            </w:r>
          </w:p>
        </w:tc>
      </w:tr>
      <w:tr>
        <w:trPr/>
        <w:tc>
          <w:tcPr>
            <w:tcW w:w="3621"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02"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9" w:type="dxa"/>
            <w:tcBorders>
              <w:top w:val="double" w:sz="6" w:space="0" w:color="000000"/>
            </w:tcBorders>
            <w:shd w:fill="auto" w:val="clear"/>
            <w:tcMar>
              <w:top w:w="28" w:type="dxa"/>
            </w:tcMar>
            <w:vAlign w:val="bottom"/>
          </w:tcPr>
          <w:p>
            <w:pPr>
              <w:pStyle w:val="TableContents"/>
              <w:spacing w:before="0" w:after="283"/>
              <w:rPr/>
            </w:pPr>
            <w:r>
              <w:rPr/>
              <w:t> </w:t>
            </w:r>
          </w:p>
        </w:tc>
        <w:tc>
          <w:tcPr>
            <w:tcW w:w="1005"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94" w:type="dxa"/>
            <w:tcBorders>
              <w:top w:val="double" w:sz="6" w:space="0" w:color="000000"/>
            </w:tcBorders>
            <w:shd w:fill="auto" w:val="clear"/>
            <w:tcMar>
              <w:top w:w="28" w:type="dxa"/>
            </w:tcMar>
            <w:vAlign w:val="bottom"/>
          </w:tcPr>
          <w:p>
            <w:pPr>
              <w:pStyle w:val="TableContents"/>
              <w:spacing w:before="0" w:after="283"/>
              <w:rPr/>
            </w:pPr>
            <w:r>
              <w:rPr/>
              <w:t> </w:t>
            </w:r>
          </w:p>
        </w:tc>
      </w:tr>
      <w:tr>
        <w:trPr/>
        <w:tc>
          <w:tcPr>
            <w:tcW w:w="3621" w:type="dxa"/>
            <w:tcBorders/>
            <w:shd w:fill="auto" w:val="clear"/>
          </w:tcPr>
          <w:p>
            <w:pPr>
              <w:pStyle w:val="TableContents"/>
              <w:spacing w:before="0" w:after="283"/>
              <w:rPr>
                <w:rFonts w:ascii="Times New Roman" w:hAnsi="Times New Roman"/>
                <w:sz w:val="20"/>
              </w:rPr>
            </w:pPr>
            <w:r>
              <w:rPr>
                <w:rFonts w:ascii="Times New Roman" w:hAnsi="Times New Roman"/>
                <w:sz w:val="20"/>
              </w:rPr>
              <w:t>Maintenance capital</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28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r>
      <w:tr>
        <w:trPr/>
        <w:tc>
          <w:tcPr>
            <w:tcW w:w="3621"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02"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9" w:type="dxa"/>
            <w:tcBorders>
              <w:top w:val="double" w:sz="6" w:space="0" w:color="000000"/>
            </w:tcBorders>
            <w:shd w:fill="auto" w:val="clear"/>
            <w:tcMar>
              <w:top w:w="28" w:type="dxa"/>
            </w:tcMar>
            <w:vAlign w:val="bottom"/>
          </w:tcPr>
          <w:p>
            <w:pPr>
              <w:pStyle w:val="TableContents"/>
              <w:spacing w:before="0" w:after="283"/>
              <w:rPr/>
            </w:pPr>
            <w:r>
              <w:rPr/>
              <w:t> </w:t>
            </w:r>
          </w:p>
        </w:tc>
        <w:tc>
          <w:tcPr>
            <w:tcW w:w="1005"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94" w:type="dxa"/>
            <w:tcBorders>
              <w:top w:val="double" w:sz="6" w:space="0" w:color="000000"/>
            </w:tcBorders>
            <w:shd w:fill="auto" w:val="clear"/>
            <w:tcMar>
              <w:top w:w="28" w:type="dxa"/>
            </w:tcMar>
            <w:vAlign w:val="bottom"/>
          </w:tcPr>
          <w:p>
            <w:pPr>
              <w:pStyle w:val="TableContents"/>
              <w:spacing w:before="0" w:after="283"/>
              <w:rPr/>
            </w:pPr>
            <w:r>
              <w:rPr/>
              <w:t> </w:t>
            </w:r>
          </w:p>
        </w:tc>
      </w:tr>
      <w:tr>
        <w:trPr/>
        <w:tc>
          <w:tcPr>
            <w:tcW w:w="3621" w:type="dxa"/>
            <w:tcBorders/>
            <w:shd w:fill="CCEEFF" w:val="clear"/>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02"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66"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sz w:val="4"/>
                <w:szCs w:val="4"/>
              </w:rPr>
            </w:pPr>
            <w:r>
              <w:rPr>
                <w:sz w:val="4"/>
                <w:szCs w:val="4"/>
              </w:rPr>
            </w:r>
          </w:p>
        </w:tc>
        <w:tc>
          <w:tcPr>
            <w:tcW w:w="1005"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94" w:type="dxa"/>
            <w:tcBorders/>
            <w:shd w:fill="CCEEFF" w:val="clear"/>
            <w:vAlign w:val="bottom"/>
          </w:tcPr>
          <w:p>
            <w:pPr>
              <w:pStyle w:val="TableContents"/>
              <w:spacing w:before="0" w:after="283"/>
              <w:rPr>
                <w:sz w:val="4"/>
                <w:szCs w:val="4"/>
              </w:rPr>
            </w:pPr>
            <w:r>
              <w:rPr>
                <w:sz w:val="4"/>
                <w:szCs w:val="4"/>
              </w:rPr>
            </w:r>
          </w:p>
        </w:tc>
      </w:tr>
      <w:tr>
        <w:trPr/>
        <w:tc>
          <w:tcPr>
            <w:tcW w:w="3621" w:type="dxa"/>
            <w:tcBorders/>
            <w:shd w:fill="auto" w:val="clear"/>
          </w:tcPr>
          <w:p>
            <w:pPr>
              <w:pStyle w:val="TableContents"/>
              <w:spacing w:before="0" w:after="283"/>
              <w:rPr>
                <w:rFonts w:ascii="Times New Roman" w:hAnsi="Times New Roman"/>
                <w:b/>
                <w:sz w:val="20"/>
              </w:rPr>
            </w:pPr>
            <w:r>
              <w:rPr>
                <w:rFonts w:ascii="Times New Roman" w:hAnsi="Times New Roman"/>
                <w:b/>
                <w:sz w:val="20"/>
              </w:rPr>
              <w:t>Six Months Ended June 30, 2009</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102"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66"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sz w:val="4"/>
                <w:szCs w:val="4"/>
              </w:rPr>
            </w:pPr>
            <w:r>
              <w:rPr>
                <w:sz w:val="4"/>
                <w:szCs w:val="4"/>
              </w:rPr>
            </w:r>
          </w:p>
        </w:tc>
        <w:tc>
          <w:tcPr>
            <w:tcW w:w="1005"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94" w:type="dxa"/>
            <w:tcBorders/>
            <w:shd w:fill="auto" w:val="clear"/>
            <w:vAlign w:val="bottom"/>
          </w:tcPr>
          <w:p>
            <w:pPr>
              <w:pStyle w:val="TableContents"/>
              <w:spacing w:before="0" w:after="283"/>
              <w:rPr>
                <w:sz w:val="4"/>
                <w:szCs w:val="4"/>
              </w:rPr>
            </w:pPr>
            <w:r>
              <w:rPr>
                <w:sz w:val="4"/>
                <w:szCs w:val="4"/>
              </w:rPr>
            </w:r>
          </w:p>
        </w:tc>
      </w:tr>
      <w:tr>
        <w:trPr/>
        <w:tc>
          <w:tcPr>
            <w:tcW w:w="3621"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02"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66"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sz w:val="4"/>
                <w:szCs w:val="4"/>
              </w:rPr>
            </w:pPr>
            <w:r>
              <w:rPr>
                <w:sz w:val="4"/>
                <w:szCs w:val="4"/>
              </w:rPr>
            </w:r>
          </w:p>
        </w:tc>
        <w:tc>
          <w:tcPr>
            <w:tcW w:w="1005"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94" w:type="dxa"/>
            <w:tcBorders/>
            <w:shd w:fill="CCEEFF" w:val="clear"/>
            <w:vAlign w:val="bottom"/>
          </w:tcPr>
          <w:p>
            <w:pPr>
              <w:pStyle w:val="TableContents"/>
              <w:spacing w:before="0" w:after="283"/>
              <w:rPr>
                <w:sz w:val="4"/>
                <w:szCs w:val="4"/>
              </w:rPr>
            </w:pPr>
            <w:r>
              <w:rPr>
                <w:sz w:val="4"/>
                <w:szCs w:val="4"/>
              </w:rPr>
            </w:r>
          </w:p>
        </w:tc>
      </w:tr>
      <w:tr>
        <w:trPr/>
        <w:tc>
          <w:tcPr>
            <w:tcW w:w="3621" w:type="dxa"/>
            <w:tcBorders/>
            <w:shd w:fill="auto" w:val="clear"/>
          </w:tcPr>
          <w:p>
            <w:pPr>
              <w:pStyle w:val="TableContents"/>
              <w:spacing w:before="0" w:after="283"/>
              <w:rPr>
                <w:rFonts w:ascii="Times New Roman" w:hAnsi="Times New Roman"/>
                <w:sz w:val="20"/>
              </w:rPr>
            </w:pPr>
            <w:r>
              <w:rPr>
                <w:rFonts w:ascii="Times New Roman" w:hAnsi="Times New Roman"/>
                <w:sz w:val="20"/>
              </w:rPr>
              <w:t>External Customers</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254</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28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7,231</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7,585</w:t>
            </w:r>
          </w:p>
        </w:tc>
      </w:tr>
      <w:tr>
        <w:trPr/>
        <w:tc>
          <w:tcPr>
            <w:tcW w:w="3621" w:type="dxa"/>
            <w:tcBorders/>
            <w:shd w:fill="CCEEFF" w:val="clear"/>
          </w:tcPr>
          <w:p>
            <w:pPr>
              <w:pStyle w:val="TableContents"/>
              <w:spacing w:before="0" w:after="283"/>
              <w:rPr/>
            </w:pPr>
            <w:r>
              <w:rPr>
                <w:rFonts w:ascii="Times New Roman" w:hAnsi="Times New Roman"/>
                <w:sz w:val="20"/>
              </w:rPr>
              <w:t xml:space="preserve">Intersegment </w:t>
            </w:r>
            <w:r>
              <w:rPr>
                <w:rFonts w:ascii="Times New Roman" w:hAnsi="Times New Roman"/>
                <w:sz w:val="14"/>
              </w:rPr>
              <w:t>(1)</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28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0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272</w:t>
            </w:r>
          </w:p>
        </w:tc>
      </w:tr>
      <w:tr>
        <w:trPr/>
        <w:tc>
          <w:tcPr>
            <w:tcW w:w="3621"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02" w:type="dxa"/>
            <w:tcBorders>
              <w:top w:val="single" w:sz="2"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6" w:type="dxa"/>
            <w:tcBorders>
              <w:top w:val="single" w:sz="2"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9" w:type="dxa"/>
            <w:tcBorders>
              <w:top w:val="single" w:sz="2" w:space="0" w:color="000000"/>
            </w:tcBorders>
            <w:shd w:fill="auto" w:val="clear"/>
            <w:tcMar>
              <w:top w:w="28" w:type="dxa"/>
            </w:tcMar>
            <w:vAlign w:val="bottom"/>
          </w:tcPr>
          <w:p>
            <w:pPr>
              <w:pStyle w:val="TableContents"/>
              <w:spacing w:before="0" w:after="283"/>
              <w:rPr/>
            </w:pPr>
            <w:r>
              <w:rPr/>
              <w:t> </w:t>
            </w:r>
          </w:p>
        </w:tc>
        <w:tc>
          <w:tcPr>
            <w:tcW w:w="1005" w:type="dxa"/>
            <w:tcBorders>
              <w:top w:val="single" w:sz="2"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94"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3621" w:type="dxa"/>
            <w:tcBorders/>
            <w:shd w:fill="auto" w:val="clear"/>
          </w:tcPr>
          <w:p>
            <w:pPr>
              <w:pStyle w:val="TableContents"/>
              <w:spacing w:before="0" w:after="283"/>
              <w:rPr>
                <w:rFonts w:ascii="Times New Roman" w:hAnsi="Times New Roman"/>
                <w:sz w:val="20"/>
              </w:rPr>
            </w:pPr>
            <w:r>
              <w:rPr>
                <w:rFonts w:ascii="Times New Roman" w:hAnsi="Times New Roman"/>
                <w:sz w:val="20"/>
              </w:rPr>
              <w:t>Total revenues of reportable segments</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464</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162</w:t>
            </w:r>
          </w:p>
        </w:tc>
        <w:tc>
          <w:tcPr>
            <w:tcW w:w="28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7,231</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7,857</w:t>
            </w:r>
          </w:p>
        </w:tc>
      </w:tr>
      <w:tr>
        <w:trPr/>
        <w:tc>
          <w:tcPr>
            <w:tcW w:w="3621"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02"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9" w:type="dxa"/>
            <w:tcBorders>
              <w:top w:val="double" w:sz="6" w:space="0" w:color="000000"/>
            </w:tcBorders>
            <w:shd w:fill="auto" w:val="clear"/>
            <w:tcMar>
              <w:top w:w="28" w:type="dxa"/>
            </w:tcMar>
            <w:vAlign w:val="bottom"/>
          </w:tcPr>
          <w:p>
            <w:pPr>
              <w:pStyle w:val="TableContents"/>
              <w:spacing w:before="0" w:after="283"/>
              <w:rPr/>
            </w:pPr>
            <w:r>
              <w:rPr/>
              <w:t> </w:t>
            </w:r>
          </w:p>
        </w:tc>
        <w:tc>
          <w:tcPr>
            <w:tcW w:w="1005"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94" w:type="dxa"/>
            <w:tcBorders>
              <w:top w:val="double" w:sz="6" w:space="0" w:color="000000"/>
            </w:tcBorders>
            <w:shd w:fill="auto" w:val="clear"/>
            <w:tcMar>
              <w:top w:w="28" w:type="dxa"/>
            </w:tcMar>
            <w:vAlign w:val="bottom"/>
          </w:tcPr>
          <w:p>
            <w:pPr>
              <w:pStyle w:val="TableContents"/>
              <w:spacing w:before="0" w:after="283"/>
              <w:rPr/>
            </w:pPr>
            <w:r>
              <w:rPr/>
              <w:t> </w:t>
            </w:r>
          </w:p>
        </w:tc>
      </w:tr>
      <w:tr>
        <w:trPr/>
        <w:tc>
          <w:tcPr>
            <w:tcW w:w="3621" w:type="dxa"/>
            <w:tcBorders/>
            <w:shd w:fill="CCEEFF" w:val="clear"/>
          </w:tcPr>
          <w:p>
            <w:pPr>
              <w:pStyle w:val="TableContents"/>
              <w:spacing w:before="0" w:after="283"/>
              <w:rPr>
                <w:rFonts w:ascii="Times New Roman" w:hAnsi="Times New Roman"/>
                <w:sz w:val="20"/>
              </w:rPr>
            </w:pPr>
            <w:r>
              <w:rPr>
                <w:rFonts w:ascii="Times New Roman" w:hAnsi="Times New Roman"/>
                <w:sz w:val="20"/>
              </w:rPr>
              <w:t>Equity earnings of unconsolidated entities</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28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r>
      <w:tr>
        <w:trPr/>
        <w:tc>
          <w:tcPr>
            <w:tcW w:w="3621"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02"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9" w:type="dxa"/>
            <w:tcBorders>
              <w:top w:val="double" w:sz="6" w:space="0" w:color="000000"/>
            </w:tcBorders>
            <w:shd w:fill="auto" w:val="clear"/>
            <w:tcMar>
              <w:top w:w="28" w:type="dxa"/>
            </w:tcMar>
            <w:vAlign w:val="bottom"/>
          </w:tcPr>
          <w:p>
            <w:pPr>
              <w:pStyle w:val="TableContents"/>
              <w:spacing w:before="0" w:after="283"/>
              <w:rPr/>
            </w:pPr>
            <w:r>
              <w:rPr/>
              <w:t> </w:t>
            </w:r>
          </w:p>
        </w:tc>
        <w:tc>
          <w:tcPr>
            <w:tcW w:w="1005"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94" w:type="dxa"/>
            <w:tcBorders>
              <w:top w:val="double" w:sz="6" w:space="0" w:color="000000"/>
            </w:tcBorders>
            <w:shd w:fill="auto" w:val="clear"/>
            <w:tcMar>
              <w:top w:w="28" w:type="dxa"/>
            </w:tcMar>
            <w:vAlign w:val="bottom"/>
          </w:tcPr>
          <w:p>
            <w:pPr>
              <w:pStyle w:val="TableContents"/>
              <w:spacing w:before="0" w:after="283"/>
              <w:rPr/>
            </w:pPr>
            <w:r>
              <w:rPr/>
              <w:t> </w:t>
            </w:r>
          </w:p>
        </w:tc>
      </w:tr>
      <w:tr>
        <w:trPr/>
        <w:tc>
          <w:tcPr>
            <w:tcW w:w="3621" w:type="dxa"/>
            <w:tcBorders/>
            <w:shd w:fill="auto" w:val="clear"/>
          </w:tcPr>
          <w:p>
            <w:pPr>
              <w:pStyle w:val="TableContents"/>
              <w:spacing w:before="0" w:after="283"/>
              <w:rPr/>
            </w:pPr>
            <w:r>
              <w:rPr>
                <w:rFonts w:ascii="Times New Roman" w:hAnsi="Times New Roman"/>
                <w:sz w:val="20"/>
              </w:rPr>
              <w:t>Segment profit</w:t>
            </w:r>
            <w:r>
              <w:rPr/>
              <w:t xml:space="preserve"> </w:t>
            </w:r>
            <w:r>
              <w:rPr>
                <w:rFonts w:ascii="Times New Roman" w:hAnsi="Times New Roman"/>
                <w:sz w:val="14"/>
              </w:rPr>
              <w:t xml:space="preserve">(2) (3) </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226</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w:t>
            </w:r>
          </w:p>
        </w:tc>
        <w:tc>
          <w:tcPr>
            <w:tcW w:w="28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238</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562</w:t>
            </w:r>
          </w:p>
        </w:tc>
      </w:tr>
      <w:tr>
        <w:trPr/>
        <w:tc>
          <w:tcPr>
            <w:tcW w:w="3621"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02"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9" w:type="dxa"/>
            <w:tcBorders>
              <w:top w:val="double" w:sz="6" w:space="0" w:color="000000"/>
            </w:tcBorders>
            <w:shd w:fill="auto" w:val="clear"/>
            <w:tcMar>
              <w:top w:w="28" w:type="dxa"/>
            </w:tcMar>
            <w:vAlign w:val="bottom"/>
          </w:tcPr>
          <w:p>
            <w:pPr>
              <w:pStyle w:val="TableContents"/>
              <w:spacing w:before="0" w:after="283"/>
              <w:rPr/>
            </w:pPr>
            <w:r>
              <w:rPr/>
              <w:t> </w:t>
            </w:r>
          </w:p>
        </w:tc>
        <w:tc>
          <w:tcPr>
            <w:tcW w:w="1005"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94" w:type="dxa"/>
            <w:tcBorders>
              <w:top w:val="double" w:sz="6" w:space="0" w:color="000000"/>
            </w:tcBorders>
            <w:shd w:fill="auto" w:val="clear"/>
            <w:tcMar>
              <w:top w:w="28" w:type="dxa"/>
            </w:tcMar>
            <w:vAlign w:val="bottom"/>
          </w:tcPr>
          <w:p>
            <w:pPr>
              <w:pStyle w:val="TableContents"/>
              <w:spacing w:before="0" w:after="283"/>
              <w:rPr/>
            </w:pPr>
            <w:r>
              <w:rPr/>
              <w:t> </w:t>
            </w:r>
          </w:p>
        </w:tc>
      </w:tr>
      <w:tr>
        <w:trPr/>
        <w:tc>
          <w:tcPr>
            <w:tcW w:w="3621" w:type="dxa"/>
            <w:tcBorders/>
            <w:shd w:fill="CCEEFF" w:val="clear"/>
          </w:tcPr>
          <w:p>
            <w:pPr>
              <w:pStyle w:val="TableContents"/>
              <w:spacing w:before="0" w:after="283"/>
              <w:rPr>
                <w:rFonts w:ascii="Times New Roman" w:hAnsi="Times New Roman"/>
                <w:sz w:val="20"/>
              </w:rPr>
            </w:pPr>
            <w:r>
              <w:rPr>
                <w:rFonts w:ascii="Times New Roman" w:hAnsi="Times New Roman"/>
                <w:sz w:val="20"/>
              </w:rPr>
              <w:t>Maintenance capital</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28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r>
      <w:tr>
        <w:trPr/>
        <w:tc>
          <w:tcPr>
            <w:tcW w:w="3621"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02"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9" w:type="dxa"/>
            <w:tcBorders>
              <w:top w:val="double" w:sz="6" w:space="0" w:color="000000"/>
            </w:tcBorders>
            <w:shd w:fill="auto" w:val="clear"/>
            <w:tcMar>
              <w:top w:w="28" w:type="dxa"/>
            </w:tcMar>
            <w:vAlign w:val="bottom"/>
          </w:tcPr>
          <w:p>
            <w:pPr>
              <w:pStyle w:val="TableContents"/>
              <w:spacing w:before="0" w:after="283"/>
              <w:rPr/>
            </w:pPr>
            <w:r>
              <w:rPr/>
              <w:t> </w:t>
            </w:r>
          </w:p>
        </w:tc>
        <w:tc>
          <w:tcPr>
            <w:tcW w:w="1005" w:type="dxa"/>
            <w:tcBorders>
              <w:top w:val="double" w:sz="6" w:space="0" w:color="000000"/>
            </w:tcBorders>
            <w:shd w:fill="auto" w:val="clear"/>
            <w:tcMar>
              <w:top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94"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pBdr>
          <w:bottom w:val="single" w:sz="16"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rFonts w:ascii="Times New Roman" w:hAnsi="Times New Roman"/>
                <w:sz w:val="14"/>
              </w:rPr>
              <w:t>(1)</w:t>
            </w:r>
            <w:r>
              <w:rPr/>
              <w:t xml:space="preserve">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Segment revenues and purchases and related costs include intersegment amounts. Intersegment sales are conducted at posted tariff rates, rates similar to those charged to third parties or rates that we believe approximate market rates. For further discussion, see Analysis of Operating Segments under Item 7 of our 2009 Annual Report on Form 10-K.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rFonts w:ascii="Times New Roman" w:hAnsi="Times New Roman"/>
                <w:sz w:val="14"/>
              </w:rPr>
              <w:t>(2)</w:t>
            </w:r>
            <w:r>
              <w:rPr/>
              <w:t xml:space="preserve">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Supply and logistics segment profit includes interest expense on contango inventory purchases of $5 million and $3 million for the three months ended June 30, 2010 and 2009, respectively, and $8 million and $5 million for the six months ended June 30, 2010 and 2009, respectively.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rFonts w:ascii="Times New Roman" w:hAnsi="Times New Roman"/>
                <w:sz w:val="14"/>
              </w:rPr>
              <w:t>(3)</w:t>
            </w:r>
            <w:r>
              <w:rPr/>
              <w:t xml:space="preserve">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following table reconciles segment profit to net income attributable to Plains (in millions):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4303"/>
        <w:gridCol w:w="196"/>
        <w:gridCol w:w="125"/>
        <w:gridCol w:w="1059"/>
        <w:gridCol w:w="125"/>
        <w:gridCol w:w="155"/>
        <w:gridCol w:w="125"/>
        <w:gridCol w:w="1059"/>
        <w:gridCol w:w="125"/>
        <w:gridCol w:w="154"/>
        <w:gridCol w:w="125"/>
        <w:gridCol w:w="1059"/>
        <w:gridCol w:w="125"/>
        <w:gridCol w:w="155"/>
        <w:gridCol w:w="125"/>
        <w:gridCol w:w="1059"/>
        <w:gridCol w:w="131"/>
      </w:tblGrid>
      <w:tr>
        <w:trPr/>
        <w:tc>
          <w:tcPr>
            <w:tcW w:w="430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4303"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2648"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For the Three  Months</w:t>
            </w:r>
            <w:r>
              <w:rPr/>
              <w:br/>
            </w:r>
            <w:r>
              <w:rPr>
                <w:rFonts w:ascii="Times New Roman" w:hAnsi="Times New Roman"/>
                <w:b/>
                <w:sz w:val="14"/>
              </w:rPr>
              <w:t>Ended June 30,</w:t>
            </w:r>
          </w:p>
        </w:tc>
        <w:tc>
          <w:tcPr>
            <w:tcW w:w="12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648"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For the Six  Months</w:t>
            </w:r>
            <w:r>
              <w:rPr/>
              <w:br/>
            </w:r>
            <w:r>
              <w:rPr>
                <w:rFonts w:ascii="Times New Roman" w:hAnsi="Times New Roman"/>
                <w:b/>
                <w:sz w:val="14"/>
              </w:rPr>
              <w:t>Ended June 30,</w:t>
            </w:r>
          </w:p>
        </w:tc>
        <w:tc>
          <w:tcPr>
            <w:tcW w:w="131" w:type="dxa"/>
            <w:tcBorders/>
            <w:shd w:fill="auto" w:val="clear"/>
            <w:vAlign w:val="bottom"/>
          </w:tcPr>
          <w:p>
            <w:pPr>
              <w:pStyle w:val="TableContents"/>
              <w:spacing w:before="0" w:after="283"/>
              <w:rPr/>
            </w:pPr>
            <w:r>
              <w:rPr/>
              <w:t> </w:t>
            </w:r>
          </w:p>
        </w:tc>
      </w:tr>
      <w:tr>
        <w:trPr/>
        <w:tc>
          <w:tcPr>
            <w:tcW w:w="4303"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18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18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8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18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31" w:type="dxa"/>
            <w:tcBorders/>
            <w:shd w:fill="auto" w:val="clear"/>
            <w:vAlign w:val="bottom"/>
          </w:tcPr>
          <w:p>
            <w:pPr>
              <w:pStyle w:val="TableContents"/>
              <w:spacing w:before="0" w:after="283"/>
              <w:rPr/>
            </w:pPr>
            <w:r>
              <w:rPr/>
              <w:t> </w:t>
            </w:r>
          </w:p>
        </w:tc>
      </w:tr>
      <w:tr>
        <w:trPr/>
        <w:tc>
          <w:tcPr>
            <w:tcW w:w="4303" w:type="dxa"/>
            <w:tcBorders/>
            <w:shd w:fill="CCEEFF" w:val="clear"/>
          </w:tcPr>
          <w:p>
            <w:pPr>
              <w:pStyle w:val="TableContents"/>
              <w:spacing w:before="0" w:after="283"/>
              <w:rPr>
                <w:rFonts w:ascii="Times New Roman" w:hAnsi="Times New Roman"/>
                <w:sz w:val="20"/>
              </w:rPr>
            </w:pPr>
            <w:r>
              <w:rPr>
                <w:rFonts w:ascii="Times New Roman" w:hAnsi="Times New Roman"/>
                <w:sz w:val="20"/>
              </w:rPr>
              <w:t>Segment profit</w:t>
            </w:r>
          </w:p>
        </w:tc>
        <w:tc>
          <w:tcPr>
            <w:tcW w:w="1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9" w:type="dxa"/>
            <w:tcBorders/>
            <w:shd w:fill="CCEEFF" w:val="clear"/>
            <w:vAlign w:val="bottom"/>
          </w:tcPr>
          <w:p>
            <w:pPr>
              <w:pStyle w:val="TableContents"/>
              <w:spacing w:before="0" w:after="283"/>
              <w:jc w:val="right"/>
              <w:rPr/>
            </w:pPr>
            <w:r>
              <w:rPr/>
              <w:t>            </w:t>
            </w:r>
            <w:r>
              <w:rPr>
                <w:rFonts w:ascii="Times New Roman" w:hAnsi="Times New Roman"/>
                <w:sz w:val="20"/>
              </w:rPr>
              <w:t>257</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9" w:type="dxa"/>
            <w:tcBorders/>
            <w:shd w:fill="CCEEFF" w:val="clear"/>
            <w:vAlign w:val="bottom"/>
          </w:tcPr>
          <w:p>
            <w:pPr>
              <w:pStyle w:val="TableContents"/>
              <w:spacing w:before="0" w:after="283"/>
              <w:jc w:val="right"/>
              <w:rPr/>
            </w:pPr>
            <w:r>
              <w:rPr/>
              <w:t>            </w:t>
            </w:r>
            <w:r>
              <w:rPr>
                <w:rFonts w:ascii="Times New Roman" w:hAnsi="Times New Roman"/>
                <w:sz w:val="20"/>
              </w:rPr>
              <w:t>244</w:t>
            </w:r>
          </w:p>
        </w:tc>
        <w:tc>
          <w:tcPr>
            <w:tcW w:w="12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9" w:type="dxa"/>
            <w:tcBorders/>
            <w:shd w:fill="CCEEFF" w:val="clear"/>
            <w:vAlign w:val="bottom"/>
          </w:tcPr>
          <w:p>
            <w:pPr>
              <w:pStyle w:val="TableContents"/>
              <w:spacing w:before="0" w:after="283"/>
              <w:jc w:val="right"/>
              <w:rPr/>
            </w:pPr>
            <w:r>
              <w:rPr/>
              <w:t>            </w:t>
            </w:r>
            <w:r>
              <w:rPr>
                <w:rFonts w:ascii="Times New Roman" w:hAnsi="Times New Roman"/>
                <w:sz w:val="20"/>
              </w:rPr>
              <w:t>536</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9" w:type="dxa"/>
            <w:tcBorders/>
            <w:shd w:fill="CCEEFF" w:val="clear"/>
            <w:vAlign w:val="bottom"/>
          </w:tcPr>
          <w:p>
            <w:pPr>
              <w:pStyle w:val="TableContents"/>
              <w:spacing w:before="0" w:after="283"/>
              <w:jc w:val="right"/>
              <w:rPr/>
            </w:pPr>
            <w:r>
              <w:rPr/>
              <w:t>            </w:t>
            </w:r>
            <w:r>
              <w:rPr>
                <w:rFonts w:ascii="Times New Roman" w:hAnsi="Times New Roman"/>
                <w:sz w:val="20"/>
              </w:rPr>
              <w:t>562</w:t>
            </w:r>
          </w:p>
        </w:tc>
        <w:tc>
          <w:tcPr>
            <w:tcW w:w="131" w:type="dxa"/>
            <w:tcBorders/>
            <w:shd w:fill="CCEEFF" w:val="clear"/>
            <w:vAlign w:val="bottom"/>
          </w:tcPr>
          <w:p>
            <w:pPr>
              <w:pStyle w:val="TableContents"/>
              <w:spacing w:before="0" w:after="283"/>
              <w:rPr/>
            </w:pPr>
            <w:r>
              <w:rPr/>
              <w:t>  </w:t>
            </w:r>
          </w:p>
        </w:tc>
      </w:tr>
      <w:tr>
        <w:trPr/>
        <w:tc>
          <w:tcPr>
            <w:tcW w:w="4303"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1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03"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1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03" w:type="dxa"/>
            <w:tcBorders/>
            <w:shd w:fill="auto" w:val="clear"/>
          </w:tcPr>
          <w:p>
            <w:pPr>
              <w:pStyle w:val="TableContents"/>
              <w:spacing w:before="0" w:after="283"/>
              <w:rPr>
                <w:rFonts w:ascii="Times New Roman" w:hAnsi="Times New Roman"/>
                <w:sz w:val="20"/>
              </w:rPr>
            </w:pPr>
            <w:r>
              <w:rPr>
                <w:rFonts w:ascii="Times New Roman" w:hAnsi="Times New Roman"/>
                <w:sz w:val="20"/>
              </w:rPr>
              <w:t>Other income, net</w:t>
            </w:r>
          </w:p>
        </w:tc>
        <w:tc>
          <w:tcPr>
            <w:tcW w:w="1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31" w:type="dxa"/>
            <w:tcBorders/>
            <w:shd w:fill="auto" w:val="clear"/>
            <w:vAlign w:val="bottom"/>
          </w:tcPr>
          <w:p>
            <w:pPr>
              <w:pStyle w:val="TableContents"/>
              <w:spacing w:before="0" w:after="283"/>
              <w:rPr/>
            </w:pPr>
            <w:r>
              <w:rPr/>
              <w:t>  </w:t>
            </w:r>
          </w:p>
        </w:tc>
      </w:tr>
      <w:tr>
        <w:trPr/>
        <w:tc>
          <w:tcPr>
            <w:tcW w:w="4303"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benefit</w:t>
            </w:r>
          </w:p>
        </w:tc>
        <w:tc>
          <w:tcPr>
            <w:tcW w:w="1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1" w:type="dxa"/>
            <w:tcBorders/>
            <w:shd w:fill="CCEEFF" w:val="clear"/>
            <w:vAlign w:val="bottom"/>
          </w:tcPr>
          <w:p>
            <w:pPr>
              <w:pStyle w:val="TableContents"/>
              <w:spacing w:before="0" w:after="283"/>
              <w:rPr/>
            </w:pPr>
            <w:r>
              <w:rPr/>
              <w:t>  </w:t>
            </w:r>
          </w:p>
        </w:tc>
      </w:tr>
      <w:tr>
        <w:trPr/>
        <w:tc>
          <w:tcPr>
            <w:tcW w:w="4303" w:type="dxa"/>
            <w:tcBorders/>
            <w:shd w:fill="auto" w:val="clear"/>
            <w:vAlign w:val="bottom"/>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5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5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5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59" w:type="dxa"/>
            <w:tcBorders>
              <w:top w:val="single" w:sz="2"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303"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1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2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284</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347</w:t>
            </w:r>
          </w:p>
        </w:tc>
        <w:tc>
          <w:tcPr>
            <w:tcW w:w="131" w:type="dxa"/>
            <w:tcBorders/>
            <w:shd w:fill="auto" w:val="clear"/>
            <w:vAlign w:val="bottom"/>
          </w:tcPr>
          <w:p>
            <w:pPr>
              <w:pStyle w:val="TableContents"/>
              <w:spacing w:before="0" w:after="283"/>
              <w:rPr/>
            </w:pPr>
            <w:r>
              <w:rPr/>
              <w:t>  </w:t>
            </w:r>
          </w:p>
        </w:tc>
      </w:tr>
      <w:tr>
        <w:trPr/>
        <w:tc>
          <w:tcPr>
            <w:tcW w:w="4303" w:type="dxa"/>
            <w:tcBorders/>
            <w:shd w:fill="CCEEFF" w:val="clear"/>
          </w:tcPr>
          <w:p>
            <w:pPr>
              <w:pStyle w:val="TableContents"/>
              <w:spacing w:before="0" w:after="283"/>
              <w:rPr>
                <w:rFonts w:ascii="Times New Roman" w:hAnsi="Times New Roman"/>
                <w:sz w:val="20"/>
              </w:rPr>
            </w:pPr>
            <w:r>
              <w:rPr>
                <w:rFonts w:ascii="Times New Roman" w:hAnsi="Times New Roman"/>
                <w:sz w:val="20"/>
              </w:rPr>
              <w:t>Less: Net income attributable to noncontrolling interests</w:t>
            </w:r>
          </w:p>
        </w:tc>
        <w:tc>
          <w:tcPr>
            <w:tcW w:w="1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CCEEFF" w:val="clear"/>
            <w:vAlign w:val="bottom"/>
          </w:tcPr>
          <w:p>
            <w:pPr>
              <w:pStyle w:val="TableContents"/>
              <w:spacing w:before="0" w:after="283"/>
              <w:rPr/>
            </w:pPr>
            <w:r>
              <w:rPr/>
              <w:t>  </w:t>
            </w:r>
          </w:p>
        </w:tc>
      </w:tr>
      <w:tr>
        <w:trPr/>
        <w:tc>
          <w:tcPr>
            <w:tcW w:w="4303" w:type="dxa"/>
            <w:tcBorders/>
            <w:shd w:fill="auto" w:val="clear"/>
            <w:vAlign w:val="bottom"/>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5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5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5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59" w:type="dxa"/>
            <w:tcBorders>
              <w:top w:val="single" w:sz="2"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303"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Plains</w:t>
            </w:r>
          </w:p>
        </w:tc>
        <w:tc>
          <w:tcPr>
            <w:tcW w:w="1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2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282</w:t>
            </w:r>
          </w:p>
        </w:tc>
        <w:tc>
          <w:tcPr>
            <w:tcW w:w="12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347</w:t>
            </w:r>
          </w:p>
        </w:tc>
        <w:tc>
          <w:tcPr>
            <w:tcW w:w="131" w:type="dxa"/>
            <w:tcBorders/>
            <w:shd w:fill="auto" w:val="clear"/>
            <w:vAlign w:val="bottom"/>
          </w:tcPr>
          <w:p>
            <w:pPr>
              <w:pStyle w:val="TableContents"/>
              <w:spacing w:before="0" w:after="283"/>
              <w:rPr/>
            </w:pPr>
            <w:r>
              <w:rPr/>
              <w:t>  </w:t>
            </w:r>
          </w:p>
        </w:tc>
      </w:tr>
      <w:tr>
        <w:trPr/>
        <w:tc>
          <w:tcPr>
            <w:tcW w:w="4303" w:type="dxa"/>
            <w:tcBorders/>
            <w:shd w:fill="auto" w:val="clear"/>
            <w:vAlign w:val="bottom"/>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5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5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5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59" w:type="dxa"/>
            <w:tcBorders>
              <w:top w:val="double" w:sz="6"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270" w:after="0"/>
        <w:rPr>
          <w:rFonts w:ascii="Times New Roman" w:hAnsi="Times New Roman"/>
          <w:b/>
          <w:sz w:val="20"/>
        </w:rPr>
      </w:pPr>
      <w:bookmarkStart w:id="23" w:name="tx73093_21"/>
      <w:bookmarkEnd w:id="23"/>
      <w:r>
        <w:rPr>
          <w:rFonts w:ascii="Times New Roman" w:hAnsi="Times New Roman"/>
          <w:b/>
          <w:sz w:val="20"/>
        </w:rPr>
        <w:t xml:space="preserve">Note 12Supplemental Condensed Consolidating Financial Information </w:t>
      </w:r>
    </w:p>
    <w:p>
      <w:pPr>
        <w:pStyle w:val="TextBody"/>
        <w:spacing w:before="90" w:after="0"/>
        <w:rPr>
          <w:rFonts w:ascii="Times New Roman" w:hAnsi="Times New Roman"/>
          <w:sz w:val="20"/>
        </w:rPr>
      </w:pPr>
      <w:r>
        <w:rPr>
          <w:rFonts w:ascii="Times New Roman" w:hAnsi="Times New Roman"/>
          <w:sz w:val="20"/>
        </w:rPr>
        <w:t xml:space="preserve">For purposes of this Note 12, Plains is referred to as Parent. See Note 13 to our Consolidated Financial Statements included in Part IV of our 2009 Annual Report on Form 10-K for further detail regarding subsidiaries classified as Guarantor Subsidiaries and subsidiaries classified as Non-Guarantor Subsidiaries. There have been no material changes in the entities that constitute our guarantor and non-guarantor subsidiaries since December 31, 2009. </w:t>
      </w:r>
    </w:p>
    <w:p>
      <w:pPr>
        <w:pStyle w:val="TextBody"/>
        <w:spacing w:before="180" w:after="0"/>
        <w:rPr>
          <w:rFonts w:ascii="Times New Roman" w:hAnsi="Times New Roman"/>
          <w:sz w:val="20"/>
        </w:rPr>
      </w:pPr>
      <w:r>
        <w:rPr>
          <w:rFonts w:ascii="Times New Roman" w:hAnsi="Times New Roman"/>
          <w:sz w:val="20"/>
        </w:rPr>
        <w:t xml:space="preserve">The following supplemental condensed consolidating financial information reflects the Parents separate accounts, the combined accounts of the Guarantor Subsidiaries, the combined accounts of the Non-Guarantor Subsidiaries, the combined consolidating adjustments and eliminations and the Parents consolidated accounts for the dates and periods indicated. For purposes of the following condensed consolidating information, the Parents investments in its subsidiaries and the Guarantor Subsidiaries investments in their subsidiaries are accounted for under the equity method of accounting (in millions): </w:t>
      </w:r>
    </w:p>
    <w:p>
      <w:pPr>
        <w:pStyle w:val="TextBody"/>
        <w:spacing w:before="270" w:after="0"/>
        <w:rPr>
          <w:rFonts w:ascii="Times New Roman" w:hAnsi="Times New Roman"/>
          <w:b/>
          <w:sz w:val="20"/>
        </w:rPr>
      </w:pPr>
      <w:r>
        <w:rPr>
          <w:rFonts w:ascii="Times New Roman" w:hAnsi="Times New Roman"/>
          <w:b/>
          <w:sz w:val="20"/>
        </w:rPr>
        <w:t xml:space="preserve">Condensed Consolidating Balance Sheet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706"/>
        <w:gridCol w:w="168"/>
        <w:gridCol w:w="125"/>
        <w:gridCol w:w="979"/>
        <w:gridCol w:w="168"/>
        <w:gridCol w:w="125"/>
        <w:gridCol w:w="1241"/>
        <w:gridCol w:w="167"/>
        <w:gridCol w:w="125"/>
        <w:gridCol w:w="1466"/>
        <w:gridCol w:w="168"/>
        <w:gridCol w:w="125"/>
        <w:gridCol w:w="1026"/>
        <w:gridCol w:w="125"/>
        <w:gridCol w:w="121"/>
        <w:gridCol w:w="125"/>
        <w:gridCol w:w="1245"/>
      </w:tblGrid>
      <w:tr>
        <w:trPr/>
        <w:tc>
          <w:tcPr>
            <w:tcW w:w="270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r>
      <w:tr>
        <w:trPr/>
        <w:tc>
          <w:tcPr>
            <w:tcW w:w="270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7331" w:type="dxa"/>
            <w:gridSpan w:val="1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of June 30, 2010</w:t>
            </w:r>
          </w:p>
        </w:tc>
      </w:tr>
      <w:tr>
        <w:trPr/>
        <w:tc>
          <w:tcPr>
            <w:tcW w:w="270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0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Parent</w:t>
            </w:r>
          </w:p>
        </w:tc>
        <w:tc>
          <w:tcPr>
            <w:tcW w:w="168" w:type="dxa"/>
            <w:tcBorders/>
            <w:shd w:fill="auto" w:val="clear"/>
            <w:vAlign w:val="bottom"/>
          </w:tcPr>
          <w:p>
            <w:pPr>
              <w:pStyle w:val="TableContents"/>
              <w:spacing w:before="0" w:after="283"/>
              <w:rPr/>
            </w:pPr>
            <w:r>
              <w:rPr/>
              <w:t>  </w:t>
            </w:r>
          </w:p>
        </w:tc>
        <w:tc>
          <w:tcPr>
            <w:tcW w:w="136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Combined</w:t>
              <w:br/>
              <w:t>Guarantor</w:t>
              <w:br/>
              <w:t>Subsidiaries</w:t>
            </w:r>
          </w:p>
        </w:tc>
        <w:tc>
          <w:tcPr>
            <w:tcW w:w="167" w:type="dxa"/>
            <w:tcBorders/>
            <w:shd w:fill="auto" w:val="clear"/>
            <w:vAlign w:val="bottom"/>
          </w:tcPr>
          <w:p>
            <w:pPr>
              <w:pStyle w:val="TableContents"/>
              <w:spacing w:before="0" w:after="283"/>
              <w:rPr/>
            </w:pPr>
            <w:r>
              <w:rPr/>
              <w:t>  </w:t>
            </w:r>
          </w:p>
        </w:tc>
        <w:tc>
          <w:tcPr>
            <w:tcW w:w="159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Combined</w:t>
              <w:br/>
              <w:t>Non-Guarantor</w:t>
              <w:br/>
              <w:t>Subsidiaries</w:t>
            </w:r>
          </w:p>
        </w:tc>
        <w:tc>
          <w:tcPr>
            <w:tcW w:w="168" w:type="dxa"/>
            <w:tcBorders/>
            <w:shd w:fill="auto" w:val="clear"/>
            <w:vAlign w:val="bottom"/>
          </w:tcPr>
          <w:p>
            <w:pPr>
              <w:pStyle w:val="TableContents"/>
              <w:spacing w:before="0" w:after="283"/>
              <w:rPr/>
            </w:pPr>
            <w:r>
              <w:rPr/>
              <w:t>  </w:t>
            </w:r>
          </w:p>
        </w:tc>
        <w:tc>
          <w:tcPr>
            <w:tcW w:w="115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Eliminations</w:t>
            </w:r>
          </w:p>
        </w:tc>
        <w:tc>
          <w:tcPr>
            <w:tcW w:w="12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37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Consolidated</w:t>
            </w:r>
          </w:p>
        </w:tc>
      </w:tr>
      <w:tr>
        <w:trPr/>
        <w:tc>
          <w:tcPr>
            <w:tcW w:w="2706" w:type="dxa"/>
            <w:tcBorders/>
            <w:shd w:fill="CCEEFF" w:val="clear"/>
          </w:tcPr>
          <w:p>
            <w:pPr>
              <w:pStyle w:val="TableContents"/>
              <w:spacing w:before="0" w:after="283"/>
              <w:rPr>
                <w:rFonts w:ascii="Times New Roman" w:hAnsi="Times New Roman"/>
                <w:b/>
                <w:sz w:val="20"/>
              </w:rPr>
            </w:pPr>
            <w:r>
              <w:rPr>
                <w:rFonts w:ascii="Times New Roman" w:hAnsi="Times New Roman"/>
                <w:b/>
                <w:sz w:val="20"/>
              </w:rPr>
              <w:t>ASSETS</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79" w:type="dxa"/>
            <w:tcBorders/>
            <w:shd w:fill="CCEEFF" w:val="clear"/>
            <w:vAlign w:val="bottom"/>
          </w:tcPr>
          <w:p>
            <w:pPr>
              <w:pStyle w:val="TableContents"/>
              <w:spacing w:before="0" w:after="283"/>
              <w:rPr>
                <w:sz w:val="4"/>
                <w:szCs w:val="4"/>
              </w:rPr>
            </w:pPr>
            <w:r>
              <w:rPr>
                <w:sz w:val="4"/>
                <w:szCs w:val="4"/>
              </w:rPr>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241" w:type="dxa"/>
            <w:tcBorders/>
            <w:shd w:fill="CCEEFF" w:val="clear"/>
            <w:vAlign w:val="bottom"/>
          </w:tcPr>
          <w:p>
            <w:pPr>
              <w:pStyle w:val="TableContents"/>
              <w:spacing w:before="0" w:after="283"/>
              <w:rPr>
                <w:sz w:val="4"/>
                <w:szCs w:val="4"/>
              </w:rPr>
            </w:pPr>
            <w:r>
              <w:rPr>
                <w:sz w:val="4"/>
                <w:szCs w:val="4"/>
              </w:rPr>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466" w:type="dxa"/>
            <w:tcBorders/>
            <w:shd w:fill="CCEEFF" w:val="clear"/>
            <w:vAlign w:val="bottom"/>
          </w:tcPr>
          <w:p>
            <w:pPr>
              <w:pStyle w:val="TableContents"/>
              <w:spacing w:before="0" w:after="283"/>
              <w:rPr>
                <w:sz w:val="4"/>
                <w:szCs w:val="4"/>
              </w:rPr>
            </w:pPr>
            <w:r>
              <w:rPr>
                <w:sz w:val="4"/>
                <w:szCs w:val="4"/>
              </w:rPr>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2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245" w:type="dxa"/>
            <w:tcBorders/>
            <w:shd w:fill="CCEEFF" w:val="clear"/>
            <w:vAlign w:val="bottom"/>
          </w:tcPr>
          <w:p>
            <w:pPr>
              <w:pStyle w:val="TableContents"/>
              <w:spacing w:before="0" w:after="283"/>
              <w:rPr>
                <w:sz w:val="4"/>
                <w:szCs w:val="4"/>
              </w:rPr>
            </w:pPr>
            <w:r>
              <w:rPr>
                <w:sz w:val="4"/>
                <w:szCs w:val="4"/>
              </w:rPr>
            </w:r>
          </w:p>
        </w:tc>
      </w:tr>
      <w:tr>
        <w:trPr/>
        <w:tc>
          <w:tcPr>
            <w:tcW w:w="2706"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9" w:type="dxa"/>
            <w:tcBorders/>
            <w:shd w:fill="auto" w:val="clear"/>
            <w:vAlign w:val="bottom"/>
          </w:tcPr>
          <w:p>
            <w:pPr>
              <w:pStyle w:val="TableContents"/>
              <w:spacing w:before="0" w:after="283"/>
              <w:jc w:val="right"/>
              <w:rPr/>
            </w:pPr>
            <w:r>
              <w:rPr/>
              <w:t>        </w:t>
            </w:r>
            <w:r>
              <w:rPr>
                <w:rFonts w:ascii="Times New Roman" w:hAnsi="Times New Roman"/>
                <w:sz w:val="20"/>
              </w:rPr>
              <w:t>2,935</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41" w:type="dxa"/>
            <w:tcBorders/>
            <w:shd w:fill="auto" w:val="clear"/>
            <w:vAlign w:val="bottom"/>
          </w:tcPr>
          <w:p>
            <w:pPr>
              <w:pStyle w:val="TableContents"/>
              <w:spacing w:before="0" w:after="283"/>
              <w:jc w:val="right"/>
              <w:rPr/>
            </w:pPr>
            <w:r>
              <w:rPr/>
              <w:t>            </w:t>
            </w:r>
            <w:r>
              <w:rPr>
                <w:rFonts w:ascii="Times New Roman" w:hAnsi="Times New Roman"/>
                <w:sz w:val="20"/>
              </w:rPr>
              <w:t>3,693</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255</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6" w:type="dxa"/>
            <w:tcBorders/>
            <w:shd w:fill="auto" w:val="clear"/>
            <w:vAlign w:val="bottom"/>
          </w:tcPr>
          <w:p>
            <w:pPr>
              <w:pStyle w:val="TableContents"/>
              <w:spacing w:before="0" w:after="283"/>
              <w:jc w:val="right"/>
              <w:rPr/>
            </w:pPr>
            <w:r>
              <w:rPr/>
              <w:t>        </w:t>
            </w:r>
            <w:r>
              <w:rPr>
                <w:rFonts w:ascii="Times New Roman" w:hAnsi="Times New Roman"/>
                <w:sz w:val="20"/>
              </w:rPr>
              <w:t>(3,385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45" w:type="dxa"/>
            <w:tcBorders/>
            <w:shd w:fill="auto" w:val="clear"/>
            <w:vAlign w:val="bottom"/>
          </w:tcPr>
          <w:p>
            <w:pPr>
              <w:pStyle w:val="TableContents"/>
              <w:spacing w:before="0" w:after="283"/>
              <w:jc w:val="right"/>
              <w:rPr/>
            </w:pPr>
            <w:r>
              <w:rPr/>
              <w:t>            </w:t>
            </w:r>
            <w:r>
              <w:rPr>
                <w:rFonts w:ascii="Times New Roman" w:hAnsi="Times New Roman"/>
                <w:sz w:val="20"/>
              </w:rPr>
              <w:t>3,498</w:t>
            </w:r>
          </w:p>
        </w:tc>
      </w:tr>
      <w:tr>
        <w:trPr/>
        <w:tc>
          <w:tcPr>
            <w:tcW w:w="2706" w:type="dxa"/>
            <w:tcBorders/>
            <w:shd w:fill="CCEEFF" w:val="clear"/>
          </w:tcPr>
          <w:p>
            <w:pPr>
              <w:pStyle w:val="TableContents"/>
              <w:spacing w:before="0" w:after="283"/>
              <w:rPr>
                <w:rFonts w:ascii="Times New Roman" w:hAnsi="Times New Roman"/>
                <w:sz w:val="20"/>
              </w:rPr>
            </w:pPr>
            <w:r>
              <w:rPr>
                <w:rFonts w:ascii="Times New Roman" w:hAnsi="Times New Roman"/>
                <w:sz w:val="20"/>
              </w:rPr>
              <w:t>Property, plant and equipment, net</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4,643</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1,767</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6,410</w:t>
            </w:r>
          </w:p>
        </w:tc>
      </w:tr>
      <w:tr>
        <w:trPr/>
        <w:tc>
          <w:tcPr>
            <w:tcW w:w="2706" w:type="dxa"/>
            <w:tcBorders/>
            <w:shd w:fill="auto" w:val="clear"/>
          </w:tcPr>
          <w:p>
            <w:pPr>
              <w:pStyle w:val="TableContents"/>
              <w:spacing w:before="0" w:after="283"/>
              <w:rPr>
                <w:rFonts w:ascii="Times New Roman" w:hAnsi="Times New Roman"/>
                <w:sz w:val="20"/>
              </w:rPr>
            </w:pPr>
            <w:r>
              <w:rPr>
                <w:rFonts w:ascii="Times New Roman" w:hAnsi="Times New Roman"/>
                <w:sz w:val="20"/>
              </w:rPr>
              <w:t>Other assets, net</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6,022</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3,949</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369</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(7,880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2,460</w:t>
            </w:r>
          </w:p>
        </w:tc>
      </w:tr>
      <w:tr>
        <w:trPr/>
        <w:tc>
          <w:tcPr>
            <w:tcW w:w="2706"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79" w:type="dxa"/>
            <w:tcBorders>
              <w:top w:val="single" w:sz="2"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41" w:type="dxa"/>
            <w:tcBorders>
              <w:top w:val="single" w:sz="2" w:space="0" w:color="000000"/>
            </w:tcBorders>
            <w:shd w:fill="auto" w:val="clear"/>
            <w:tcMar>
              <w:top w:w="28" w:type="dxa"/>
            </w:tcM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466" w:type="dxa"/>
            <w:tcBorders>
              <w:top w:val="single" w:sz="2"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45"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2706"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8,957</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12,285</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2,391</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(11,265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12,368</w:t>
            </w:r>
          </w:p>
        </w:tc>
      </w:tr>
      <w:tr>
        <w:trPr/>
        <w:tc>
          <w:tcPr>
            <w:tcW w:w="2706"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79" w:type="dxa"/>
            <w:tcBorders>
              <w:top w:val="double" w:sz="6"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241" w:type="dxa"/>
            <w:tcBorders>
              <w:top w:val="double" w:sz="6" w:space="0" w:color="000000"/>
            </w:tcBorders>
            <w:shd w:fill="auto" w:val="clear"/>
            <w:tcMar>
              <w:top w:w="28" w:type="dxa"/>
            </w:tcM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466" w:type="dxa"/>
            <w:tcBorders>
              <w:top w:val="double" w:sz="6"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2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245" w:type="dxa"/>
            <w:tcBorders>
              <w:top w:val="double" w:sz="6" w:space="0" w:color="000000"/>
            </w:tcBorders>
            <w:shd w:fill="auto" w:val="clear"/>
            <w:tcMar>
              <w:top w:w="28" w:type="dxa"/>
            </w:tcMar>
            <w:vAlign w:val="bottom"/>
          </w:tcPr>
          <w:p>
            <w:pPr>
              <w:pStyle w:val="TableContents"/>
              <w:spacing w:before="0" w:after="283"/>
              <w:rPr/>
            </w:pPr>
            <w:r>
              <w:rPr/>
              <w:t> </w:t>
            </w:r>
          </w:p>
        </w:tc>
      </w:tr>
      <w:tr>
        <w:trPr/>
        <w:tc>
          <w:tcPr>
            <w:tcW w:w="2706" w:type="dxa"/>
            <w:tcBorders/>
            <w:shd w:fill="auto" w:val="clea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79"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241" w:type="dxa"/>
            <w:tcBorders/>
            <w:shd w:fill="auto" w:val="clear"/>
            <w:vAlign w:val="bottom"/>
          </w:tcPr>
          <w:p>
            <w:pPr>
              <w:pStyle w:val="TableContents"/>
              <w:spacing w:before="0" w:after="283"/>
              <w:rPr>
                <w:sz w:val="4"/>
                <w:szCs w:val="4"/>
              </w:rPr>
            </w:pPr>
            <w:r>
              <w:rPr>
                <w:sz w:val="4"/>
                <w:szCs w:val="4"/>
              </w:rPr>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466"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245" w:type="dxa"/>
            <w:tcBorders/>
            <w:shd w:fill="auto" w:val="clear"/>
            <w:vAlign w:val="bottom"/>
          </w:tcPr>
          <w:p>
            <w:pPr>
              <w:pStyle w:val="TableContents"/>
              <w:spacing w:before="0" w:after="283"/>
              <w:rPr>
                <w:sz w:val="4"/>
                <w:szCs w:val="4"/>
              </w:rPr>
            </w:pPr>
            <w:r>
              <w:rPr>
                <w:sz w:val="4"/>
                <w:szCs w:val="4"/>
              </w:rPr>
            </w:r>
          </w:p>
        </w:tc>
      </w:tr>
      <w:tr>
        <w:trPr/>
        <w:tc>
          <w:tcPr>
            <w:tcW w:w="2706" w:type="dxa"/>
            <w:tcBorders/>
            <w:shd w:fill="CCEEFF" w:val="clear"/>
          </w:tcPr>
          <w:p>
            <w:pPr>
              <w:pStyle w:val="TableContents"/>
              <w:spacing w:before="0" w:after="283"/>
              <w:rPr>
                <w:rFonts w:ascii="Times New Roman" w:hAnsi="Times New Roman"/>
                <w:b/>
                <w:sz w:val="20"/>
              </w:rPr>
            </w:pPr>
            <w:r>
              <w:rPr>
                <w:rFonts w:ascii="Times New Roman" w:hAnsi="Times New Roman"/>
                <w:b/>
                <w:sz w:val="20"/>
              </w:rPr>
              <w:t>LIABILITIES AND PARTNERS CAPITAL</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79" w:type="dxa"/>
            <w:tcBorders/>
            <w:shd w:fill="CCEEFF" w:val="clear"/>
            <w:vAlign w:val="bottom"/>
          </w:tcPr>
          <w:p>
            <w:pPr>
              <w:pStyle w:val="TableContents"/>
              <w:spacing w:before="0" w:after="283"/>
              <w:rPr>
                <w:sz w:val="4"/>
                <w:szCs w:val="4"/>
              </w:rPr>
            </w:pPr>
            <w:r>
              <w:rPr>
                <w:sz w:val="4"/>
                <w:szCs w:val="4"/>
              </w:rPr>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241" w:type="dxa"/>
            <w:tcBorders/>
            <w:shd w:fill="CCEEFF" w:val="clear"/>
            <w:vAlign w:val="bottom"/>
          </w:tcPr>
          <w:p>
            <w:pPr>
              <w:pStyle w:val="TableContents"/>
              <w:spacing w:before="0" w:after="283"/>
              <w:rPr>
                <w:sz w:val="4"/>
                <w:szCs w:val="4"/>
              </w:rPr>
            </w:pPr>
            <w:r>
              <w:rPr>
                <w:sz w:val="4"/>
                <w:szCs w:val="4"/>
              </w:rPr>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466" w:type="dxa"/>
            <w:tcBorders/>
            <w:shd w:fill="CCEEFF" w:val="clear"/>
            <w:vAlign w:val="bottom"/>
          </w:tcPr>
          <w:p>
            <w:pPr>
              <w:pStyle w:val="TableContents"/>
              <w:spacing w:before="0" w:after="283"/>
              <w:rPr>
                <w:sz w:val="4"/>
                <w:szCs w:val="4"/>
              </w:rPr>
            </w:pPr>
            <w:r>
              <w:rPr>
                <w:sz w:val="4"/>
                <w:szCs w:val="4"/>
              </w:rPr>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2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245" w:type="dxa"/>
            <w:tcBorders/>
            <w:shd w:fill="CCEEFF" w:val="clear"/>
            <w:vAlign w:val="bottom"/>
          </w:tcPr>
          <w:p>
            <w:pPr>
              <w:pStyle w:val="TableContents"/>
              <w:spacing w:before="0" w:after="283"/>
              <w:rPr>
                <w:sz w:val="4"/>
                <w:szCs w:val="4"/>
              </w:rPr>
            </w:pPr>
            <w:r>
              <w:rPr>
                <w:sz w:val="4"/>
                <w:szCs w:val="4"/>
              </w:rPr>
            </w:r>
          </w:p>
        </w:tc>
      </w:tr>
      <w:tr>
        <w:trPr/>
        <w:tc>
          <w:tcPr>
            <w:tcW w:w="2706"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402</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6,060</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299</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(3,384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3,377</w:t>
            </w:r>
          </w:p>
        </w:tc>
      </w:tr>
      <w:tr>
        <w:trPr/>
        <w:tc>
          <w:tcPr>
            <w:tcW w:w="2706"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4,140</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4,350</w:t>
            </w:r>
          </w:p>
        </w:tc>
      </w:tr>
      <w:tr>
        <w:trPr/>
        <w:tc>
          <w:tcPr>
            <w:tcW w:w="2706" w:type="dxa"/>
            <w:tcBorders/>
            <w:shd w:fill="auto" w:val="clear"/>
          </w:tcPr>
          <w:p>
            <w:pPr>
              <w:pStyle w:val="TableContents"/>
              <w:spacing w:before="0" w:after="283"/>
              <w:rPr>
                <w:rFonts w:ascii="Times New Roman" w:hAnsi="Times New Roman"/>
                <w:sz w:val="20"/>
              </w:rPr>
            </w:pPr>
            <w:r>
              <w:rPr>
                <w:rFonts w:ascii="Times New Roman" w:hAnsi="Times New Roman"/>
                <w:sz w:val="20"/>
              </w:rPr>
              <w:t>Other long-term liabilities</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223</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226</w:t>
            </w:r>
          </w:p>
        </w:tc>
      </w:tr>
      <w:tr>
        <w:trPr/>
        <w:tc>
          <w:tcPr>
            <w:tcW w:w="2706"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79" w:type="dxa"/>
            <w:tcBorders>
              <w:top w:val="single" w:sz="2"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41" w:type="dxa"/>
            <w:tcBorders>
              <w:top w:val="single" w:sz="2" w:space="0" w:color="000000"/>
            </w:tcBorders>
            <w:shd w:fill="auto" w:val="clear"/>
            <w:tcMar>
              <w:top w:w="28" w:type="dxa"/>
            </w:tcM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466" w:type="dxa"/>
            <w:tcBorders>
              <w:top w:val="single" w:sz="2"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45"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2706"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4,542</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6,289</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511</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(3,389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7,953</w:t>
            </w:r>
          </w:p>
        </w:tc>
      </w:tr>
      <w:tr>
        <w:trPr/>
        <w:tc>
          <w:tcPr>
            <w:tcW w:w="2706"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79" w:type="dxa"/>
            <w:tcBorders>
              <w:top w:val="single" w:sz="2"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41" w:type="dxa"/>
            <w:tcBorders>
              <w:top w:val="single" w:sz="2" w:space="0" w:color="000000"/>
            </w:tcBorders>
            <w:shd w:fill="auto" w:val="clear"/>
            <w:tcMar>
              <w:top w:w="28" w:type="dxa"/>
            </w:tcM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466" w:type="dxa"/>
            <w:tcBorders>
              <w:top w:val="single" w:sz="2"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45"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2706" w:type="dxa"/>
            <w:tcBorders/>
            <w:shd w:fill="auto" w:val="clea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79"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241" w:type="dxa"/>
            <w:tcBorders/>
            <w:shd w:fill="auto" w:val="clear"/>
            <w:vAlign w:val="bottom"/>
          </w:tcPr>
          <w:p>
            <w:pPr>
              <w:pStyle w:val="TableContents"/>
              <w:spacing w:before="0" w:after="283"/>
              <w:rPr>
                <w:sz w:val="4"/>
                <w:szCs w:val="4"/>
              </w:rPr>
            </w:pPr>
            <w:r>
              <w:rPr>
                <w:sz w:val="4"/>
                <w:szCs w:val="4"/>
              </w:rPr>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466"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245" w:type="dxa"/>
            <w:tcBorders/>
            <w:shd w:fill="auto" w:val="clear"/>
            <w:vAlign w:val="bottom"/>
          </w:tcPr>
          <w:p>
            <w:pPr>
              <w:pStyle w:val="TableContents"/>
              <w:spacing w:before="0" w:after="283"/>
              <w:rPr>
                <w:sz w:val="4"/>
                <w:szCs w:val="4"/>
              </w:rPr>
            </w:pPr>
            <w:r>
              <w:rPr>
                <w:sz w:val="4"/>
                <w:szCs w:val="4"/>
              </w:rPr>
            </w:r>
          </w:p>
        </w:tc>
      </w:tr>
      <w:tr>
        <w:trPr/>
        <w:tc>
          <w:tcPr>
            <w:tcW w:w="2706" w:type="dxa"/>
            <w:tcBorders/>
            <w:shd w:fill="CCEEFF" w:val="clear"/>
          </w:tcPr>
          <w:p>
            <w:pPr>
              <w:pStyle w:val="TableContents"/>
              <w:spacing w:before="0" w:after="283"/>
              <w:rPr>
                <w:rFonts w:ascii="Times New Roman" w:hAnsi="Times New Roman"/>
                <w:sz w:val="20"/>
              </w:rPr>
            </w:pPr>
            <w:r>
              <w:rPr>
                <w:rFonts w:ascii="Times New Roman" w:hAnsi="Times New Roman"/>
                <w:sz w:val="20"/>
              </w:rPr>
              <w:t>Partners capital excluding noncontrolling interests</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4,184</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5,933</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1,880</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(7,813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4,184</w:t>
            </w:r>
          </w:p>
        </w:tc>
      </w:tr>
      <w:tr>
        <w:trPr/>
        <w:tc>
          <w:tcPr>
            <w:tcW w:w="2706" w:type="dxa"/>
            <w:tcBorders/>
            <w:shd w:fill="auto" w:val="clear"/>
          </w:tcPr>
          <w:p>
            <w:pPr>
              <w:pStyle w:val="TableContents"/>
              <w:spacing w:before="0" w:after="283"/>
              <w:rPr>
                <w:rFonts w:ascii="Times New Roman" w:hAnsi="Times New Roman"/>
                <w:sz w:val="20"/>
              </w:rPr>
            </w:pPr>
            <w:r>
              <w:rPr>
                <w:rFonts w:ascii="Times New Roman" w:hAnsi="Times New Roman"/>
                <w:sz w:val="20"/>
              </w:rPr>
              <w:t>Noncontrolling interests</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231</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231</w:t>
            </w:r>
          </w:p>
        </w:tc>
      </w:tr>
      <w:tr>
        <w:trPr/>
        <w:tc>
          <w:tcPr>
            <w:tcW w:w="2706"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79" w:type="dxa"/>
            <w:tcBorders>
              <w:top w:val="single" w:sz="2"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41" w:type="dxa"/>
            <w:tcBorders>
              <w:top w:val="single" w:sz="2" w:space="0" w:color="000000"/>
            </w:tcBorders>
            <w:shd w:fill="auto" w:val="clear"/>
            <w:tcMar>
              <w:top w:w="28" w:type="dxa"/>
            </w:tcM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466" w:type="dxa"/>
            <w:tcBorders>
              <w:top w:val="single" w:sz="2"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45"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2706" w:type="dxa"/>
            <w:tcBorders/>
            <w:shd w:fill="CCEEFF" w:val="clear"/>
          </w:tcPr>
          <w:p>
            <w:pPr>
              <w:pStyle w:val="TableContents"/>
              <w:spacing w:before="0" w:after="283"/>
              <w:rPr>
                <w:rFonts w:ascii="Times New Roman" w:hAnsi="Times New Roman"/>
                <w:sz w:val="20"/>
              </w:rPr>
            </w:pPr>
            <w:r>
              <w:rPr>
                <w:rFonts w:ascii="Times New Roman" w:hAnsi="Times New Roman"/>
                <w:sz w:val="20"/>
              </w:rPr>
              <w:t>Total partners capital</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4,415</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5,996</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1,880</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(7,876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4,415</w:t>
            </w:r>
          </w:p>
        </w:tc>
      </w:tr>
      <w:tr>
        <w:trPr/>
        <w:tc>
          <w:tcPr>
            <w:tcW w:w="2706"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79" w:type="dxa"/>
            <w:tcBorders>
              <w:top w:val="single" w:sz="2"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41" w:type="dxa"/>
            <w:tcBorders>
              <w:top w:val="single" w:sz="2" w:space="0" w:color="000000"/>
            </w:tcBorders>
            <w:shd w:fill="auto" w:val="clear"/>
            <w:tcMar>
              <w:top w:w="28" w:type="dxa"/>
            </w:tcM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466" w:type="dxa"/>
            <w:tcBorders>
              <w:top w:val="single" w:sz="2"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45"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2706" w:type="dxa"/>
            <w:tcBorders/>
            <w:shd w:fill="auto" w:val="clea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79"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241" w:type="dxa"/>
            <w:tcBorders/>
            <w:shd w:fill="auto" w:val="clear"/>
            <w:vAlign w:val="bottom"/>
          </w:tcPr>
          <w:p>
            <w:pPr>
              <w:pStyle w:val="TableContents"/>
              <w:spacing w:before="0" w:after="283"/>
              <w:rPr>
                <w:sz w:val="4"/>
                <w:szCs w:val="4"/>
              </w:rPr>
            </w:pPr>
            <w:r>
              <w:rPr>
                <w:sz w:val="4"/>
                <w:szCs w:val="4"/>
              </w:rPr>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466"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245" w:type="dxa"/>
            <w:tcBorders/>
            <w:shd w:fill="auto" w:val="clear"/>
            <w:vAlign w:val="bottom"/>
          </w:tcPr>
          <w:p>
            <w:pPr>
              <w:pStyle w:val="TableContents"/>
              <w:spacing w:before="0" w:after="283"/>
              <w:rPr>
                <w:sz w:val="4"/>
                <w:szCs w:val="4"/>
              </w:rPr>
            </w:pPr>
            <w:r>
              <w:rPr>
                <w:sz w:val="4"/>
                <w:szCs w:val="4"/>
              </w:rPr>
            </w:r>
          </w:p>
        </w:tc>
      </w:tr>
      <w:tr>
        <w:trPr/>
        <w:tc>
          <w:tcPr>
            <w:tcW w:w="2706"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 and partners capital</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8,957</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12,285</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66" w:type="dxa"/>
            <w:tcBorders/>
            <w:shd w:fill="CCEEFF" w:val="clear"/>
            <w:vAlign w:val="bottom"/>
          </w:tcPr>
          <w:p>
            <w:pPr>
              <w:pStyle w:val="TableContents"/>
              <w:spacing w:before="0" w:after="283"/>
              <w:jc w:val="right"/>
              <w:rPr/>
            </w:pPr>
            <w:r>
              <w:rPr/>
              <w:t>                </w:t>
            </w:r>
            <w:r>
              <w:rPr>
                <w:rFonts w:ascii="Times New Roman" w:hAnsi="Times New Roman"/>
                <w:sz w:val="20"/>
              </w:rPr>
              <w:t>2,391</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(11,265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12,368</w:t>
            </w:r>
          </w:p>
        </w:tc>
      </w:tr>
      <w:tr>
        <w:trPr/>
        <w:tc>
          <w:tcPr>
            <w:tcW w:w="2706"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79" w:type="dxa"/>
            <w:tcBorders>
              <w:top w:val="double" w:sz="6"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241" w:type="dxa"/>
            <w:tcBorders>
              <w:top w:val="double" w:sz="6" w:space="0" w:color="000000"/>
            </w:tcBorders>
            <w:shd w:fill="auto" w:val="clear"/>
            <w:tcMar>
              <w:top w:w="28" w:type="dxa"/>
            </w:tcM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466" w:type="dxa"/>
            <w:tcBorders>
              <w:top w:val="double" w:sz="6"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2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245"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706"/>
        <w:gridCol w:w="168"/>
        <w:gridCol w:w="125"/>
        <w:gridCol w:w="979"/>
        <w:gridCol w:w="168"/>
        <w:gridCol w:w="125"/>
        <w:gridCol w:w="1241"/>
        <w:gridCol w:w="167"/>
        <w:gridCol w:w="125"/>
        <w:gridCol w:w="1466"/>
        <w:gridCol w:w="168"/>
        <w:gridCol w:w="125"/>
        <w:gridCol w:w="1026"/>
        <w:gridCol w:w="125"/>
        <w:gridCol w:w="121"/>
        <w:gridCol w:w="125"/>
        <w:gridCol w:w="1245"/>
      </w:tblGrid>
      <w:tr>
        <w:trPr/>
        <w:tc>
          <w:tcPr>
            <w:tcW w:w="270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r>
      <w:tr>
        <w:trPr/>
        <w:tc>
          <w:tcPr>
            <w:tcW w:w="270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7331" w:type="dxa"/>
            <w:gridSpan w:val="1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of December 31, 2009</w:t>
            </w:r>
          </w:p>
        </w:tc>
      </w:tr>
      <w:tr>
        <w:trPr/>
        <w:tc>
          <w:tcPr>
            <w:tcW w:w="270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0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Parent</w:t>
            </w:r>
          </w:p>
        </w:tc>
        <w:tc>
          <w:tcPr>
            <w:tcW w:w="168" w:type="dxa"/>
            <w:tcBorders/>
            <w:shd w:fill="auto" w:val="clear"/>
            <w:vAlign w:val="bottom"/>
          </w:tcPr>
          <w:p>
            <w:pPr>
              <w:pStyle w:val="TableContents"/>
              <w:spacing w:before="0" w:after="283"/>
              <w:rPr/>
            </w:pPr>
            <w:r>
              <w:rPr/>
              <w:t>  </w:t>
            </w:r>
          </w:p>
        </w:tc>
        <w:tc>
          <w:tcPr>
            <w:tcW w:w="136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Combined</w:t>
              <w:br/>
              <w:t>Guarantor</w:t>
              <w:br/>
              <w:t>Subsidiaries</w:t>
            </w:r>
          </w:p>
        </w:tc>
        <w:tc>
          <w:tcPr>
            <w:tcW w:w="167" w:type="dxa"/>
            <w:tcBorders/>
            <w:shd w:fill="auto" w:val="clear"/>
            <w:vAlign w:val="bottom"/>
          </w:tcPr>
          <w:p>
            <w:pPr>
              <w:pStyle w:val="TableContents"/>
              <w:spacing w:before="0" w:after="283"/>
              <w:rPr/>
            </w:pPr>
            <w:r>
              <w:rPr/>
              <w:t>  </w:t>
            </w:r>
          </w:p>
        </w:tc>
        <w:tc>
          <w:tcPr>
            <w:tcW w:w="159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Combined</w:t>
              <w:br/>
              <w:t>Non-Guarantor</w:t>
              <w:br/>
              <w:t>Subsidiaries</w:t>
            </w:r>
          </w:p>
        </w:tc>
        <w:tc>
          <w:tcPr>
            <w:tcW w:w="168" w:type="dxa"/>
            <w:tcBorders/>
            <w:shd w:fill="auto" w:val="clear"/>
            <w:vAlign w:val="bottom"/>
          </w:tcPr>
          <w:p>
            <w:pPr>
              <w:pStyle w:val="TableContents"/>
              <w:spacing w:before="0" w:after="283"/>
              <w:rPr/>
            </w:pPr>
            <w:r>
              <w:rPr/>
              <w:t>  </w:t>
            </w:r>
          </w:p>
        </w:tc>
        <w:tc>
          <w:tcPr>
            <w:tcW w:w="115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Eliminations</w:t>
            </w:r>
          </w:p>
        </w:tc>
        <w:tc>
          <w:tcPr>
            <w:tcW w:w="12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37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Consolidated</w:t>
            </w:r>
          </w:p>
        </w:tc>
      </w:tr>
      <w:tr>
        <w:trPr/>
        <w:tc>
          <w:tcPr>
            <w:tcW w:w="2706" w:type="dxa"/>
            <w:tcBorders/>
            <w:shd w:fill="CCEEFF" w:val="clear"/>
          </w:tcPr>
          <w:p>
            <w:pPr>
              <w:pStyle w:val="TableContents"/>
              <w:spacing w:before="0" w:after="283"/>
              <w:rPr>
                <w:rFonts w:ascii="Times New Roman" w:hAnsi="Times New Roman"/>
                <w:b/>
                <w:sz w:val="20"/>
              </w:rPr>
            </w:pPr>
            <w:r>
              <w:rPr>
                <w:rFonts w:ascii="Times New Roman" w:hAnsi="Times New Roman"/>
                <w:b/>
                <w:sz w:val="20"/>
              </w:rPr>
              <w:t>ASSETS</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79" w:type="dxa"/>
            <w:tcBorders/>
            <w:shd w:fill="CCEEFF" w:val="clear"/>
            <w:vAlign w:val="bottom"/>
          </w:tcPr>
          <w:p>
            <w:pPr>
              <w:pStyle w:val="TableContents"/>
              <w:spacing w:before="0" w:after="283"/>
              <w:rPr>
                <w:sz w:val="4"/>
                <w:szCs w:val="4"/>
              </w:rPr>
            </w:pPr>
            <w:r>
              <w:rPr>
                <w:sz w:val="4"/>
                <w:szCs w:val="4"/>
              </w:rPr>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241" w:type="dxa"/>
            <w:tcBorders/>
            <w:shd w:fill="CCEEFF" w:val="clear"/>
            <w:vAlign w:val="bottom"/>
          </w:tcPr>
          <w:p>
            <w:pPr>
              <w:pStyle w:val="TableContents"/>
              <w:spacing w:before="0" w:after="283"/>
              <w:rPr>
                <w:sz w:val="4"/>
                <w:szCs w:val="4"/>
              </w:rPr>
            </w:pPr>
            <w:r>
              <w:rPr>
                <w:sz w:val="4"/>
                <w:szCs w:val="4"/>
              </w:rPr>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466" w:type="dxa"/>
            <w:tcBorders/>
            <w:shd w:fill="CCEEFF" w:val="clear"/>
            <w:vAlign w:val="bottom"/>
          </w:tcPr>
          <w:p>
            <w:pPr>
              <w:pStyle w:val="TableContents"/>
              <w:spacing w:before="0" w:after="283"/>
              <w:rPr>
                <w:sz w:val="4"/>
                <w:szCs w:val="4"/>
              </w:rPr>
            </w:pPr>
            <w:r>
              <w:rPr>
                <w:sz w:val="4"/>
                <w:szCs w:val="4"/>
              </w:rPr>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2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245" w:type="dxa"/>
            <w:tcBorders/>
            <w:shd w:fill="CCEEFF" w:val="clear"/>
            <w:vAlign w:val="bottom"/>
          </w:tcPr>
          <w:p>
            <w:pPr>
              <w:pStyle w:val="TableContents"/>
              <w:spacing w:before="0" w:after="283"/>
              <w:rPr>
                <w:sz w:val="4"/>
                <w:szCs w:val="4"/>
              </w:rPr>
            </w:pPr>
            <w:r>
              <w:rPr>
                <w:sz w:val="4"/>
                <w:szCs w:val="4"/>
              </w:rPr>
            </w:r>
          </w:p>
        </w:tc>
      </w:tr>
      <w:tr>
        <w:trPr/>
        <w:tc>
          <w:tcPr>
            <w:tcW w:w="2706"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9" w:type="dxa"/>
            <w:tcBorders/>
            <w:shd w:fill="auto" w:val="clear"/>
            <w:vAlign w:val="bottom"/>
          </w:tcPr>
          <w:p>
            <w:pPr>
              <w:pStyle w:val="TableContents"/>
              <w:spacing w:before="0" w:after="283"/>
              <w:jc w:val="right"/>
              <w:rPr/>
            </w:pPr>
            <w:r>
              <w:rPr/>
              <w:t>        </w:t>
            </w:r>
            <w:r>
              <w:rPr>
                <w:rFonts w:ascii="Times New Roman" w:hAnsi="Times New Roman"/>
                <w:sz w:val="20"/>
              </w:rPr>
              <w:t>3,428</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41" w:type="dxa"/>
            <w:tcBorders/>
            <w:shd w:fill="auto" w:val="clear"/>
            <w:vAlign w:val="bottom"/>
          </w:tcPr>
          <w:p>
            <w:pPr>
              <w:pStyle w:val="TableContents"/>
              <w:spacing w:before="0" w:after="283"/>
              <w:jc w:val="right"/>
              <w:rPr/>
            </w:pPr>
            <w:r>
              <w:rPr/>
              <w:t>            </w:t>
            </w:r>
            <w:r>
              <w:rPr>
                <w:rFonts w:ascii="Times New Roman" w:hAnsi="Times New Roman"/>
                <w:sz w:val="20"/>
              </w:rPr>
              <w:t>3,831</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209</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6" w:type="dxa"/>
            <w:tcBorders/>
            <w:shd w:fill="auto" w:val="clear"/>
            <w:vAlign w:val="bottom"/>
          </w:tcPr>
          <w:p>
            <w:pPr>
              <w:pStyle w:val="TableContents"/>
              <w:spacing w:before="0" w:after="283"/>
              <w:jc w:val="right"/>
              <w:rPr/>
            </w:pPr>
            <w:r>
              <w:rPr/>
              <w:t>        </w:t>
            </w:r>
            <w:r>
              <w:rPr>
                <w:rFonts w:ascii="Times New Roman" w:hAnsi="Times New Roman"/>
                <w:sz w:val="20"/>
              </w:rPr>
              <w:t>(3,810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45" w:type="dxa"/>
            <w:tcBorders/>
            <w:shd w:fill="auto" w:val="clear"/>
            <w:vAlign w:val="bottom"/>
          </w:tcPr>
          <w:p>
            <w:pPr>
              <w:pStyle w:val="TableContents"/>
              <w:spacing w:before="0" w:after="283"/>
              <w:jc w:val="right"/>
              <w:rPr/>
            </w:pPr>
            <w:r>
              <w:rPr/>
              <w:t>            </w:t>
            </w:r>
            <w:r>
              <w:rPr>
                <w:rFonts w:ascii="Times New Roman" w:hAnsi="Times New Roman"/>
                <w:sz w:val="20"/>
              </w:rPr>
              <w:t>3,658</w:t>
            </w:r>
          </w:p>
        </w:tc>
      </w:tr>
      <w:tr>
        <w:trPr/>
        <w:tc>
          <w:tcPr>
            <w:tcW w:w="2706" w:type="dxa"/>
            <w:tcBorders/>
            <w:shd w:fill="CCEEFF" w:val="clear"/>
          </w:tcPr>
          <w:p>
            <w:pPr>
              <w:pStyle w:val="TableContents"/>
              <w:spacing w:before="0" w:after="283"/>
              <w:rPr>
                <w:rFonts w:ascii="Times New Roman" w:hAnsi="Times New Roman"/>
                <w:sz w:val="20"/>
              </w:rPr>
            </w:pPr>
            <w:r>
              <w:rPr>
                <w:rFonts w:ascii="Times New Roman" w:hAnsi="Times New Roman"/>
                <w:sz w:val="20"/>
              </w:rPr>
              <w:t>Property, plant and equipment, net</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4,606</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1,734</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6,340</w:t>
            </w:r>
          </w:p>
        </w:tc>
      </w:tr>
      <w:tr>
        <w:trPr/>
        <w:tc>
          <w:tcPr>
            <w:tcW w:w="2706" w:type="dxa"/>
            <w:tcBorders/>
            <w:shd w:fill="auto" w:val="clear"/>
          </w:tcPr>
          <w:p>
            <w:pPr>
              <w:pStyle w:val="TableContents"/>
              <w:spacing w:before="0" w:after="283"/>
              <w:rPr>
                <w:rFonts w:ascii="Times New Roman" w:hAnsi="Times New Roman"/>
                <w:sz w:val="20"/>
              </w:rPr>
            </w:pPr>
            <w:r>
              <w:rPr>
                <w:rFonts w:ascii="Times New Roman" w:hAnsi="Times New Roman"/>
                <w:sz w:val="20"/>
              </w:rPr>
              <w:t>Other assets, net</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5,324</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3,994</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367</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(7,325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2,360</w:t>
            </w:r>
          </w:p>
        </w:tc>
      </w:tr>
      <w:tr>
        <w:trPr/>
        <w:tc>
          <w:tcPr>
            <w:tcW w:w="2706"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79" w:type="dxa"/>
            <w:tcBorders>
              <w:top w:val="single" w:sz="2"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41" w:type="dxa"/>
            <w:tcBorders>
              <w:top w:val="single" w:sz="2" w:space="0" w:color="000000"/>
            </w:tcBorders>
            <w:shd w:fill="auto" w:val="clear"/>
            <w:tcMar>
              <w:top w:w="28" w:type="dxa"/>
            </w:tcM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466" w:type="dxa"/>
            <w:tcBorders>
              <w:top w:val="single" w:sz="2"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45"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2706"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8,752</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12,431</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2,310</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(11,135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12,358</w:t>
            </w:r>
          </w:p>
        </w:tc>
      </w:tr>
      <w:tr>
        <w:trPr/>
        <w:tc>
          <w:tcPr>
            <w:tcW w:w="2706"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79" w:type="dxa"/>
            <w:tcBorders>
              <w:top w:val="double" w:sz="6"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241" w:type="dxa"/>
            <w:tcBorders>
              <w:top w:val="double" w:sz="6" w:space="0" w:color="000000"/>
            </w:tcBorders>
            <w:shd w:fill="auto" w:val="clear"/>
            <w:tcMar>
              <w:top w:w="28" w:type="dxa"/>
            </w:tcM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466" w:type="dxa"/>
            <w:tcBorders>
              <w:top w:val="double" w:sz="6"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2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245" w:type="dxa"/>
            <w:tcBorders>
              <w:top w:val="double" w:sz="6" w:space="0" w:color="000000"/>
            </w:tcBorders>
            <w:shd w:fill="auto" w:val="clear"/>
            <w:tcMar>
              <w:top w:w="28" w:type="dxa"/>
            </w:tcMar>
            <w:vAlign w:val="bottom"/>
          </w:tcPr>
          <w:p>
            <w:pPr>
              <w:pStyle w:val="TableContents"/>
              <w:spacing w:before="0" w:after="283"/>
              <w:rPr/>
            </w:pPr>
            <w:r>
              <w:rPr/>
              <w:t> </w:t>
            </w:r>
          </w:p>
        </w:tc>
      </w:tr>
      <w:tr>
        <w:trPr/>
        <w:tc>
          <w:tcPr>
            <w:tcW w:w="2706" w:type="dxa"/>
            <w:tcBorders/>
            <w:shd w:fill="auto" w:val="clea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79"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241" w:type="dxa"/>
            <w:tcBorders/>
            <w:shd w:fill="auto" w:val="clear"/>
            <w:vAlign w:val="bottom"/>
          </w:tcPr>
          <w:p>
            <w:pPr>
              <w:pStyle w:val="TableContents"/>
              <w:spacing w:before="0" w:after="283"/>
              <w:rPr>
                <w:sz w:val="4"/>
                <w:szCs w:val="4"/>
              </w:rPr>
            </w:pPr>
            <w:r>
              <w:rPr>
                <w:sz w:val="4"/>
                <w:szCs w:val="4"/>
              </w:rPr>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466"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245" w:type="dxa"/>
            <w:tcBorders/>
            <w:shd w:fill="auto" w:val="clear"/>
            <w:vAlign w:val="bottom"/>
          </w:tcPr>
          <w:p>
            <w:pPr>
              <w:pStyle w:val="TableContents"/>
              <w:spacing w:before="0" w:after="283"/>
              <w:rPr>
                <w:sz w:val="4"/>
                <w:szCs w:val="4"/>
              </w:rPr>
            </w:pPr>
            <w:r>
              <w:rPr>
                <w:sz w:val="4"/>
                <w:szCs w:val="4"/>
              </w:rPr>
            </w:r>
          </w:p>
        </w:tc>
      </w:tr>
      <w:tr>
        <w:trPr/>
        <w:tc>
          <w:tcPr>
            <w:tcW w:w="2706" w:type="dxa"/>
            <w:tcBorders/>
            <w:shd w:fill="CCEEFF" w:val="clear"/>
          </w:tcPr>
          <w:p>
            <w:pPr>
              <w:pStyle w:val="TableContents"/>
              <w:spacing w:before="0" w:after="283"/>
              <w:rPr>
                <w:rFonts w:ascii="Times New Roman" w:hAnsi="Times New Roman"/>
                <w:b/>
                <w:sz w:val="20"/>
              </w:rPr>
            </w:pPr>
            <w:r>
              <w:rPr>
                <w:rFonts w:ascii="Times New Roman" w:hAnsi="Times New Roman"/>
                <w:b/>
                <w:sz w:val="20"/>
              </w:rPr>
              <w:t>LIABILITIES AND PARTNERS CAPITAL</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79" w:type="dxa"/>
            <w:tcBorders/>
            <w:shd w:fill="CCEEFF" w:val="clear"/>
            <w:vAlign w:val="bottom"/>
          </w:tcPr>
          <w:p>
            <w:pPr>
              <w:pStyle w:val="TableContents"/>
              <w:spacing w:before="0" w:after="283"/>
              <w:rPr>
                <w:sz w:val="4"/>
                <w:szCs w:val="4"/>
              </w:rPr>
            </w:pPr>
            <w:r>
              <w:rPr>
                <w:sz w:val="4"/>
                <w:szCs w:val="4"/>
              </w:rPr>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241" w:type="dxa"/>
            <w:tcBorders/>
            <w:shd w:fill="CCEEFF" w:val="clear"/>
            <w:vAlign w:val="bottom"/>
          </w:tcPr>
          <w:p>
            <w:pPr>
              <w:pStyle w:val="TableContents"/>
              <w:spacing w:before="0" w:after="283"/>
              <w:rPr>
                <w:sz w:val="4"/>
                <w:szCs w:val="4"/>
              </w:rPr>
            </w:pPr>
            <w:r>
              <w:rPr>
                <w:sz w:val="4"/>
                <w:szCs w:val="4"/>
              </w:rPr>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466" w:type="dxa"/>
            <w:tcBorders/>
            <w:shd w:fill="CCEEFF" w:val="clear"/>
            <w:vAlign w:val="bottom"/>
          </w:tcPr>
          <w:p>
            <w:pPr>
              <w:pStyle w:val="TableContents"/>
              <w:spacing w:before="0" w:after="283"/>
              <w:rPr>
                <w:sz w:val="4"/>
                <w:szCs w:val="4"/>
              </w:rPr>
            </w:pPr>
            <w:r>
              <w:rPr>
                <w:sz w:val="4"/>
                <w:szCs w:val="4"/>
              </w:rPr>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2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245" w:type="dxa"/>
            <w:tcBorders/>
            <w:shd w:fill="CCEEFF" w:val="clear"/>
            <w:vAlign w:val="bottom"/>
          </w:tcPr>
          <w:p>
            <w:pPr>
              <w:pStyle w:val="TableContents"/>
              <w:spacing w:before="0" w:after="283"/>
              <w:rPr>
                <w:sz w:val="4"/>
                <w:szCs w:val="4"/>
              </w:rPr>
            </w:pPr>
            <w:r>
              <w:rPr>
                <w:sz w:val="4"/>
                <w:szCs w:val="4"/>
              </w:rPr>
            </w:r>
          </w:p>
        </w:tc>
      </w:tr>
      <w:tr>
        <w:trPr/>
        <w:tc>
          <w:tcPr>
            <w:tcW w:w="2706"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456</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6,849</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287</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(3,810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3,782</w:t>
            </w:r>
          </w:p>
        </w:tc>
      </w:tr>
      <w:tr>
        <w:trPr/>
        <w:tc>
          <w:tcPr>
            <w:tcW w:w="2706"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4,137</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4,142</w:t>
            </w:r>
          </w:p>
        </w:tc>
      </w:tr>
      <w:tr>
        <w:trPr/>
        <w:tc>
          <w:tcPr>
            <w:tcW w:w="2706" w:type="dxa"/>
            <w:tcBorders/>
            <w:shd w:fill="auto" w:val="clear"/>
          </w:tcPr>
          <w:p>
            <w:pPr>
              <w:pStyle w:val="TableContents"/>
              <w:spacing w:before="0" w:after="283"/>
              <w:rPr>
                <w:rFonts w:ascii="Times New Roman" w:hAnsi="Times New Roman"/>
                <w:sz w:val="20"/>
              </w:rPr>
            </w:pPr>
            <w:r>
              <w:rPr>
                <w:rFonts w:ascii="Times New Roman" w:hAnsi="Times New Roman"/>
                <w:sz w:val="20"/>
              </w:rPr>
              <w:t>Other long-term liabilities</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271</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w:t>
            </w:r>
          </w:p>
        </w:tc>
      </w:tr>
      <w:tr>
        <w:trPr/>
        <w:tc>
          <w:tcPr>
            <w:tcW w:w="2706"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79" w:type="dxa"/>
            <w:tcBorders>
              <w:top w:val="single" w:sz="2"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41" w:type="dxa"/>
            <w:tcBorders>
              <w:top w:val="single" w:sz="2" w:space="0" w:color="000000"/>
            </w:tcBorders>
            <w:shd w:fill="auto" w:val="clear"/>
            <w:tcMar>
              <w:top w:w="28" w:type="dxa"/>
            </w:tcM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466" w:type="dxa"/>
            <w:tcBorders>
              <w:top w:val="single" w:sz="2"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45"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2706"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4,593</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7,135</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741</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(4,270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8,199</w:t>
            </w:r>
          </w:p>
        </w:tc>
      </w:tr>
      <w:tr>
        <w:trPr/>
        <w:tc>
          <w:tcPr>
            <w:tcW w:w="2706"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79" w:type="dxa"/>
            <w:tcBorders>
              <w:top w:val="single" w:sz="2"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41" w:type="dxa"/>
            <w:tcBorders>
              <w:top w:val="single" w:sz="2" w:space="0" w:color="000000"/>
            </w:tcBorders>
            <w:shd w:fill="auto" w:val="clear"/>
            <w:tcMar>
              <w:top w:w="28" w:type="dxa"/>
            </w:tcM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466" w:type="dxa"/>
            <w:tcBorders>
              <w:top w:val="single" w:sz="2"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45"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2706" w:type="dxa"/>
            <w:tcBorders/>
            <w:shd w:fill="auto" w:val="clea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79"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241" w:type="dxa"/>
            <w:tcBorders/>
            <w:shd w:fill="auto" w:val="clear"/>
            <w:vAlign w:val="bottom"/>
          </w:tcPr>
          <w:p>
            <w:pPr>
              <w:pStyle w:val="TableContents"/>
              <w:spacing w:before="0" w:after="283"/>
              <w:rPr>
                <w:sz w:val="4"/>
                <w:szCs w:val="4"/>
              </w:rPr>
            </w:pPr>
            <w:r>
              <w:rPr>
                <w:sz w:val="4"/>
                <w:szCs w:val="4"/>
              </w:rPr>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466"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245" w:type="dxa"/>
            <w:tcBorders/>
            <w:shd w:fill="auto" w:val="clear"/>
            <w:vAlign w:val="bottom"/>
          </w:tcPr>
          <w:p>
            <w:pPr>
              <w:pStyle w:val="TableContents"/>
              <w:spacing w:before="0" w:after="283"/>
              <w:rPr>
                <w:sz w:val="4"/>
                <w:szCs w:val="4"/>
              </w:rPr>
            </w:pPr>
            <w:r>
              <w:rPr>
                <w:sz w:val="4"/>
                <w:szCs w:val="4"/>
              </w:rPr>
            </w:r>
          </w:p>
        </w:tc>
      </w:tr>
      <w:tr>
        <w:trPr/>
        <w:tc>
          <w:tcPr>
            <w:tcW w:w="2706" w:type="dxa"/>
            <w:tcBorders/>
            <w:shd w:fill="CCEEFF" w:val="clear"/>
          </w:tcPr>
          <w:p>
            <w:pPr>
              <w:pStyle w:val="TableContents"/>
              <w:spacing w:before="0" w:after="283"/>
              <w:rPr>
                <w:rFonts w:ascii="Times New Roman" w:hAnsi="Times New Roman"/>
                <w:sz w:val="20"/>
              </w:rPr>
            </w:pPr>
            <w:r>
              <w:rPr>
                <w:rFonts w:ascii="Times New Roman" w:hAnsi="Times New Roman"/>
                <w:sz w:val="20"/>
              </w:rPr>
              <w:t>Partners capital excluding noncontrolling interest</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4,096</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5,233</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1,569</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(6,802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4,096</w:t>
            </w:r>
          </w:p>
        </w:tc>
      </w:tr>
      <w:tr>
        <w:trPr/>
        <w:tc>
          <w:tcPr>
            <w:tcW w:w="2706" w:type="dxa"/>
            <w:tcBorders/>
            <w:shd w:fill="auto" w:val="clear"/>
          </w:tcPr>
          <w:p>
            <w:pPr>
              <w:pStyle w:val="TableContents"/>
              <w:spacing w:before="0" w:after="283"/>
              <w:rPr>
                <w:rFonts w:ascii="Times New Roman" w:hAnsi="Times New Roman"/>
                <w:sz w:val="20"/>
              </w:rPr>
            </w:pPr>
            <w:r>
              <w:rPr>
                <w:rFonts w:ascii="Times New Roman" w:hAnsi="Times New Roman"/>
                <w:sz w:val="20"/>
              </w:rPr>
              <w:t>Noncontrolling interest</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r>
      <w:tr>
        <w:trPr/>
        <w:tc>
          <w:tcPr>
            <w:tcW w:w="2706"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79" w:type="dxa"/>
            <w:tcBorders>
              <w:top w:val="single" w:sz="2"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41" w:type="dxa"/>
            <w:tcBorders>
              <w:top w:val="single" w:sz="2" w:space="0" w:color="000000"/>
            </w:tcBorders>
            <w:shd w:fill="auto" w:val="clear"/>
            <w:tcMar>
              <w:top w:w="28" w:type="dxa"/>
            </w:tcM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466" w:type="dxa"/>
            <w:tcBorders>
              <w:top w:val="single" w:sz="2"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45"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2706" w:type="dxa"/>
            <w:tcBorders/>
            <w:shd w:fill="CCEEFF" w:val="clear"/>
          </w:tcPr>
          <w:p>
            <w:pPr>
              <w:pStyle w:val="TableContents"/>
              <w:spacing w:before="0" w:after="283"/>
              <w:rPr>
                <w:rFonts w:ascii="Times New Roman" w:hAnsi="Times New Roman"/>
                <w:sz w:val="20"/>
              </w:rPr>
            </w:pPr>
            <w:r>
              <w:rPr>
                <w:rFonts w:ascii="Times New Roman" w:hAnsi="Times New Roman"/>
                <w:sz w:val="20"/>
              </w:rPr>
              <w:t>Total partners capital</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4,159</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5,296</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1,569</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(6,865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4,159</w:t>
            </w:r>
          </w:p>
        </w:tc>
      </w:tr>
      <w:tr>
        <w:trPr/>
        <w:tc>
          <w:tcPr>
            <w:tcW w:w="2706"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79" w:type="dxa"/>
            <w:tcBorders>
              <w:top w:val="single" w:sz="2"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41" w:type="dxa"/>
            <w:tcBorders>
              <w:top w:val="single" w:sz="2" w:space="0" w:color="000000"/>
            </w:tcBorders>
            <w:shd w:fill="auto" w:val="clear"/>
            <w:tcMar>
              <w:top w:w="28" w:type="dxa"/>
            </w:tcM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466" w:type="dxa"/>
            <w:tcBorders>
              <w:top w:val="single" w:sz="2"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45"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2706" w:type="dxa"/>
            <w:tcBorders/>
            <w:shd w:fill="auto" w:val="clea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79"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241" w:type="dxa"/>
            <w:tcBorders/>
            <w:shd w:fill="auto" w:val="clear"/>
            <w:vAlign w:val="bottom"/>
          </w:tcPr>
          <w:p>
            <w:pPr>
              <w:pStyle w:val="TableContents"/>
              <w:spacing w:before="0" w:after="283"/>
              <w:rPr>
                <w:sz w:val="4"/>
                <w:szCs w:val="4"/>
              </w:rPr>
            </w:pPr>
            <w:r>
              <w:rPr>
                <w:sz w:val="4"/>
                <w:szCs w:val="4"/>
              </w:rPr>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466"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245" w:type="dxa"/>
            <w:tcBorders/>
            <w:shd w:fill="auto" w:val="clear"/>
            <w:vAlign w:val="bottom"/>
          </w:tcPr>
          <w:p>
            <w:pPr>
              <w:pStyle w:val="TableContents"/>
              <w:spacing w:before="0" w:after="283"/>
              <w:rPr>
                <w:sz w:val="4"/>
                <w:szCs w:val="4"/>
              </w:rPr>
            </w:pPr>
            <w:r>
              <w:rPr>
                <w:sz w:val="4"/>
                <w:szCs w:val="4"/>
              </w:rPr>
            </w:r>
          </w:p>
        </w:tc>
      </w:tr>
      <w:tr>
        <w:trPr/>
        <w:tc>
          <w:tcPr>
            <w:tcW w:w="2706"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 and partners capital</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8,752</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12,431</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66" w:type="dxa"/>
            <w:tcBorders/>
            <w:shd w:fill="CCEEFF" w:val="clear"/>
            <w:vAlign w:val="bottom"/>
          </w:tcPr>
          <w:p>
            <w:pPr>
              <w:pStyle w:val="TableContents"/>
              <w:spacing w:before="0" w:after="283"/>
              <w:jc w:val="right"/>
              <w:rPr/>
            </w:pPr>
            <w:r>
              <w:rPr/>
              <w:t>                </w:t>
            </w:r>
            <w:r>
              <w:rPr>
                <w:rFonts w:ascii="Times New Roman" w:hAnsi="Times New Roman"/>
                <w:sz w:val="20"/>
              </w:rPr>
              <w:t>2,310</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(11,135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12,358</w:t>
            </w:r>
          </w:p>
        </w:tc>
      </w:tr>
      <w:tr>
        <w:trPr/>
        <w:tc>
          <w:tcPr>
            <w:tcW w:w="2706"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79" w:type="dxa"/>
            <w:tcBorders>
              <w:top w:val="double" w:sz="6"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241" w:type="dxa"/>
            <w:tcBorders>
              <w:top w:val="double" w:sz="6" w:space="0" w:color="000000"/>
            </w:tcBorders>
            <w:shd w:fill="auto" w:val="clear"/>
            <w:tcMar>
              <w:top w:w="28" w:type="dxa"/>
            </w:tcM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466" w:type="dxa"/>
            <w:tcBorders>
              <w:top w:val="double" w:sz="6" w:space="0" w:color="000000"/>
            </w:tcBorders>
            <w:shd w:fill="auto" w:val="clear"/>
            <w:tcMar>
              <w:top w:w="28" w:type="dxa"/>
            </w:tcM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2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245"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Condensed Consolidating Statements of Operations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388"/>
        <w:gridCol w:w="141"/>
        <w:gridCol w:w="125"/>
        <w:gridCol w:w="1137"/>
        <w:gridCol w:w="125"/>
        <w:gridCol w:w="87"/>
        <w:gridCol w:w="125"/>
        <w:gridCol w:w="1303"/>
        <w:gridCol w:w="125"/>
        <w:gridCol w:w="86"/>
        <w:gridCol w:w="125"/>
        <w:gridCol w:w="1191"/>
        <w:gridCol w:w="125"/>
        <w:gridCol w:w="87"/>
        <w:gridCol w:w="125"/>
        <w:gridCol w:w="1137"/>
        <w:gridCol w:w="125"/>
        <w:gridCol w:w="87"/>
        <w:gridCol w:w="124"/>
        <w:gridCol w:w="1303"/>
        <w:gridCol w:w="134"/>
      </w:tblGrid>
      <w:tr>
        <w:trPr/>
        <w:tc>
          <w:tcPr>
            <w:tcW w:w="2388"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r>
      <w:tr>
        <w:trPr/>
        <w:tc>
          <w:tcPr>
            <w:tcW w:w="238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542"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 June 30, 2010</w:t>
            </w:r>
          </w:p>
        </w:tc>
        <w:tc>
          <w:tcPr>
            <w:tcW w:w="134" w:type="dxa"/>
            <w:tcBorders/>
            <w:shd w:fill="auto" w:val="clear"/>
            <w:vAlign w:val="bottom"/>
          </w:tcPr>
          <w:p>
            <w:pPr>
              <w:pStyle w:val="TableContents"/>
              <w:spacing w:before="0" w:after="283"/>
              <w:rPr/>
            </w:pPr>
            <w:r>
              <w:rPr/>
              <w:t> </w:t>
            </w:r>
          </w:p>
        </w:tc>
      </w:tr>
      <w:tr>
        <w:trPr/>
        <w:tc>
          <w:tcPr>
            <w:tcW w:w="238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26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Parent</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Combined</w:t>
              <w:br/>
              <w:t>Guarantor</w:t>
              <w:br/>
              <w:t>Subsidiaries</w:t>
            </w:r>
          </w:p>
        </w:tc>
        <w:tc>
          <w:tcPr>
            <w:tcW w:w="12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31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Combined</w:t>
              <w:br/>
              <w:t>Non-Guarantor</w:t>
              <w:br/>
              <w:t>Subsidiaries</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6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Eliminations</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Consolidated</w:t>
            </w:r>
          </w:p>
        </w:tc>
        <w:tc>
          <w:tcPr>
            <w:tcW w:w="134" w:type="dxa"/>
            <w:tcBorders/>
            <w:shd w:fill="auto" w:val="clear"/>
            <w:vAlign w:val="bottom"/>
          </w:tcPr>
          <w:p>
            <w:pPr>
              <w:pStyle w:val="TableContents"/>
              <w:spacing w:before="0" w:after="283"/>
              <w:rPr/>
            </w:pPr>
            <w:r>
              <w:rPr/>
              <w:t> </w:t>
            </w:r>
          </w:p>
        </w:tc>
      </w:tr>
      <w:tr>
        <w:trPr/>
        <w:tc>
          <w:tcPr>
            <w:tcW w:w="2388" w:type="dxa"/>
            <w:tcBorders/>
            <w:shd w:fill="CCEEFF" w:val="clear"/>
          </w:tcPr>
          <w:p>
            <w:pPr>
              <w:pStyle w:val="TableContents"/>
              <w:spacing w:before="0" w:after="283"/>
              <w:rPr/>
            </w:pPr>
            <w:r>
              <w:rPr>
                <w:rFonts w:ascii="Times New Roman" w:hAnsi="Times New Roman"/>
                <w:sz w:val="20"/>
              </w:rPr>
              <w:t xml:space="preserve">Net operating revenues </w:t>
            </w:r>
            <w:r>
              <w:rPr>
                <w:rFonts w:ascii="Times New Roman" w:hAnsi="Times New Roman"/>
                <w:sz w:val="14"/>
              </w:rPr>
              <w:t>(1)</w:t>
            </w:r>
          </w:p>
        </w:tc>
        <w:tc>
          <w:tcPr>
            <w:tcW w:w="1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37" w:type="dxa"/>
            <w:tcBorders/>
            <w:shd w:fill="CCEEFF" w:val="clear"/>
            <w:vAlign w:val="bottom"/>
          </w:tcPr>
          <w:p>
            <w:pPr>
              <w:pStyle w:val="TableContents"/>
              <w:spacing w:before="0" w:after="283"/>
              <w:jc w:val="right"/>
              <w:rPr/>
            </w:pPr>
            <w:r>
              <w:rPr/>
              <w:t>                </w:t>
            </w: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3" w:type="dxa"/>
            <w:tcBorders/>
            <w:shd w:fill="CCEEFF" w:val="clear"/>
            <w:vAlign w:val="bottom"/>
          </w:tcPr>
          <w:p>
            <w:pPr>
              <w:pStyle w:val="TableContents"/>
              <w:spacing w:before="0" w:after="283"/>
              <w:jc w:val="right"/>
              <w:rPr/>
            </w:pPr>
            <w:r>
              <w:rPr/>
              <w:t>                </w:t>
            </w:r>
            <w:r>
              <w:rPr>
                <w:rFonts w:ascii="Times New Roman" w:hAnsi="Times New Roman"/>
                <w:sz w:val="20"/>
              </w:rPr>
              <w:t>428</w:t>
            </w:r>
          </w:p>
        </w:tc>
        <w:tc>
          <w:tcPr>
            <w:tcW w:w="125"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91" w:type="dxa"/>
            <w:tcBorders/>
            <w:shd w:fill="CCEEFF" w:val="clear"/>
            <w:vAlign w:val="bottom"/>
          </w:tcPr>
          <w:p>
            <w:pPr>
              <w:pStyle w:val="TableContents"/>
              <w:spacing w:before="0" w:after="283"/>
              <w:jc w:val="right"/>
              <w:rPr/>
            </w:pPr>
            <w:r>
              <w:rPr/>
              <w:t>                </w:t>
            </w:r>
            <w:r>
              <w:rPr>
                <w:rFonts w:ascii="Times New Roman" w:hAnsi="Times New Roman"/>
                <w:sz w:val="20"/>
              </w:rPr>
              <w:t>55</w:t>
            </w:r>
          </w:p>
        </w:tc>
        <w:tc>
          <w:tcPr>
            <w:tcW w:w="12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37" w:type="dxa"/>
            <w:tcBorders/>
            <w:shd w:fill="CCEEFF" w:val="clear"/>
            <w:vAlign w:val="bottom"/>
          </w:tcPr>
          <w:p>
            <w:pPr>
              <w:pStyle w:val="TableContents"/>
              <w:spacing w:before="0" w:after="283"/>
              <w:jc w:val="right"/>
              <w:rPr/>
            </w:pPr>
            <w:r>
              <w:rPr/>
              <w:t>                </w:t>
            </w: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3" w:type="dxa"/>
            <w:tcBorders/>
            <w:shd w:fill="CCEEFF" w:val="clear"/>
            <w:vAlign w:val="bottom"/>
          </w:tcPr>
          <w:p>
            <w:pPr>
              <w:pStyle w:val="TableContents"/>
              <w:spacing w:before="0" w:after="283"/>
              <w:jc w:val="right"/>
              <w:rPr/>
            </w:pPr>
            <w:r>
              <w:rPr/>
              <w:t>                </w:t>
            </w:r>
            <w:r>
              <w:rPr>
                <w:rFonts w:ascii="Times New Roman" w:hAnsi="Times New Roman"/>
                <w:sz w:val="20"/>
              </w:rPr>
              <w:t>483</w:t>
            </w:r>
          </w:p>
        </w:tc>
        <w:tc>
          <w:tcPr>
            <w:tcW w:w="134" w:type="dxa"/>
            <w:tcBorders/>
            <w:shd w:fill="CCEEFF" w:val="clear"/>
            <w:vAlign w:val="bottom"/>
          </w:tcPr>
          <w:p>
            <w:pPr>
              <w:pStyle w:val="TableContents"/>
              <w:spacing w:before="0" w:after="283"/>
              <w:rPr/>
            </w:pPr>
            <w:r>
              <w:rPr/>
              <w:t>  </w:t>
            </w:r>
          </w:p>
        </w:tc>
      </w:tr>
      <w:tr>
        <w:trPr/>
        <w:tc>
          <w:tcPr>
            <w:tcW w:w="2388" w:type="dxa"/>
            <w:tcBorders/>
            <w:shd w:fill="auto" w:val="clear"/>
          </w:tcPr>
          <w:p>
            <w:pPr>
              <w:pStyle w:val="TableContents"/>
              <w:spacing w:before="0" w:after="283"/>
              <w:rPr>
                <w:rFonts w:ascii="Times New Roman" w:hAnsi="Times New Roman"/>
                <w:sz w:val="20"/>
              </w:rPr>
            </w:pPr>
            <w:r>
              <w:rPr>
                <w:rFonts w:ascii="Times New Roman" w:hAnsi="Times New Roman"/>
                <w:sz w:val="20"/>
              </w:rPr>
              <w:t>Field operating costs</w:t>
            </w:r>
          </w:p>
        </w:tc>
        <w:tc>
          <w:tcPr>
            <w:tcW w:w="1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88" w:type="dxa"/>
            <w:tcBorders/>
            <w:shd w:fill="CCEEFF" w:val="clear"/>
          </w:tcPr>
          <w:p>
            <w:pPr>
              <w:pStyle w:val="TableContents"/>
              <w:spacing w:before="0" w:after="283"/>
              <w:rPr>
                <w:rFonts w:ascii="Times New Roman" w:hAnsi="Times New Roman"/>
                <w:sz w:val="20"/>
              </w:rPr>
            </w:pPr>
            <w:r>
              <w:rPr>
                <w:rFonts w:ascii="Times New Roman" w:hAnsi="Times New Roman"/>
                <w:sz w:val="20"/>
              </w:rPr>
              <w:t>General and administrative expenses</w:t>
            </w:r>
          </w:p>
        </w:tc>
        <w:tc>
          <w:tcPr>
            <w:tcW w:w="1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88"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1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88"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0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9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1303" w:type="dxa"/>
            <w:tcBorders>
              <w:top w:val="single" w:sz="2"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2388" w:type="dxa"/>
            <w:tcBorders/>
            <w:shd w:fill="CCEEFF" w:val="clear"/>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3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0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9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3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1303" w:type="dxa"/>
            <w:tcBorders/>
            <w:shd w:fill="CCEEFF" w:val="clear"/>
            <w:vAlign w:val="bottom"/>
          </w:tcPr>
          <w:p>
            <w:pPr>
              <w:pStyle w:val="TableContents"/>
              <w:spacing w:before="0" w:after="283"/>
              <w:rPr>
                <w:sz w:val="4"/>
                <w:szCs w:val="4"/>
              </w:rPr>
            </w:pPr>
            <w:r>
              <w:rPr>
                <w:sz w:val="4"/>
                <w:szCs w:val="4"/>
              </w:rPr>
            </w:r>
          </w:p>
        </w:tc>
        <w:tc>
          <w:tcPr>
            <w:tcW w:w="134" w:type="dxa"/>
            <w:tcBorders/>
            <w:shd w:fill="CCEEFF" w:val="clear"/>
            <w:vAlign w:val="bottom"/>
          </w:tcPr>
          <w:p>
            <w:pPr>
              <w:pStyle w:val="TableContents"/>
              <w:spacing w:before="0" w:after="283"/>
              <w:rPr>
                <w:sz w:val="4"/>
                <w:szCs w:val="4"/>
              </w:rPr>
            </w:pPr>
            <w:r>
              <w:rPr>
                <w:sz w:val="4"/>
                <w:szCs w:val="4"/>
              </w:rPr>
            </w:r>
          </w:p>
        </w:tc>
      </w:tr>
      <w:tr>
        <w:trPr/>
        <w:tc>
          <w:tcPr>
            <w:tcW w:w="2388"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income/(loss)</w:t>
            </w:r>
          </w:p>
        </w:tc>
        <w:tc>
          <w:tcPr>
            <w:tcW w:w="1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w:t>
            </w:r>
          </w:p>
        </w:tc>
        <w:tc>
          <w:tcPr>
            <w:tcW w:w="12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192</w:t>
            </w:r>
          </w:p>
        </w:tc>
        <w:tc>
          <w:tcPr>
            <w:tcW w:w="134" w:type="dxa"/>
            <w:tcBorders/>
            <w:shd w:fill="auto" w:val="clear"/>
            <w:vAlign w:val="bottom"/>
          </w:tcPr>
          <w:p>
            <w:pPr>
              <w:pStyle w:val="TableContents"/>
              <w:spacing w:before="0" w:after="283"/>
              <w:rPr/>
            </w:pPr>
            <w:r>
              <w:rPr/>
              <w:t>  </w:t>
            </w:r>
          </w:p>
        </w:tc>
      </w:tr>
      <w:tr>
        <w:trPr/>
        <w:tc>
          <w:tcPr>
            <w:tcW w:w="2388"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0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9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1303" w:type="dxa"/>
            <w:tcBorders>
              <w:top w:val="single" w:sz="2"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2388" w:type="dxa"/>
            <w:tcBorders/>
            <w:shd w:fill="CCEEFF" w:val="clear"/>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3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0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9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3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1303" w:type="dxa"/>
            <w:tcBorders/>
            <w:shd w:fill="CCEEFF" w:val="clear"/>
            <w:vAlign w:val="bottom"/>
          </w:tcPr>
          <w:p>
            <w:pPr>
              <w:pStyle w:val="TableContents"/>
              <w:spacing w:before="0" w:after="283"/>
              <w:rPr>
                <w:sz w:val="4"/>
                <w:szCs w:val="4"/>
              </w:rPr>
            </w:pPr>
            <w:r>
              <w:rPr>
                <w:sz w:val="4"/>
                <w:szCs w:val="4"/>
              </w:rPr>
            </w:r>
          </w:p>
        </w:tc>
        <w:tc>
          <w:tcPr>
            <w:tcW w:w="134" w:type="dxa"/>
            <w:tcBorders/>
            <w:shd w:fill="CCEEFF" w:val="clear"/>
            <w:vAlign w:val="bottom"/>
          </w:tcPr>
          <w:p>
            <w:pPr>
              <w:pStyle w:val="TableContents"/>
              <w:spacing w:before="0" w:after="283"/>
              <w:rPr>
                <w:sz w:val="4"/>
                <w:szCs w:val="4"/>
              </w:rPr>
            </w:pPr>
            <w:r>
              <w:rPr>
                <w:sz w:val="4"/>
                <w:szCs w:val="4"/>
              </w:rPr>
            </w:r>
          </w:p>
        </w:tc>
      </w:tr>
      <w:tr>
        <w:trPr/>
        <w:tc>
          <w:tcPr>
            <w:tcW w:w="2388" w:type="dxa"/>
            <w:tcBorders/>
            <w:shd w:fill="auto" w:val="clear"/>
          </w:tcPr>
          <w:p>
            <w:pPr>
              <w:pStyle w:val="TableContents"/>
              <w:spacing w:before="0" w:after="283"/>
              <w:rPr>
                <w:rFonts w:ascii="Times New Roman" w:hAnsi="Times New Roman"/>
                <w:sz w:val="20"/>
              </w:rPr>
            </w:pPr>
            <w:r>
              <w:rPr>
                <w:rFonts w:ascii="Times New Roman" w:hAnsi="Times New Roman"/>
                <w:sz w:val="20"/>
              </w:rPr>
              <w:t>Equity earnings in unconsolidated entities</w:t>
            </w:r>
          </w:p>
        </w:tc>
        <w:tc>
          <w:tcPr>
            <w:tcW w:w="1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196</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4" w:type="dxa"/>
            <w:tcBorders/>
            <w:shd w:fill="auto" w:val="clear"/>
            <w:vAlign w:val="bottom"/>
          </w:tcPr>
          <w:p>
            <w:pPr>
              <w:pStyle w:val="TableContents"/>
              <w:spacing w:before="0" w:after="283"/>
              <w:rPr/>
            </w:pPr>
            <w:r>
              <w:rPr/>
              <w:t>  </w:t>
            </w:r>
          </w:p>
        </w:tc>
      </w:tr>
      <w:tr>
        <w:trPr/>
        <w:tc>
          <w:tcPr>
            <w:tcW w:w="2388"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1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88" w:type="dxa"/>
            <w:tcBorders/>
            <w:shd w:fill="auto" w:val="clear"/>
          </w:tcPr>
          <w:p>
            <w:pPr>
              <w:pStyle w:val="TableContents"/>
              <w:spacing w:before="0" w:after="283"/>
              <w:rPr>
                <w:rFonts w:ascii="Times New Roman" w:hAnsi="Times New Roman"/>
                <w:sz w:val="20"/>
              </w:rPr>
            </w:pPr>
            <w:r>
              <w:rPr>
                <w:rFonts w:ascii="Times New Roman" w:hAnsi="Times New Roman"/>
                <w:sz w:val="20"/>
              </w:rPr>
              <w:t>Other income, net</w:t>
            </w:r>
          </w:p>
        </w:tc>
        <w:tc>
          <w:tcPr>
            <w:tcW w:w="1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34" w:type="dxa"/>
            <w:tcBorders/>
            <w:shd w:fill="auto" w:val="clear"/>
            <w:vAlign w:val="bottom"/>
          </w:tcPr>
          <w:p>
            <w:pPr>
              <w:pStyle w:val="TableContents"/>
              <w:spacing w:before="0" w:after="283"/>
              <w:rPr/>
            </w:pPr>
            <w:r>
              <w:rPr/>
              <w:t>  </w:t>
            </w:r>
          </w:p>
        </w:tc>
      </w:tr>
      <w:tr>
        <w:trPr/>
        <w:tc>
          <w:tcPr>
            <w:tcW w:w="2388"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0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9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1303" w:type="dxa"/>
            <w:tcBorders>
              <w:top w:val="single" w:sz="2"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2388"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1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12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196</w:t>
            </w:r>
          </w:p>
        </w:tc>
        <w:tc>
          <w:tcPr>
            <w:tcW w:w="125"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134" w:type="dxa"/>
            <w:tcBorders/>
            <w:shd w:fill="CCEEFF" w:val="clear"/>
            <w:vAlign w:val="bottom"/>
          </w:tcPr>
          <w:p>
            <w:pPr>
              <w:pStyle w:val="TableContents"/>
              <w:spacing w:before="0" w:after="283"/>
              <w:rPr/>
            </w:pPr>
            <w:r>
              <w:rPr/>
              <w:t>  </w:t>
            </w:r>
          </w:p>
        </w:tc>
      </w:tr>
      <w:tr>
        <w:trPr/>
        <w:tc>
          <w:tcPr>
            <w:tcW w:w="2388" w:type="dxa"/>
            <w:tcBorders/>
            <w:shd w:fill="auto" w:val="clear"/>
          </w:tcPr>
          <w:p>
            <w:pPr>
              <w:pStyle w:val="TableContents"/>
              <w:spacing w:before="0" w:after="0"/>
              <w:rPr>
                <w:rFonts w:ascii="Times New Roman" w:hAnsi="Times New Roman"/>
                <w:sz w:val="20"/>
              </w:rPr>
            </w:pPr>
            <w:r>
              <w:rPr>
                <w:rFonts w:ascii="Times New Roman" w:hAnsi="Times New Roman"/>
                <w:sz w:val="20"/>
              </w:rPr>
              <w:t>Less: Net income attributable to</w:t>
            </w:r>
          </w:p>
          <w:p>
            <w:pPr>
              <w:pStyle w:val="TableContents"/>
              <w:spacing w:before="0" w:after="15"/>
              <w:rPr/>
            </w:pPr>
            <w:r>
              <w:rPr/>
              <w:t>          </w:t>
            </w:r>
            <w:r>
              <w:rPr>
                <w:rFonts w:ascii="Times New Roman" w:hAnsi="Times New Roman"/>
                <w:sz w:val="20"/>
              </w:rPr>
              <w:t>noncontrolling interests</w:t>
            </w:r>
          </w:p>
        </w:tc>
        <w:tc>
          <w:tcPr>
            <w:tcW w:w="1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88"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0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9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1303" w:type="dxa"/>
            <w:tcBorders>
              <w:top w:val="single" w:sz="2"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2388"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Plains</w:t>
            </w:r>
          </w:p>
        </w:tc>
        <w:tc>
          <w:tcPr>
            <w:tcW w:w="1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2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196</w:t>
            </w:r>
          </w:p>
        </w:tc>
        <w:tc>
          <w:tcPr>
            <w:tcW w:w="125"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34" w:type="dxa"/>
            <w:tcBorders/>
            <w:shd w:fill="CCEEFF" w:val="clear"/>
            <w:vAlign w:val="bottom"/>
          </w:tcPr>
          <w:p>
            <w:pPr>
              <w:pStyle w:val="TableContents"/>
              <w:spacing w:before="0" w:after="283"/>
              <w:rPr/>
            </w:pPr>
            <w:r>
              <w:rPr/>
              <w:t>  </w:t>
            </w:r>
          </w:p>
        </w:tc>
      </w:tr>
      <w:tr>
        <w:trPr/>
        <w:tc>
          <w:tcPr>
            <w:tcW w:w="2388"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37"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30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91"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37"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1303" w:type="dxa"/>
            <w:tcBorders>
              <w:top w:val="double" w:sz="6"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rHeight w:val="240" w:hRule="atLeast"/>
        </w:trPr>
        <w:tc>
          <w:tcPr>
            <w:tcW w:w="2388" w:type="dxa"/>
            <w:tcBorders/>
            <w:shd w:fill="auto" w:val="clear"/>
            <w:vAlign w:val="center"/>
          </w:tcPr>
          <w:p>
            <w:pPr>
              <w:pStyle w:val="TableContents"/>
              <w:spacing w:before="0" w:after="283"/>
              <w:rPr>
                <w:sz w:val="4"/>
                <w:szCs w:val="4"/>
              </w:rPr>
            </w:pPr>
            <w:r>
              <w:rPr>
                <w:sz w:val="4"/>
                <w:szCs w:val="4"/>
              </w:rPr>
            </w:r>
          </w:p>
        </w:tc>
        <w:tc>
          <w:tcPr>
            <w:tcW w:w="7817" w:type="dxa"/>
            <w:gridSpan w:val="20"/>
            <w:tcBorders/>
            <w:shd w:fill="auto" w:val="clear"/>
            <w:vAlign w:val="center"/>
          </w:tcPr>
          <w:p>
            <w:pPr>
              <w:pStyle w:val="TableContents"/>
              <w:spacing w:before="0" w:after="283"/>
              <w:rPr>
                <w:sz w:val="4"/>
                <w:szCs w:val="4"/>
              </w:rPr>
            </w:pPr>
            <w:r>
              <w:rPr>
                <w:sz w:val="4"/>
                <w:szCs w:val="4"/>
              </w:rPr>
            </w:r>
          </w:p>
        </w:tc>
      </w:tr>
      <w:tr>
        <w:trPr/>
        <w:tc>
          <w:tcPr>
            <w:tcW w:w="238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542"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 June 30, 2009</w:t>
            </w:r>
          </w:p>
        </w:tc>
        <w:tc>
          <w:tcPr>
            <w:tcW w:w="134" w:type="dxa"/>
            <w:tcBorders/>
            <w:shd w:fill="auto" w:val="clear"/>
            <w:vAlign w:val="bottom"/>
          </w:tcPr>
          <w:p>
            <w:pPr>
              <w:pStyle w:val="TableContents"/>
              <w:spacing w:before="0" w:after="283"/>
              <w:rPr/>
            </w:pPr>
            <w:r>
              <w:rPr/>
              <w:t> </w:t>
            </w:r>
          </w:p>
        </w:tc>
      </w:tr>
      <w:tr>
        <w:trPr/>
        <w:tc>
          <w:tcPr>
            <w:tcW w:w="238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26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Parent</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Combined</w:t>
              <w:br/>
              <w:t>Guarantor</w:t>
              <w:br/>
              <w:t>Subsidiaries</w:t>
            </w:r>
          </w:p>
        </w:tc>
        <w:tc>
          <w:tcPr>
            <w:tcW w:w="12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31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Combined</w:t>
              <w:br/>
              <w:t>Non-Guarantor</w:t>
              <w:br/>
              <w:t>Subsidiaries</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6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Eliminations</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Consolidated</w:t>
            </w:r>
          </w:p>
        </w:tc>
        <w:tc>
          <w:tcPr>
            <w:tcW w:w="134" w:type="dxa"/>
            <w:tcBorders/>
            <w:shd w:fill="auto" w:val="clear"/>
            <w:vAlign w:val="bottom"/>
          </w:tcPr>
          <w:p>
            <w:pPr>
              <w:pStyle w:val="TableContents"/>
              <w:spacing w:before="0" w:after="283"/>
              <w:rPr/>
            </w:pPr>
            <w:r>
              <w:rPr/>
              <w:t> </w:t>
            </w:r>
          </w:p>
        </w:tc>
      </w:tr>
      <w:tr>
        <w:trPr/>
        <w:tc>
          <w:tcPr>
            <w:tcW w:w="2388" w:type="dxa"/>
            <w:tcBorders/>
            <w:shd w:fill="CCEEFF" w:val="clear"/>
          </w:tcPr>
          <w:p>
            <w:pPr>
              <w:pStyle w:val="TableContents"/>
              <w:spacing w:before="0" w:after="283"/>
              <w:rPr/>
            </w:pPr>
            <w:r>
              <w:rPr>
                <w:rFonts w:ascii="Times New Roman" w:hAnsi="Times New Roman"/>
                <w:sz w:val="20"/>
              </w:rPr>
              <w:t xml:space="preserve">Net operating revenues </w:t>
            </w:r>
            <w:r>
              <w:rPr>
                <w:rFonts w:ascii="Times New Roman" w:hAnsi="Times New Roman"/>
                <w:sz w:val="14"/>
              </w:rPr>
              <w:t>(1)</w:t>
            </w:r>
          </w:p>
        </w:tc>
        <w:tc>
          <w:tcPr>
            <w:tcW w:w="1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416</w:t>
            </w:r>
          </w:p>
        </w:tc>
        <w:tc>
          <w:tcPr>
            <w:tcW w:w="125"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453</w:t>
            </w:r>
          </w:p>
        </w:tc>
        <w:tc>
          <w:tcPr>
            <w:tcW w:w="134" w:type="dxa"/>
            <w:tcBorders/>
            <w:shd w:fill="CCEEFF" w:val="clear"/>
            <w:vAlign w:val="bottom"/>
          </w:tcPr>
          <w:p>
            <w:pPr>
              <w:pStyle w:val="TableContents"/>
              <w:spacing w:before="0" w:after="283"/>
              <w:rPr/>
            </w:pPr>
            <w:r>
              <w:rPr/>
              <w:t>  </w:t>
            </w:r>
          </w:p>
        </w:tc>
      </w:tr>
      <w:tr>
        <w:trPr/>
        <w:tc>
          <w:tcPr>
            <w:tcW w:w="2388" w:type="dxa"/>
            <w:tcBorders/>
            <w:shd w:fill="auto" w:val="clear"/>
          </w:tcPr>
          <w:p>
            <w:pPr>
              <w:pStyle w:val="TableContents"/>
              <w:spacing w:before="0" w:after="283"/>
              <w:rPr>
                <w:rFonts w:ascii="Times New Roman" w:hAnsi="Times New Roman"/>
                <w:sz w:val="20"/>
              </w:rPr>
            </w:pPr>
            <w:r>
              <w:rPr>
                <w:rFonts w:ascii="Times New Roman" w:hAnsi="Times New Roman"/>
                <w:sz w:val="20"/>
              </w:rPr>
              <w:t>Field operating costs</w:t>
            </w:r>
          </w:p>
        </w:tc>
        <w:tc>
          <w:tcPr>
            <w:tcW w:w="1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88" w:type="dxa"/>
            <w:tcBorders/>
            <w:shd w:fill="CCEEFF" w:val="clear"/>
          </w:tcPr>
          <w:p>
            <w:pPr>
              <w:pStyle w:val="TableContents"/>
              <w:spacing w:before="0" w:after="283"/>
              <w:rPr>
                <w:rFonts w:ascii="Times New Roman" w:hAnsi="Times New Roman"/>
                <w:sz w:val="20"/>
              </w:rPr>
            </w:pPr>
            <w:r>
              <w:rPr>
                <w:rFonts w:ascii="Times New Roman" w:hAnsi="Times New Roman"/>
                <w:sz w:val="20"/>
              </w:rPr>
              <w:t>General and administrative expenses</w:t>
            </w:r>
          </w:p>
        </w:tc>
        <w:tc>
          <w:tcPr>
            <w:tcW w:w="1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88"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1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88"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0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9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1303" w:type="dxa"/>
            <w:tcBorders>
              <w:top w:val="single" w:sz="2"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2388" w:type="dxa"/>
            <w:tcBorders/>
            <w:shd w:fill="CCEEFF" w:val="clear"/>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3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0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9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3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1303" w:type="dxa"/>
            <w:tcBorders/>
            <w:shd w:fill="CCEEFF" w:val="clear"/>
            <w:vAlign w:val="bottom"/>
          </w:tcPr>
          <w:p>
            <w:pPr>
              <w:pStyle w:val="TableContents"/>
              <w:spacing w:before="0" w:after="283"/>
              <w:rPr>
                <w:sz w:val="4"/>
                <w:szCs w:val="4"/>
              </w:rPr>
            </w:pPr>
            <w:r>
              <w:rPr>
                <w:sz w:val="4"/>
                <w:szCs w:val="4"/>
              </w:rPr>
            </w:r>
          </w:p>
        </w:tc>
        <w:tc>
          <w:tcPr>
            <w:tcW w:w="134" w:type="dxa"/>
            <w:tcBorders/>
            <w:shd w:fill="CCEEFF" w:val="clear"/>
            <w:vAlign w:val="bottom"/>
          </w:tcPr>
          <w:p>
            <w:pPr>
              <w:pStyle w:val="TableContents"/>
              <w:spacing w:before="0" w:after="283"/>
              <w:rPr>
                <w:sz w:val="4"/>
                <w:szCs w:val="4"/>
              </w:rPr>
            </w:pPr>
            <w:r>
              <w:rPr>
                <w:sz w:val="4"/>
                <w:szCs w:val="4"/>
              </w:rPr>
            </w:r>
          </w:p>
        </w:tc>
      </w:tr>
      <w:tr>
        <w:trPr/>
        <w:tc>
          <w:tcPr>
            <w:tcW w:w="2388"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income/(loss)</w:t>
            </w:r>
          </w:p>
        </w:tc>
        <w:tc>
          <w:tcPr>
            <w:tcW w:w="1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w:t>
            </w:r>
          </w:p>
        </w:tc>
        <w:tc>
          <w:tcPr>
            <w:tcW w:w="12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183</w:t>
            </w:r>
          </w:p>
        </w:tc>
        <w:tc>
          <w:tcPr>
            <w:tcW w:w="134" w:type="dxa"/>
            <w:tcBorders/>
            <w:shd w:fill="auto" w:val="clear"/>
            <w:vAlign w:val="bottom"/>
          </w:tcPr>
          <w:p>
            <w:pPr>
              <w:pStyle w:val="TableContents"/>
              <w:spacing w:before="0" w:after="283"/>
              <w:rPr/>
            </w:pPr>
            <w:r>
              <w:rPr/>
              <w:t>  </w:t>
            </w:r>
          </w:p>
        </w:tc>
      </w:tr>
      <w:tr>
        <w:trPr/>
        <w:tc>
          <w:tcPr>
            <w:tcW w:w="2388"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0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9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1303" w:type="dxa"/>
            <w:tcBorders>
              <w:top w:val="single" w:sz="2"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2388" w:type="dxa"/>
            <w:tcBorders/>
            <w:shd w:fill="CCEEFF" w:val="clear"/>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3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0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9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3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1303" w:type="dxa"/>
            <w:tcBorders/>
            <w:shd w:fill="CCEEFF" w:val="clear"/>
            <w:vAlign w:val="bottom"/>
          </w:tcPr>
          <w:p>
            <w:pPr>
              <w:pStyle w:val="TableContents"/>
              <w:spacing w:before="0" w:after="283"/>
              <w:rPr>
                <w:sz w:val="4"/>
                <w:szCs w:val="4"/>
              </w:rPr>
            </w:pPr>
            <w:r>
              <w:rPr>
                <w:sz w:val="4"/>
                <w:szCs w:val="4"/>
              </w:rPr>
            </w:r>
          </w:p>
        </w:tc>
        <w:tc>
          <w:tcPr>
            <w:tcW w:w="134" w:type="dxa"/>
            <w:tcBorders/>
            <w:shd w:fill="CCEEFF" w:val="clear"/>
            <w:vAlign w:val="bottom"/>
          </w:tcPr>
          <w:p>
            <w:pPr>
              <w:pStyle w:val="TableContents"/>
              <w:spacing w:before="0" w:after="283"/>
              <w:rPr>
                <w:sz w:val="4"/>
                <w:szCs w:val="4"/>
              </w:rPr>
            </w:pPr>
            <w:r>
              <w:rPr>
                <w:sz w:val="4"/>
                <w:szCs w:val="4"/>
              </w:rPr>
            </w:r>
          </w:p>
        </w:tc>
      </w:tr>
      <w:tr>
        <w:trPr/>
        <w:tc>
          <w:tcPr>
            <w:tcW w:w="2388" w:type="dxa"/>
            <w:tcBorders/>
            <w:shd w:fill="auto" w:val="clear"/>
          </w:tcPr>
          <w:p>
            <w:pPr>
              <w:pStyle w:val="TableContents"/>
              <w:spacing w:before="0" w:after="283"/>
              <w:rPr>
                <w:rFonts w:ascii="Times New Roman" w:hAnsi="Times New Roman"/>
                <w:sz w:val="20"/>
              </w:rPr>
            </w:pPr>
            <w:r>
              <w:rPr>
                <w:rFonts w:ascii="Times New Roman" w:hAnsi="Times New Roman"/>
                <w:sz w:val="20"/>
              </w:rPr>
              <w:t>Equity earnings in unconsolidated entities</w:t>
            </w:r>
          </w:p>
        </w:tc>
        <w:tc>
          <w:tcPr>
            <w:tcW w:w="1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194</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34" w:type="dxa"/>
            <w:tcBorders/>
            <w:shd w:fill="auto" w:val="clear"/>
            <w:vAlign w:val="bottom"/>
          </w:tcPr>
          <w:p>
            <w:pPr>
              <w:pStyle w:val="TableContents"/>
              <w:spacing w:before="0" w:after="283"/>
              <w:rPr/>
            </w:pPr>
            <w:r>
              <w:rPr/>
              <w:t>  </w:t>
            </w:r>
          </w:p>
        </w:tc>
      </w:tr>
      <w:tr>
        <w:trPr/>
        <w:tc>
          <w:tcPr>
            <w:tcW w:w="2388"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1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88" w:type="dxa"/>
            <w:tcBorders/>
            <w:shd w:fill="auto" w:val="clear"/>
          </w:tcPr>
          <w:p>
            <w:pPr>
              <w:pStyle w:val="TableContents"/>
              <w:spacing w:before="0" w:after="283"/>
              <w:rPr>
                <w:rFonts w:ascii="Times New Roman" w:hAnsi="Times New Roman"/>
                <w:sz w:val="20"/>
              </w:rPr>
            </w:pPr>
            <w:r>
              <w:rPr>
                <w:rFonts w:ascii="Times New Roman" w:hAnsi="Times New Roman"/>
                <w:sz w:val="20"/>
              </w:rPr>
              <w:t>Other income, net</w:t>
            </w:r>
          </w:p>
        </w:tc>
        <w:tc>
          <w:tcPr>
            <w:tcW w:w="1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34" w:type="dxa"/>
            <w:tcBorders/>
            <w:shd w:fill="auto" w:val="clear"/>
            <w:vAlign w:val="bottom"/>
          </w:tcPr>
          <w:p>
            <w:pPr>
              <w:pStyle w:val="TableContents"/>
              <w:spacing w:before="0" w:after="283"/>
              <w:rPr/>
            </w:pPr>
            <w:r>
              <w:rPr/>
              <w:t>  </w:t>
            </w:r>
          </w:p>
        </w:tc>
      </w:tr>
      <w:tr>
        <w:trPr/>
        <w:tc>
          <w:tcPr>
            <w:tcW w:w="2388"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1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34" w:type="dxa"/>
            <w:tcBorders/>
            <w:shd w:fill="CCEEFF" w:val="clear"/>
            <w:vAlign w:val="bottom"/>
          </w:tcPr>
          <w:p>
            <w:pPr>
              <w:pStyle w:val="TableContents"/>
              <w:spacing w:before="0" w:after="283"/>
              <w:rPr/>
            </w:pPr>
            <w:r>
              <w:rPr/>
              <w:t>  </w:t>
            </w:r>
          </w:p>
        </w:tc>
      </w:tr>
      <w:tr>
        <w:trPr/>
        <w:tc>
          <w:tcPr>
            <w:tcW w:w="2388"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30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9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1303" w:type="dxa"/>
            <w:tcBorders>
              <w:top w:val="single" w:sz="2"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2388"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1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191</w:t>
            </w:r>
          </w:p>
        </w:tc>
        <w:tc>
          <w:tcPr>
            <w:tcW w:w="12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34" w:type="dxa"/>
            <w:tcBorders/>
            <w:shd w:fill="auto" w:val="clear"/>
            <w:vAlign w:val="bottom"/>
          </w:tcPr>
          <w:p>
            <w:pPr>
              <w:pStyle w:val="TableContents"/>
              <w:spacing w:before="0" w:after="283"/>
              <w:rPr/>
            </w:pPr>
            <w:r>
              <w:rPr/>
              <w:t>  </w:t>
            </w:r>
          </w:p>
        </w:tc>
      </w:tr>
      <w:tr>
        <w:trPr/>
        <w:tc>
          <w:tcPr>
            <w:tcW w:w="2388"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37"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30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91"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37"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1303" w:type="dxa"/>
            <w:tcBorders>
              <w:top w:val="double" w:sz="6"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Condensed Consolidating Statements of Operations (continued)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324"/>
        <w:gridCol w:w="139"/>
        <w:gridCol w:w="125"/>
        <w:gridCol w:w="1130"/>
        <w:gridCol w:w="125"/>
        <w:gridCol w:w="85"/>
        <w:gridCol w:w="125"/>
        <w:gridCol w:w="1295"/>
        <w:gridCol w:w="125"/>
        <w:gridCol w:w="84"/>
        <w:gridCol w:w="125"/>
        <w:gridCol w:w="1295"/>
        <w:gridCol w:w="125"/>
        <w:gridCol w:w="85"/>
        <w:gridCol w:w="125"/>
        <w:gridCol w:w="1130"/>
        <w:gridCol w:w="125"/>
        <w:gridCol w:w="85"/>
        <w:gridCol w:w="124"/>
        <w:gridCol w:w="1295"/>
        <w:gridCol w:w="134"/>
      </w:tblGrid>
      <w:tr>
        <w:trPr/>
        <w:tc>
          <w:tcPr>
            <w:tcW w:w="2324"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r>
      <w:tr>
        <w:trPr/>
        <w:tc>
          <w:tcPr>
            <w:tcW w:w="232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7608"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 June 30, 2010</w:t>
            </w:r>
          </w:p>
        </w:tc>
        <w:tc>
          <w:tcPr>
            <w:tcW w:w="134" w:type="dxa"/>
            <w:tcBorders/>
            <w:shd w:fill="auto" w:val="clear"/>
            <w:vAlign w:val="bottom"/>
          </w:tcPr>
          <w:p>
            <w:pPr>
              <w:pStyle w:val="TableContents"/>
              <w:spacing w:before="0" w:after="283"/>
              <w:rPr/>
            </w:pPr>
            <w:r>
              <w:rPr/>
              <w:t> </w:t>
            </w:r>
          </w:p>
        </w:tc>
      </w:tr>
      <w:tr>
        <w:trPr/>
        <w:tc>
          <w:tcPr>
            <w:tcW w:w="232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25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Parent</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4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Combined</w:t>
              <w:br/>
              <w:t>Guarantor</w:t>
              <w:br/>
              <w:t>Subsidiaries</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4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Combined Non-</w:t>
              <w:br/>
              <w:t>Guarantor</w:t>
              <w:br/>
              <w:t>Subsidiaries</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Eliminations</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4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Consolidated</w:t>
            </w:r>
          </w:p>
        </w:tc>
        <w:tc>
          <w:tcPr>
            <w:tcW w:w="134" w:type="dxa"/>
            <w:tcBorders/>
            <w:shd w:fill="auto" w:val="clear"/>
            <w:vAlign w:val="bottom"/>
          </w:tcPr>
          <w:p>
            <w:pPr>
              <w:pStyle w:val="TableContents"/>
              <w:spacing w:before="0" w:after="283"/>
              <w:rPr/>
            </w:pPr>
            <w:r>
              <w:rPr/>
              <w:t> </w:t>
            </w:r>
          </w:p>
        </w:tc>
      </w:tr>
      <w:tr>
        <w:trPr/>
        <w:tc>
          <w:tcPr>
            <w:tcW w:w="2324" w:type="dxa"/>
            <w:tcBorders/>
            <w:shd w:fill="CCEEFF" w:val="clear"/>
          </w:tcPr>
          <w:p>
            <w:pPr>
              <w:pStyle w:val="TableContents"/>
              <w:spacing w:before="0" w:after="283"/>
              <w:rPr/>
            </w:pPr>
            <w:r>
              <w:rPr>
                <w:rFonts w:ascii="Times New Roman" w:hAnsi="Times New Roman"/>
                <w:sz w:val="20"/>
              </w:rPr>
              <w:t xml:space="preserve">Net operating revenues </w:t>
            </w:r>
            <w:r>
              <w:rPr>
                <w:rFonts w:ascii="Times New Roman" w:hAnsi="Times New Roman"/>
                <w:sz w:val="14"/>
              </w:rPr>
              <w:t>(1)</w:t>
            </w:r>
          </w:p>
        </w:tc>
        <w:tc>
          <w:tcPr>
            <w:tcW w:w="1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30" w:type="dxa"/>
            <w:tcBorders/>
            <w:shd w:fill="CCEEFF" w:val="clear"/>
            <w:vAlign w:val="bottom"/>
          </w:tcPr>
          <w:p>
            <w:pPr>
              <w:pStyle w:val="TableContents"/>
              <w:spacing w:before="0" w:after="283"/>
              <w:jc w:val="right"/>
              <w:rPr/>
            </w:pPr>
            <w:r>
              <w:rPr/>
              <w:t>                </w:t>
            </w: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95" w:type="dxa"/>
            <w:tcBorders/>
            <w:shd w:fill="CCEEFF" w:val="clear"/>
            <w:vAlign w:val="bottom"/>
          </w:tcPr>
          <w:p>
            <w:pPr>
              <w:pStyle w:val="TableContents"/>
              <w:spacing w:before="0" w:after="283"/>
              <w:jc w:val="right"/>
              <w:rPr/>
            </w:pPr>
            <w:r>
              <w:rPr/>
              <w:t>                </w:t>
            </w:r>
            <w:r>
              <w:rPr>
                <w:rFonts w:ascii="Times New Roman" w:hAnsi="Times New Roman"/>
                <w:sz w:val="20"/>
              </w:rPr>
              <w:t>881</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95" w:type="dxa"/>
            <w:tcBorders/>
            <w:shd w:fill="CCEEFF" w:val="clear"/>
            <w:vAlign w:val="bottom"/>
          </w:tcPr>
          <w:p>
            <w:pPr>
              <w:pStyle w:val="TableContents"/>
              <w:spacing w:before="0" w:after="283"/>
              <w:jc w:val="right"/>
              <w:rPr/>
            </w:pPr>
            <w:r>
              <w:rPr/>
              <w:t>                </w:t>
            </w:r>
            <w:r>
              <w:rPr>
                <w:rFonts w:ascii="Times New Roman" w:hAnsi="Times New Roman"/>
                <w:sz w:val="20"/>
              </w:rPr>
              <w:t>104</w:t>
            </w:r>
          </w:p>
        </w:tc>
        <w:tc>
          <w:tcPr>
            <w:tcW w:w="1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30" w:type="dxa"/>
            <w:tcBorders/>
            <w:shd w:fill="CCEEFF" w:val="clear"/>
            <w:vAlign w:val="bottom"/>
          </w:tcPr>
          <w:p>
            <w:pPr>
              <w:pStyle w:val="TableContents"/>
              <w:spacing w:before="0" w:after="283"/>
              <w:jc w:val="right"/>
              <w:rPr/>
            </w:pPr>
            <w:r>
              <w:rPr/>
              <w:t>                </w:t>
            </w: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95" w:type="dxa"/>
            <w:tcBorders/>
            <w:shd w:fill="CCEEFF" w:val="clear"/>
            <w:vAlign w:val="bottom"/>
          </w:tcPr>
          <w:p>
            <w:pPr>
              <w:pStyle w:val="TableContents"/>
              <w:spacing w:before="0" w:after="283"/>
              <w:jc w:val="right"/>
              <w:rPr/>
            </w:pPr>
            <w:r>
              <w:rPr/>
              <w:t>                </w:t>
            </w:r>
            <w:r>
              <w:rPr>
                <w:rFonts w:ascii="Times New Roman" w:hAnsi="Times New Roman"/>
                <w:sz w:val="20"/>
              </w:rPr>
              <w:t>985</w:t>
            </w:r>
          </w:p>
        </w:tc>
        <w:tc>
          <w:tcPr>
            <w:tcW w:w="134" w:type="dxa"/>
            <w:tcBorders/>
            <w:shd w:fill="CCEEFF" w:val="clear"/>
            <w:vAlign w:val="bottom"/>
          </w:tcPr>
          <w:p>
            <w:pPr>
              <w:pStyle w:val="TableContents"/>
              <w:spacing w:before="0" w:after="283"/>
              <w:rPr/>
            </w:pPr>
            <w:r>
              <w:rPr/>
              <w:t>  </w:t>
            </w:r>
          </w:p>
        </w:tc>
      </w:tr>
      <w:tr>
        <w:trPr/>
        <w:tc>
          <w:tcPr>
            <w:tcW w:w="2324" w:type="dxa"/>
            <w:tcBorders/>
            <w:shd w:fill="auto" w:val="clear"/>
          </w:tcPr>
          <w:p>
            <w:pPr>
              <w:pStyle w:val="TableContents"/>
              <w:spacing w:before="0" w:after="283"/>
              <w:rPr>
                <w:rFonts w:ascii="Times New Roman" w:hAnsi="Times New Roman"/>
                <w:sz w:val="20"/>
              </w:rPr>
            </w:pPr>
            <w:r>
              <w:rPr>
                <w:rFonts w:ascii="Times New Roman" w:hAnsi="Times New Roman"/>
                <w:sz w:val="20"/>
              </w:rPr>
              <w:t>Field operating costs</w:t>
            </w:r>
          </w:p>
        </w:tc>
        <w:tc>
          <w:tcPr>
            <w:tcW w:w="1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(334</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24" w:type="dxa"/>
            <w:tcBorders/>
            <w:shd w:fill="CCEEFF" w:val="clear"/>
          </w:tcPr>
          <w:p>
            <w:pPr>
              <w:pStyle w:val="TableContents"/>
              <w:spacing w:before="0" w:after="283"/>
              <w:rPr>
                <w:rFonts w:ascii="Times New Roman" w:hAnsi="Times New Roman"/>
                <w:sz w:val="20"/>
              </w:rPr>
            </w:pPr>
            <w:r>
              <w:rPr>
                <w:rFonts w:ascii="Times New Roman" w:hAnsi="Times New Roman"/>
                <w:sz w:val="20"/>
              </w:rPr>
              <w:t>General and administrative expenses</w:t>
            </w:r>
          </w:p>
        </w:tc>
        <w:tc>
          <w:tcPr>
            <w:tcW w:w="1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24"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1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24"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9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9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1295" w:type="dxa"/>
            <w:tcBorders>
              <w:top w:val="single" w:sz="2"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2324" w:type="dxa"/>
            <w:tcBorders/>
            <w:shd w:fill="CCEEFF" w:val="clear"/>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3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3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34" w:type="dxa"/>
            <w:tcBorders/>
            <w:shd w:fill="CCEEFF" w:val="clear"/>
            <w:vAlign w:val="bottom"/>
          </w:tcPr>
          <w:p>
            <w:pPr>
              <w:pStyle w:val="TableContents"/>
              <w:spacing w:before="0" w:after="283"/>
              <w:rPr>
                <w:sz w:val="4"/>
                <w:szCs w:val="4"/>
              </w:rPr>
            </w:pPr>
            <w:r>
              <w:rPr>
                <w:sz w:val="4"/>
                <w:szCs w:val="4"/>
              </w:rPr>
            </w:r>
          </w:p>
        </w:tc>
      </w:tr>
      <w:tr>
        <w:trPr/>
        <w:tc>
          <w:tcPr>
            <w:tcW w:w="2324"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income/(loss)</w:t>
            </w:r>
          </w:p>
        </w:tc>
        <w:tc>
          <w:tcPr>
            <w:tcW w:w="1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365</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403</w:t>
            </w:r>
          </w:p>
        </w:tc>
        <w:tc>
          <w:tcPr>
            <w:tcW w:w="134" w:type="dxa"/>
            <w:tcBorders/>
            <w:shd w:fill="auto" w:val="clear"/>
            <w:vAlign w:val="bottom"/>
          </w:tcPr>
          <w:p>
            <w:pPr>
              <w:pStyle w:val="TableContents"/>
              <w:spacing w:before="0" w:after="283"/>
              <w:rPr/>
            </w:pPr>
            <w:r>
              <w:rPr/>
              <w:t>  </w:t>
            </w:r>
          </w:p>
        </w:tc>
      </w:tr>
      <w:tr>
        <w:trPr/>
        <w:tc>
          <w:tcPr>
            <w:tcW w:w="2324"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9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9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1295" w:type="dxa"/>
            <w:tcBorders>
              <w:top w:val="single" w:sz="2"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2324" w:type="dxa"/>
            <w:tcBorders/>
            <w:shd w:fill="CCEEFF" w:val="clear"/>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3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3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34" w:type="dxa"/>
            <w:tcBorders/>
            <w:shd w:fill="CCEEFF" w:val="clear"/>
            <w:vAlign w:val="bottom"/>
          </w:tcPr>
          <w:p>
            <w:pPr>
              <w:pStyle w:val="TableContents"/>
              <w:spacing w:before="0" w:after="283"/>
              <w:rPr>
                <w:sz w:val="4"/>
                <w:szCs w:val="4"/>
              </w:rPr>
            </w:pPr>
            <w:r>
              <w:rPr>
                <w:sz w:val="4"/>
                <w:szCs w:val="4"/>
              </w:rPr>
            </w:r>
          </w:p>
        </w:tc>
      </w:tr>
      <w:tr>
        <w:trPr/>
        <w:tc>
          <w:tcPr>
            <w:tcW w:w="2324" w:type="dxa"/>
            <w:tcBorders/>
            <w:shd w:fill="auto" w:val="clear"/>
          </w:tcPr>
          <w:p>
            <w:pPr>
              <w:pStyle w:val="TableContents"/>
              <w:spacing w:before="0" w:after="283"/>
              <w:rPr>
                <w:rFonts w:ascii="Times New Roman" w:hAnsi="Times New Roman"/>
                <w:sz w:val="20"/>
              </w:rPr>
            </w:pPr>
            <w:r>
              <w:rPr>
                <w:rFonts w:ascii="Times New Roman" w:hAnsi="Times New Roman"/>
                <w:sz w:val="20"/>
              </w:rPr>
              <w:t>Equity earnings in unconsolidated entities</w:t>
            </w:r>
          </w:p>
        </w:tc>
        <w:tc>
          <w:tcPr>
            <w:tcW w:w="1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411</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34" w:type="dxa"/>
            <w:tcBorders/>
            <w:shd w:fill="auto" w:val="clear"/>
            <w:vAlign w:val="bottom"/>
          </w:tcPr>
          <w:p>
            <w:pPr>
              <w:pStyle w:val="TableContents"/>
              <w:spacing w:before="0" w:after="283"/>
              <w:rPr/>
            </w:pPr>
            <w:r>
              <w:rPr/>
              <w:t>  </w:t>
            </w:r>
          </w:p>
        </w:tc>
      </w:tr>
      <w:tr>
        <w:trPr/>
        <w:tc>
          <w:tcPr>
            <w:tcW w:w="2324"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1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24" w:type="dxa"/>
            <w:tcBorders/>
            <w:shd w:fill="auto" w:val="clear"/>
          </w:tcPr>
          <w:p>
            <w:pPr>
              <w:pStyle w:val="TableContents"/>
              <w:spacing w:before="0" w:after="283"/>
              <w:rPr>
                <w:rFonts w:ascii="Times New Roman" w:hAnsi="Times New Roman"/>
                <w:sz w:val="20"/>
              </w:rPr>
            </w:pPr>
            <w:r>
              <w:rPr>
                <w:rFonts w:ascii="Times New Roman" w:hAnsi="Times New Roman"/>
                <w:sz w:val="20"/>
              </w:rPr>
              <w:t>Other income, net</w:t>
            </w:r>
          </w:p>
        </w:tc>
        <w:tc>
          <w:tcPr>
            <w:tcW w:w="1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24"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9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9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1295" w:type="dxa"/>
            <w:tcBorders>
              <w:top w:val="single" w:sz="2"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2324"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1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284</w:t>
            </w:r>
          </w:p>
        </w:tc>
        <w:tc>
          <w:tcPr>
            <w:tcW w:w="1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412</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284</w:t>
            </w:r>
          </w:p>
        </w:tc>
        <w:tc>
          <w:tcPr>
            <w:tcW w:w="134" w:type="dxa"/>
            <w:tcBorders/>
            <w:shd w:fill="CCEEFF" w:val="clear"/>
            <w:vAlign w:val="bottom"/>
          </w:tcPr>
          <w:p>
            <w:pPr>
              <w:pStyle w:val="TableContents"/>
              <w:spacing w:before="0" w:after="283"/>
              <w:rPr/>
            </w:pPr>
            <w:r>
              <w:rPr/>
              <w:t>  </w:t>
            </w:r>
          </w:p>
        </w:tc>
      </w:tr>
      <w:tr>
        <w:trPr/>
        <w:tc>
          <w:tcPr>
            <w:tcW w:w="2324" w:type="dxa"/>
            <w:tcBorders/>
            <w:shd w:fill="auto" w:val="clear"/>
          </w:tcPr>
          <w:p>
            <w:pPr>
              <w:pStyle w:val="TableContents"/>
              <w:spacing w:before="0" w:after="0"/>
              <w:rPr>
                <w:rFonts w:ascii="Times New Roman" w:hAnsi="Times New Roman"/>
                <w:sz w:val="20"/>
              </w:rPr>
            </w:pPr>
            <w:r>
              <w:rPr>
                <w:rFonts w:ascii="Times New Roman" w:hAnsi="Times New Roman"/>
                <w:sz w:val="20"/>
              </w:rPr>
              <w:t>Less: Net income attributable to the</w:t>
            </w:r>
          </w:p>
          <w:p>
            <w:pPr>
              <w:pStyle w:val="TableContents"/>
              <w:spacing w:before="0" w:after="15"/>
              <w:rPr/>
            </w:pPr>
            <w:r>
              <w:rPr/>
              <w:t>          </w:t>
            </w:r>
            <w:r>
              <w:rPr>
                <w:rFonts w:ascii="Times New Roman" w:hAnsi="Times New Roman"/>
                <w:sz w:val="20"/>
              </w:rPr>
              <w:t>noncontrolling interests</w:t>
            </w:r>
          </w:p>
        </w:tc>
        <w:tc>
          <w:tcPr>
            <w:tcW w:w="1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24"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9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9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1295" w:type="dxa"/>
            <w:tcBorders>
              <w:top w:val="single" w:sz="2"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2324"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Plains</w:t>
            </w:r>
          </w:p>
        </w:tc>
        <w:tc>
          <w:tcPr>
            <w:tcW w:w="1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282</w:t>
            </w:r>
          </w:p>
        </w:tc>
        <w:tc>
          <w:tcPr>
            <w:tcW w:w="1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411</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282</w:t>
            </w:r>
          </w:p>
        </w:tc>
        <w:tc>
          <w:tcPr>
            <w:tcW w:w="134" w:type="dxa"/>
            <w:tcBorders/>
            <w:shd w:fill="CCEEFF" w:val="clear"/>
            <w:vAlign w:val="bottom"/>
          </w:tcPr>
          <w:p>
            <w:pPr>
              <w:pStyle w:val="TableContents"/>
              <w:spacing w:before="0" w:after="283"/>
              <w:rPr/>
            </w:pPr>
            <w:r>
              <w:rPr/>
              <w:t>  </w:t>
            </w:r>
          </w:p>
        </w:tc>
      </w:tr>
      <w:tr>
        <w:trPr/>
        <w:tc>
          <w:tcPr>
            <w:tcW w:w="2324"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3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29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29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3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1295" w:type="dxa"/>
            <w:tcBorders>
              <w:top w:val="double" w:sz="6"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232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7608" w:type="dxa"/>
            <w:gridSpan w:val="18"/>
            <w:tcBorders>
              <w:bottom w:val="single" w:sz="2" w:space="0" w:color="000000"/>
            </w:tcBorders>
            <w:shd w:fill="auto" w:val="clear"/>
            <w:tcMar>
              <w:bottom w:w="28" w:type="dxa"/>
            </w:tcMar>
            <w:vAlign w:val="bottom"/>
          </w:tcPr>
          <w:p>
            <w:pPr>
              <w:pStyle w:val="TableContents"/>
              <w:spacing w:before="0" w:after="0"/>
              <w:rPr/>
            </w:pPr>
            <w:r>
              <w:rPr/>
              <w:t> </w:t>
            </w:r>
          </w:p>
          <w:p>
            <w:pPr>
              <w:pStyle w:val="TableContents"/>
              <w:spacing w:before="0" w:after="15"/>
              <w:jc w:val="center"/>
              <w:rPr>
                <w:rFonts w:ascii="Times New Roman" w:hAnsi="Times New Roman"/>
                <w:b/>
                <w:sz w:val="14"/>
              </w:rPr>
            </w:pPr>
            <w:r>
              <w:rPr>
                <w:rFonts w:ascii="Times New Roman" w:hAnsi="Times New Roman"/>
                <w:b/>
                <w:sz w:val="14"/>
              </w:rPr>
              <w:t>Six Months Ended June 30, 2009</w:t>
            </w:r>
          </w:p>
        </w:tc>
        <w:tc>
          <w:tcPr>
            <w:tcW w:w="134" w:type="dxa"/>
            <w:tcBorders/>
            <w:shd w:fill="auto" w:val="clear"/>
            <w:vAlign w:val="bottom"/>
          </w:tcPr>
          <w:p>
            <w:pPr>
              <w:pStyle w:val="TableContents"/>
              <w:spacing w:before="0" w:after="283"/>
              <w:rPr/>
            </w:pPr>
            <w:r>
              <w:rPr/>
              <w:t> </w:t>
            </w:r>
          </w:p>
        </w:tc>
      </w:tr>
      <w:tr>
        <w:trPr/>
        <w:tc>
          <w:tcPr>
            <w:tcW w:w="232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25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Parent</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4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Combined</w:t>
              <w:br/>
              <w:t>Guarantor</w:t>
              <w:br/>
              <w:t>Subsidiaries</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4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Combined</w:t>
              <w:br/>
              <w:t>Non-Guarantor</w:t>
              <w:br/>
              <w:t>Subsidiaries</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Eliminations</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4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Consolidated</w:t>
            </w:r>
          </w:p>
        </w:tc>
        <w:tc>
          <w:tcPr>
            <w:tcW w:w="134" w:type="dxa"/>
            <w:tcBorders/>
            <w:shd w:fill="auto" w:val="clear"/>
            <w:vAlign w:val="bottom"/>
          </w:tcPr>
          <w:p>
            <w:pPr>
              <w:pStyle w:val="TableContents"/>
              <w:spacing w:before="0" w:after="283"/>
              <w:rPr/>
            </w:pPr>
            <w:r>
              <w:rPr/>
              <w:t> </w:t>
            </w:r>
          </w:p>
        </w:tc>
      </w:tr>
      <w:tr>
        <w:trPr/>
        <w:tc>
          <w:tcPr>
            <w:tcW w:w="2324" w:type="dxa"/>
            <w:tcBorders/>
            <w:shd w:fill="CCEEFF" w:val="clear"/>
          </w:tcPr>
          <w:p>
            <w:pPr>
              <w:pStyle w:val="TableContents"/>
              <w:spacing w:before="0" w:after="283"/>
              <w:rPr/>
            </w:pPr>
            <w:r>
              <w:rPr>
                <w:rFonts w:ascii="Times New Roman" w:hAnsi="Times New Roman"/>
                <w:sz w:val="20"/>
              </w:rPr>
              <w:t xml:space="preserve">Net operating revenues </w:t>
            </w:r>
            <w:r>
              <w:rPr>
                <w:rFonts w:ascii="Times New Roman" w:hAnsi="Times New Roman"/>
                <w:sz w:val="14"/>
              </w:rPr>
              <w:t>(1)</w:t>
            </w:r>
          </w:p>
        </w:tc>
        <w:tc>
          <w:tcPr>
            <w:tcW w:w="1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900</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w:t>
            </w:r>
          </w:p>
        </w:tc>
        <w:tc>
          <w:tcPr>
            <w:tcW w:w="1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966</w:t>
            </w:r>
          </w:p>
        </w:tc>
        <w:tc>
          <w:tcPr>
            <w:tcW w:w="134" w:type="dxa"/>
            <w:tcBorders/>
            <w:shd w:fill="CCEEFF" w:val="clear"/>
            <w:vAlign w:val="bottom"/>
          </w:tcPr>
          <w:p>
            <w:pPr>
              <w:pStyle w:val="TableContents"/>
              <w:spacing w:before="0" w:after="283"/>
              <w:rPr/>
            </w:pPr>
            <w:r>
              <w:rPr/>
              <w:t>  </w:t>
            </w:r>
          </w:p>
        </w:tc>
      </w:tr>
      <w:tr>
        <w:trPr/>
        <w:tc>
          <w:tcPr>
            <w:tcW w:w="2324" w:type="dxa"/>
            <w:tcBorders/>
            <w:shd w:fill="auto" w:val="clear"/>
          </w:tcPr>
          <w:p>
            <w:pPr>
              <w:pStyle w:val="TableContents"/>
              <w:spacing w:before="0" w:after="283"/>
              <w:rPr>
                <w:rFonts w:ascii="Times New Roman" w:hAnsi="Times New Roman"/>
                <w:sz w:val="20"/>
              </w:rPr>
            </w:pPr>
            <w:r>
              <w:rPr>
                <w:rFonts w:ascii="Times New Roman" w:hAnsi="Times New Roman"/>
                <w:sz w:val="20"/>
              </w:rPr>
              <w:t>Field operating costs</w:t>
            </w:r>
          </w:p>
        </w:tc>
        <w:tc>
          <w:tcPr>
            <w:tcW w:w="1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(312</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24" w:type="dxa"/>
            <w:tcBorders/>
            <w:shd w:fill="CCEEFF" w:val="clear"/>
          </w:tcPr>
          <w:p>
            <w:pPr>
              <w:pStyle w:val="TableContents"/>
              <w:spacing w:before="0" w:after="283"/>
              <w:rPr>
                <w:rFonts w:ascii="Times New Roman" w:hAnsi="Times New Roman"/>
                <w:sz w:val="20"/>
              </w:rPr>
            </w:pPr>
            <w:r>
              <w:rPr>
                <w:rFonts w:ascii="Times New Roman" w:hAnsi="Times New Roman"/>
                <w:sz w:val="20"/>
              </w:rPr>
              <w:t>General and administrative expenses</w:t>
            </w:r>
          </w:p>
        </w:tc>
        <w:tc>
          <w:tcPr>
            <w:tcW w:w="1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24"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1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24"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9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9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1295" w:type="dxa"/>
            <w:tcBorders>
              <w:top w:val="single" w:sz="2"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2324" w:type="dxa"/>
            <w:tcBorders/>
            <w:shd w:fill="CCEEFF" w:val="clear"/>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3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3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34" w:type="dxa"/>
            <w:tcBorders/>
            <w:shd w:fill="CCEEFF" w:val="clear"/>
            <w:vAlign w:val="bottom"/>
          </w:tcPr>
          <w:p>
            <w:pPr>
              <w:pStyle w:val="TableContents"/>
              <w:spacing w:before="0" w:after="283"/>
              <w:rPr>
                <w:sz w:val="4"/>
                <w:szCs w:val="4"/>
              </w:rPr>
            </w:pPr>
            <w:r>
              <w:rPr>
                <w:sz w:val="4"/>
                <w:szCs w:val="4"/>
              </w:rPr>
            </w:r>
          </w:p>
        </w:tc>
      </w:tr>
      <w:tr>
        <w:trPr/>
        <w:tc>
          <w:tcPr>
            <w:tcW w:w="2324"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income/(loss)</w:t>
            </w:r>
          </w:p>
        </w:tc>
        <w:tc>
          <w:tcPr>
            <w:tcW w:w="1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413</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440</w:t>
            </w:r>
          </w:p>
        </w:tc>
        <w:tc>
          <w:tcPr>
            <w:tcW w:w="134" w:type="dxa"/>
            <w:tcBorders/>
            <w:shd w:fill="auto" w:val="clear"/>
            <w:vAlign w:val="bottom"/>
          </w:tcPr>
          <w:p>
            <w:pPr>
              <w:pStyle w:val="TableContents"/>
              <w:spacing w:before="0" w:after="283"/>
              <w:rPr/>
            </w:pPr>
            <w:r>
              <w:rPr/>
              <w:t>  </w:t>
            </w:r>
          </w:p>
        </w:tc>
      </w:tr>
      <w:tr>
        <w:trPr/>
        <w:tc>
          <w:tcPr>
            <w:tcW w:w="2324"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9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9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1295" w:type="dxa"/>
            <w:tcBorders>
              <w:top w:val="single" w:sz="2"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2324" w:type="dxa"/>
            <w:tcBorders/>
            <w:shd w:fill="CCEEFF" w:val="clear"/>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3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3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34" w:type="dxa"/>
            <w:tcBorders/>
            <w:shd w:fill="CCEEFF" w:val="clear"/>
            <w:vAlign w:val="bottom"/>
          </w:tcPr>
          <w:p>
            <w:pPr>
              <w:pStyle w:val="TableContents"/>
              <w:spacing w:before="0" w:after="283"/>
              <w:rPr>
                <w:sz w:val="4"/>
                <w:szCs w:val="4"/>
              </w:rPr>
            </w:pPr>
            <w:r>
              <w:rPr>
                <w:sz w:val="4"/>
                <w:szCs w:val="4"/>
              </w:rPr>
            </w:r>
          </w:p>
        </w:tc>
      </w:tr>
      <w:tr>
        <w:trPr/>
        <w:tc>
          <w:tcPr>
            <w:tcW w:w="2324" w:type="dxa"/>
            <w:tcBorders/>
            <w:shd w:fill="auto" w:val="clear"/>
          </w:tcPr>
          <w:p>
            <w:pPr>
              <w:pStyle w:val="TableContents"/>
              <w:spacing w:before="0" w:after="283"/>
              <w:rPr>
                <w:rFonts w:ascii="Times New Roman" w:hAnsi="Times New Roman"/>
                <w:sz w:val="20"/>
              </w:rPr>
            </w:pPr>
            <w:r>
              <w:rPr>
                <w:rFonts w:ascii="Times New Roman" w:hAnsi="Times New Roman"/>
                <w:sz w:val="20"/>
              </w:rPr>
              <w:t>Equity earnings in unconsolidated entities</w:t>
            </w:r>
          </w:p>
        </w:tc>
        <w:tc>
          <w:tcPr>
            <w:tcW w:w="1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458</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34" w:type="dxa"/>
            <w:tcBorders/>
            <w:shd w:fill="auto" w:val="clear"/>
            <w:vAlign w:val="bottom"/>
          </w:tcPr>
          <w:p>
            <w:pPr>
              <w:pStyle w:val="TableContents"/>
              <w:spacing w:before="0" w:after="283"/>
              <w:rPr/>
            </w:pPr>
            <w:r>
              <w:rPr/>
              <w:t>  </w:t>
            </w:r>
          </w:p>
        </w:tc>
      </w:tr>
      <w:tr>
        <w:trPr/>
        <w:tc>
          <w:tcPr>
            <w:tcW w:w="2324"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1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24" w:type="dxa"/>
            <w:tcBorders/>
            <w:shd w:fill="auto" w:val="clear"/>
          </w:tcPr>
          <w:p>
            <w:pPr>
              <w:pStyle w:val="TableContents"/>
              <w:spacing w:before="0" w:after="283"/>
              <w:rPr>
                <w:rFonts w:ascii="Times New Roman" w:hAnsi="Times New Roman"/>
                <w:sz w:val="20"/>
              </w:rPr>
            </w:pPr>
            <w:r>
              <w:rPr>
                <w:rFonts w:ascii="Times New Roman" w:hAnsi="Times New Roman"/>
                <w:sz w:val="20"/>
              </w:rPr>
              <w:t>Other income, net</w:t>
            </w:r>
          </w:p>
        </w:tc>
        <w:tc>
          <w:tcPr>
            <w:tcW w:w="1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34" w:type="dxa"/>
            <w:tcBorders/>
            <w:shd w:fill="auto" w:val="clear"/>
            <w:vAlign w:val="bottom"/>
          </w:tcPr>
          <w:p>
            <w:pPr>
              <w:pStyle w:val="TableContents"/>
              <w:spacing w:before="0" w:after="283"/>
              <w:rPr/>
            </w:pPr>
            <w:r>
              <w:rPr/>
              <w:t>  </w:t>
            </w:r>
          </w:p>
        </w:tc>
      </w:tr>
      <w:tr>
        <w:trPr/>
        <w:tc>
          <w:tcPr>
            <w:tcW w:w="2324"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1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4" w:type="dxa"/>
            <w:tcBorders/>
            <w:shd w:fill="CCEEFF" w:val="clear"/>
            <w:vAlign w:val="bottom"/>
          </w:tcPr>
          <w:p>
            <w:pPr>
              <w:pStyle w:val="TableContents"/>
              <w:spacing w:before="0" w:after="283"/>
              <w:rPr/>
            </w:pPr>
            <w:r>
              <w:rPr/>
              <w:t>  </w:t>
            </w:r>
          </w:p>
        </w:tc>
      </w:tr>
      <w:tr>
        <w:trPr/>
        <w:tc>
          <w:tcPr>
            <w:tcW w:w="2324"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9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9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3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1295" w:type="dxa"/>
            <w:tcBorders>
              <w:top w:val="single" w:sz="2"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2324"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1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347</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452</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2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347</w:t>
            </w:r>
          </w:p>
        </w:tc>
        <w:tc>
          <w:tcPr>
            <w:tcW w:w="134" w:type="dxa"/>
            <w:tcBorders/>
            <w:shd w:fill="auto" w:val="clear"/>
            <w:vAlign w:val="bottom"/>
          </w:tcPr>
          <w:p>
            <w:pPr>
              <w:pStyle w:val="TableContents"/>
              <w:spacing w:before="0" w:after="283"/>
              <w:rPr/>
            </w:pPr>
            <w:r>
              <w:rPr/>
              <w:t>  </w:t>
            </w:r>
          </w:p>
        </w:tc>
      </w:tr>
      <w:tr>
        <w:trPr/>
        <w:tc>
          <w:tcPr>
            <w:tcW w:w="2324"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3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29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29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3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1295" w:type="dxa"/>
            <w:tcBorders>
              <w:top w:val="double" w:sz="6" w:space="0" w:color="000000"/>
            </w:tcBorders>
            <w:shd w:fill="auto" w:val="clear"/>
            <w:tcMar>
              <w:top w:w="28" w:type="dxa"/>
            </w:tcMar>
            <w:vAlign w:val="bottom"/>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r>
    </w:tbl>
    <w:p>
      <w:pPr>
        <w:pStyle w:val="TextBody"/>
        <w:pBdr>
          <w:bottom w:val="single" w:sz="16"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Net operating revenues are calculated as Total revenues less Purchases and related costs.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Condensed Consolidating Statements of Cash Flows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038"/>
        <w:gridCol w:w="170"/>
        <w:gridCol w:w="125"/>
        <w:gridCol w:w="1057"/>
        <w:gridCol w:w="125"/>
        <w:gridCol w:w="120"/>
        <w:gridCol w:w="125"/>
        <w:gridCol w:w="1057"/>
        <w:gridCol w:w="125"/>
        <w:gridCol w:w="119"/>
        <w:gridCol w:w="125"/>
        <w:gridCol w:w="969"/>
        <w:gridCol w:w="125"/>
        <w:gridCol w:w="120"/>
        <w:gridCol w:w="125"/>
        <w:gridCol w:w="1193"/>
        <w:gridCol w:w="170"/>
        <w:gridCol w:w="125"/>
        <w:gridCol w:w="1056"/>
        <w:gridCol w:w="136"/>
      </w:tblGrid>
      <w:tr>
        <w:trPr/>
        <w:tc>
          <w:tcPr>
            <w:tcW w:w="30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r>
      <w:tr>
        <w:trPr/>
        <w:tc>
          <w:tcPr>
            <w:tcW w:w="303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6861" w:type="dxa"/>
            <w:gridSpan w:val="17"/>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 June 30, 2010</w:t>
            </w:r>
          </w:p>
        </w:tc>
        <w:tc>
          <w:tcPr>
            <w:tcW w:w="136" w:type="dxa"/>
            <w:tcBorders/>
            <w:shd w:fill="auto" w:val="clear"/>
            <w:vAlign w:val="bottom"/>
          </w:tcPr>
          <w:p>
            <w:pPr>
              <w:pStyle w:val="TableContents"/>
              <w:spacing w:before="0" w:after="283"/>
              <w:rPr/>
            </w:pPr>
            <w:r>
              <w:rPr/>
              <w:t> </w:t>
            </w:r>
          </w:p>
        </w:tc>
      </w:tr>
      <w:tr>
        <w:trPr/>
        <w:tc>
          <w:tcPr>
            <w:tcW w:w="303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18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Parent</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8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Combined</w:t>
              <w:br/>
              <w:t>Guarantor</w:t>
              <w:br/>
              <w:t>Subsidiaries</w:t>
            </w:r>
          </w:p>
        </w:tc>
        <w:tc>
          <w:tcPr>
            <w:tcW w:w="12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09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Combined</w:t>
              <w:br/>
              <w:t>Non-Guarantor</w:t>
              <w:br/>
              <w:t>Subsidiaries</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3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Eliminations</w:t>
            </w:r>
          </w:p>
        </w:tc>
        <w:tc>
          <w:tcPr>
            <w:tcW w:w="170" w:type="dxa"/>
            <w:tcBorders/>
            <w:shd w:fill="auto" w:val="clear"/>
            <w:vAlign w:val="bottom"/>
          </w:tcPr>
          <w:p>
            <w:pPr>
              <w:pStyle w:val="TableContents"/>
              <w:spacing w:before="0" w:after="283"/>
              <w:rPr/>
            </w:pPr>
            <w:r>
              <w:rPr/>
              <w:t>  </w:t>
            </w:r>
          </w:p>
        </w:tc>
        <w:tc>
          <w:tcPr>
            <w:tcW w:w="118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Consolidated</w:t>
            </w:r>
          </w:p>
        </w:tc>
        <w:tc>
          <w:tcPr>
            <w:tcW w:w="136" w:type="dxa"/>
            <w:tcBorders/>
            <w:shd w:fill="auto" w:val="clear"/>
            <w:vAlign w:val="bottom"/>
          </w:tcPr>
          <w:p>
            <w:pPr>
              <w:pStyle w:val="TableContents"/>
              <w:spacing w:before="0" w:after="283"/>
              <w:rPr/>
            </w:pPr>
            <w:r>
              <w:rPr/>
              <w:t> </w:t>
            </w:r>
          </w:p>
        </w:tc>
      </w:tr>
      <w:tr>
        <w:trPr/>
        <w:tc>
          <w:tcPr>
            <w:tcW w:w="3038" w:type="dxa"/>
            <w:tcBorders/>
            <w:shd w:fill="CCEEFF" w:val="clear"/>
          </w:tcPr>
          <w:p>
            <w:pPr>
              <w:pStyle w:val="TableContents"/>
              <w:spacing w:before="0" w:after="283"/>
              <w:rPr>
                <w:rFonts w:ascii="Times New Roman" w:hAnsi="Times New Roman"/>
                <w:b/>
                <w:sz w:val="20"/>
              </w:rPr>
            </w:pPr>
            <w:r>
              <w:rPr>
                <w:rFonts w:ascii="Times New Roman" w:hAnsi="Times New Roman"/>
                <w:b/>
                <w:sz w:val="20"/>
              </w:rPr>
              <w:t xml:space="preserve">CASH FLOWS FROM OPERATING ACTIVITIES </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5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5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6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93" w:type="dxa"/>
            <w:tcBorders/>
            <w:shd w:fill="CCEEFF" w:val="clear"/>
            <w:vAlign w:val="bottom"/>
          </w:tcPr>
          <w:p>
            <w:pPr>
              <w:pStyle w:val="TableContents"/>
              <w:spacing w:before="0" w:after="283"/>
              <w:rPr>
                <w:sz w:val="4"/>
                <w:szCs w:val="4"/>
              </w:rPr>
            </w:pPr>
            <w:r>
              <w:rPr>
                <w:sz w:val="4"/>
                <w:szCs w:val="4"/>
              </w:rPr>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56"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sz w:val="4"/>
                <w:szCs w:val="4"/>
              </w:rPr>
            </w:pPr>
            <w:r>
              <w:rPr>
                <w:sz w:val="4"/>
                <w:szCs w:val="4"/>
              </w:rPr>
            </w:r>
          </w:p>
        </w:tc>
      </w:tr>
      <w:tr>
        <w:trPr/>
        <w:tc>
          <w:tcPr>
            <w:tcW w:w="3038"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7" w:type="dxa"/>
            <w:tcBorders/>
            <w:shd w:fill="auto" w:val="clear"/>
            <w:vAlign w:val="bottom"/>
          </w:tcPr>
          <w:p>
            <w:pPr>
              <w:pStyle w:val="TableContents"/>
              <w:spacing w:before="0" w:after="283"/>
              <w:jc w:val="right"/>
              <w:rPr/>
            </w:pPr>
            <w:r>
              <w:rPr/>
              <w:t>            </w:t>
            </w:r>
            <w:r>
              <w:rPr>
                <w:rFonts w:ascii="Times New Roman" w:hAnsi="Times New Roman"/>
                <w:sz w:val="20"/>
              </w:rPr>
              <w:t>284</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7" w:type="dxa"/>
            <w:tcBorders/>
            <w:shd w:fill="auto" w:val="clear"/>
            <w:vAlign w:val="bottom"/>
          </w:tcPr>
          <w:p>
            <w:pPr>
              <w:pStyle w:val="TableContents"/>
              <w:spacing w:before="0" w:after="283"/>
              <w:jc w:val="right"/>
              <w:rPr/>
            </w:pPr>
            <w:r>
              <w:rPr/>
              <w:t>            </w:t>
            </w:r>
            <w:r>
              <w:rPr>
                <w:rFonts w:ascii="Times New Roman" w:hAnsi="Times New Roman"/>
                <w:sz w:val="20"/>
              </w:rPr>
              <w:t>412</w:t>
            </w:r>
          </w:p>
        </w:tc>
        <w:tc>
          <w:tcPr>
            <w:tcW w:w="12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9" w:type="dxa"/>
            <w:tcBorders/>
            <w:shd w:fill="auto" w:val="clear"/>
            <w:vAlign w:val="bottom"/>
          </w:tcPr>
          <w:p>
            <w:pPr>
              <w:pStyle w:val="TableContents"/>
              <w:spacing w:before="0" w:after="283"/>
              <w:jc w:val="right"/>
              <w:rPr/>
            </w:pPr>
            <w:r>
              <w:rPr/>
              <w:t>            </w:t>
            </w:r>
            <w:r>
              <w:rPr>
                <w:rFonts w:ascii="Times New Roman" w:hAnsi="Times New Roman"/>
                <w:sz w:val="20"/>
              </w:rPr>
              <w:t>34</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93" w:type="dxa"/>
            <w:tcBorders/>
            <w:shd w:fill="auto" w:val="clear"/>
            <w:vAlign w:val="bottom"/>
          </w:tcPr>
          <w:p>
            <w:pPr>
              <w:pStyle w:val="TableContents"/>
              <w:spacing w:before="0" w:after="283"/>
              <w:jc w:val="right"/>
              <w:rPr/>
            </w:pPr>
            <w:r>
              <w:rPr/>
              <w:t>            </w:t>
            </w:r>
            <w:r>
              <w:rPr>
                <w:rFonts w:ascii="Times New Roman" w:hAnsi="Times New Roman"/>
                <w:sz w:val="20"/>
              </w:rPr>
              <w:t>(446)</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6" w:type="dxa"/>
            <w:tcBorders/>
            <w:shd w:fill="auto" w:val="clear"/>
            <w:vAlign w:val="bottom"/>
          </w:tcPr>
          <w:p>
            <w:pPr>
              <w:pStyle w:val="TableContents"/>
              <w:spacing w:before="0" w:after="283"/>
              <w:jc w:val="right"/>
              <w:rPr/>
            </w:pPr>
            <w:r>
              <w:rPr/>
              <w:t>            </w:t>
            </w:r>
            <w:r>
              <w:rPr>
                <w:rFonts w:ascii="Times New Roman" w:hAnsi="Times New Roman"/>
                <w:sz w:val="20"/>
              </w:rPr>
              <w:t>284</w:t>
            </w:r>
          </w:p>
        </w:tc>
        <w:tc>
          <w:tcPr>
            <w:tcW w:w="136" w:type="dxa"/>
            <w:tcBorders/>
            <w:shd w:fill="auto" w:val="clear"/>
            <w:vAlign w:val="bottom"/>
          </w:tcPr>
          <w:p>
            <w:pPr>
              <w:pStyle w:val="TableContents"/>
              <w:spacing w:before="0" w:after="283"/>
              <w:rPr/>
            </w:pPr>
            <w:r>
              <w:rPr/>
              <w:t>  </w:t>
            </w:r>
          </w:p>
        </w:tc>
      </w:tr>
      <w:tr>
        <w:trPr/>
        <w:tc>
          <w:tcPr>
            <w:tcW w:w="3038" w:type="dxa"/>
            <w:tcBorders/>
            <w:shd w:fill="CCEEFF" w:val="clear"/>
          </w:tcPr>
          <w:p>
            <w:pPr>
              <w:pStyle w:val="TableContents"/>
              <w:spacing w:before="0" w:after="15"/>
              <w:rPr>
                <w:rFonts w:ascii="Times New Roman" w:hAnsi="Times New Roman"/>
                <w:sz w:val="20"/>
              </w:rPr>
            </w:pPr>
            <w:r>
              <w:rPr>
                <w:rFonts w:ascii="Times New Roman" w:hAnsi="Times New Roman"/>
                <w:sz w:val="20"/>
              </w:rPr>
              <w:t>Reconciliation of net income to net cash provided by (used in) operating activities:</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5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5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6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93" w:type="dxa"/>
            <w:tcBorders/>
            <w:shd w:fill="CCEEFF" w:val="clear"/>
            <w:vAlign w:val="bottom"/>
          </w:tcPr>
          <w:p>
            <w:pPr>
              <w:pStyle w:val="TableContents"/>
              <w:spacing w:before="0" w:after="283"/>
              <w:rPr>
                <w:sz w:val="4"/>
                <w:szCs w:val="4"/>
              </w:rPr>
            </w:pPr>
            <w:r>
              <w:rPr>
                <w:sz w:val="4"/>
                <w:szCs w:val="4"/>
              </w:rPr>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56"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sz w:val="4"/>
                <w:szCs w:val="4"/>
              </w:rPr>
            </w:pPr>
            <w:r>
              <w:rPr>
                <w:sz w:val="4"/>
                <w:szCs w:val="4"/>
              </w:rPr>
            </w:r>
          </w:p>
        </w:tc>
      </w:tr>
      <w:tr>
        <w:trPr/>
        <w:tc>
          <w:tcPr>
            <w:tcW w:w="3038"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w:t>
            </w:r>
          </w:p>
        </w:tc>
        <w:tc>
          <w:tcPr>
            <w:tcW w:w="12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36" w:type="dxa"/>
            <w:tcBorders/>
            <w:shd w:fill="auto" w:val="clear"/>
            <w:vAlign w:val="bottom"/>
          </w:tcPr>
          <w:p>
            <w:pPr>
              <w:pStyle w:val="TableContents"/>
              <w:spacing w:before="0" w:after="283"/>
              <w:rPr/>
            </w:pPr>
            <w:r>
              <w:rPr/>
              <w:t>  </w:t>
            </w:r>
          </w:p>
        </w:tc>
      </w:tr>
      <w:tr>
        <w:trPr/>
        <w:tc>
          <w:tcPr>
            <w:tcW w:w="3038" w:type="dxa"/>
            <w:tcBorders/>
            <w:shd w:fill="CCEEFF" w:val="clear"/>
          </w:tcPr>
          <w:p>
            <w:pPr>
              <w:pStyle w:val="TableContents"/>
              <w:spacing w:before="0" w:after="283"/>
              <w:rPr>
                <w:rFonts w:ascii="Times New Roman" w:hAnsi="Times New Roman"/>
                <w:sz w:val="20"/>
              </w:rPr>
            </w:pPr>
            <w:r>
              <w:rPr>
                <w:rFonts w:ascii="Times New Roman" w:hAnsi="Times New Roman"/>
                <w:sz w:val="20"/>
              </w:rPr>
              <w:t>Equity compensation charge</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2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136" w:type="dxa"/>
            <w:tcBorders/>
            <w:shd w:fill="CCEEFF" w:val="clear"/>
            <w:vAlign w:val="bottom"/>
          </w:tcPr>
          <w:p>
            <w:pPr>
              <w:pStyle w:val="TableContents"/>
              <w:spacing w:before="0" w:after="283"/>
              <w:rPr/>
            </w:pPr>
            <w:r>
              <w:rPr/>
              <w:t>  </w:t>
            </w:r>
          </w:p>
        </w:tc>
      </w:tr>
      <w:tr>
        <w:trPr/>
        <w:tc>
          <w:tcPr>
            <w:tcW w:w="3038" w:type="dxa"/>
            <w:tcBorders/>
            <w:shd w:fill="auto" w:val="clear"/>
          </w:tcPr>
          <w:p>
            <w:pPr>
              <w:pStyle w:val="TableContents"/>
              <w:spacing w:before="0" w:after="283"/>
              <w:rPr>
                <w:rFonts w:ascii="Times New Roman" w:hAnsi="Times New Roman"/>
                <w:sz w:val="20"/>
              </w:rPr>
            </w:pPr>
            <w:r>
              <w:rPr>
                <w:rFonts w:ascii="Times New Roman" w:hAnsi="Times New Roman"/>
                <w:sz w:val="20"/>
              </w:rPr>
              <w:t>Equity earnings in unconsolidated subsidiaries, net of distributions</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446</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6" w:type="dxa"/>
            <w:tcBorders/>
            <w:shd w:fill="auto" w:val="clear"/>
            <w:vAlign w:val="bottom"/>
          </w:tcPr>
          <w:p>
            <w:pPr>
              <w:pStyle w:val="TableContents"/>
              <w:spacing w:before="0" w:after="283"/>
              <w:rPr/>
            </w:pPr>
            <w:r>
              <w:rPr/>
              <w:t>  </w:t>
            </w:r>
          </w:p>
        </w:tc>
      </w:tr>
      <w:tr>
        <w:trPr/>
        <w:tc>
          <w:tcPr>
            <w:tcW w:w="3038" w:type="dxa"/>
            <w:tcBorders/>
            <w:shd w:fill="CCEEFF" w:val="clear"/>
          </w:tcPr>
          <w:p>
            <w:pPr>
              <w:pStyle w:val="TableContents"/>
              <w:spacing w:before="0" w:after="283"/>
              <w:rPr>
                <w:rFonts w:ascii="Times New Roman" w:hAnsi="Times New Roman"/>
                <w:sz w:val="20"/>
              </w:rPr>
            </w:pPr>
            <w:r>
              <w:rPr>
                <w:rFonts w:ascii="Times New Roman" w:hAnsi="Times New Roman"/>
                <w:sz w:val="20"/>
              </w:rPr>
              <w:t>Gain on sale of linefill</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038" w:type="dxa"/>
            <w:tcBorders/>
            <w:shd w:fill="auto" w:val="clear"/>
          </w:tcPr>
          <w:p>
            <w:pPr>
              <w:pStyle w:val="TableContents"/>
              <w:spacing w:before="0" w:after="283"/>
              <w:rPr>
                <w:rFonts w:ascii="Times New Roman" w:hAnsi="Times New Roman"/>
                <w:sz w:val="20"/>
              </w:rPr>
            </w:pPr>
            <w:r>
              <w:rPr>
                <w:rFonts w:ascii="Times New Roman" w:hAnsi="Times New Roman"/>
                <w:sz w:val="20"/>
              </w:rPr>
              <w:t>Inventory valuation adjustment</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36" w:type="dxa"/>
            <w:tcBorders/>
            <w:shd w:fill="auto" w:val="clear"/>
            <w:vAlign w:val="bottom"/>
          </w:tcPr>
          <w:p>
            <w:pPr>
              <w:pStyle w:val="TableContents"/>
              <w:spacing w:before="0" w:after="283"/>
              <w:rPr/>
            </w:pPr>
            <w:r>
              <w:rPr/>
              <w:t>  </w:t>
            </w:r>
          </w:p>
        </w:tc>
      </w:tr>
      <w:tr>
        <w:trPr/>
        <w:tc>
          <w:tcPr>
            <w:tcW w:w="3038"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36" w:type="dxa"/>
            <w:tcBorders/>
            <w:shd w:fill="CCEEFF" w:val="clear"/>
            <w:vAlign w:val="bottom"/>
          </w:tcPr>
          <w:p>
            <w:pPr>
              <w:pStyle w:val="TableContents"/>
              <w:spacing w:before="0" w:after="283"/>
              <w:rPr/>
            </w:pPr>
            <w:r>
              <w:rPr/>
              <w:t>  </w:t>
            </w:r>
          </w:p>
        </w:tc>
      </w:tr>
      <w:tr>
        <w:trPr/>
        <w:tc>
          <w:tcPr>
            <w:tcW w:w="3038" w:type="dxa"/>
            <w:tcBorders/>
            <w:shd w:fill="auto" w:val="clear"/>
          </w:tcPr>
          <w:p>
            <w:pPr>
              <w:pStyle w:val="TableContents"/>
              <w:spacing w:before="0" w:after="283"/>
              <w:rPr>
                <w:rFonts w:ascii="Times New Roman" w:hAnsi="Times New Roman"/>
                <w:sz w:val="20"/>
              </w:rPr>
            </w:pPr>
            <w:r>
              <w:rPr>
                <w:rFonts w:ascii="Times New Roman" w:hAnsi="Times New Roman"/>
                <w:sz w:val="20"/>
              </w:rPr>
              <w:t>Changes in assets and liabilities, net of acquisitions</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248</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038"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5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5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93" w:type="dxa"/>
            <w:tcBorders>
              <w:top w:val="single" w:sz="2" w:space="0" w:color="000000"/>
            </w:tcBorders>
            <w:shd w:fill="auto" w:val="clear"/>
            <w:tcMar>
              <w:top w:w="28" w:type="dxa"/>
            </w:tcM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56" w:type="dxa"/>
            <w:tcBorders>
              <w:top w:val="single" w:sz="2" w:space="0" w:color="000000"/>
            </w:tcBorders>
            <w:shd w:fill="auto" w:val="clear"/>
            <w:tcMar>
              <w:top w:w="28" w:type="dxa"/>
            </w:tcMar>
            <w:vAlign w:val="bottom"/>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r>
      <w:tr>
        <w:trPr/>
        <w:tc>
          <w:tcPr>
            <w:tcW w:w="3038"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(used in) operating activities</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w:t>
            </w:r>
          </w:p>
        </w:tc>
        <w:tc>
          <w:tcPr>
            <w:tcW w:w="12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304</w:t>
            </w:r>
          </w:p>
        </w:tc>
        <w:tc>
          <w:tcPr>
            <w:tcW w:w="12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w:t>
            </w:r>
          </w:p>
        </w:tc>
        <w:tc>
          <w:tcPr>
            <w:tcW w:w="136" w:type="dxa"/>
            <w:tcBorders/>
            <w:shd w:fill="CCEEFF" w:val="clear"/>
            <w:vAlign w:val="bottom"/>
          </w:tcPr>
          <w:p>
            <w:pPr>
              <w:pStyle w:val="TableContents"/>
              <w:spacing w:before="0" w:after="283"/>
              <w:rPr/>
            </w:pPr>
            <w:r>
              <w:rPr/>
              <w:t>  </w:t>
            </w:r>
          </w:p>
        </w:tc>
      </w:tr>
      <w:tr>
        <w:trPr/>
        <w:tc>
          <w:tcPr>
            <w:tcW w:w="3038" w:type="dxa"/>
            <w:tcBorders/>
            <w:shd w:fill="auto" w:val="clear"/>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6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193"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56"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r>
      <w:tr>
        <w:trPr/>
        <w:tc>
          <w:tcPr>
            <w:tcW w:w="3038" w:type="dxa"/>
            <w:tcBorders/>
            <w:shd w:fill="CCEEFF" w:val="clear"/>
          </w:tcPr>
          <w:p>
            <w:pPr>
              <w:pStyle w:val="TableContents"/>
              <w:spacing w:before="0" w:after="283"/>
              <w:rPr>
                <w:rFonts w:ascii="Times New Roman" w:hAnsi="Times New Roman"/>
                <w:b/>
                <w:sz w:val="20"/>
              </w:rPr>
            </w:pPr>
            <w:r>
              <w:rPr>
                <w:rFonts w:ascii="Times New Roman" w:hAnsi="Times New Roman"/>
                <w:b/>
                <w:sz w:val="20"/>
              </w:rPr>
              <w:t xml:space="preserve">CASH FLOWS FROM INVESTING ACTIVITIES </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5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5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6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93" w:type="dxa"/>
            <w:tcBorders/>
            <w:shd w:fill="CCEEFF" w:val="clear"/>
            <w:vAlign w:val="bottom"/>
          </w:tcPr>
          <w:p>
            <w:pPr>
              <w:pStyle w:val="TableContents"/>
              <w:spacing w:before="0" w:after="283"/>
              <w:rPr>
                <w:sz w:val="4"/>
                <w:szCs w:val="4"/>
              </w:rPr>
            </w:pPr>
            <w:r>
              <w:rPr>
                <w:sz w:val="4"/>
                <w:szCs w:val="4"/>
              </w:rPr>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56"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sz w:val="4"/>
                <w:szCs w:val="4"/>
              </w:rPr>
            </w:pPr>
            <w:r>
              <w:rPr>
                <w:sz w:val="4"/>
                <w:szCs w:val="4"/>
              </w:rPr>
            </w:r>
          </w:p>
        </w:tc>
      </w:tr>
      <w:tr>
        <w:trPr/>
        <w:tc>
          <w:tcPr>
            <w:tcW w:w="3038" w:type="dxa"/>
            <w:tcBorders/>
            <w:shd w:fill="auto" w:val="clear"/>
          </w:tcPr>
          <w:p>
            <w:pPr>
              <w:pStyle w:val="TableContents"/>
              <w:spacing w:before="0" w:after="283"/>
              <w:rPr>
                <w:rFonts w:ascii="Times New Roman" w:hAnsi="Times New Roman"/>
                <w:sz w:val="20"/>
              </w:rPr>
            </w:pPr>
            <w:r>
              <w:rPr>
                <w:rFonts w:ascii="Times New Roman" w:hAnsi="Times New Roman"/>
                <w:sz w:val="20"/>
              </w:rPr>
              <w:t>Cash paid in connection with acquisitions</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038" w:type="dxa"/>
            <w:tcBorders/>
            <w:shd w:fill="CCEEFF" w:val="clear"/>
          </w:tcPr>
          <w:p>
            <w:pPr>
              <w:pStyle w:val="TableContents"/>
              <w:spacing w:before="0" w:after="283"/>
              <w:rPr>
                <w:rFonts w:ascii="Times New Roman" w:hAnsi="Times New Roman"/>
                <w:sz w:val="20"/>
              </w:rPr>
            </w:pPr>
            <w:r>
              <w:rPr>
                <w:rFonts w:ascii="Times New Roman" w:hAnsi="Times New Roman"/>
                <w:sz w:val="20"/>
              </w:rPr>
              <w:t>Additions to property, equipment and other</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038" w:type="dxa"/>
            <w:tcBorders/>
            <w:shd w:fill="auto" w:val="clear"/>
          </w:tcPr>
          <w:p>
            <w:pPr>
              <w:pStyle w:val="TableContents"/>
              <w:spacing w:before="0" w:after="283"/>
              <w:rPr>
                <w:rFonts w:ascii="Times New Roman" w:hAnsi="Times New Roman"/>
                <w:sz w:val="20"/>
              </w:rPr>
            </w:pPr>
            <w:r>
              <w:rPr>
                <w:rFonts w:ascii="Times New Roman" w:hAnsi="Times New Roman"/>
                <w:sz w:val="20"/>
              </w:rPr>
              <w:t>Cash received for sale of non-controlling interest in a subsidiary</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268</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268</w:t>
            </w:r>
          </w:p>
        </w:tc>
        <w:tc>
          <w:tcPr>
            <w:tcW w:w="136" w:type="dxa"/>
            <w:tcBorders/>
            <w:shd w:fill="auto" w:val="clear"/>
            <w:vAlign w:val="bottom"/>
          </w:tcPr>
          <w:p>
            <w:pPr>
              <w:pStyle w:val="TableContents"/>
              <w:spacing w:before="0" w:after="283"/>
              <w:rPr/>
            </w:pPr>
            <w:r>
              <w:rPr/>
              <w:t>  </w:t>
            </w:r>
          </w:p>
        </w:tc>
      </w:tr>
      <w:tr>
        <w:trPr/>
        <w:tc>
          <w:tcPr>
            <w:tcW w:w="3038" w:type="dxa"/>
            <w:tcBorders/>
            <w:shd w:fill="CCEEFF" w:val="clear"/>
          </w:tcPr>
          <w:p>
            <w:pPr>
              <w:pStyle w:val="TableContents"/>
              <w:spacing w:before="0" w:after="283"/>
              <w:rPr>
                <w:rFonts w:ascii="Times New Roman" w:hAnsi="Times New Roman"/>
                <w:sz w:val="20"/>
              </w:rPr>
            </w:pPr>
            <w:r>
              <w:rPr>
                <w:rFonts w:ascii="Times New Roman" w:hAnsi="Times New Roman"/>
                <w:sz w:val="20"/>
              </w:rPr>
              <w:t>Contingent consideration paid</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038" w:type="dxa"/>
            <w:tcBorders/>
            <w:shd w:fill="auto" w:val="clear"/>
          </w:tcPr>
          <w:p>
            <w:pPr>
              <w:pStyle w:val="TableContents"/>
              <w:spacing w:before="0" w:after="15"/>
              <w:rPr>
                <w:rFonts w:ascii="Times New Roman" w:hAnsi="Times New Roman"/>
                <w:sz w:val="20"/>
              </w:rPr>
            </w:pPr>
            <w:r>
              <w:rPr>
                <w:rFonts w:ascii="Times New Roman" w:hAnsi="Times New Roman"/>
                <w:sz w:val="20"/>
              </w:rPr>
              <w:t>Net cash received (paid) for linefill in assets owned</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36" w:type="dxa"/>
            <w:tcBorders/>
            <w:shd w:fill="auto" w:val="clear"/>
            <w:vAlign w:val="bottom"/>
          </w:tcPr>
          <w:p>
            <w:pPr>
              <w:pStyle w:val="TableContents"/>
              <w:spacing w:before="0" w:after="283"/>
              <w:rPr/>
            </w:pPr>
            <w:r>
              <w:rPr/>
              <w:t>  </w:t>
            </w:r>
          </w:p>
        </w:tc>
      </w:tr>
      <w:tr>
        <w:trPr/>
        <w:tc>
          <w:tcPr>
            <w:tcW w:w="3038" w:type="dxa"/>
            <w:tcBorders/>
            <w:shd w:fill="CCEEFF" w:val="clear"/>
          </w:tcPr>
          <w:p>
            <w:pPr>
              <w:pStyle w:val="TableContents"/>
              <w:spacing w:before="0" w:after="15"/>
              <w:rPr>
                <w:rFonts w:ascii="Times New Roman" w:hAnsi="Times New Roman"/>
                <w:sz w:val="20"/>
              </w:rPr>
            </w:pPr>
            <w:r>
              <w:rPr>
                <w:rFonts w:ascii="Times New Roman" w:hAnsi="Times New Roman"/>
                <w:sz w:val="20"/>
              </w:rPr>
              <w:t>Proceeds from the sale of assets and other</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36" w:type="dxa"/>
            <w:tcBorders/>
            <w:shd w:fill="CCEEFF" w:val="clear"/>
            <w:vAlign w:val="bottom"/>
          </w:tcPr>
          <w:p>
            <w:pPr>
              <w:pStyle w:val="TableContents"/>
              <w:spacing w:before="0" w:after="283"/>
              <w:rPr/>
            </w:pPr>
            <w:r>
              <w:rPr/>
              <w:t>  </w:t>
            </w:r>
          </w:p>
        </w:tc>
      </w:tr>
      <w:tr>
        <w:trPr/>
        <w:tc>
          <w:tcPr>
            <w:tcW w:w="3038"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5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5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93" w:type="dxa"/>
            <w:tcBorders>
              <w:top w:val="single" w:sz="2" w:space="0" w:color="000000"/>
            </w:tcBorders>
            <w:shd w:fill="auto" w:val="clear"/>
            <w:tcMar>
              <w:top w:w="28" w:type="dxa"/>
            </w:tcM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56" w:type="dxa"/>
            <w:tcBorders>
              <w:top w:val="single" w:sz="2" w:space="0" w:color="000000"/>
            </w:tcBorders>
            <w:shd w:fill="auto" w:val="clear"/>
            <w:tcMar>
              <w:top w:w="28" w:type="dxa"/>
            </w:tcMar>
            <w:vAlign w:val="bottom"/>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r>
      <w:tr>
        <w:trPr/>
        <w:tc>
          <w:tcPr>
            <w:tcW w:w="3038" w:type="dxa"/>
            <w:tcBorders/>
            <w:shd w:fill="auto" w:val="clear"/>
          </w:tcPr>
          <w:p>
            <w:pPr>
              <w:pStyle w:val="TableContents"/>
              <w:spacing w:before="0" w:after="283"/>
              <w:rPr>
                <w:rFonts w:ascii="Times New Roman" w:hAnsi="Times New Roman"/>
                <w:sz w:val="20"/>
              </w:rPr>
            </w:pPr>
            <w:r>
              <w:rPr>
                <w:rFonts w:ascii="Times New Roman" w:hAnsi="Times New Roman"/>
                <w:sz w:val="20"/>
              </w:rPr>
              <w:t>Net cash used in investing activities</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248</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038" w:type="dxa"/>
            <w:tcBorders/>
            <w:shd w:fill="CCEEFF" w:val="clear"/>
          </w:tcPr>
          <w:p>
            <w:pPr>
              <w:pStyle w:val="TableContents"/>
              <w:spacing w:before="0" w:after="283"/>
              <w:rPr>
                <w:sz w:val="4"/>
                <w:szCs w:val="4"/>
              </w:rPr>
            </w:pPr>
            <w:r>
              <w:rPr>
                <w:sz w:val="4"/>
                <w:szCs w:val="4"/>
              </w:rPr>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5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5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6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93" w:type="dxa"/>
            <w:tcBorders/>
            <w:shd w:fill="CCEEFF" w:val="clear"/>
            <w:vAlign w:val="bottom"/>
          </w:tcPr>
          <w:p>
            <w:pPr>
              <w:pStyle w:val="TableContents"/>
              <w:spacing w:before="0" w:after="283"/>
              <w:rPr>
                <w:sz w:val="4"/>
                <w:szCs w:val="4"/>
              </w:rPr>
            </w:pPr>
            <w:r>
              <w:rPr>
                <w:sz w:val="4"/>
                <w:szCs w:val="4"/>
              </w:rPr>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56"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sz w:val="4"/>
                <w:szCs w:val="4"/>
              </w:rPr>
            </w:pPr>
            <w:r>
              <w:rPr>
                <w:sz w:val="4"/>
                <w:szCs w:val="4"/>
              </w:rPr>
            </w:r>
          </w:p>
        </w:tc>
      </w:tr>
      <w:tr>
        <w:trPr/>
        <w:tc>
          <w:tcPr>
            <w:tcW w:w="3038" w:type="dxa"/>
            <w:tcBorders/>
            <w:shd w:fill="auto" w:val="clear"/>
          </w:tcPr>
          <w:p>
            <w:pPr>
              <w:pStyle w:val="TableContents"/>
              <w:spacing w:before="0" w:after="283"/>
              <w:rPr>
                <w:rFonts w:ascii="Times New Roman" w:hAnsi="Times New Roman"/>
                <w:b/>
                <w:sz w:val="20"/>
              </w:rPr>
            </w:pPr>
            <w:r>
              <w:rPr>
                <w:rFonts w:ascii="Times New Roman" w:hAnsi="Times New Roman"/>
                <w:b/>
                <w:sz w:val="20"/>
              </w:rPr>
              <w:t xml:space="preserve">CASH FLOWS FROM FINANCING ACTIVITIES </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6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193"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56"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r>
      <w:tr>
        <w:trPr/>
        <w:tc>
          <w:tcPr>
            <w:tcW w:w="3038" w:type="dxa"/>
            <w:tcBorders/>
            <w:shd w:fill="CCEEFF" w:val="clear"/>
          </w:tcPr>
          <w:p>
            <w:pPr>
              <w:pStyle w:val="TableContents"/>
              <w:spacing w:before="0" w:after="15"/>
              <w:rPr>
                <w:rFonts w:ascii="Times New Roman" w:hAnsi="Times New Roman"/>
                <w:sz w:val="20"/>
              </w:rPr>
            </w:pPr>
            <w:r>
              <w:rPr>
                <w:rFonts w:ascii="Times New Roman" w:hAnsi="Times New Roman"/>
                <w:sz w:val="20"/>
              </w:rPr>
              <w:t>Net repayments on Plains revolving credit facility</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038" w:type="dxa"/>
            <w:tcBorders/>
            <w:shd w:fill="auto" w:val="clear"/>
          </w:tcPr>
          <w:p>
            <w:pPr>
              <w:pStyle w:val="TableContents"/>
              <w:spacing w:before="0" w:after="15"/>
              <w:rPr>
                <w:rFonts w:ascii="Times New Roman" w:hAnsi="Times New Roman"/>
                <w:sz w:val="20"/>
              </w:rPr>
            </w:pPr>
            <w:r>
              <w:rPr>
                <w:rFonts w:ascii="Times New Roman" w:hAnsi="Times New Roman"/>
                <w:sz w:val="20"/>
              </w:rPr>
              <w:t>Net borrowings on PNG revolving credit facility</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w:t>
            </w:r>
          </w:p>
        </w:tc>
        <w:tc>
          <w:tcPr>
            <w:tcW w:w="136" w:type="dxa"/>
            <w:tcBorders/>
            <w:shd w:fill="auto" w:val="clear"/>
            <w:vAlign w:val="bottom"/>
          </w:tcPr>
          <w:p>
            <w:pPr>
              <w:pStyle w:val="TableContents"/>
              <w:spacing w:before="0" w:after="283"/>
              <w:rPr/>
            </w:pPr>
            <w:r>
              <w:rPr/>
              <w:t>  </w:t>
            </w:r>
          </w:p>
        </w:tc>
      </w:tr>
      <w:tr>
        <w:trPr/>
        <w:tc>
          <w:tcPr>
            <w:tcW w:w="3038" w:type="dxa"/>
            <w:tcBorders/>
            <w:shd w:fill="CCEEFF" w:val="clear"/>
          </w:tcPr>
          <w:p>
            <w:pPr>
              <w:pStyle w:val="TableContents"/>
              <w:spacing w:before="0" w:after="283"/>
              <w:rPr>
                <w:rFonts w:ascii="Times New Roman" w:hAnsi="Times New Roman"/>
                <w:sz w:val="20"/>
              </w:rPr>
            </w:pPr>
            <w:r>
              <w:rPr>
                <w:rFonts w:ascii="Times New Roman" w:hAnsi="Times New Roman"/>
                <w:sz w:val="20"/>
              </w:rPr>
              <w:t>Net repayments on short-term letter of credit and hedged inventory facility</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2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36" w:type="dxa"/>
            <w:tcBorders/>
            <w:shd w:fill="CCEEFF" w:val="clear"/>
            <w:vAlign w:val="bottom"/>
          </w:tcPr>
          <w:p>
            <w:pPr>
              <w:pStyle w:val="TableContents"/>
              <w:spacing w:before="0" w:after="283"/>
              <w:rPr/>
            </w:pPr>
            <w:r>
              <w:rPr/>
              <w:t>  </w:t>
            </w:r>
          </w:p>
        </w:tc>
      </w:tr>
      <w:tr>
        <w:trPr/>
        <w:tc>
          <w:tcPr>
            <w:tcW w:w="3038" w:type="dxa"/>
            <w:tcBorders/>
            <w:shd w:fill="auto" w:val="clear"/>
          </w:tcPr>
          <w:p>
            <w:pPr>
              <w:pStyle w:val="TableContents"/>
              <w:spacing w:before="0" w:after="283"/>
              <w:rPr>
                <w:rFonts w:ascii="Times New Roman" w:hAnsi="Times New Roman"/>
                <w:sz w:val="20"/>
              </w:rPr>
            </w:pPr>
            <w:r>
              <w:rPr>
                <w:rFonts w:ascii="Times New Roman" w:hAnsi="Times New Roman"/>
                <w:sz w:val="20"/>
              </w:rPr>
              <w:t>Distributions paid to common unitholders and general partner</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(335</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038" w:type="dxa"/>
            <w:tcBorders/>
            <w:shd w:fill="CCEEFF" w:val="clear"/>
          </w:tcPr>
          <w:p>
            <w:pPr>
              <w:pStyle w:val="TableContents"/>
              <w:spacing w:before="0" w:after="283"/>
              <w:rPr>
                <w:rFonts w:ascii="Times New Roman" w:hAnsi="Times New Roman"/>
                <w:sz w:val="20"/>
              </w:rPr>
            </w:pPr>
            <w:r>
              <w:rPr>
                <w:rFonts w:ascii="Times New Roman" w:hAnsi="Times New Roman"/>
                <w:sz w:val="20"/>
              </w:rPr>
              <w:t>Other financing activities</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038"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5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5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93" w:type="dxa"/>
            <w:tcBorders>
              <w:top w:val="single" w:sz="2" w:space="0" w:color="000000"/>
            </w:tcBorders>
            <w:shd w:fill="auto" w:val="clear"/>
            <w:tcMar>
              <w:top w:w="28" w:type="dxa"/>
            </w:tcM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56" w:type="dxa"/>
            <w:tcBorders>
              <w:top w:val="single" w:sz="2" w:space="0" w:color="000000"/>
            </w:tcBorders>
            <w:shd w:fill="auto" w:val="clear"/>
            <w:tcMar>
              <w:top w:w="28" w:type="dxa"/>
            </w:tcMar>
            <w:vAlign w:val="bottom"/>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r>
      <w:tr>
        <w:trPr/>
        <w:tc>
          <w:tcPr>
            <w:tcW w:w="3038" w:type="dxa"/>
            <w:tcBorders/>
            <w:shd w:fill="auto" w:val="clear"/>
          </w:tcPr>
          <w:p>
            <w:pPr>
              <w:pStyle w:val="TableContents"/>
              <w:spacing w:before="0" w:after="283"/>
              <w:rPr>
                <w:rFonts w:ascii="Times New Roman" w:hAnsi="Times New Roman"/>
                <w:sz w:val="20"/>
              </w:rPr>
            </w:pPr>
            <w:r>
              <w:rPr>
                <w:rFonts w:ascii="Times New Roman" w:hAnsi="Times New Roman"/>
                <w:sz w:val="20"/>
              </w:rPr>
              <w:t>Net cash provided by (used in) financing activities</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(182</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038" w:type="dxa"/>
            <w:tcBorders/>
            <w:shd w:fill="CCEEFF" w:val="clear"/>
          </w:tcPr>
          <w:p>
            <w:pPr>
              <w:pStyle w:val="TableContents"/>
              <w:spacing w:before="0" w:after="283"/>
              <w:rPr>
                <w:sz w:val="4"/>
                <w:szCs w:val="4"/>
              </w:rPr>
            </w:pPr>
            <w:r>
              <w:rPr>
                <w:sz w:val="4"/>
                <w:szCs w:val="4"/>
              </w:rPr>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5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5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6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93" w:type="dxa"/>
            <w:tcBorders/>
            <w:shd w:fill="CCEEFF" w:val="clear"/>
            <w:vAlign w:val="bottom"/>
          </w:tcPr>
          <w:p>
            <w:pPr>
              <w:pStyle w:val="TableContents"/>
              <w:spacing w:before="0" w:after="283"/>
              <w:rPr>
                <w:sz w:val="4"/>
                <w:szCs w:val="4"/>
              </w:rPr>
            </w:pPr>
            <w:r>
              <w:rPr>
                <w:sz w:val="4"/>
                <w:szCs w:val="4"/>
              </w:rPr>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56"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sz w:val="4"/>
                <w:szCs w:val="4"/>
              </w:rPr>
            </w:pPr>
            <w:r>
              <w:rPr>
                <w:sz w:val="4"/>
                <w:szCs w:val="4"/>
              </w:rPr>
            </w:r>
          </w:p>
        </w:tc>
      </w:tr>
      <w:tr>
        <w:trPr/>
        <w:tc>
          <w:tcPr>
            <w:tcW w:w="3038" w:type="dxa"/>
            <w:tcBorders/>
            <w:shd w:fill="auto" w:val="clear"/>
          </w:tcPr>
          <w:p>
            <w:pPr>
              <w:pStyle w:val="TableContents"/>
              <w:spacing w:before="0" w:after="283"/>
              <w:rPr>
                <w:rFonts w:ascii="Times New Roman" w:hAnsi="Times New Roman"/>
                <w:sz w:val="20"/>
              </w:rPr>
            </w:pPr>
            <w:r>
              <w:rPr>
                <w:rFonts w:ascii="Times New Roman" w:hAnsi="Times New Roman"/>
                <w:sz w:val="20"/>
              </w:rPr>
              <w:t>Effect of translation adjustment on cash</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038" w:type="dxa"/>
            <w:tcBorders/>
            <w:shd w:fill="CCEEFF" w:val="clear"/>
          </w:tcPr>
          <w:p>
            <w:pPr>
              <w:pStyle w:val="TableContents"/>
              <w:spacing w:before="0" w:after="283"/>
              <w:rPr>
                <w:sz w:val="4"/>
                <w:szCs w:val="4"/>
              </w:rPr>
            </w:pPr>
            <w:r>
              <w:rPr>
                <w:sz w:val="4"/>
                <w:szCs w:val="4"/>
              </w:rPr>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5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5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6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93" w:type="dxa"/>
            <w:tcBorders/>
            <w:shd w:fill="CCEEFF" w:val="clear"/>
            <w:vAlign w:val="bottom"/>
          </w:tcPr>
          <w:p>
            <w:pPr>
              <w:pStyle w:val="TableContents"/>
              <w:spacing w:before="0" w:after="283"/>
              <w:rPr>
                <w:sz w:val="4"/>
                <w:szCs w:val="4"/>
              </w:rPr>
            </w:pPr>
            <w:r>
              <w:rPr>
                <w:sz w:val="4"/>
                <w:szCs w:val="4"/>
              </w:rPr>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56"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sz w:val="4"/>
                <w:szCs w:val="4"/>
              </w:rPr>
            </w:pPr>
            <w:r>
              <w:rPr>
                <w:sz w:val="4"/>
                <w:szCs w:val="4"/>
              </w:rPr>
            </w:r>
          </w:p>
        </w:tc>
      </w:tr>
      <w:tr>
        <w:trPr/>
        <w:tc>
          <w:tcPr>
            <w:tcW w:w="3038" w:type="dxa"/>
            <w:tcBorders/>
            <w:shd w:fill="auto" w:val="clear"/>
          </w:tcPr>
          <w:p>
            <w:pPr>
              <w:pStyle w:val="TableContents"/>
              <w:spacing w:before="0" w:after="283"/>
              <w:rPr>
                <w:rFonts w:ascii="Times New Roman" w:hAnsi="Times New Roman"/>
                <w:sz w:val="20"/>
              </w:rPr>
            </w:pPr>
            <w:r>
              <w:rPr>
                <w:rFonts w:ascii="Times New Roman" w:hAnsi="Times New Roman"/>
                <w:sz w:val="20"/>
              </w:rPr>
              <w:t>Net increase/(decrease) in cash and cash equivalents</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038"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beginning of period</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5"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36" w:type="dxa"/>
            <w:tcBorders/>
            <w:shd w:fill="CCEEFF" w:val="clear"/>
            <w:vAlign w:val="bottom"/>
          </w:tcPr>
          <w:p>
            <w:pPr>
              <w:pStyle w:val="TableContents"/>
              <w:spacing w:before="0" w:after="283"/>
              <w:rPr/>
            </w:pPr>
            <w:r>
              <w:rPr/>
              <w:t>  </w:t>
            </w:r>
          </w:p>
        </w:tc>
      </w:tr>
      <w:tr>
        <w:trPr/>
        <w:tc>
          <w:tcPr>
            <w:tcW w:w="3038"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5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5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193" w:type="dxa"/>
            <w:tcBorders>
              <w:top w:val="single" w:sz="2" w:space="0" w:color="000000"/>
            </w:tcBorders>
            <w:shd w:fill="auto" w:val="clear"/>
            <w:tcMar>
              <w:top w:w="28" w:type="dxa"/>
            </w:tcM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56" w:type="dxa"/>
            <w:tcBorders>
              <w:top w:val="single" w:sz="2" w:space="0" w:color="000000"/>
            </w:tcBorders>
            <w:shd w:fill="auto" w:val="clear"/>
            <w:tcMar>
              <w:top w:w="28" w:type="dxa"/>
            </w:tcMar>
            <w:vAlign w:val="bottom"/>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r>
      <w:tr>
        <w:trPr/>
        <w:tc>
          <w:tcPr>
            <w:tcW w:w="3038"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end of period</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36" w:type="dxa"/>
            <w:tcBorders/>
            <w:shd w:fill="auto" w:val="clear"/>
            <w:vAlign w:val="bottom"/>
          </w:tcPr>
          <w:p>
            <w:pPr>
              <w:pStyle w:val="TableContents"/>
              <w:spacing w:before="0" w:after="283"/>
              <w:rPr/>
            </w:pPr>
            <w:r>
              <w:rPr/>
              <w:t>  </w:t>
            </w:r>
          </w:p>
        </w:tc>
      </w:tr>
      <w:tr>
        <w:trPr/>
        <w:tc>
          <w:tcPr>
            <w:tcW w:w="3038"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57"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57"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193" w:type="dxa"/>
            <w:tcBorders>
              <w:top w:val="double" w:sz="6" w:space="0" w:color="000000"/>
            </w:tcBorders>
            <w:shd w:fill="auto" w:val="clear"/>
            <w:tcMar>
              <w:top w:w="28" w:type="dxa"/>
            </w:tcM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56" w:type="dxa"/>
            <w:tcBorders>
              <w:top w:val="double" w:sz="6" w:space="0" w:color="000000"/>
            </w:tcBorders>
            <w:shd w:fill="auto" w:val="clear"/>
            <w:tcMar>
              <w:top w:w="28" w:type="dxa"/>
            </w:tcMar>
            <w:vAlign w:val="bottom"/>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Condensed Consolidating Statements of Cash Flows (continued) </w:t>
      </w:r>
    </w:p>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347"/>
        <w:gridCol w:w="223"/>
        <w:gridCol w:w="125"/>
        <w:gridCol w:w="935"/>
        <w:gridCol w:w="125"/>
        <w:gridCol w:w="174"/>
        <w:gridCol w:w="125"/>
        <w:gridCol w:w="935"/>
        <w:gridCol w:w="125"/>
        <w:gridCol w:w="174"/>
        <w:gridCol w:w="125"/>
        <w:gridCol w:w="849"/>
        <w:gridCol w:w="124"/>
        <w:gridCol w:w="174"/>
        <w:gridCol w:w="125"/>
        <w:gridCol w:w="1026"/>
        <w:gridCol w:w="125"/>
        <w:gridCol w:w="174"/>
        <w:gridCol w:w="125"/>
        <w:gridCol w:w="935"/>
        <w:gridCol w:w="135"/>
      </w:tblGrid>
      <w:tr>
        <w:trPr/>
        <w:tc>
          <w:tcPr>
            <w:tcW w:w="3347"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r>
      <w:tr>
        <w:trPr/>
        <w:tc>
          <w:tcPr>
            <w:tcW w:w="334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6500"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 June 30, 2009</w:t>
            </w:r>
          </w:p>
        </w:tc>
        <w:tc>
          <w:tcPr>
            <w:tcW w:w="135" w:type="dxa"/>
            <w:tcBorders/>
            <w:shd w:fill="auto" w:val="clear"/>
            <w:vAlign w:val="bottom"/>
          </w:tcPr>
          <w:p>
            <w:pPr>
              <w:pStyle w:val="TableContents"/>
              <w:spacing w:before="0" w:after="283"/>
              <w:rPr/>
            </w:pPr>
            <w:r>
              <w:rPr/>
              <w:t> </w:t>
            </w:r>
          </w:p>
        </w:tc>
      </w:tr>
      <w:tr>
        <w:trPr/>
        <w:tc>
          <w:tcPr>
            <w:tcW w:w="334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Parent</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0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Combined</w:t>
              <w:br/>
              <w:t>Guarantor</w:t>
              <w:br/>
              <w:t>Subsidiaries</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7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Combined</w:t>
              <w:br/>
              <w:t>Non-Guarantor</w:t>
              <w:br/>
              <w:t>Subsidiaries</w:t>
            </w:r>
          </w:p>
        </w:tc>
        <w:tc>
          <w:tcPr>
            <w:tcW w:w="12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15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Eliminations</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0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Consolidated</w:t>
            </w:r>
          </w:p>
        </w:tc>
        <w:tc>
          <w:tcPr>
            <w:tcW w:w="135" w:type="dxa"/>
            <w:tcBorders/>
            <w:shd w:fill="auto" w:val="clear"/>
            <w:vAlign w:val="bottom"/>
          </w:tcPr>
          <w:p>
            <w:pPr>
              <w:pStyle w:val="TableContents"/>
              <w:spacing w:before="0" w:after="283"/>
              <w:rPr/>
            </w:pPr>
            <w:r>
              <w:rPr/>
              <w:t> </w:t>
            </w:r>
          </w:p>
        </w:tc>
      </w:tr>
      <w:tr>
        <w:trPr/>
        <w:tc>
          <w:tcPr>
            <w:tcW w:w="3347" w:type="dxa"/>
            <w:tcBorders/>
            <w:shd w:fill="CCEEFF" w:val="clear"/>
          </w:tcPr>
          <w:p>
            <w:pPr>
              <w:pStyle w:val="TableContents"/>
              <w:spacing w:before="0" w:after="283"/>
              <w:rPr>
                <w:rFonts w:ascii="Times New Roman" w:hAnsi="Times New Roman"/>
                <w:b/>
                <w:sz w:val="20"/>
              </w:rPr>
            </w:pPr>
            <w:r>
              <w:rPr>
                <w:rFonts w:ascii="Times New Roman" w:hAnsi="Times New Roman"/>
                <w:b/>
                <w:sz w:val="20"/>
              </w:rPr>
              <w:t>CASH FLOWS FROM OPERATING ACTIVITIES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3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3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49"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2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35" w:type="dxa"/>
            <w:tcBorders/>
            <w:shd w:fill="CCEEFF" w:val="clear"/>
            <w:vAlign w:val="bottom"/>
          </w:tcPr>
          <w:p>
            <w:pPr>
              <w:pStyle w:val="TableContents"/>
              <w:spacing w:before="0" w:after="283"/>
              <w:rPr>
                <w:sz w:val="4"/>
                <w:szCs w:val="4"/>
              </w:rPr>
            </w:pPr>
            <w:r>
              <w:rPr>
                <w:sz w:val="4"/>
                <w:szCs w:val="4"/>
              </w:rPr>
            </w:r>
          </w:p>
        </w:tc>
        <w:tc>
          <w:tcPr>
            <w:tcW w:w="135" w:type="dxa"/>
            <w:tcBorders/>
            <w:shd w:fill="CCEEFF" w:val="clear"/>
            <w:vAlign w:val="bottom"/>
          </w:tcPr>
          <w:p>
            <w:pPr>
              <w:pStyle w:val="TableContents"/>
              <w:spacing w:before="0" w:after="283"/>
              <w:rPr>
                <w:sz w:val="4"/>
                <w:szCs w:val="4"/>
              </w:rPr>
            </w:pPr>
            <w:r>
              <w:rPr>
                <w:sz w:val="4"/>
                <w:szCs w:val="4"/>
              </w:rPr>
            </w:r>
          </w:p>
        </w:tc>
      </w:tr>
      <w:tr>
        <w:trPr/>
        <w:tc>
          <w:tcPr>
            <w:tcW w:w="3347"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5" w:type="dxa"/>
            <w:tcBorders/>
            <w:shd w:fill="auto" w:val="clear"/>
            <w:vAlign w:val="bottom"/>
          </w:tcPr>
          <w:p>
            <w:pPr>
              <w:pStyle w:val="TableContents"/>
              <w:spacing w:before="0" w:after="283"/>
              <w:jc w:val="right"/>
              <w:rPr/>
            </w:pPr>
            <w:r>
              <w:rPr/>
              <w:t>          </w:t>
            </w:r>
            <w:r>
              <w:rPr>
                <w:rFonts w:ascii="Times New Roman" w:hAnsi="Times New Roman"/>
                <w:sz w:val="20"/>
              </w:rPr>
              <w:t>347</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5" w:type="dxa"/>
            <w:tcBorders/>
            <w:shd w:fill="auto" w:val="clear"/>
            <w:vAlign w:val="bottom"/>
          </w:tcPr>
          <w:p>
            <w:pPr>
              <w:pStyle w:val="TableContents"/>
              <w:spacing w:before="0" w:after="283"/>
              <w:jc w:val="right"/>
              <w:rPr/>
            </w:pPr>
            <w:r>
              <w:rPr/>
              <w:t>          </w:t>
            </w:r>
            <w:r>
              <w:rPr>
                <w:rFonts w:ascii="Times New Roman" w:hAnsi="Times New Roman"/>
                <w:sz w:val="20"/>
              </w:rPr>
              <w:t>452</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9" w:type="dxa"/>
            <w:tcBorders/>
            <w:shd w:fill="auto" w:val="clear"/>
            <w:vAlign w:val="bottom"/>
          </w:tcPr>
          <w:p>
            <w:pPr>
              <w:pStyle w:val="TableContents"/>
              <w:spacing w:before="0" w:after="283"/>
              <w:jc w:val="right"/>
              <w:rPr/>
            </w:pPr>
            <w:r>
              <w:rPr/>
              <w:t>          </w:t>
            </w:r>
            <w:r>
              <w:rPr>
                <w:rFonts w:ascii="Times New Roman" w:hAnsi="Times New Roman"/>
                <w:sz w:val="20"/>
              </w:rPr>
              <w:t>29</w:t>
            </w:r>
          </w:p>
        </w:tc>
        <w:tc>
          <w:tcPr>
            <w:tcW w:w="12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5" w:type="dxa"/>
            <w:tcBorders/>
            <w:shd w:fill="auto" w:val="clear"/>
            <w:vAlign w:val="bottom"/>
          </w:tcPr>
          <w:p>
            <w:pPr>
              <w:pStyle w:val="TableContents"/>
              <w:spacing w:before="0" w:after="283"/>
              <w:jc w:val="right"/>
              <w:rPr/>
            </w:pPr>
            <w:r>
              <w:rPr/>
              <w:t>          </w:t>
            </w:r>
            <w:r>
              <w:rPr>
                <w:rFonts w:ascii="Times New Roman" w:hAnsi="Times New Roman"/>
                <w:sz w:val="20"/>
              </w:rPr>
              <w:t>347</w:t>
            </w:r>
          </w:p>
        </w:tc>
        <w:tc>
          <w:tcPr>
            <w:tcW w:w="135" w:type="dxa"/>
            <w:tcBorders/>
            <w:shd w:fill="auto" w:val="clear"/>
            <w:vAlign w:val="bottom"/>
          </w:tcPr>
          <w:p>
            <w:pPr>
              <w:pStyle w:val="TableContents"/>
              <w:spacing w:before="0" w:after="283"/>
              <w:rPr/>
            </w:pPr>
            <w:r>
              <w:rPr/>
              <w:t>  </w:t>
            </w:r>
          </w:p>
        </w:tc>
      </w:tr>
      <w:tr>
        <w:trPr/>
        <w:tc>
          <w:tcPr>
            <w:tcW w:w="3347" w:type="dxa"/>
            <w:tcBorders/>
            <w:shd w:fill="CCEEFF" w:val="clear"/>
          </w:tcPr>
          <w:p>
            <w:pPr>
              <w:pStyle w:val="TableContents"/>
              <w:spacing w:before="0" w:after="283"/>
              <w:rPr>
                <w:rFonts w:ascii="Times New Roman" w:hAnsi="Times New Roman"/>
                <w:sz w:val="20"/>
              </w:rPr>
            </w:pPr>
            <w:r>
              <w:rPr>
                <w:rFonts w:ascii="Times New Roman" w:hAnsi="Times New Roman"/>
                <w:sz w:val="20"/>
              </w:rPr>
              <w:t>Reconciliation of net income to net cash provided by operating activities: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3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3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49"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2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35" w:type="dxa"/>
            <w:tcBorders/>
            <w:shd w:fill="CCEEFF" w:val="clear"/>
            <w:vAlign w:val="bottom"/>
          </w:tcPr>
          <w:p>
            <w:pPr>
              <w:pStyle w:val="TableContents"/>
              <w:spacing w:before="0" w:after="283"/>
              <w:rPr>
                <w:sz w:val="4"/>
                <w:szCs w:val="4"/>
              </w:rPr>
            </w:pPr>
            <w:r>
              <w:rPr>
                <w:sz w:val="4"/>
                <w:szCs w:val="4"/>
              </w:rPr>
            </w:r>
          </w:p>
        </w:tc>
        <w:tc>
          <w:tcPr>
            <w:tcW w:w="135" w:type="dxa"/>
            <w:tcBorders/>
            <w:shd w:fill="CCEEFF" w:val="clear"/>
            <w:vAlign w:val="bottom"/>
          </w:tcPr>
          <w:p>
            <w:pPr>
              <w:pStyle w:val="TableContents"/>
              <w:spacing w:before="0" w:after="283"/>
              <w:rPr>
                <w:sz w:val="4"/>
                <w:szCs w:val="4"/>
              </w:rPr>
            </w:pPr>
            <w:r>
              <w:rPr>
                <w:sz w:val="4"/>
                <w:szCs w:val="4"/>
              </w:rPr>
            </w:r>
          </w:p>
        </w:tc>
      </w:tr>
      <w:tr>
        <w:trPr/>
        <w:tc>
          <w:tcPr>
            <w:tcW w:w="3347"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135" w:type="dxa"/>
            <w:tcBorders/>
            <w:shd w:fill="auto" w:val="clear"/>
            <w:vAlign w:val="bottom"/>
          </w:tcPr>
          <w:p>
            <w:pPr>
              <w:pStyle w:val="TableContents"/>
              <w:spacing w:before="0" w:after="283"/>
              <w:rPr/>
            </w:pPr>
            <w:r>
              <w:rPr/>
              <w:t>  </w:t>
            </w:r>
          </w:p>
        </w:tc>
      </w:tr>
      <w:tr>
        <w:trPr/>
        <w:tc>
          <w:tcPr>
            <w:tcW w:w="3347" w:type="dxa"/>
            <w:tcBorders/>
            <w:shd w:fill="CCEEFF" w:val="clear"/>
          </w:tcPr>
          <w:p>
            <w:pPr>
              <w:pStyle w:val="TableContents"/>
              <w:spacing w:before="0" w:after="283"/>
              <w:rPr>
                <w:rFonts w:ascii="Times New Roman" w:hAnsi="Times New Roman"/>
                <w:sz w:val="20"/>
              </w:rPr>
            </w:pPr>
            <w:r>
              <w:rPr>
                <w:rFonts w:ascii="Times New Roman" w:hAnsi="Times New Roman"/>
                <w:sz w:val="20"/>
              </w:rPr>
              <w:t>Equity compensation expense</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35" w:type="dxa"/>
            <w:tcBorders/>
            <w:shd w:fill="CCEEFF" w:val="clear"/>
            <w:vAlign w:val="bottom"/>
          </w:tcPr>
          <w:p>
            <w:pPr>
              <w:pStyle w:val="TableContents"/>
              <w:spacing w:before="0" w:after="283"/>
              <w:rPr/>
            </w:pPr>
            <w:r>
              <w:rPr/>
              <w:t>  </w:t>
            </w:r>
          </w:p>
        </w:tc>
      </w:tr>
      <w:tr>
        <w:trPr/>
        <w:tc>
          <w:tcPr>
            <w:tcW w:w="3347"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           </w:t>
            </w:r>
            <w:r>
              <w:rPr>
                <w:rFonts w:ascii="Times New Roman" w:hAnsi="Times New Roman"/>
                <w:sz w:val="20"/>
              </w:rPr>
              <w:t>481</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47" w:type="dxa"/>
            <w:tcBorders/>
            <w:shd w:fill="CCEEFF" w:val="clear"/>
          </w:tcPr>
          <w:p>
            <w:pPr>
              <w:pStyle w:val="TableContents"/>
              <w:spacing w:before="0" w:after="283"/>
              <w:rPr>
                <w:rFonts w:ascii="Times New Roman" w:hAnsi="Times New Roman"/>
                <w:sz w:val="20"/>
              </w:rPr>
            </w:pPr>
            <w:r>
              <w:rPr>
                <w:rFonts w:ascii="Times New Roman" w:hAnsi="Times New Roman"/>
                <w:sz w:val="20"/>
              </w:rPr>
              <w:t>Changes in assets and liabilities, net of acquisitions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47"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3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3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49"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35" w:type="dxa"/>
            <w:tcBorders>
              <w:top w:val="single" w:sz="2" w:space="0" w:color="000000"/>
            </w:tcBorders>
            <w:shd w:fill="auto" w:val="clear"/>
            <w:tcMar>
              <w:top w:w="28" w:type="dxa"/>
            </w:tcMar>
            <w:vAlign w:val="bottom"/>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r>
      <w:tr>
        <w:trPr/>
        <w:tc>
          <w:tcPr>
            <w:tcW w:w="3347" w:type="dxa"/>
            <w:tcBorders/>
            <w:shd w:fill="auto" w:val="clear"/>
          </w:tcPr>
          <w:p>
            <w:pPr>
              <w:pStyle w:val="TableContents"/>
              <w:spacing w:before="0" w:after="283"/>
              <w:rPr>
                <w:rFonts w:ascii="Times New Roman" w:hAnsi="Times New Roman"/>
                <w:sz w:val="20"/>
              </w:rPr>
            </w:pPr>
            <w:r>
              <w:rPr>
                <w:rFonts w:ascii="Times New Roman" w:hAnsi="Times New Roman"/>
                <w:sz w:val="20"/>
              </w:rPr>
              <w:t>Net cash provided by/(used in) operating activities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377</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287</w:t>
            </w:r>
          </w:p>
        </w:tc>
        <w:tc>
          <w:tcPr>
            <w:tcW w:w="135" w:type="dxa"/>
            <w:tcBorders/>
            <w:shd w:fill="auto" w:val="clear"/>
            <w:vAlign w:val="bottom"/>
          </w:tcPr>
          <w:p>
            <w:pPr>
              <w:pStyle w:val="TableContents"/>
              <w:spacing w:before="0" w:after="283"/>
              <w:rPr/>
            </w:pPr>
            <w:r>
              <w:rPr/>
              <w:t>  </w:t>
            </w:r>
          </w:p>
        </w:tc>
      </w:tr>
      <w:tr>
        <w:trPr/>
        <w:tc>
          <w:tcPr>
            <w:tcW w:w="3347" w:type="dxa"/>
            <w:tcBorders/>
            <w:shd w:fill="CCEEFF" w:val="clear"/>
          </w:tcPr>
          <w:p>
            <w:pPr>
              <w:pStyle w:val="TableContents"/>
              <w:spacing w:before="0" w:after="283"/>
              <w:rPr>
                <w:sz w:val="4"/>
                <w:szCs w:val="4"/>
              </w:rPr>
            </w:pPr>
            <w:r>
              <w:rPr>
                <w:sz w:val="4"/>
                <w:szCs w:val="4"/>
              </w:rPr>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3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3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49"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2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35" w:type="dxa"/>
            <w:tcBorders/>
            <w:shd w:fill="CCEEFF" w:val="clear"/>
            <w:vAlign w:val="bottom"/>
          </w:tcPr>
          <w:p>
            <w:pPr>
              <w:pStyle w:val="TableContents"/>
              <w:spacing w:before="0" w:after="283"/>
              <w:rPr>
                <w:sz w:val="4"/>
                <w:szCs w:val="4"/>
              </w:rPr>
            </w:pPr>
            <w:r>
              <w:rPr>
                <w:sz w:val="4"/>
                <w:szCs w:val="4"/>
              </w:rPr>
            </w:r>
          </w:p>
        </w:tc>
        <w:tc>
          <w:tcPr>
            <w:tcW w:w="135" w:type="dxa"/>
            <w:tcBorders/>
            <w:shd w:fill="CCEEFF" w:val="clear"/>
            <w:vAlign w:val="bottom"/>
          </w:tcPr>
          <w:p>
            <w:pPr>
              <w:pStyle w:val="TableContents"/>
              <w:spacing w:before="0" w:after="283"/>
              <w:rPr>
                <w:sz w:val="4"/>
                <w:szCs w:val="4"/>
              </w:rPr>
            </w:pPr>
            <w:r>
              <w:rPr>
                <w:sz w:val="4"/>
                <w:szCs w:val="4"/>
              </w:rPr>
            </w:r>
          </w:p>
        </w:tc>
      </w:tr>
      <w:tr>
        <w:trPr/>
        <w:tc>
          <w:tcPr>
            <w:tcW w:w="3347" w:type="dxa"/>
            <w:tcBorders/>
            <w:shd w:fill="auto" w:val="clear"/>
          </w:tcPr>
          <w:p>
            <w:pPr>
              <w:pStyle w:val="TableContents"/>
              <w:spacing w:before="0" w:after="283"/>
              <w:rPr>
                <w:rFonts w:ascii="Times New Roman" w:hAnsi="Times New Roman"/>
                <w:b/>
                <w:sz w:val="20"/>
              </w:rPr>
            </w:pPr>
            <w:r>
              <w:rPr>
                <w:rFonts w:ascii="Times New Roman" w:hAnsi="Times New Roman"/>
                <w:b/>
                <w:sz w:val="20"/>
              </w:rPr>
              <w:t>CASH FLOWS FROM INVESTING ACTIVITIES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3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3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49"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35"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r>
      <w:tr>
        <w:trPr/>
        <w:tc>
          <w:tcPr>
            <w:tcW w:w="3347" w:type="dxa"/>
            <w:tcBorders/>
            <w:shd w:fill="CCEEFF" w:val="clear"/>
          </w:tcPr>
          <w:p>
            <w:pPr>
              <w:pStyle w:val="TableContents"/>
              <w:spacing w:before="0" w:after="283"/>
              <w:rPr>
                <w:rFonts w:ascii="Times New Roman" w:hAnsi="Times New Roman"/>
                <w:sz w:val="20"/>
              </w:rPr>
            </w:pPr>
            <w:r>
              <w:rPr>
                <w:rFonts w:ascii="Times New Roman" w:hAnsi="Times New Roman"/>
                <w:sz w:val="20"/>
              </w:rPr>
              <w:t>Cash paid in connection with acquisitions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47" w:type="dxa"/>
            <w:tcBorders/>
            <w:shd w:fill="auto" w:val="clear"/>
          </w:tcPr>
          <w:p>
            <w:pPr>
              <w:pStyle w:val="TableContents"/>
              <w:spacing w:before="0" w:after="283"/>
              <w:rPr>
                <w:rFonts w:ascii="Times New Roman" w:hAnsi="Times New Roman"/>
                <w:sz w:val="20"/>
              </w:rPr>
            </w:pPr>
            <w:r>
              <w:rPr>
                <w:rFonts w:ascii="Times New Roman" w:hAnsi="Times New Roman"/>
                <w:sz w:val="20"/>
              </w:rPr>
              <w:t>Additions to property, equipment and other</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(228</w:t>
            </w:r>
          </w:p>
        </w:tc>
        <w:tc>
          <w:tcPr>
            <w:tcW w:w="1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47" w:type="dxa"/>
            <w:tcBorders/>
            <w:shd w:fill="CCEEFF" w:val="clear"/>
          </w:tcPr>
          <w:p>
            <w:pPr>
              <w:pStyle w:val="TableContents"/>
              <w:spacing w:before="0" w:after="283"/>
              <w:rPr>
                <w:rFonts w:ascii="Times New Roman" w:hAnsi="Times New Roman"/>
                <w:sz w:val="20"/>
              </w:rPr>
            </w:pPr>
            <w:r>
              <w:rPr>
                <w:rFonts w:ascii="Times New Roman" w:hAnsi="Times New Roman"/>
                <w:sz w:val="20"/>
              </w:rPr>
              <w:t>Investments in unconsolidated entities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47" w:type="dxa"/>
            <w:tcBorders/>
            <w:shd w:fill="auto" w:val="clear"/>
          </w:tcPr>
          <w:p>
            <w:pPr>
              <w:pStyle w:val="TableContents"/>
              <w:spacing w:before="0" w:after="283"/>
              <w:rPr>
                <w:rFonts w:ascii="Times New Roman" w:hAnsi="Times New Roman"/>
                <w:sz w:val="20"/>
              </w:rPr>
            </w:pPr>
            <w:r>
              <w:rPr>
                <w:rFonts w:ascii="Times New Roman" w:hAnsi="Times New Roman"/>
                <w:sz w:val="20"/>
              </w:rPr>
              <w:t>Cash received for sale of noncontrolling interest in a subsidiary</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35" w:type="dxa"/>
            <w:tcBorders/>
            <w:shd w:fill="auto" w:val="clear"/>
            <w:vAlign w:val="bottom"/>
          </w:tcPr>
          <w:p>
            <w:pPr>
              <w:pStyle w:val="TableContents"/>
              <w:spacing w:before="0" w:after="283"/>
              <w:rPr/>
            </w:pPr>
            <w:r>
              <w:rPr/>
              <w:t>  </w:t>
            </w:r>
          </w:p>
        </w:tc>
      </w:tr>
      <w:tr>
        <w:trPr/>
        <w:tc>
          <w:tcPr>
            <w:tcW w:w="3347"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the sale of assets and other</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35" w:type="dxa"/>
            <w:tcBorders/>
            <w:shd w:fill="CCEEFF" w:val="clear"/>
            <w:vAlign w:val="bottom"/>
          </w:tcPr>
          <w:p>
            <w:pPr>
              <w:pStyle w:val="TableContents"/>
              <w:spacing w:before="0" w:after="283"/>
              <w:rPr/>
            </w:pPr>
            <w:r>
              <w:rPr/>
              <w:t>  </w:t>
            </w:r>
          </w:p>
        </w:tc>
      </w:tr>
      <w:tr>
        <w:trPr/>
        <w:tc>
          <w:tcPr>
            <w:tcW w:w="3347"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3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3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49"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35" w:type="dxa"/>
            <w:tcBorders>
              <w:top w:val="single" w:sz="2" w:space="0" w:color="000000"/>
            </w:tcBorders>
            <w:shd w:fill="auto" w:val="clear"/>
            <w:tcMar>
              <w:top w:w="28" w:type="dxa"/>
            </w:tcMar>
            <w:vAlign w:val="bottom"/>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r>
      <w:tr>
        <w:trPr/>
        <w:tc>
          <w:tcPr>
            <w:tcW w:w="3347" w:type="dxa"/>
            <w:tcBorders/>
            <w:shd w:fill="auto" w:val="clear"/>
          </w:tcPr>
          <w:p>
            <w:pPr>
              <w:pStyle w:val="TableContents"/>
              <w:spacing w:before="0" w:after="283"/>
              <w:rPr>
                <w:rFonts w:ascii="Times New Roman" w:hAnsi="Times New Roman"/>
                <w:sz w:val="20"/>
              </w:rPr>
            </w:pPr>
            <w:r>
              <w:rPr>
                <w:rFonts w:ascii="Times New Roman" w:hAnsi="Times New Roman"/>
                <w:sz w:val="20"/>
              </w:rPr>
              <w:t>Net cash used in investing activities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(253</w:t>
            </w:r>
          </w:p>
        </w:tc>
        <w:tc>
          <w:tcPr>
            <w:tcW w:w="1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47" w:type="dxa"/>
            <w:tcBorders/>
            <w:shd w:fill="CCEEFF" w:val="clear"/>
          </w:tcPr>
          <w:p>
            <w:pPr>
              <w:pStyle w:val="TableContents"/>
              <w:spacing w:before="0" w:after="283"/>
              <w:rPr>
                <w:sz w:val="4"/>
                <w:szCs w:val="4"/>
              </w:rPr>
            </w:pPr>
            <w:r>
              <w:rPr>
                <w:sz w:val="4"/>
                <w:szCs w:val="4"/>
              </w:rPr>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3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3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49"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2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35" w:type="dxa"/>
            <w:tcBorders/>
            <w:shd w:fill="CCEEFF" w:val="clear"/>
            <w:vAlign w:val="bottom"/>
          </w:tcPr>
          <w:p>
            <w:pPr>
              <w:pStyle w:val="TableContents"/>
              <w:spacing w:before="0" w:after="283"/>
              <w:rPr>
                <w:sz w:val="4"/>
                <w:szCs w:val="4"/>
              </w:rPr>
            </w:pPr>
            <w:r>
              <w:rPr>
                <w:sz w:val="4"/>
                <w:szCs w:val="4"/>
              </w:rPr>
            </w:r>
          </w:p>
        </w:tc>
        <w:tc>
          <w:tcPr>
            <w:tcW w:w="135" w:type="dxa"/>
            <w:tcBorders/>
            <w:shd w:fill="CCEEFF" w:val="clear"/>
            <w:vAlign w:val="bottom"/>
          </w:tcPr>
          <w:p>
            <w:pPr>
              <w:pStyle w:val="TableContents"/>
              <w:spacing w:before="0" w:after="283"/>
              <w:rPr>
                <w:sz w:val="4"/>
                <w:szCs w:val="4"/>
              </w:rPr>
            </w:pPr>
            <w:r>
              <w:rPr>
                <w:sz w:val="4"/>
                <w:szCs w:val="4"/>
              </w:rPr>
            </w:r>
          </w:p>
        </w:tc>
      </w:tr>
      <w:tr>
        <w:trPr/>
        <w:tc>
          <w:tcPr>
            <w:tcW w:w="3347" w:type="dxa"/>
            <w:tcBorders/>
            <w:shd w:fill="auto" w:val="clear"/>
          </w:tcPr>
          <w:p>
            <w:pPr>
              <w:pStyle w:val="TableContents"/>
              <w:spacing w:before="0" w:after="283"/>
              <w:rPr>
                <w:rFonts w:ascii="Times New Roman" w:hAnsi="Times New Roman"/>
                <w:b/>
                <w:sz w:val="20"/>
              </w:rPr>
            </w:pPr>
            <w:r>
              <w:rPr>
                <w:rFonts w:ascii="Times New Roman" w:hAnsi="Times New Roman"/>
                <w:b/>
                <w:sz w:val="20"/>
              </w:rPr>
              <w:t>CASH FLOWS FROM FINANCING ACTIVITIES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3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3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49"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35"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r>
      <w:tr>
        <w:trPr/>
        <w:tc>
          <w:tcPr>
            <w:tcW w:w="3347" w:type="dxa"/>
            <w:tcBorders/>
            <w:shd w:fill="CCEEFF" w:val="clear"/>
          </w:tcPr>
          <w:p>
            <w:pPr>
              <w:pStyle w:val="TableContents"/>
              <w:spacing w:before="0" w:after="283"/>
              <w:rPr>
                <w:rFonts w:ascii="Times New Roman" w:hAnsi="Times New Roman"/>
                <w:sz w:val="20"/>
              </w:rPr>
            </w:pPr>
            <w:r>
              <w:rPr>
                <w:rFonts w:ascii="Times New Roman" w:hAnsi="Times New Roman"/>
                <w:sz w:val="20"/>
              </w:rPr>
              <w:t>Net repayments on revolving credit facility</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(459</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47" w:type="dxa"/>
            <w:tcBorders/>
            <w:shd w:fill="auto" w:val="clear"/>
          </w:tcPr>
          <w:p>
            <w:pPr>
              <w:pStyle w:val="TableContents"/>
              <w:spacing w:before="0" w:after="283"/>
              <w:rPr>
                <w:rFonts w:ascii="Times New Roman" w:hAnsi="Times New Roman"/>
                <w:sz w:val="20"/>
              </w:rPr>
            </w:pPr>
            <w:r>
              <w:rPr>
                <w:rFonts w:ascii="Times New Roman" w:hAnsi="Times New Roman"/>
                <w:sz w:val="20"/>
              </w:rPr>
              <w:t>Net borrowings on short-term letter of credit and hedged inventory facility</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135" w:type="dxa"/>
            <w:tcBorders/>
            <w:shd w:fill="auto" w:val="clear"/>
            <w:vAlign w:val="bottom"/>
          </w:tcPr>
          <w:p>
            <w:pPr>
              <w:pStyle w:val="TableContents"/>
              <w:spacing w:before="0" w:after="283"/>
              <w:rPr/>
            </w:pPr>
            <w:r>
              <w:rPr/>
              <w:t>  </w:t>
            </w:r>
          </w:p>
        </w:tc>
      </w:tr>
      <w:tr>
        <w:trPr/>
        <w:tc>
          <w:tcPr>
            <w:tcW w:w="3347" w:type="dxa"/>
            <w:tcBorders/>
            <w:shd w:fill="CCEEFF" w:val="clear"/>
          </w:tcPr>
          <w:p>
            <w:pPr>
              <w:pStyle w:val="TableContents"/>
              <w:spacing w:before="0" w:after="283"/>
              <w:rPr>
                <w:rFonts w:ascii="Times New Roman" w:hAnsi="Times New Roman"/>
                <w:sz w:val="20"/>
              </w:rPr>
            </w:pPr>
            <w:r>
              <w:rPr>
                <w:rFonts w:ascii="Times New Roman" w:hAnsi="Times New Roman"/>
                <w:sz w:val="20"/>
              </w:rPr>
              <w:t>Net proceeds from the issuance of senior notes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3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49"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2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w:t>
            </w:r>
          </w:p>
        </w:tc>
        <w:tc>
          <w:tcPr>
            <w:tcW w:w="135" w:type="dxa"/>
            <w:tcBorders/>
            <w:shd w:fill="CCEEFF" w:val="clear"/>
            <w:vAlign w:val="bottom"/>
          </w:tcPr>
          <w:p>
            <w:pPr>
              <w:pStyle w:val="TableContents"/>
              <w:spacing w:before="0" w:after="283"/>
              <w:rPr/>
            </w:pPr>
            <w:r>
              <w:rPr/>
              <w:t>  </w:t>
            </w:r>
          </w:p>
        </w:tc>
      </w:tr>
      <w:tr>
        <w:trPr/>
        <w:tc>
          <w:tcPr>
            <w:tcW w:w="3347" w:type="dxa"/>
            <w:tcBorders/>
            <w:shd w:fill="auto" w:val="clear"/>
          </w:tcPr>
          <w:p>
            <w:pPr>
              <w:pStyle w:val="TableContents"/>
              <w:spacing w:before="0" w:after="283"/>
              <w:rPr>
                <w:rFonts w:ascii="Times New Roman" w:hAnsi="Times New Roman"/>
                <w:sz w:val="20"/>
              </w:rPr>
            </w:pPr>
            <w:r>
              <w:rPr>
                <w:rFonts w:ascii="Times New Roman" w:hAnsi="Times New Roman"/>
                <w:sz w:val="20"/>
              </w:rPr>
              <w:t>Net proceeds from the issuance of common units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w:t>
            </w:r>
          </w:p>
        </w:tc>
        <w:tc>
          <w:tcPr>
            <w:tcW w:w="135" w:type="dxa"/>
            <w:tcBorders/>
            <w:shd w:fill="auto" w:val="clear"/>
            <w:vAlign w:val="bottom"/>
          </w:tcPr>
          <w:p>
            <w:pPr>
              <w:pStyle w:val="TableContents"/>
              <w:spacing w:before="0" w:after="283"/>
              <w:rPr/>
            </w:pPr>
            <w:r>
              <w:rPr/>
              <w:t>  </w:t>
            </w:r>
          </w:p>
        </w:tc>
      </w:tr>
      <w:tr>
        <w:trPr/>
        <w:tc>
          <w:tcPr>
            <w:tcW w:w="3347" w:type="dxa"/>
            <w:tcBorders/>
            <w:shd w:fill="CCEEFF" w:val="clear"/>
          </w:tcPr>
          <w:p>
            <w:pPr>
              <w:pStyle w:val="TableContents"/>
              <w:spacing w:before="0" w:after="283"/>
              <w:rPr>
                <w:rFonts w:ascii="Times New Roman" w:hAnsi="Times New Roman"/>
                <w:sz w:val="20"/>
              </w:rPr>
            </w:pPr>
            <w:r>
              <w:rPr>
                <w:rFonts w:ascii="Times New Roman" w:hAnsi="Times New Roman"/>
                <w:sz w:val="20"/>
              </w:rPr>
              <w:t>Distributions paid to common unitholders and general partner</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3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49"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2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47" w:type="dxa"/>
            <w:tcBorders/>
            <w:shd w:fill="auto" w:val="clear"/>
          </w:tcPr>
          <w:p>
            <w:pPr>
              <w:pStyle w:val="TableContents"/>
              <w:spacing w:before="0" w:after="283"/>
              <w:rPr>
                <w:rFonts w:ascii="Times New Roman" w:hAnsi="Times New Roman"/>
                <w:sz w:val="20"/>
              </w:rPr>
            </w:pPr>
            <w:r>
              <w:rPr>
                <w:rFonts w:ascii="Times New Roman" w:hAnsi="Times New Roman"/>
                <w:sz w:val="20"/>
              </w:rPr>
              <w:t>Other financing activities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47"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3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3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49"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35" w:type="dxa"/>
            <w:tcBorders>
              <w:top w:val="single" w:sz="2" w:space="0" w:color="000000"/>
            </w:tcBorders>
            <w:shd w:fill="auto" w:val="clear"/>
            <w:tcMar>
              <w:top w:w="28" w:type="dxa"/>
            </w:tcMar>
            <w:vAlign w:val="bottom"/>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r>
      <w:tr>
        <w:trPr/>
        <w:tc>
          <w:tcPr>
            <w:tcW w:w="3347"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by/(used in) financing activities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47" w:type="dxa"/>
            <w:tcBorders/>
            <w:shd w:fill="auto" w:val="clea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3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3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49"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35"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r>
      <w:tr>
        <w:trPr/>
        <w:tc>
          <w:tcPr>
            <w:tcW w:w="3347" w:type="dxa"/>
            <w:tcBorders/>
            <w:shd w:fill="CCEEFF" w:val="clear"/>
          </w:tcPr>
          <w:p>
            <w:pPr>
              <w:pStyle w:val="TableContents"/>
              <w:spacing w:before="0" w:after="283"/>
              <w:rPr>
                <w:rFonts w:ascii="Times New Roman" w:hAnsi="Times New Roman"/>
                <w:sz w:val="20"/>
              </w:rPr>
            </w:pPr>
            <w:r>
              <w:rPr>
                <w:rFonts w:ascii="Times New Roman" w:hAnsi="Times New Roman"/>
                <w:sz w:val="20"/>
              </w:rPr>
              <w:t>Net increase/(decrease) in cash and cash equivalents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47"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beginning of period</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35" w:type="dxa"/>
            <w:tcBorders/>
            <w:shd w:fill="auto" w:val="clear"/>
            <w:vAlign w:val="bottom"/>
          </w:tcPr>
          <w:p>
            <w:pPr>
              <w:pStyle w:val="TableContents"/>
              <w:spacing w:before="0" w:after="283"/>
              <w:rPr/>
            </w:pPr>
            <w:r>
              <w:rPr/>
              <w:t>  </w:t>
            </w:r>
          </w:p>
        </w:tc>
      </w:tr>
      <w:tr>
        <w:trPr/>
        <w:tc>
          <w:tcPr>
            <w:tcW w:w="3347"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3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3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49"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35" w:type="dxa"/>
            <w:tcBorders>
              <w:top w:val="single" w:sz="2" w:space="0" w:color="000000"/>
            </w:tcBorders>
            <w:shd w:fill="auto" w:val="clear"/>
            <w:tcMar>
              <w:top w:w="28" w:type="dxa"/>
            </w:tcMar>
            <w:vAlign w:val="bottom"/>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r>
      <w:tr>
        <w:trPr/>
        <w:tc>
          <w:tcPr>
            <w:tcW w:w="3347"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end of period</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35" w:type="dxa"/>
            <w:tcBorders/>
            <w:shd w:fill="CCEEFF" w:val="clear"/>
            <w:vAlign w:val="bottom"/>
          </w:tcPr>
          <w:p>
            <w:pPr>
              <w:pStyle w:val="TableContents"/>
              <w:spacing w:before="0" w:after="283"/>
              <w:rPr/>
            </w:pPr>
            <w:r>
              <w:rPr/>
              <w:t>  </w:t>
            </w:r>
          </w:p>
        </w:tc>
      </w:tr>
      <w:tr>
        <w:trPr/>
        <w:tc>
          <w:tcPr>
            <w:tcW w:w="3347"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3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3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49" w:type="dxa"/>
            <w:tcBorders>
              <w:top w:val="double" w:sz="6"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2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35" w:type="dxa"/>
            <w:tcBorders>
              <w:top w:val="double" w:sz="6" w:space="0" w:color="000000"/>
            </w:tcBorders>
            <w:shd w:fill="auto" w:val="clear"/>
            <w:tcMar>
              <w:top w:w="28" w:type="dxa"/>
            </w:tcMar>
            <w:vAlign w:val="bottom"/>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24" w:name="tx73093_22"/>
            <w:bookmarkEnd w:id="24"/>
            <w:r>
              <w:rPr>
                <w:rFonts w:ascii="Times New Roman" w:hAnsi="Times New Roman"/>
                <w:b/>
                <w:sz w:val="20"/>
              </w:rPr>
              <w:t>Item 2.</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Managements Discussion and Analysis of Financial Condition and Results of Operations</w:t>
            </w:r>
            <w:r>
              <w:rPr>
                <w:rFonts w:ascii="Times New Roman" w:hAnsi="Times New Roman"/>
                <w:sz w:val="20"/>
              </w:rPr>
              <w:t xml:space="preserve"> </w:t>
            </w:r>
          </w:p>
        </w:tc>
      </w:tr>
    </w:tbl>
    <w:p>
      <w:pPr>
        <w:pStyle w:val="TextBody"/>
        <w:spacing w:before="90" w:after="0"/>
        <w:rPr>
          <w:rFonts w:ascii="Times New Roman" w:hAnsi="Times New Roman"/>
          <w:b/>
          <w:sz w:val="20"/>
        </w:rPr>
      </w:pPr>
      <w:r>
        <w:rPr>
          <w:rFonts w:ascii="Times New Roman" w:hAnsi="Times New Roman"/>
          <w:b/>
          <w:sz w:val="20"/>
        </w:rPr>
        <w:t xml:space="preserve">Introduction </w:t>
      </w:r>
    </w:p>
    <w:p>
      <w:pPr>
        <w:pStyle w:val="TextBody"/>
        <w:spacing w:before="90" w:after="0"/>
        <w:rPr>
          <w:rFonts w:ascii="Times New Roman" w:hAnsi="Times New Roman"/>
          <w:sz w:val="20"/>
        </w:rPr>
      </w:pPr>
      <w:r>
        <w:rPr>
          <w:rFonts w:ascii="Times New Roman" w:hAnsi="Times New Roman"/>
          <w:sz w:val="20"/>
        </w:rPr>
        <w:t xml:space="preserve">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2009 Annual Report on Form 10-K. For more detailed information regarding the basis of presentation for the following financial information, see the Notes to the Condensed Consolidated Financial Statements. </w:t>
      </w:r>
    </w:p>
    <w:p>
      <w:pPr>
        <w:pStyle w:val="TextBody"/>
        <w:spacing w:before="270" w:after="0"/>
        <w:rPr>
          <w:rFonts w:ascii="Times New Roman" w:hAnsi="Times New Roman"/>
          <w:b/>
          <w:sz w:val="20"/>
        </w:rPr>
      </w:pPr>
      <w:r>
        <w:rPr>
          <w:rFonts w:ascii="Times New Roman" w:hAnsi="Times New Roman"/>
          <w:b/>
          <w:sz w:val="20"/>
        </w:rPr>
        <w:t xml:space="preserve">Executive Summary </w:t>
      </w:r>
    </w:p>
    <w:p>
      <w:pPr>
        <w:pStyle w:val="TextBody"/>
        <w:spacing w:before="90" w:after="0"/>
        <w:rPr>
          <w:rFonts w:ascii="Times New Roman" w:hAnsi="Times New Roman"/>
          <w:sz w:val="20"/>
        </w:rPr>
      </w:pPr>
      <w:r>
        <w:rPr>
          <w:rFonts w:ascii="Times New Roman" w:hAnsi="Times New Roman"/>
          <w:sz w:val="20"/>
        </w:rPr>
        <w:t xml:space="preserve">We provide transportation, storage, terminalling, supply and logistics services with respect to crude oil, refined products and LPG. We are also engaged in the development and operation of natural gas storage facilities. We were formed in 1998, and our operations are conducted directly and indirectly through our operating subsidiaries and are managed through three operating segments: (i) Transportation, (ii) Facilities and (iii) Supply and Logistics. </w:t>
      </w:r>
    </w:p>
    <w:p>
      <w:pPr>
        <w:pStyle w:val="TextBody"/>
        <w:spacing w:before="180" w:after="0"/>
        <w:rPr>
          <w:rFonts w:ascii="Times New Roman" w:hAnsi="Times New Roman"/>
          <w:sz w:val="20"/>
        </w:rPr>
      </w:pPr>
      <w:r>
        <w:rPr>
          <w:rFonts w:ascii="Times New Roman" w:hAnsi="Times New Roman"/>
          <w:sz w:val="20"/>
        </w:rPr>
        <w:t xml:space="preserve">Our discussion and analysis herein includes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2"/>
        <w:gridCol w:w="8880"/>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Acquisitions and Internal Growth Projects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1"/>
        <w:gridCol w:w="8881"/>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Results of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2"/>
        <w:gridCol w:w="8880"/>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Liquidity and Capital Resources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1"/>
        <w:gridCol w:w="8881"/>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Recent Accounting Pronouncements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1"/>
        <w:gridCol w:w="8881"/>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Critical Accounting Policies and Estimates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1"/>
        <w:gridCol w:w="8882"/>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Forward-Looking Statements </w:t>
            </w:r>
          </w:p>
        </w:tc>
      </w:tr>
    </w:tbl>
    <w:p>
      <w:pPr>
        <w:pStyle w:val="TextBody"/>
        <w:spacing w:before="270" w:after="0"/>
        <w:rPr>
          <w:rFonts w:ascii="Times New Roman" w:hAnsi="Times New Roman"/>
          <w:b/>
          <w:sz w:val="20"/>
        </w:rPr>
      </w:pPr>
      <w:r>
        <w:rPr>
          <w:rFonts w:ascii="Times New Roman" w:hAnsi="Times New Roman"/>
          <w:b/>
          <w:sz w:val="20"/>
        </w:rPr>
        <w:t xml:space="preserve">Acquisitions and Internal Growth Projects </w:t>
      </w:r>
    </w:p>
    <w:p>
      <w:pPr>
        <w:pStyle w:val="TextBody"/>
        <w:spacing w:before="90" w:after="0"/>
        <w:rPr>
          <w:rFonts w:ascii="Times New Roman" w:hAnsi="Times New Roman"/>
          <w:sz w:val="20"/>
        </w:rPr>
      </w:pPr>
      <w:r>
        <w:rPr>
          <w:rFonts w:ascii="Times New Roman" w:hAnsi="Times New Roman"/>
          <w:sz w:val="20"/>
        </w:rPr>
        <w:t xml:space="preserve">The following table summarizes our capital expenditures for acquisitions, internal growth projects, maintenance capital and investments in unconsolidated entities for the periods indicated (in millions):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351"/>
        <w:gridCol w:w="223"/>
        <w:gridCol w:w="125"/>
        <w:gridCol w:w="1074"/>
        <w:gridCol w:w="223"/>
        <w:gridCol w:w="125"/>
        <w:gridCol w:w="1084"/>
      </w:tblGrid>
      <w:tr>
        <w:trPr/>
        <w:tc>
          <w:tcPr>
            <w:tcW w:w="735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r>
      <w:tr>
        <w:trPr/>
        <w:tc>
          <w:tcPr>
            <w:tcW w:w="735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631" w:type="dxa"/>
            <w:gridSpan w:val="5"/>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Six Months</w:t>
            </w:r>
            <w:r>
              <w:rPr/>
              <w:br/>
            </w:r>
            <w:r>
              <w:rPr>
                <w:rFonts w:ascii="Times New Roman" w:hAnsi="Times New Roman"/>
                <w:b/>
                <w:sz w:val="14"/>
              </w:rPr>
              <w:t>Ended June 30,</w:t>
            </w:r>
            <w:r>
              <w:rPr>
                <w:rFonts w:ascii="Times New Roman" w:hAnsi="Times New Roman"/>
                <w:sz w:val="14"/>
              </w:rPr>
              <w:t xml:space="preserve"> </w:t>
            </w:r>
          </w:p>
        </w:tc>
      </w:tr>
      <w:tr>
        <w:trPr/>
        <w:tc>
          <w:tcPr>
            <w:tcW w:w="735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9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223" w:type="dxa"/>
            <w:tcBorders/>
            <w:shd w:fill="auto" w:val="clear"/>
            <w:vAlign w:val="bottom"/>
          </w:tcPr>
          <w:p>
            <w:pPr>
              <w:pStyle w:val="TableContents"/>
              <w:spacing w:before="0" w:after="283"/>
              <w:rPr/>
            </w:pPr>
            <w:r>
              <w:rPr/>
              <w:t>  </w:t>
            </w:r>
          </w:p>
        </w:tc>
        <w:tc>
          <w:tcPr>
            <w:tcW w:w="120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r>
      <w:tr>
        <w:trPr/>
        <w:tc>
          <w:tcPr>
            <w:tcW w:w="7351" w:type="dxa"/>
            <w:tcBorders/>
            <w:shd w:fill="CCEEFF" w:val="clear"/>
          </w:tcPr>
          <w:p>
            <w:pPr>
              <w:pStyle w:val="TableContents"/>
              <w:spacing w:before="0" w:after="283"/>
              <w:rPr/>
            </w:pPr>
            <w:r>
              <w:rPr>
                <w:rFonts w:ascii="Times New Roman" w:hAnsi="Times New Roman"/>
                <w:sz w:val="20"/>
              </w:rPr>
              <w:t xml:space="preserve">Acquisition capital </w:t>
            </w:r>
            <w:r>
              <w:rPr>
                <w:rFonts w:ascii="Times New Roman" w:hAnsi="Times New Roman"/>
                <w:sz w:val="14"/>
              </w:rPr>
              <w:t>(1)</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4" w:type="dxa"/>
            <w:tcBorders/>
            <w:shd w:fill="CCEEFF" w:val="clear"/>
            <w:vAlign w:val="bottom"/>
          </w:tcPr>
          <w:p>
            <w:pPr>
              <w:pStyle w:val="TableContents"/>
              <w:spacing w:before="0" w:after="283"/>
              <w:jc w:val="right"/>
              <w:rPr/>
            </w:pPr>
            <w:r>
              <w:rPr/>
              <w:t>            </w:t>
            </w:r>
            <w:r>
              <w:rPr>
                <w:rFonts w:ascii="Times New Roman" w:hAnsi="Times New Roman"/>
                <w:sz w:val="20"/>
              </w:rPr>
              <w:t>153</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84" w:type="dxa"/>
            <w:tcBorders/>
            <w:shd w:fill="CCEEFF" w:val="clear"/>
            <w:vAlign w:val="bottom"/>
          </w:tcPr>
          <w:p>
            <w:pPr>
              <w:pStyle w:val="TableContents"/>
              <w:spacing w:before="0" w:after="283"/>
              <w:jc w:val="right"/>
              <w:rPr/>
            </w:pPr>
            <w:r>
              <w:rPr/>
              <w:t>              </w:t>
            </w:r>
            <w:r>
              <w:rPr>
                <w:rFonts w:ascii="Times New Roman" w:hAnsi="Times New Roman"/>
                <w:sz w:val="20"/>
              </w:rPr>
              <w:t>60</w:t>
            </w:r>
          </w:p>
        </w:tc>
      </w:tr>
      <w:tr>
        <w:trPr/>
        <w:tc>
          <w:tcPr>
            <w:tcW w:w="7351" w:type="dxa"/>
            <w:tcBorders/>
            <w:shd w:fill="auto" w:val="clear"/>
          </w:tcPr>
          <w:p>
            <w:pPr>
              <w:pStyle w:val="TableContents"/>
              <w:spacing w:before="0" w:after="283"/>
              <w:rPr>
                <w:rFonts w:ascii="Times New Roman" w:hAnsi="Times New Roman"/>
                <w:sz w:val="20"/>
              </w:rPr>
            </w:pPr>
            <w:r>
              <w:rPr>
                <w:rFonts w:ascii="Times New Roman" w:hAnsi="Times New Roman"/>
                <w:sz w:val="20"/>
              </w:rPr>
              <w:t>Internal growth projects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163</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r>
      <w:tr>
        <w:trPr/>
        <w:tc>
          <w:tcPr>
            <w:tcW w:w="7351" w:type="dxa"/>
            <w:tcBorders/>
            <w:shd w:fill="CCEEFF" w:val="clear"/>
          </w:tcPr>
          <w:p>
            <w:pPr>
              <w:pStyle w:val="TableContents"/>
              <w:spacing w:before="0" w:after="283"/>
              <w:rPr>
                <w:rFonts w:ascii="Times New Roman" w:hAnsi="Times New Roman"/>
                <w:sz w:val="20"/>
              </w:rPr>
            </w:pPr>
            <w:r>
              <w:rPr>
                <w:rFonts w:ascii="Times New Roman" w:hAnsi="Times New Roman"/>
                <w:sz w:val="20"/>
              </w:rPr>
              <w:t>Maintenance capital</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r>
      <w:tr>
        <w:trPr/>
        <w:tc>
          <w:tcPr>
            <w:tcW w:w="7351" w:type="dxa"/>
            <w:tcBorders/>
            <w:shd w:fill="auto" w:val="clear"/>
          </w:tcPr>
          <w:p>
            <w:pPr>
              <w:pStyle w:val="TableContents"/>
              <w:spacing w:before="0" w:after="283"/>
              <w:rPr>
                <w:rFonts w:ascii="Times New Roman" w:hAnsi="Times New Roman"/>
                <w:sz w:val="20"/>
              </w:rPr>
            </w:pPr>
            <w:r>
              <w:rPr>
                <w:rFonts w:ascii="Times New Roman" w:hAnsi="Times New Roman"/>
                <w:sz w:val="20"/>
              </w:rPr>
              <w:t>Investment in unconsolidated entities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r>
      <w:tr>
        <w:trPr/>
        <w:tc>
          <w:tcPr>
            <w:tcW w:w="7351"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74" w:type="dxa"/>
            <w:tcBorders>
              <w:top w:val="single" w:sz="2" w:space="0" w:color="000000"/>
            </w:tcBorders>
            <w:shd w:fill="auto" w:val="clear"/>
            <w:tcMar>
              <w:top w:w="28" w:type="dxa"/>
            </w:tcM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84"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7351"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349</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w:t>
            </w:r>
          </w:p>
        </w:tc>
      </w:tr>
      <w:tr>
        <w:trPr/>
        <w:tc>
          <w:tcPr>
            <w:tcW w:w="7351"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74" w:type="dxa"/>
            <w:tcBorders>
              <w:top w:val="double" w:sz="6" w:space="0" w:color="000000"/>
            </w:tcBorders>
            <w:shd w:fill="auto" w:val="clear"/>
            <w:tcMar>
              <w:top w:w="28" w:type="dxa"/>
            </w:tcM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84"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pBdr>
          <w:bottom w:val="single" w:sz="16"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second quarter of 2010, we entered into agreements to purchase various pipeline assets that will be reflected in our transportation segment. The 2010 amounts include deposits paid on these agreements, which have not closed as of June 30, 2010 and are classified as other, net assets within our condensed consolidated balance sheet.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Our internal growth projects primarily relate to the construction and expansion of pipeline systems, crude oil storage and terminal facilities and natural gas storage facilities. The following table summarizes our more notable projects in progress during 2010 and the forecasted expenditures for the year (in millions):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416"/>
        <w:gridCol w:w="327"/>
        <w:gridCol w:w="125"/>
        <w:gridCol w:w="1214"/>
        <w:gridCol w:w="123"/>
      </w:tblGrid>
      <w:tr>
        <w:trPr/>
        <w:tc>
          <w:tcPr>
            <w:tcW w:w="8416"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8416"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Projects</w:t>
            </w:r>
          </w:p>
        </w:tc>
        <w:tc>
          <w:tcPr>
            <w:tcW w:w="327" w:type="dxa"/>
            <w:tcBorders/>
            <w:shd w:fill="auto" w:val="clear"/>
            <w:vAlign w:val="bottom"/>
          </w:tcPr>
          <w:p>
            <w:pPr>
              <w:pStyle w:val="TableContents"/>
              <w:spacing w:before="0" w:after="283"/>
              <w:rPr/>
            </w:pPr>
            <w:r>
              <w:rPr/>
              <w:t>  </w:t>
            </w:r>
          </w:p>
        </w:tc>
        <w:tc>
          <w:tcPr>
            <w:tcW w:w="133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3" w:type="dxa"/>
            <w:tcBorders/>
            <w:shd w:fill="auto" w:val="clear"/>
            <w:vAlign w:val="bottom"/>
          </w:tcPr>
          <w:p>
            <w:pPr>
              <w:pStyle w:val="TableContents"/>
              <w:spacing w:before="0" w:after="283"/>
              <w:rPr/>
            </w:pPr>
            <w:r>
              <w:rPr/>
              <w:t> </w:t>
            </w:r>
          </w:p>
        </w:tc>
      </w:tr>
      <w:tr>
        <w:trPr/>
        <w:tc>
          <w:tcPr>
            <w:tcW w:w="8416" w:type="dxa"/>
            <w:tcBorders/>
            <w:shd w:fill="CCEEFF" w:val="clear"/>
          </w:tcPr>
          <w:p>
            <w:pPr>
              <w:pStyle w:val="TableContents"/>
              <w:spacing w:before="0" w:after="283"/>
              <w:rPr>
                <w:rFonts w:ascii="Times New Roman" w:hAnsi="Times New Roman"/>
                <w:sz w:val="20"/>
              </w:rPr>
            </w:pPr>
            <w:r>
              <w:rPr>
                <w:rFonts w:ascii="Times New Roman" w:hAnsi="Times New Roman"/>
                <w:sz w:val="20"/>
              </w:rPr>
              <w:t>PAA Natural Gas Storage</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14" w:type="dxa"/>
            <w:tcBorders/>
            <w:shd w:fill="CCEEFF" w:val="clear"/>
            <w:vAlign w:val="bottom"/>
          </w:tcPr>
          <w:p>
            <w:pPr>
              <w:pStyle w:val="TableContents"/>
              <w:spacing w:before="0" w:after="283"/>
              <w:jc w:val="right"/>
              <w:rPr/>
            </w:pPr>
            <w:r>
              <w:rPr/>
              <w:t>                </w:t>
            </w:r>
            <w:r>
              <w:rPr>
                <w:rFonts w:ascii="Times New Roman" w:hAnsi="Times New Roman"/>
                <w:sz w:val="20"/>
              </w:rPr>
              <w:t>95</w:t>
            </w:r>
          </w:p>
        </w:tc>
        <w:tc>
          <w:tcPr>
            <w:tcW w:w="123" w:type="dxa"/>
            <w:tcBorders/>
            <w:shd w:fill="CCEEFF" w:val="clear"/>
            <w:vAlign w:val="bottom"/>
          </w:tcPr>
          <w:p>
            <w:pPr>
              <w:pStyle w:val="TableContents"/>
              <w:spacing w:before="0" w:after="283"/>
              <w:rPr/>
            </w:pPr>
            <w:r>
              <w:rPr/>
              <w:t>  </w:t>
            </w:r>
          </w:p>
        </w:tc>
      </w:tr>
      <w:tr>
        <w:trPr/>
        <w:tc>
          <w:tcPr>
            <w:tcW w:w="8416" w:type="dxa"/>
            <w:tcBorders/>
            <w:shd w:fill="auto" w:val="clear"/>
          </w:tcPr>
          <w:p>
            <w:pPr>
              <w:pStyle w:val="TableContents"/>
              <w:spacing w:before="0" w:after="283"/>
              <w:rPr>
                <w:rFonts w:ascii="Times New Roman" w:hAnsi="Times New Roman"/>
                <w:sz w:val="20"/>
              </w:rPr>
            </w:pPr>
            <w:r>
              <w:rPr>
                <w:rFonts w:ascii="Times New Roman" w:hAnsi="Times New Roman"/>
                <w:sz w:val="20"/>
              </w:rPr>
              <w:t>Patoka Phase III</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3" w:type="dxa"/>
            <w:tcBorders/>
            <w:shd w:fill="auto" w:val="clear"/>
            <w:vAlign w:val="bottom"/>
          </w:tcPr>
          <w:p>
            <w:pPr>
              <w:pStyle w:val="TableContents"/>
              <w:spacing w:before="0" w:after="283"/>
              <w:rPr/>
            </w:pPr>
            <w:r>
              <w:rPr/>
              <w:t>  </w:t>
            </w:r>
          </w:p>
        </w:tc>
      </w:tr>
      <w:tr>
        <w:trPr/>
        <w:tc>
          <w:tcPr>
            <w:tcW w:w="8416" w:type="dxa"/>
            <w:tcBorders/>
            <w:shd w:fill="CCEEFF" w:val="clear"/>
          </w:tcPr>
          <w:p>
            <w:pPr>
              <w:pStyle w:val="TableContents"/>
              <w:spacing w:before="0" w:after="283"/>
              <w:rPr>
                <w:rFonts w:ascii="Times New Roman" w:hAnsi="Times New Roman"/>
                <w:sz w:val="20"/>
              </w:rPr>
            </w:pPr>
            <w:r>
              <w:rPr>
                <w:rFonts w:ascii="Times New Roman" w:hAnsi="Times New Roman"/>
                <w:sz w:val="20"/>
              </w:rPr>
              <w:t>West Texas gathering lines</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3" w:type="dxa"/>
            <w:tcBorders/>
            <w:shd w:fill="CCEEFF" w:val="clear"/>
            <w:vAlign w:val="bottom"/>
          </w:tcPr>
          <w:p>
            <w:pPr>
              <w:pStyle w:val="TableContents"/>
              <w:spacing w:before="0" w:after="283"/>
              <w:rPr/>
            </w:pPr>
            <w:r>
              <w:rPr/>
              <w:t>  </w:t>
            </w:r>
          </w:p>
        </w:tc>
      </w:tr>
      <w:tr>
        <w:trPr/>
        <w:tc>
          <w:tcPr>
            <w:tcW w:w="8416" w:type="dxa"/>
            <w:tcBorders/>
            <w:shd w:fill="auto" w:val="clear"/>
          </w:tcPr>
          <w:p>
            <w:pPr>
              <w:pStyle w:val="TableContents"/>
              <w:spacing w:before="0" w:after="283"/>
              <w:rPr>
                <w:rFonts w:ascii="Times New Roman" w:hAnsi="Times New Roman"/>
                <w:sz w:val="20"/>
              </w:rPr>
            </w:pPr>
            <w:r>
              <w:rPr>
                <w:rFonts w:ascii="Times New Roman" w:hAnsi="Times New Roman"/>
                <w:sz w:val="20"/>
              </w:rPr>
              <w:t>Cushing - Phase VII</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3" w:type="dxa"/>
            <w:tcBorders/>
            <w:shd w:fill="auto" w:val="clear"/>
            <w:vAlign w:val="bottom"/>
          </w:tcPr>
          <w:p>
            <w:pPr>
              <w:pStyle w:val="TableContents"/>
              <w:spacing w:before="0" w:after="283"/>
              <w:rPr/>
            </w:pPr>
            <w:r>
              <w:rPr/>
              <w:t>  </w:t>
            </w:r>
          </w:p>
        </w:tc>
      </w:tr>
      <w:tr>
        <w:trPr/>
        <w:tc>
          <w:tcPr>
            <w:tcW w:w="8416" w:type="dxa"/>
            <w:tcBorders/>
            <w:shd w:fill="CCEEFF" w:val="clear"/>
          </w:tcPr>
          <w:p>
            <w:pPr>
              <w:pStyle w:val="TableContents"/>
              <w:spacing w:before="0" w:after="283"/>
              <w:rPr>
                <w:rFonts w:ascii="Times New Roman" w:hAnsi="Times New Roman"/>
                <w:sz w:val="20"/>
              </w:rPr>
            </w:pPr>
            <w:r>
              <w:rPr>
                <w:rFonts w:ascii="Times New Roman" w:hAnsi="Times New Roman"/>
                <w:sz w:val="20"/>
              </w:rPr>
              <w:t>Edmonton land purchase</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3" w:type="dxa"/>
            <w:tcBorders/>
            <w:shd w:fill="CCEEFF" w:val="clear"/>
            <w:vAlign w:val="bottom"/>
          </w:tcPr>
          <w:p>
            <w:pPr>
              <w:pStyle w:val="TableContents"/>
              <w:spacing w:before="0" w:after="283"/>
              <w:rPr/>
            </w:pPr>
            <w:r>
              <w:rPr/>
              <w:t>  </w:t>
            </w:r>
          </w:p>
        </w:tc>
      </w:tr>
      <w:tr>
        <w:trPr/>
        <w:tc>
          <w:tcPr>
            <w:tcW w:w="8416" w:type="dxa"/>
            <w:tcBorders/>
            <w:shd w:fill="auto" w:val="clear"/>
          </w:tcPr>
          <w:p>
            <w:pPr>
              <w:pStyle w:val="TableContents"/>
              <w:spacing w:before="0" w:after="283"/>
              <w:rPr>
                <w:rFonts w:ascii="Times New Roman" w:hAnsi="Times New Roman"/>
                <w:sz w:val="20"/>
              </w:rPr>
            </w:pPr>
            <w:r>
              <w:rPr>
                <w:rFonts w:ascii="Times New Roman" w:hAnsi="Times New Roman"/>
                <w:sz w:val="20"/>
              </w:rPr>
              <w:t>St. James - Phase III</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3" w:type="dxa"/>
            <w:tcBorders/>
            <w:shd w:fill="auto" w:val="clear"/>
            <w:vAlign w:val="bottom"/>
          </w:tcPr>
          <w:p>
            <w:pPr>
              <w:pStyle w:val="TableContents"/>
              <w:spacing w:before="0" w:after="283"/>
              <w:rPr/>
            </w:pPr>
            <w:r>
              <w:rPr/>
              <w:t>  </w:t>
            </w:r>
          </w:p>
        </w:tc>
      </w:tr>
      <w:tr>
        <w:trPr/>
        <w:tc>
          <w:tcPr>
            <w:tcW w:w="8416" w:type="dxa"/>
            <w:tcBorders/>
            <w:shd w:fill="CCEEFF" w:val="clear"/>
          </w:tcPr>
          <w:p>
            <w:pPr>
              <w:pStyle w:val="TableContents"/>
              <w:spacing w:before="0" w:after="283"/>
              <w:rPr>
                <w:rFonts w:ascii="Times New Roman" w:hAnsi="Times New Roman"/>
                <w:sz w:val="20"/>
              </w:rPr>
            </w:pPr>
            <w:r>
              <w:rPr>
                <w:rFonts w:ascii="Times New Roman" w:hAnsi="Times New Roman"/>
                <w:sz w:val="20"/>
              </w:rPr>
              <w:t>Cushing - Phase VIII</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3" w:type="dxa"/>
            <w:tcBorders/>
            <w:shd w:fill="CCEEFF" w:val="clear"/>
            <w:vAlign w:val="bottom"/>
          </w:tcPr>
          <w:p>
            <w:pPr>
              <w:pStyle w:val="TableContents"/>
              <w:spacing w:before="0" w:after="283"/>
              <w:rPr/>
            </w:pPr>
            <w:r>
              <w:rPr/>
              <w:t>  </w:t>
            </w:r>
          </w:p>
        </w:tc>
      </w:tr>
      <w:tr>
        <w:trPr/>
        <w:tc>
          <w:tcPr>
            <w:tcW w:w="8416" w:type="dxa"/>
            <w:tcBorders/>
            <w:shd w:fill="auto" w:val="clear"/>
          </w:tcPr>
          <w:p>
            <w:pPr>
              <w:pStyle w:val="TableContents"/>
              <w:spacing w:before="0" w:after="283"/>
              <w:rPr>
                <w:rFonts w:ascii="Times New Roman" w:hAnsi="Times New Roman"/>
                <w:sz w:val="20"/>
              </w:rPr>
            </w:pPr>
            <w:r>
              <w:rPr>
                <w:rFonts w:ascii="Times New Roman" w:hAnsi="Times New Roman"/>
                <w:sz w:val="20"/>
              </w:rPr>
              <w:t>Wichita Falls tanks</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3" w:type="dxa"/>
            <w:tcBorders/>
            <w:shd w:fill="auto" w:val="clear"/>
            <w:vAlign w:val="bottom"/>
          </w:tcPr>
          <w:p>
            <w:pPr>
              <w:pStyle w:val="TableContents"/>
              <w:spacing w:before="0" w:after="283"/>
              <w:rPr/>
            </w:pPr>
            <w:r>
              <w:rPr/>
              <w:t>  </w:t>
            </w:r>
          </w:p>
        </w:tc>
      </w:tr>
      <w:tr>
        <w:trPr/>
        <w:tc>
          <w:tcPr>
            <w:tcW w:w="8416" w:type="dxa"/>
            <w:tcBorders/>
            <w:shd w:fill="CCEEFF" w:val="clear"/>
          </w:tcPr>
          <w:p>
            <w:pPr>
              <w:pStyle w:val="TableContents"/>
              <w:spacing w:before="0" w:after="283"/>
              <w:rPr/>
            </w:pPr>
            <w:r>
              <w:rPr>
                <w:rFonts w:ascii="Times New Roman" w:hAnsi="Times New Roman"/>
                <w:sz w:val="20"/>
              </w:rPr>
              <w:t xml:space="preserve">Other projects </w:t>
            </w:r>
            <w:r>
              <w:rPr>
                <w:rFonts w:ascii="Times New Roman" w:hAnsi="Times New Roman"/>
                <w:sz w:val="14"/>
              </w:rPr>
              <w:t>(1)</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w:t>
            </w:r>
          </w:p>
        </w:tc>
        <w:tc>
          <w:tcPr>
            <w:tcW w:w="123" w:type="dxa"/>
            <w:tcBorders/>
            <w:shd w:fill="CCEEFF" w:val="clear"/>
            <w:vAlign w:val="bottom"/>
          </w:tcPr>
          <w:p>
            <w:pPr>
              <w:pStyle w:val="TableContents"/>
              <w:spacing w:before="0" w:after="283"/>
              <w:rPr/>
            </w:pPr>
            <w:r>
              <w:rPr/>
              <w:t>  </w:t>
            </w:r>
          </w:p>
        </w:tc>
      </w:tr>
      <w:tr>
        <w:trPr/>
        <w:tc>
          <w:tcPr>
            <w:tcW w:w="8416"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14" w:type="dxa"/>
            <w:tcBorders>
              <w:top w:val="single" w:sz="2" w:space="0" w:color="000000"/>
            </w:tcBorders>
            <w:shd w:fill="auto" w:val="clear"/>
            <w:tcMar>
              <w:top w:w="28" w:type="dxa"/>
            </w:tcMar>
            <w:vAlign w:val="bottom"/>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8416" w:type="dxa"/>
            <w:tcBorders/>
            <w:shd w:fill="auto" w:val="clear"/>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360</w:t>
            </w:r>
          </w:p>
        </w:tc>
        <w:tc>
          <w:tcPr>
            <w:tcW w:w="123" w:type="dxa"/>
            <w:tcBorders/>
            <w:shd w:fill="auto" w:val="clear"/>
            <w:vAlign w:val="bottom"/>
          </w:tcPr>
          <w:p>
            <w:pPr>
              <w:pStyle w:val="TableContents"/>
              <w:spacing w:before="0" w:after="283"/>
              <w:rPr/>
            </w:pPr>
            <w:r>
              <w:rPr/>
              <w:t>  </w:t>
            </w:r>
          </w:p>
        </w:tc>
      </w:tr>
      <w:tr>
        <w:trPr/>
        <w:tc>
          <w:tcPr>
            <w:tcW w:w="8416" w:type="dxa"/>
            <w:tcBorders/>
            <w:shd w:fill="CCEEFF" w:val="clear"/>
          </w:tcPr>
          <w:p>
            <w:pPr>
              <w:pStyle w:val="TableContents"/>
              <w:spacing w:before="0" w:after="283"/>
              <w:rPr>
                <w:rFonts w:ascii="Times New Roman" w:hAnsi="Times New Roman"/>
                <w:sz w:val="20"/>
              </w:rPr>
            </w:pPr>
            <w:r>
              <w:rPr>
                <w:rFonts w:ascii="Times New Roman" w:hAnsi="Times New Roman"/>
                <w:sz w:val="20"/>
              </w:rPr>
              <w:t>Maintenance capital</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123" w:type="dxa"/>
            <w:tcBorders/>
            <w:shd w:fill="CCEEFF" w:val="clear"/>
            <w:vAlign w:val="bottom"/>
          </w:tcPr>
          <w:p>
            <w:pPr>
              <w:pStyle w:val="TableContents"/>
              <w:spacing w:before="0" w:after="283"/>
              <w:rPr/>
            </w:pPr>
            <w:r>
              <w:rPr/>
              <w:t>  </w:t>
            </w:r>
          </w:p>
        </w:tc>
      </w:tr>
      <w:tr>
        <w:trPr/>
        <w:tc>
          <w:tcPr>
            <w:tcW w:w="8416"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214" w:type="dxa"/>
            <w:tcBorders>
              <w:top w:val="single" w:sz="2" w:space="0" w:color="000000"/>
            </w:tcBorders>
            <w:shd w:fill="auto" w:val="clear"/>
            <w:tcMar>
              <w:top w:w="28" w:type="dxa"/>
            </w:tcMar>
            <w:vAlign w:val="bottom"/>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8416" w:type="dxa"/>
            <w:tcBorders/>
            <w:shd w:fill="auto" w:val="clear"/>
          </w:tcPr>
          <w:p>
            <w:pPr>
              <w:pStyle w:val="TableContents"/>
              <w:spacing w:before="0" w:after="283"/>
              <w:rPr>
                <w:rFonts w:ascii="Times New Roman" w:hAnsi="Times New Roman"/>
                <w:sz w:val="20"/>
              </w:rPr>
            </w:pPr>
            <w:r>
              <w:rPr>
                <w:rFonts w:ascii="Times New Roman" w:hAnsi="Times New Roman"/>
                <w:sz w:val="20"/>
              </w:rPr>
              <w:t>Total Projected Capital Expenditures (excluding acquisitions)</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445</w:t>
            </w:r>
          </w:p>
        </w:tc>
        <w:tc>
          <w:tcPr>
            <w:tcW w:w="123" w:type="dxa"/>
            <w:tcBorders/>
            <w:shd w:fill="auto" w:val="clear"/>
            <w:vAlign w:val="bottom"/>
          </w:tcPr>
          <w:p>
            <w:pPr>
              <w:pStyle w:val="TableContents"/>
              <w:spacing w:before="0" w:after="283"/>
              <w:rPr/>
            </w:pPr>
            <w:r>
              <w:rPr/>
              <w:t>  </w:t>
            </w:r>
          </w:p>
        </w:tc>
      </w:tr>
      <w:tr>
        <w:trPr/>
        <w:tc>
          <w:tcPr>
            <w:tcW w:w="8416"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214" w:type="dxa"/>
            <w:tcBorders>
              <w:top w:val="double" w:sz="6" w:space="0" w:color="000000"/>
            </w:tcBorders>
            <w:shd w:fill="auto" w:val="clear"/>
            <w:tcMar>
              <w:top w:w="28" w:type="dxa"/>
            </w:tcMar>
            <w:vAlign w:val="bottom"/>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pBdr>
          <w:bottom w:val="single" w:sz="16"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Primarily pipeline connections, upgrades and truck stations, new tank construction and refurbishing, and carry-over of projects started in 2009. </w:t>
            </w:r>
          </w:p>
        </w:tc>
      </w:tr>
    </w:tbl>
    <w:p>
      <w:pPr>
        <w:pStyle w:val="TextBody"/>
        <w:spacing w:before="270" w:after="0"/>
        <w:rPr>
          <w:rFonts w:ascii="Times New Roman" w:hAnsi="Times New Roman"/>
          <w:b/>
          <w:sz w:val="20"/>
        </w:rPr>
      </w:pPr>
      <w:r>
        <w:rPr>
          <w:rFonts w:ascii="Times New Roman" w:hAnsi="Times New Roman"/>
          <w:b/>
          <w:sz w:val="20"/>
        </w:rPr>
        <w:t xml:space="preserve">Results of Operations </w:t>
      </w:r>
    </w:p>
    <w:p>
      <w:pPr>
        <w:pStyle w:val="TextBody"/>
        <w:spacing w:before="90" w:after="0"/>
        <w:rPr>
          <w:rFonts w:ascii="Times New Roman" w:hAnsi="Times New Roman"/>
          <w:sz w:val="20"/>
        </w:rPr>
      </w:pPr>
      <w:r>
        <w:rPr>
          <w:rFonts w:ascii="Times New Roman" w:hAnsi="Times New Roman"/>
          <w:sz w:val="20"/>
        </w:rPr>
        <w:t xml:space="preserve">We manage our operations through three operating segments: (i) Transportation, (ii) Facilities and (iii) Supply and Logistics. In order to evaluate segment performance, management focuses on a variety of measures including segment profit, segment volumes, segment profit per barrel and maintenance capital. See Note 15 to our Consolidated Financial Statements included in Part IV of our 2009 Annual Report on Form 10-K for further discussion on how we evaluate segment performance. </w:t>
      </w:r>
    </w:p>
    <w:p>
      <w:pPr>
        <w:pStyle w:val="TextBody"/>
        <w:spacing w:before="180" w:after="0"/>
        <w:rPr>
          <w:rFonts w:ascii="Times New Roman" w:hAnsi="Times New Roman"/>
          <w:sz w:val="20"/>
        </w:rPr>
      </w:pPr>
      <w:r>
        <w:rPr>
          <w:rFonts w:ascii="Times New Roman" w:hAnsi="Times New Roman"/>
          <w:sz w:val="20"/>
        </w:rPr>
        <w:t xml:space="preserve">The following table reflects our segment profit, net income and applicable earnings per limited partner unit for the three and six months ended June 30, 2010 and 2009 (in millions, except per unit amounts):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207"/>
        <w:gridCol w:w="141"/>
        <w:gridCol w:w="125"/>
        <w:gridCol w:w="704"/>
        <w:gridCol w:w="125"/>
        <w:gridCol w:w="84"/>
        <w:gridCol w:w="125"/>
        <w:gridCol w:w="704"/>
        <w:gridCol w:w="125"/>
        <w:gridCol w:w="83"/>
        <w:gridCol w:w="125"/>
        <w:gridCol w:w="590"/>
        <w:gridCol w:w="125"/>
        <w:gridCol w:w="84"/>
        <w:gridCol w:w="590"/>
        <w:gridCol w:w="290"/>
        <w:gridCol w:w="84"/>
        <w:gridCol w:w="125"/>
        <w:gridCol w:w="703"/>
        <w:gridCol w:w="125"/>
        <w:gridCol w:w="84"/>
        <w:gridCol w:w="125"/>
        <w:gridCol w:w="704"/>
        <w:gridCol w:w="125"/>
        <w:gridCol w:w="84"/>
        <w:gridCol w:w="125"/>
        <w:gridCol w:w="590"/>
        <w:gridCol w:w="124"/>
        <w:gridCol w:w="84"/>
        <w:gridCol w:w="590"/>
        <w:gridCol w:w="306"/>
      </w:tblGrid>
      <w:tr>
        <w:trPr/>
        <w:tc>
          <w:tcPr>
            <w:tcW w:w="2207"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2207"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867"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w:t>
              <w:br/>
              <w:t>Ended June 30,</w:t>
            </w:r>
          </w:p>
        </w:tc>
        <w:tc>
          <w:tcPr>
            <w:tcW w:w="125"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514"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w:t>
              <w:br/>
              <w:t>Favorable/</w:t>
              <w:br/>
              <w:t>(Unfavorable)</w:t>
              <w:br/>
              <w:t>Variance</w:t>
            </w:r>
          </w:p>
        </w:tc>
        <w:tc>
          <w:tcPr>
            <w:tcW w:w="29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866"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w:t>
              <w:br/>
              <w:t>Ended June 30,</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513"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w:t>
              <w:br/>
              <w:t>Favorable/</w:t>
              <w:br/>
              <w:t>(Unfavorable)</w:t>
              <w:br/>
              <w:t>Variance</w:t>
            </w:r>
          </w:p>
        </w:tc>
        <w:tc>
          <w:tcPr>
            <w:tcW w:w="306" w:type="dxa"/>
            <w:tcBorders/>
            <w:shd w:fill="auto" w:val="clear"/>
            <w:vAlign w:val="bottom"/>
          </w:tcPr>
          <w:p>
            <w:pPr>
              <w:pStyle w:val="TableContents"/>
              <w:spacing w:before="0" w:after="283"/>
              <w:rPr/>
            </w:pPr>
            <w:r>
              <w:rPr/>
              <w:t> </w:t>
            </w:r>
          </w:p>
        </w:tc>
      </w:tr>
      <w:tr>
        <w:trPr/>
        <w:tc>
          <w:tcPr>
            <w:tcW w:w="2207"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8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9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29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8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12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9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6" w:type="dxa"/>
            <w:tcBorders/>
            <w:shd w:fill="auto" w:val="clear"/>
            <w:vAlign w:val="bottom"/>
          </w:tcPr>
          <w:p>
            <w:pPr>
              <w:pStyle w:val="TableContents"/>
              <w:spacing w:before="0" w:after="283"/>
              <w:rPr/>
            </w:pPr>
            <w:r>
              <w:rPr/>
              <w:t> </w:t>
            </w:r>
          </w:p>
        </w:tc>
      </w:tr>
      <w:tr>
        <w:trPr/>
        <w:tc>
          <w:tcPr>
            <w:tcW w:w="2207" w:type="dxa"/>
            <w:tcBorders/>
            <w:shd w:fill="CCEEFF" w:val="clear"/>
          </w:tcPr>
          <w:p>
            <w:pPr>
              <w:pStyle w:val="TableContents"/>
              <w:spacing w:before="0" w:after="283"/>
              <w:rPr>
                <w:rFonts w:ascii="Times New Roman" w:hAnsi="Times New Roman"/>
                <w:sz w:val="20"/>
              </w:rPr>
            </w:pPr>
            <w:r>
              <w:rPr>
                <w:rFonts w:ascii="Times New Roman" w:hAnsi="Times New Roman"/>
                <w:sz w:val="20"/>
              </w:rPr>
              <w:t>Transportation segment profit</w:t>
            </w:r>
          </w:p>
        </w:tc>
        <w:tc>
          <w:tcPr>
            <w:tcW w:w="1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pPr>
            <w:r>
              <w:rPr/>
              <w:t>      </w:t>
            </w:r>
            <w:r>
              <w:rPr>
                <w:rFonts w:ascii="Times New Roman" w:hAnsi="Times New Roman"/>
                <w:sz w:val="20"/>
              </w:rPr>
              <w:t>130</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pPr>
            <w:r>
              <w:rPr/>
              <w:t>      </w:t>
            </w:r>
            <w:r>
              <w:rPr>
                <w:rFonts w:ascii="Times New Roman" w:hAnsi="Times New Roman"/>
                <w:sz w:val="20"/>
              </w:rPr>
              <w:t>114</w:t>
            </w:r>
          </w:p>
        </w:tc>
        <w:tc>
          <w:tcPr>
            <w:tcW w:w="125"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pPr>
            <w:r>
              <w:rPr/>
              <w:t>      </w:t>
            </w:r>
            <w:r>
              <w:rPr>
                <w:rFonts w:ascii="Times New Roman" w:hAnsi="Times New Roman"/>
                <w:sz w:val="20"/>
              </w:rPr>
              <w:t>16</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pPr>
            <w:r>
              <w:rPr/>
              <w:t>      </w:t>
            </w:r>
            <w:r>
              <w:rPr>
                <w:rFonts w:ascii="Times New Roman" w:hAnsi="Times New Roman"/>
                <w:sz w:val="20"/>
              </w:rPr>
              <w:t>14</w:t>
            </w:r>
          </w:p>
        </w:tc>
        <w:tc>
          <w:tcPr>
            <w:tcW w:w="29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pPr>
            <w:r>
              <w:rPr/>
              <w:t>      </w:t>
            </w:r>
            <w:r>
              <w:rPr>
                <w:rFonts w:ascii="Times New Roman" w:hAnsi="Times New Roman"/>
                <w:sz w:val="20"/>
              </w:rPr>
              <w:t>257</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pPr>
            <w:r>
              <w:rPr/>
              <w:t>      </w:t>
            </w:r>
            <w:r>
              <w:rPr>
                <w:rFonts w:ascii="Times New Roman" w:hAnsi="Times New Roman"/>
                <w:sz w:val="20"/>
              </w:rPr>
              <w:t>226</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pPr>
            <w:r>
              <w:rPr/>
              <w:t>      </w:t>
            </w:r>
            <w:r>
              <w:rPr>
                <w:rFonts w:ascii="Times New Roman" w:hAnsi="Times New Roman"/>
                <w:sz w:val="20"/>
              </w:rPr>
              <w:t>31</w:t>
            </w:r>
          </w:p>
        </w:tc>
        <w:tc>
          <w:tcPr>
            <w:tcW w:w="124"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pPr>
            <w:r>
              <w:rPr/>
              <w:t>      </w:t>
            </w:r>
            <w:r>
              <w:rPr>
                <w:rFonts w:ascii="Times New Roman" w:hAnsi="Times New Roman"/>
                <w:sz w:val="20"/>
              </w:rPr>
              <w:t>14</w:t>
            </w:r>
          </w:p>
        </w:tc>
        <w:tc>
          <w:tcPr>
            <w:tcW w:w="3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207" w:type="dxa"/>
            <w:tcBorders/>
            <w:shd w:fill="auto" w:val="clear"/>
          </w:tcPr>
          <w:p>
            <w:pPr>
              <w:pStyle w:val="TableContents"/>
              <w:spacing w:before="0" w:after="283"/>
              <w:rPr>
                <w:rFonts w:ascii="Times New Roman" w:hAnsi="Times New Roman"/>
                <w:sz w:val="20"/>
              </w:rPr>
            </w:pPr>
            <w:r>
              <w:rPr>
                <w:rFonts w:ascii="Times New Roman" w:hAnsi="Times New Roman"/>
                <w:sz w:val="20"/>
              </w:rPr>
              <w:t>Facilities segment profit</w:t>
            </w:r>
          </w:p>
        </w:tc>
        <w:tc>
          <w:tcPr>
            <w:tcW w:w="1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25"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2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2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3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207" w:type="dxa"/>
            <w:tcBorders/>
            <w:shd w:fill="CCEEFF" w:val="clear"/>
          </w:tcPr>
          <w:p>
            <w:pPr>
              <w:pStyle w:val="TableContents"/>
              <w:spacing w:before="0" w:after="283"/>
              <w:rPr>
                <w:rFonts w:ascii="Times New Roman" w:hAnsi="Times New Roman"/>
                <w:sz w:val="20"/>
              </w:rPr>
            </w:pPr>
            <w:r>
              <w:rPr>
                <w:rFonts w:ascii="Times New Roman" w:hAnsi="Times New Roman"/>
                <w:sz w:val="20"/>
              </w:rPr>
              <w:t>Supply &amp; Logistics segment profit</w:t>
            </w:r>
          </w:p>
        </w:tc>
        <w:tc>
          <w:tcPr>
            <w:tcW w:w="1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25"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29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3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207"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306" w:type="dxa"/>
            <w:tcBorders/>
            <w:shd w:fill="auto" w:val="clear"/>
            <w:vAlign w:val="center"/>
          </w:tcPr>
          <w:p>
            <w:pPr>
              <w:pStyle w:val="TableContents"/>
              <w:spacing w:before="0" w:after="283"/>
              <w:rPr/>
            </w:pPr>
            <w:r>
              <w:rPr/>
              <w:t> </w:t>
            </w:r>
          </w:p>
        </w:tc>
      </w:tr>
      <w:tr>
        <w:trPr/>
        <w:tc>
          <w:tcPr>
            <w:tcW w:w="2207" w:type="dxa"/>
            <w:tcBorders/>
            <w:shd w:fill="auto" w:val="clear"/>
          </w:tcPr>
          <w:p>
            <w:pPr>
              <w:pStyle w:val="TableContents"/>
              <w:spacing w:before="0" w:after="283"/>
              <w:rPr>
                <w:rFonts w:ascii="Times New Roman" w:hAnsi="Times New Roman"/>
                <w:sz w:val="20"/>
              </w:rPr>
            </w:pPr>
            <w:r>
              <w:rPr>
                <w:rFonts w:ascii="Times New Roman" w:hAnsi="Times New Roman"/>
                <w:sz w:val="20"/>
              </w:rPr>
              <w:t>Total segment profit</w:t>
            </w:r>
          </w:p>
        </w:tc>
        <w:tc>
          <w:tcPr>
            <w:tcW w:w="1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257</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244</w:t>
            </w:r>
          </w:p>
        </w:tc>
        <w:tc>
          <w:tcPr>
            <w:tcW w:w="125"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2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536</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562</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3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207"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1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29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3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207"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1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2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3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207" w:type="dxa"/>
            <w:tcBorders/>
            <w:shd w:fill="CCEEFF" w:val="clear"/>
          </w:tcPr>
          <w:p>
            <w:pPr>
              <w:pStyle w:val="TableContents"/>
              <w:spacing w:before="0" w:after="283"/>
              <w:rPr>
                <w:rFonts w:ascii="Times New Roman" w:hAnsi="Times New Roman"/>
                <w:sz w:val="20"/>
              </w:rPr>
            </w:pPr>
            <w:r>
              <w:rPr>
                <w:rFonts w:ascii="Times New Roman" w:hAnsi="Times New Roman"/>
                <w:sz w:val="20"/>
              </w:rPr>
              <w:t>Other income, net</w:t>
            </w:r>
          </w:p>
        </w:tc>
        <w:tc>
          <w:tcPr>
            <w:tcW w:w="1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9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3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207"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1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2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3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207"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306" w:type="dxa"/>
            <w:tcBorders/>
            <w:shd w:fill="auto" w:val="clear"/>
            <w:vAlign w:val="center"/>
          </w:tcPr>
          <w:p>
            <w:pPr>
              <w:pStyle w:val="TableContents"/>
              <w:spacing w:before="0" w:after="283"/>
              <w:rPr/>
            </w:pPr>
            <w:r>
              <w:rPr/>
              <w:t> </w:t>
            </w:r>
          </w:p>
        </w:tc>
      </w:tr>
      <w:tr>
        <w:trPr/>
        <w:tc>
          <w:tcPr>
            <w:tcW w:w="2207"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1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25"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29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284</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347</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3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207" w:type="dxa"/>
            <w:tcBorders/>
            <w:shd w:fill="auto" w:val="clear"/>
          </w:tcPr>
          <w:p>
            <w:pPr>
              <w:pStyle w:val="TableContents"/>
              <w:spacing w:before="0" w:after="283"/>
              <w:rPr>
                <w:rFonts w:ascii="Times New Roman" w:hAnsi="Times New Roman"/>
                <w:sz w:val="20"/>
              </w:rPr>
            </w:pPr>
            <w:r>
              <w:rPr>
                <w:rFonts w:ascii="Times New Roman" w:hAnsi="Times New Roman"/>
                <w:sz w:val="20"/>
              </w:rPr>
              <w:t>Less: Net income attributable to noncontrolling interests</w:t>
            </w:r>
          </w:p>
        </w:tc>
        <w:tc>
          <w:tcPr>
            <w:tcW w:w="1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9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306" w:type="dxa"/>
            <w:tcBorders/>
            <w:shd w:fill="auto" w:val="clear"/>
            <w:vAlign w:val="bottom"/>
          </w:tcPr>
          <w:p>
            <w:pPr>
              <w:pStyle w:val="TableContents"/>
              <w:spacing w:before="0" w:after="283"/>
              <w:rPr/>
            </w:pPr>
            <w:r>
              <w:rPr/>
              <w:t>  </w:t>
            </w:r>
          </w:p>
        </w:tc>
      </w:tr>
      <w:tr>
        <w:trPr/>
        <w:tc>
          <w:tcPr>
            <w:tcW w:w="2207"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306" w:type="dxa"/>
            <w:tcBorders/>
            <w:shd w:fill="auto" w:val="clear"/>
            <w:vAlign w:val="center"/>
          </w:tcPr>
          <w:p>
            <w:pPr>
              <w:pStyle w:val="TableContents"/>
              <w:spacing w:before="0" w:after="283"/>
              <w:rPr/>
            </w:pPr>
            <w:r>
              <w:rPr/>
              <w:t> </w:t>
            </w:r>
          </w:p>
        </w:tc>
      </w:tr>
      <w:tr>
        <w:trPr/>
        <w:tc>
          <w:tcPr>
            <w:tcW w:w="2207"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Plains</w:t>
            </w:r>
          </w:p>
        </w:tc>
        <w:tc>
          <w:tcPr>
            <w:tcW w:w="1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25"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29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282</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347</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3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207"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04"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04"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90" w:type="dxa"/>
            <w:tcBorders>
              <w:top w:val="double" w:sz="6" w:space="0" w:color="000000"/>
            </w:tcBorders>
            <w:shd w:fill="auto" w:val="clear"/>
            <w:tcMar>
              <w:top w:w="28" w:type="dxa"/>
            </w:tcMar>
            <w:vAlign w:val="bottom"/>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0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04"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0" w:type="dxa"/>
            <w:tcBorders>
              <w:top w:val="double" w:sz="6"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90" w:type="dxa"/>
            <w:tcBorders>
              <w:top w:val="double" w:sz="6" w:space="0" w:color="000000"/>
            </w:tcBorders>
            <w:shd w:fill="auto" w:val="clear"/>
            <w:tcMar>
              <w:top w:w="28" w:type="dxa"/>
            </w:tcMar>
            <w:vAlign w:val="bottom"/>
          </w:tcPr>
          <w:p>
            <w:pPr>
              <w:pStyle w:val="TableContents"/>
              <w:spacing w:before="0" w:after="283"/>
              <w:rPr/>
            </w:pPr>
            <w:r>
              <w:rPr/>
              <w:t> </w:t>
            </w:r>
          </w:p>
        </w:tc>
        <w:tc>
          <w:tcPr>
            <w:tcW w:w="306" w:type="dxa"/>
            <w:tcBorders/>
            <w:shd w:fill="auto" w:val="clear"/>
            <w:vAlign w:val="center"/>
          </w:tcPr>
          <w:p>
            <w:pPr>
              <w:pStyle w:val="TableContents"/>
              <w:spacing w:before="0" w:after="283"/>
              <w:rPr/>
            </w:pPr>
            <w:r>
              <w:rPr/>
              <w:t> </w:t>
            </w:r>
          </w:p>
        </w:tc>
      </w:tr>
      <w:tr>
        <w:trPr/>
        <w:tc>
          <w:tcPr>
            <w:tcW w:w="2207" w:type="dxa"/>
            <w:tcBorders/>
            <w:shd w:fill="auto" w:val="clea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r>
      <w:tr>
        <w:trPr/>
        <w:tc>
          <w:tcPr>
            <w:tcW w:w="2207" w:type="dxa"/>
            <w:tcBorders/>
            <w:shd w:fill="CCEEFF" w:val="clear"/>
          </w:tcPr>
          <w:p>
            <w:pPr>
              <w:pStyle w:val="TableContents"/>
              <w:spacing w:before="0" w:after="283"/>
              <w:rPr>
                <w:rFonts w:ascii="Times New Roman" w:hAnsi="Times New Roman"/>
                <w:sz w:val="20"/>
              </w:rPr>
            </w:pPr>
            <w:r>
              <w:rPr>
                <w:rFonts w:ascii="Times New Roman" w:hAnsi="Times New Roman"/>
                <w:sz w:val="20"/>
              </w:rPr>
              <w:t>Earnings per basic limited partner unit</w:t>
            </w:r>
          </w:p>
        </w:tc>
        <w:tc>
          <w:tcPr>
            <w:tcW w:w="1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0.65</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0.79</w:t>
            </w:r>
          </w:p>
        </w:tc>
        <w:tc>
          <w:tcPr>
            <w:tcW w:w="125"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29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(0.75</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3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207" w:type="dxa"/>
            <w:tcBorders/>
            <w:shd w:fill="auto" w:val="clear"/>
          </w:tcPr>
          <w:p>
            <w:pPr>
              <w:pStyle w:val="TableContents"/>
              <w:spacing w:before="0" w:after="283"/>
              <w:rPr>
                <w:rFonts w:ascii="Times New Roman" w:hAnsi="Times New Roman"/>
                <w:sz w:val="20"/>
              </w:rPr>
            </w:pPr>
            <w:r>
              <w:rPr>
                <w:rFonts w:ascii="Times New Roman" w:hAnsi="Times New Roman"/>
                <w:sz w:val="20"/>
              </w:rPr>
              <w:t>Earnings per diluted limited partner unit</w:t>
            </w:r>
          </w:p>
        </w:tc>
        <w:tc>
          <w:tcPr>
            <w:tcW w:w="1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0.65</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0.78</w:t>
            </w:r>
          </w:p>
        </w:tc>
        <w:tc>
          <w:tcPr>
            <w:tcW w:w="125"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2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2.18</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(0.73</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3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207" w:type="dxa"/>
            <w:tcBorders/>
            <w:shd w:fill="CCEEFF" w:val="clear"/>
          </w:tcPr>
          <w:p>
            <w:pPr>
              <w:pStyle w:val="TableContents"/>
              <w:spacing w:before="0" w:after="283"/>
              <w:rPr>
                <w:rFonts w:ascii="Times New Roman" w:hAnsi="Times New Roman"/>
                <w:sz w:val="20"/>
              </w:rPr>
            </w:pPr>
            <w:r>
              <w:rPr>
                <w:rFonts w:ascii="Times New Roman" w:hAnsi="Times New Roman"/>
                <w:sz w:val="20"/>
              </w:rPr>
              <w:t>Basic weighted average units outstanding</w:t>
            </w:r>
          </w:p>
        </w:tc>
        <w:tc>
          <w:tcPr>
            <w:tcW w:w="14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w:t>
            </w:r>
          </w:p>
        </w:tc>
        <w:tc>
          <w:tcPr>
            <w:tcW w:w="125"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29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w:t>
            </w:r>
          </w:p>
        </w:tc>
        <w:tc>
          <w:tcPr>
            <w:tcW w:w="125"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4"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3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207" w:type="dxa"/>
            <w:tcBorders/>
            <w:shd w:fill="auto" w:val="clear"/>
          </w:tcPr>
          <w:p>
            <w:pPr>
              <w:pStyle w:val="TableContents"/>
              <w:spacing w:before="0" w:after="283"/>
              <w:rPr>
                <w:rFonts w:ascii="Times New Roman" w:hAnsi="Times New Roman"/>
                <w:sz w:val="20"/>
              </w:rPr>
            </w:pPr>
            <w:r>
              <w:rPr>
                <w:rFonts w:ascii="Times New Roman" w:hAnsi="Times New Roman"/>
                <w:sz w:val="20"/>
              </w:rPr>
              <w:t>Diluted weighted average units outstanding</w:t>
            </w:r>
          </w:p>
        </w:tc>
        <w:tc>
          <w:tcPr>
            <w:tcW w:w="1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25"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2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127</w:t>
            </w:r>
          </w:p>
        </w:tc>
        <w:tc>
          <w:tcPr>
            <w:tcW w:w="125"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3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Analysis of Operating Segments </w:t>
      </w:r>
    </w:p>
    <w:p>
      <w:pPr>
        <w:pStyle w:val="TextBody"/>
        <w:spacing w:before="90" w:after="0"/>
        <w:rPr>
          <w:rFonts w:ascii="Times New Roman" w:hAnsi="Times New Roman"/>
          <w:b/>
          <w:sz w:val="20"/>
        </w:rPr>
      </w:pPr>
      <w:r>
        <w:rPr>
          <w:rFonts w:ascii="Times New Roman" w:hAnsi="Times New Roman"/>
          <w:b/>
          <w:sz w:val="20"/>
        </w:rPr>
        <w:t xml:space="preserve">Transportation Segment </w:t>
      </w:r>
    </w:p>
    <w:p>
      <w:pPr>
        <w:pStyle w:val="TextBody"/>
        <w:spacing w:before="90" w:after="0"/>
        <w:rPr>
          <w:rFonts w:ascii="Times New Roman" w:hAnsi="Times New Roman"/>
          <w:sz w:val="20"/>
        </w:rPr>
      </w:pPr>
      <w:r>
        <w:rPr>
          <w:rFonts w:ascii="Times New Roman" w:hAnsi="Times New Roman"/>
          <w:sz w:val="20"/>
        </w:rPr>
        <w:t xml:space="preserve">The following table sets forth the operating results from our transportation segment for the periods indicated: </w:t>
      </w:r>
    </w:p>
    <w:p>
      <w:pPr>
        <w:pStyle w:val="TextBody"/>
        <w:spacing w:before="0" w:after="0"/>
        <w:rPr/>
      </w:pPr>
      <w:r>
        <w:rPr/>
        <w:t> </w:t>
      </w:r>
    </w:p>
    <w:tbl>
      <w:tblPr>
        <w:tblW w:w="11095" w:type="dxa"/>
        <w:jc w:val="center"/>
        <w:tblInd w:w="0" w:type="dxa"/>
        <w:tblCellMar>
          <w:top w:w="0" w:type="dxa"/>
          <w:left w:w="0" w:type="dxa"/>
          <w:bottom w:w="0" w:type="dxa"/>
          <w:right w:w="0" w:type="dxa"/>
        </w:tblCellMar>
      </w:tblPr>
      <w:tblGrid>
        <w:gridCol w:w="2360"/>
        <w:gridCol w:w="120"/>
        <w:gridCol w:w="125"/>
        <w:gridCol w:w="725"/>
        <w:gridCol w:w="125"/>
        <w:gridCol w:w="60"/>
        <w:gridCol w:w="125"/>
        <w:gridCol w:w="725"/>
        <w:gridCol w:w="125"/>
        <w:gridCol w:w="60"/>
        <w:gridCol w:w="125"/>
        <w:gridCol w:w="785"/>
        <w:gridCol w:w="125"/>
        <w:gridCol w:w="60"/>
        <w:gridCol w:w="830"/>
        <w:gridCol w:w="290"/>
        <w:gridCol w:w="60"/>
        <w:gridCol w:w="125"/>
        <w:gridCol w:w="725"/>
        <w:gridCol w:w="125"/>
        <w:gridCol w:w="60"/>
        <w:gridCol w:w="125"/>
        <w:gridCol w:w="725"/>
        <w:gridCol w:w="125"/>
        <w:gridCol w:w="60"/>
        <w:gridCol w:w="125"/>
        <w:gridCol w:w="785"/>
        <w:gridCol w:w="125"/>
        <w:gridCol w:w="60"/>
        <w:gridCol w:w="785"/>
        <w:gridCol w:w="320"/>
      </w:tblGrid>
      <w:tr>
        <w:trPr/>
        <w:tc>
          <w:tcPr>
            <w:tcW w:w="23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2360"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xml:space="preserve">Operating Results (1) </w:t>
            </w:r>
          </w:p>
        </w:tc>
        <w:tc>
          <w:tcPr>
            <w:tcW w:w="120" w:type="dxa"/>
            <w:tcBorders/>
            <w:shd w:fill="auto" w:val="clear"/>
            <w:vAlign w:val="bottom"/>
          </w:tcPr>
          <w:p>
            <w:pPr>
              <w:pStyle w:val="TableContents"/>
              <w:spacing w:before="0" w:after="283"/>
              <w:rPr/>
            </w:pPr>
            <w:r>
              <w:rPr/>
              <w:t>  </w:t>
            </w:r>
          </w:p>
        </w:tc>
        <w:tc>
          <w:tcPr>
            <w:tcW w:w="1885"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Three Months</w:t>
            </w:r>
            <w:r>
              <w:rPr/>
              <w:br/>
            </w:r>
            <w:r>
              <w:rPr>
                <w:rFonts w:ascii="Times New Roman" w:hAnsi="Times New Roman"/>
                <w:b/>
                <w:sz w:val="14"/>
              </w:rPr>
              <w:t>Ended June 30,</w:t>
            </w:r>
            <w:r>
              <w:rPr>
                <w:rFonts w:ascii="Times New Roman" w:hAnsi="Times New Roman"/>
                <w:sz w:val="14"/>
              </w:rPr>
              <w:t xml:space="preserve">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25" w:type="dxa"/>
            <w:gridSpan w:val="5"/>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Three  Months</w:t>
              <w:br/>
              <w:t>Favorable/</w:t>
              <w:br/>
              <w:t>(Unfavorable)</w:t>
            </w:r>
            <w:r>
              <w:rPr/>
              <w:br/>
            </w:r>
            <w:r>
              <w:rPr>
                <w:rFonts w:ascii="Times New Roman" w:hAnsi="Times New Roman"/>
                <w:b/>
                <w:sz w:val="14"/>
              </w:rPr>
              <w:t>Variance</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85"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w:t>
              <w:br/>
              <w:t>Ended June 30,</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80" w:type="dxa"/>
            <w:gridSpan w:val="5"/>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Six  Months</w:t>
            </w:r>
            <w:r>
              <w:rPr/>
              <w:br/>
            </w:r>
            <w:r>
              <w:rPr>
                <w:rFonts w:ascii="Times New Roman" w:hAnsi="Times New Roman"/>
                <w:b/>
                <w:sz w:val="14"/>
              </w:rPr>
              <w:t>Favorable/</w:t>
              <w:br/>
              <w:t>(Unfavorable)</w:t>
            </w:r>
            <w:r>
              <w:rPr/>
              <w:br/>
            </w:r>
            <w:r>
              <w:rPr>
                <w:rFonts w:ascii="Times New Roman" w:hAnsi="Times New Roman"/>
                <w:b/>
                <w:sz w:val="14"/>
              </w:rPr>
              <w:t>Variance</w:t>
            </w:r>
          </w:p>
        </w:tc>
        <w:tc>
          <w:tcPr>
            <w:tcW w:w="320" w:type="dxa"/>
            <w:tcBorders/>
            <w:shd w:fill="auto" w:val="clear"/>
            <w:vAlign w:val="bottom"/>
          </w:tcPr>
          <w:p>
            <w:pPr>
              <w:pStyle w:val="TableContents"/>
              <w:spacing w:before="0" w:after="283"/>
              <w:rPr/>
            </w:pPr>
            <w:r>
              <w:rPr/>
              <w:t> </w:t>
            </w:r>
          </w:p>
        </w:tc>
      </w:tr>
      <w:tr>
        <w:trPr/>
        <w:tc>
          <w:tcPr>
            <w:tcW w:w="236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(in millions, except per barrel amounts)</w:t>
            </w:r>
          </w:p>
        </w:tc>
        <w:tc>
          <w:tcPr>
            <w:tcW w:w="120" w:type="dxa"/>
            <w:tcBorders/>
            <w:shd w:fill="auto" w:val="clear"/>
            <w:vAlign w:val="bottom"/>
          </w:tcPr>
          <w:p>
            <w:pPr>
              <w:pStyle w:val="TableContents"/>
              <w:spacing w:before="0" w:after="283"/>
              <w:rPr/>
            </w:pPr>
            <w:r>
              <w:rPr/>
              <w:t>  </w:t>
            </w:r>
          </w:p>
        </w:tc>
        <w:tc>
          <w:tcPr>
            <w:tcW w:w="8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20" w:type="dxa"/>
            <w:tcBorders/>
            <w:shd w:fill="auto" w:val="clear"/>
            <w:vAlign w:val="bottom"/>
          </w:tcPr>
          <w:p>
            <w:pPr>
              <w:pStyle w:val="TableContents"/>
              <w:spacing w:before="0" w:after="283"/>
              <w:rPr/>
            </w:pPr>
            <w:r>
              <w:rPr/>
              <w:t> </w:t>
            </w:r>
          </w:p>
        </w:tc>
      </w:tr>
      <w:tr>
        <w:trPr/>
        <w:tc>
          <w:tcPr>
            <w:tcW w:w="2360" w:type="dxa"/>
            <w:tcBorders/>
            <w:shd w:fill="CCEEFF" w:val="clear"/>
          </w:tcPr>
          <w:p>
            <w:pPr>
              <w:pStyle w:val="TableContents"/>
              <w:spacing w:before="0" w:after="283"/>
              <w:rPr/>
            </w:pPr>
            <w:r>
              <w:rPr>
                <w:rFonts w:ascii="Times New Roman" w:hAnsi="Times New Roman"/>
                <w:sz w:val="20"/>
              </w:rPr>
              <w:t xml:space="preserve">Revenues </w:t>
            </w:r>
            <w:r>
              <w:rPr>
                <w:rFonts w:ascii="Times New Roman" w:hAnsi="Times New Roman"/>
                <w:sz w:val="14"/>
              </w:rPr>
              <w:t>(1)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8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rPr>
                <w:sz w:val="4"/>
                <w:szCs w:val="4"/>
              </w:rPr>
            </w:pPr>
            <w:r>
              <w:rPr>
                <w:sz w:val="4"/>
                <w:szCs w:val="4"/>
              </w:rPr>
            </w:r>
          </w:p>
        </w:tc>
        <w:tc>
          <w:tcPr>
            <w:tcW w:w="290" w:type="dxa"/>
            <w:tcBorders>
              <w:right w:val="single" w:sz="2" w:space="0" w:color="000000"/>
            </w:tcBorders>
            <w:shd w:fill="CCEEFF" w:val="clear"/>
            <w:tcMar>
              <w:righ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8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rPr>
                <w:sz w:val="4"/>
                <w:szCs w:val="4"/>
              </w:rPr>
            </w:pPr>
            <w:r>
              <w:rPr>
                <w:sz w:val="4"/>
                <w:szCs w:val="4"/>
              </w:rPr>
            </w:r>
          </w:p>
        </w:tc>
        <w:tc>
          <w:tcPr>
            <w:tcW w:w="320" w:type="dxa"/>
            <w:tcBorders/>
            <w:shd w:fill="CCEEFF" w:val="clear"/>
            <w:vAlign w:val="bottom"/>
          </w:tcPr>
          <w:p>
            <w:pPr>
              <w:pStyle w:val="TableContents"/>
              <w:spacing w:before="0" w:after="283"/>
              <w:rPr>
                <w:sz w:val="4"/>
                <w:szCs w:val="4"/>
              </w:rPr>
            </w:pPr>
            <w:r>
              <w:rPr>
                <w:sz w:val="4"/>
                <w:szCs w:val="4"/>
              </w:rPr>
            </w:r>
          </w:p>
        </w:tc>
      </w:tr>
      <w:tr>
        <w:trPr/>
        <w:tc>
          <w:tcPr>
            <w:tcW w:w="2360" w:type="dxa"/>
            <w:tcBorders/>
            <w:shd w:fill="auto" w:val="clear"/>
          </w:tcPr>
          <w:p>
            <w:pPr>
              <w:pStyle w:val="TableContents"/>
              <w:spacing w:before="0" w:after="283"/>
              <w:rPr>
                <w:rFonts w:ascii="Times New Roman" w:hAnsi="Times New Roman"/>
                <w:sz w:val="20"/>
              </w:rPr>
            </w:pPr>
            <w:r>
              <w:rPr>
                <w:rFonts w:ascii="Times New Roman" w:hAnsi="Times New Roman"/>
                <w:sz w:val="20"/>
              </w:rPr>
              <w:t>Tariff activities</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auto" w:val="clear"/>
            <w:vAlign w:val="bottom"/>
          </w:tcPr>
          <w:p>
            <w:pPr>
              <w:pStyle w:val="TableContents"/>
              <w:spacing w:before="0" w:after="283"/>
              <w:jc w:val="right"/>
              <w:rPr/>
            </w:pPr>
            <w:r>
              <w:rPr/>
              <w:t>    </w:t>
            </w:r>
            <w:r>
              <w:rPr>
                <w:rFonts w:ascii="Times New Roman" w:hAnsi="Times New Roman"/>
                <w:sz w:val="20"/>
              </w:rPr>
              <w:t>232</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auto" w:val="clear"/>
            <w:vAlign w:val="bottom"/>
          </w:tcPr>
          <w:p>
            <w:pPr>
              <w:pStyle w:val="TableContents"/>
              <w:spacing w:before="0" w:after="283"/>
              <w:jc w:val="right"/>
              <w:rPr/>
            </w:pPr>
            <w:r>
              <w:rPr/>
              <w:t>    </w:t>
            </w:r>
            <w:r>
              <w:rPr>
                <w:rFonts w:ascii="Times New Roman" w:hAnsi="Times New Roman"/>
                <w:sz w:val="20"/>
              </w:rPr>
              <w:t>214</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auto" w:val="clear"/>
            <w:vAlign w:val="bottom"/>
          </w:tcPr>
          <w:p>
            <w:pPr>
              <w:pStyle w:val="TableContents"/>
              <w:spacing w:before="0" w:after="283"/>
              <w:jc w:val="right"/>
              <w:rPr/>
            </w:pPr>
            <w:r>
              <w:rPr/>
              <w:t>      </w:t>
            </w:r>
            <w:r>
              <w:rPr>
                <w:rFonts w:ascii="Times New Roman" w:hAnsi="Times New Roman"/>
                <w:sz w:val="20"/>
              </w:rPr>
              <w:t>18</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pPr>
            <w:r>
              <w:rPr/>
              <w:t>        </w:t>
            </w:r>
            <w:r>
              <w:rPr>
                <w:rFonts w:ascii="Times New Roman" w:hAnsi="Times New Roman"/>
                <w:sz w:val="20"/>
              </w:rPr>
              <w:t>8</w:t>
            </w:r>
          </w:p>
        </w:tc>
        <w:tc>
          <w:tcPr>
            <w:tcW w:w="290" w:type="dxa"/>
            <w:tcBorders>
              <w:right w:val="single" w:sz="2" w:space="0" w:color="000000"/>
            </w:tcBorders>
            <w:shd w:fill="auto"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auto" w:val="clear"/>
            <w:vAlign w:val="bottom"/>
          </w:tcPr>
          <w:p>
            <w:pPr>
              <w:pStyle w:val="TableContents"/>
              <w:spacing w:before="0" w:after="283"/>
              <w:jc w:val="right"/>
              <w:rPr/>
            </w:pPr>
            <w:r>
              <w:rPr/>
              <w:t>    </w:t>
            </w:r>
            <w:r>
              <w:rPr>
                <w:rFonts w:ascii="Times New Roman" w:hAnsi="Times New Roman"/>
                <w:sz w:val="20"/>
              </w:rPr>
              <w:t>456</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auto" w:val="clear"/>
            <w:vAlign w:val="bottom"/>
          </w:tcPr>
          <w:p>
            <w:pPr>
              <w:pStyle w:val="TableContents"/>
              <w:spacing w:before="0" w:after="283"/>
              <w:jc w:val="right"/>
              <w:rPr/>
            </w:pPr>
            <w:r>
              <w:rPr/>
              <w:t>    </w:t>
            </w:r>
            <w:r>
              <w:rPr>
                <w:rFonts w:ascii="Times New Roman" w:hAnsi="Times New Roman"/>
                <w:sz w:val="20"/>
              </w:rPr>
              <w:t>416</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auto" w:val="clear"/>
            <w:vAlign w:val="bottom"/>
          </w:tcPr>
          <w:p>
            <w:pPr>
              <w:pStyle w:val="TableContents"/>
              <w:spacing w:before="0" w:after="283"/>
              <w:jc w:val="right"/>
              <w:rPr/>
            </w:pPr>
            <w:r>
              <w:rPr/>
              <w:t>      </w:t>
            </w:r>
            <w:r>
              <w:rPr>
                <w:rFonts w:ascii="Times New Roman" w:hAnsi="Times New Roman"/>
                <w:sz w:val="20"/>
              </w:rPr>
              <w:t>40</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pPr>
            <w:r>
              <w:rPr/>
              <w:t>      </w:t>
            </w:r>
            <w:r>
              <w:rPr>
                <w:rFonts w:ascii="Times New Roman" w:hAnsi="Times New Roman"/>
                <w:sz w:val="20"/>
              </w:rPr>
              <w:t>10</w:t>
            </w:r>
          </w:p>
        </w:tc>
        <w:tc>
          <w:tcPr>
            <w:tcW w:w="3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CCEEFF" w:val="clear"/>
          </w:tcPr>
          <w:p>
            <w:pPr>
              <w:pStyle w:val="TableContents"/>
              <w:spacing w:before="0" w:after="283"/>
              <w:rPr>
                <w:rFonts w:ascii="Times New Roman" w:hAnsi="Times New Roman"/>
                <w:sz w:val="20"/>
              </w:rPr>
            </w:pPr>
            <w:r>
              <w:rPr>
                <w:rFonts w:ascii="Times New Roman" w:hAnsi="Times New Roman"/>
                <w:sz w:val="20"/>
              </w:rPr>
              <w:t>Trucking</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29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3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8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top w:val="single" w:sz="2" w:space="0" w:color="000000"/>
            </w:tcBorders>
            <w:shd w:fill="auto" w:val="clear"/>
            <w:tcMar>
              <w:top w:w="28" w:type="dxa"/>
            </w:tcMar>
            <w:vAlign w:val="bottom"/>
          </w:tcPr>
          <w:p>
            <w:pPr>
              <w:pStyle w:val="TableContents"/>
              <w:spacing w:before="0" w:after="283"/>
              <w:rPr/>
            </w:pPr>
            <w:r>
              <w:rPr/>
              <w:t> </w:t>
            </w:r>
          </w:p>
        </w:tc>
        <w:tc>
          <w:tcPr>
            <w:tcW w:w="290"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8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tcBorders>
              <w:top w:val="single" w:sz="2" w:space="0" w:color="000000"/>
            </w:tcBorders>
            <w:shd w:fill="auto" w:val="clear"/>
            <w:tcMar>
              <w:top w:w="28" w:type="dxa"/>
            </w:tcMar>
            <w:vAlign w:val="bottom"/>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r>
      <w:tr>
        <w:trPr/>
        <w:tc>
          <w:tcPr>
            <w:tcW w:w="2360" w:type="dxa"/>
            <w:tcBorders/>
            <w:shd w:fill="auto" w:val="clear"/>
          </w:tcPr>
          <w:p>
            <w:pPr>
              <w:pStyle w:val="TableContents"/>
              <w:spacing w:before="0" w:after="283"/>
              <w:rPr>
                <w:rFonts w:ascii="Times New Roman" w:hAnsi="Times New Roman"/>
                <w:sz w:val="20"/>
              </w:rPr>
            </w:pPr>
            <w:r>
              <w:rPr>
                <w:rFonts w:ascii="Times New Roman" w:hAnsi="Times New Roman"/>
                <w:sz w:val="20"/>
              </w:rPr>
              <w:t>Total transportation revenues</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259</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238</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290" w:type="dxa"/>
            <w:tcBorders>
              <w:right w:val="single" w:sz="2" w:space="0" w:color="000000"/>
            </w:tcBorders>
            <w:shd w:fill="auto"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509</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464</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3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CCEEFF" w:val="clear"/>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8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rPr>
                <w:sz w:val="4"/>
                <w:szCs w:val="4"/>
              </w:rPr>
            </w:pPr>
            <w:r>
              <w:rPr>
                <w:sz w:val="4"/>
                <w:szCs w:val="4"/>
              </w:rPr>
            </w:r>
          </w:p>
        </w:tc>
        <w:tc>
          <w:tcPr>
            <w:tcW w:w="29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8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rPr>
                <w:sz w:val="4"/>
                <w:szCs w:val="4"/>
              </w:rPr>
            </w:pPr>
            <w:r>
              <w:rPr>
                <w:sz w:val="4"/>
                <w:szCs w:val="4"/>
              </w:rPr>
            </w:r>
          </w:p>
        </w:tc>
        <w:tc>
          <w:tcPr>
            <w:tcW w:w="320" w:type="dxa"/>
            <w:tcBorders/>
            <w:shd w:fill="CCEEFF" w:val="clear"/>
            <w:vAlign w:val="bottom"/>
          </w:tcPr>
          <w:p>
            <w:pPr>
              <w:pStyle w:val="TableContents"/>
              <w:spacing w:before="0" w:after="283"/>
              <w:rPr>
                <w:sz w:val="4"/>
                <w:szCs w:val="4"/>
              </w:rPr>
            </w:pPr>
            <w:r>
              <w:rPr>
                <w:sz w:val="4"/>
                <w:szCs w:val="4"/>
              </w:rPr>
            </w:r>
          </w:p>
        </w:tc>
      </w:tr>
      <w:tr>
        <w:trPr/>
        <w:tc>
          <w:tcPr>
            <w:tcW w:w="2360" w:type="dxa"/>
            <w:tcBorders/>
            <w:shd w:fill="auto" w:val="clear"/>
          </w:tcPr>
          <w:p>
            <w:pPr>
              <w:pStyle w:val="TableContents"/>
              <w:spacing w:before="0" w:after="283"/>
              <w:rPr/>
            </w:pPr>
            <w:r>
              <w:rPr>
                <w:rFonts w:ascii="Times New Roman" w:hAnsi="Times New Roman"/>
                <w:sz w:val="20"/>
              </w:rPr>
              <w:t xml:space="preserve">Costs and Expenses </w:t>
            </w:r>
            <w:r>
              <w:rPr>
                <w:rFonts w:ascii="Times New Roman" w:hAnsi="Times New Roman"/>
                <w:sz w:val="14"/>
              </w:rPr>
              <w:t>(1)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8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sz w:val="4"/>
                <w:szCs w:val="4"/>
              </w:rPr>
            </w:pPr>
            <w:r>
              <w:rPr>
                <w:sz w:val="4"/>
                <w:szCs w:val="4"/>
              </w:rPr>
            </w:r>
          </w:p>
        </w:tc>
        <w:tc>
          <w:tcPr>
            <w:tcW w:w="290"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8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bottom"/>
          </w:tcPr>
          <w:p>
            <w:pPr>
              <w:pStyle w:val="TableContents"/>
              <w:spacing w:before="0" w:after="283"/>
              <w:rPr>
                <w:sz w:val="4"/>
                <w:szCs w:val="4"/>
              </w:rPr>
            </w:pPr>
            <w:r>
              <w:rPr>
                <w:sz w:val="4"/>
                <w:szCs w:val="4"/>
              </w:rPr>
            </w:r>
          </w:p>
        </w:tc>
      </w:tr>
      <w:tr>
        <w:trPr/>
        <w:tc>
          <w:tcPr>
            <w:tcW w:w="2360" w:type="dxa"/>
            <w:tcBorders/>
            <w:shd w:fill="CCEEFF" w:val="clear"/>
          </w:tcPr>
          <w:p>
            <w:pPr>
              <w:pStyle w:val="TableContents"/>
              <w:spacing w:before="0" w:after="283"/>
              <w:rPr>
                <w:rFonts w:ascii="Times New Roman" w:hAnsi="Times New Roman"/>
                <w:sz w:val="20"/>
              </w:rPr>
            </w:pPr>
            <w:r>
              <w:rPr>
                <w:rFonts w:ascii="Times New Roman" w:hAnsi="Times New Roman"/>
                <w:sz w:val="20"/>
              </w:rPr>
              <w:t>Trucking costs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29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3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auto" w:val="clear"/>
          </w:tcPr>
          <w:p>
            <w:pPr>
              <w:pStyle w:val="TableContents"/>
              <w:spacing w:before="0" w:after="283"/>
              <w:rPr>
                <w:rFonts w:ascii="Times New Roman" w:hAnsi="Times New Roman"/>
                <w:sz w:val="20"/>
              </w:rPr>
            </w:pPr>
            <w:r>
              <w:rPr>
                <w:rFonts w:ascii="Times New Roman" w:hAnsi="Times New Roman"/>
                <w:sz w:val="20"/>
              </w:rPr>
              <w:t>Field operating costs (excluding equity compensation expense)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290" w:type="dxa"/>
            <w:tcBorders>
              <w:right w:val="single" w:sz="2" w:space="0" w:color="000000"/>
            </w:tcBorders>
            <w:shd w:fill="auto"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3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CCEEFF" w:val="clear"/>
          </w:tcPr>
          <w:p>
            <w:pPr>
              <w:pStyle w:val="TableContents"/>
              <w:spacing w:before="0" w:after="283"/>
              <w:rPr/>
            </w:pPr>
            <w:r>
              <w:rPr>
                <w:rFonts w:ascii="Times New Roman" w:hAnsi="Times New Roman"/>
                <w:sz w:val="20"/>
              </w:rPr>
              <w:t xml:space="preserve">Equity compensation expense  operations </w:t>
            </w:r>
            <w:r>
              <w:rPr>
                <w:rFonts w:ascii="Times New Roman" w:hAnsi="Times New Roman"/>
                <w:sz w:val="14"/>
              </w:rPr>
              <w:t>(2)</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9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auto" w:val="clear"/>
          </w:tcPr>
          <w:p>
            <w:pPr>
              <w:pStyle w:val="TableContents"/>
              <w:spacing w:before="0" w:after="283"/>
              <w:rPr>
                <w:rFonts w:ascii="Times New Roman" w:hAnsi="Times New Roman"/>
                <w:sz w:val="20"/>
              </w:rPr>
            </w:pPr>
            <w:r>
              <w:rPr>
                <w:rFonts w:ascii="Times New Roman" w:hAnsi="Times New Roman"/>
                <w:sz w:val="20"/>
              </w:rPr>
              <w:t>Segment G&amp;A expenses (excluding equity compensation expense)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290" w:type="dxa"/>
            <w:tcBorders>
              <w:right w:val="single" w:sz="2" w:space="0" w:color="000000"/>
            </w:tcBorders>
            <w:shd w:fill="auto"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3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CCEEFF" w:val="clear"/>
          </w:tcPr>
          <w:p>
            <w:pPr>
              <w:pStyle w:val="TableContents"/>
              <w:spacing w:before="0" w:after="283"/>
              <w:rPr/>
            </w:pPr>
            <w:r>
              <w:rPr>
                <w:rFonts w:ascii="Times New Roman" w:hAnsi="Times New Roman"/>
                <w:sz w:val="20"/>
              </w:rPr>
              <w:t xml:space="preserve">Equity compensation expensegeneral and administrative </w:t>
            </w:r>
            <w:r>
              <w:rPr>
                <w:rFonts w:ascii="Times New Roman" w:hAnsi="Times New Roman"/>
                <w:sz w:val="14"/>
              </w:rPr>
              <w:t>(2)</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29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auto" w:val="clear"/>
          </w:tcPr>
          <w:p>
            <w:pPr>
              <w:pStyle w:val="TableContents"/>
              <w:spacing w:before="0" w:after="283"/>
              <w:rPr>
                <w:rFonts w:ascii="Times New Roman" w:hAnsi="Times New Roman"/>
                <w:sz w:val="20"/>
              </w:rPr>
            </w:pPr>
            <w:r>
              <w:rPr>
                <w:rFonts w:ascii="Times New Roman" w:hAnsi="Times New Roman"/>
                <w:sz w:val="20"/>
              </w:rPr>
              <w:t>Equity earnings in unconsolidated entities</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290" w:type="dxa"/>
            <w:tcBorders>
              <w:right w:val="single" w:sz="2" w:space="0" w:color="000000"/>
            </w:tcBorders>
            <w:shd w:fill="auto"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3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8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top w:val="single" w:sz="2" w:space="0" w:color="000000"/>
            </w:tcBorders>
            <w:shd w:fill="auto" w:val="clear"/>
            <w:tcMar>
              <w:top w:w="28" w:type="dxa"/>
            </w:tcMar>
            <w:vAlign w:val="bottom"/>
          </w:tcPr>
          <w:p>
            <w:pPr>
              <w:pStyle w:val="TableContents"/>
              <w:spacing w:before="0" w:after="283"/>
              <w:rPr/>
            </w:pPr>
            <w:r>
              <w:rPr/>
              <w:t> </w:t>
            </w:r>
          </w:p>
        </w:tc>
        <w:tc>
          <w:tcPr>
            <w:tcW w:w="290"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8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tcBorders>
              <w:top w:val="single" w:sz="2" w:space="0" w:color="000000"/>
            </w:tcBorders>
            <w:shd w:fill="auto" w:val="clear"/>
            <w:tcMar>
              <w:top w:w="28" w:type="dxa"/>
            </w:tcMar>
            <w:vAlign w:val="bottom"/>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r>
      <w:tr>
        <w:trPr/>
        <w:tc>
          <w:tcPr>
            <w:tcW w:w="2360" w:type="dxa"/>
            <w:tcBorders/>
            <w:shd w:fill="CCEEFF" w:val="clear"/>
          </w:tcPr>
          <w:p>
            <w:pPr>
              <w:pStyle w:val="TableContents"/>
              <w:spacing w:before="0" w:after="283"/>
              <w:rPr>
                <w:rFonts w:ascii="Times New Roman" w:hAnsi="Times New Roman"/>
                <w:sz w:val="20"/>
              </w:rPr>
            </w:pPr>
            <w:r>
              <w:rPr>
                <w:rFonts w:ascii="Times New Roman" w:hAnsi="Times New Roman"/>
                <w:sz w:val="20"/>
              </w:rPr>
              <w:t>Segment profit</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29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3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8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top w:val="double" w:sz="6" w:space="0" w:color="000000"/>
            </w:tcBorders>
            <w:shd w:fill="auto" w:val="clear"/>
            <w:tcMar>
              <w:top w:w="28" w:type="dxa"/>
            </w:tcMar>
            <w:vAlign w:val="bottom"/>
          </w:tcPr>
          <w:p>
            <w:pPr>
              <w:pStyle w:val="TableContents"/>
              <w:spacing w:before="0" w:after="283"/>
              <w:rPr/>
            </w:pPr>
            <w:r>
              <w:rPr/>
              <w:t> </w:t>
            </w:r>
          </w:p>
        </w:tc>
        <w:tc>
          <w:tcPr>
            <w:tcW w:w="290"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8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tcBorders>
              <w:top w:val="double" w:sz="6" w:space="0" w:color="000000"/>
            </w:tcBorders>
            <w:shd w:fill="auto" w:val="clear"/>
            <w:tcMar>
              <w:top w:w="28" w:type="dxa"/>
            </w:tcMar>
            <w:vAlign w:val="bottom"/>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r>
      <w:tr>
        <w:trPr/>
        <w:tc>
          <w:tcPr>
            <w:tcW w:w="2360" w:type="dxa"/>
            <w:tcBorders/>
            <w:shd w:fill="auto" w:val="clear"/>
          </w:tcPr>
          <w:p>
            <w:pPr>
              <w:pStyle w:val="TableContents"/>
              <w:spacing w:before="0" w:after="283"/>
              <w:rPr>
                <w:rFonts w:ascii="Times New Roman" w:hAnsi="Times New Roman"/>
                <w:sz w:val="20"/>
              </w:rPr>
            </w:pPr>
            <w:r>
              <w:rPr>
                <w:rFonts w:ascii="Times New Roman" w:hAnsi="Times New Roman"/>
                <w:sz w:val="20"/>
              </w:rPr>
              <w:t>Maintenance capital</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290" w:type="dxa"/>
            <w:tcBorders>
              <w:right w:val="single" w:sz="2" w:space="0" w:color="000000"/>
            </w:tcBorders>
            <w:shd w:fill="auto"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3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8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top w:val="double" w:sz="6" w:space="0" w:color="000000"/>
            </w:tcBorders>
            <w:shd w:fill="auto" w:val="clear"/>
            <w:tcMar>
              <w:top w:w="28" w:type="dxa"/>
            </w:tcMar>
            <w:vAlign w:val="bottom"/>
          </w:tcPr>
          <w:p>
            <w:pPr>
              <w:pStyle w:val="TableContents"/>
              <w:spacing w:before="0" w:after="283"/>
              <w:rPr/>
            </w:pPr>
            <w:r>
              <w:rPr/>
              <w:t> </w:t>
            </w:r>
          </w:p>
        </w:tc>
        <w:tc>
          <w:tcPr>
            <w:tcW w:w="290"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8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tcBorders>
              <w:top w:val="double" w:sz="6" w:space="0" w:color="000000"/>
            </w:tcBorders>
            <w:shd w:fill="auto" w:val="clear"/>
            <w:tcMar>
              <w:top w:w="28" w:type="dxa"/>
            </w:tcMar>
            <w:vAlign w:val="bottom"/>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r>
      <w:tr>
        <w:trPr/>
        <w:tc>
          <w:tcPr>
            <w:tcW w:w="2360" w:type="dxa"/>
            <w:tcBorders/>
            <w:shd w:fill="CCEEFF" w:val="clear"/>
          </w:tcPr>
          <w:p>
            <w:pPr>
              <w:pStyle w:val="TableContents"/>
              <w:spacing w:before="0" w:after="283"/>
              <w:rPr>
                <w:rFonts w:ascii="Times New Roman" w:hAnsi="Times New Roman"/>
                <w:sz w:val="20"/>
              </w:rPr>
            </w:pPr>
            <w:r>
              <w:rPr>
                <w:rFonts w:ascii="Times New Roman" w:hAnsi="Times New Roman"/>
                <w:sz w:val="20"/>
              </w:rPr>
              <w:t>Segment profit per barrel</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0.46</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0.41</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0.05</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29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0.48</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0.42</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0.06</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3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8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top w:val="double" w:sz="6" w:space="0" w:color="000000"/>
            </w:tcBorders>
            <w:shd w:fill="auto" w:val="clear"/>
            <w:tcMar>
              <w:top w:w="28" w:type="dxa"/>
            </w:tcMar>
            <w:vAlign w:val="bottom"/>
          </w:tcPr>
          <w:p>
            <w:pPr>
              <w:pStyle w:val="TableContents"/>
              <w:spacing w:before="0" w:after="283"/>
              <w:rPr/>
            </w:pPr>
            <w:r>
              <w:rPr/>
              <w:t> </w:t>
            </w:r>
          </w:p>
        </w:tc>
        <w:tc>
          <w:tcPr>
            <w:tcW w:w="290"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8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tcBorders>
              <w:top w:val="double" w:sz="6" w:space="0" w:color="000000"/>
            </w:tcBorders>
            <w:shd w:fill="auto" w:val="clear"/>
            <w:tcMar>
              <w:top w:w="28" w:type="dxa"/>
            </w:tcMar>
            <w:vAlign w:val="bottom"/>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r>
      <w:tr>
        <w:trPr>
          <w:trHeight w:val="240" w:hRule="atLeast"/>
        </w:trPr>
        <w:tc>
          <w:tcPr>
            <w:tcW w:w="2360" w:type="dxa"/>
            <w:tcBorders/>
            <w:shd w:fill="auto" w:val="clear"/>
            <w:vAlign w:val="center"/>
          </w:tcPr>
          <w:p>
            <w:pPr>
              <w:pStyle w:val="TableContents"/>
              <w:spacing w:before="0" w:after="283"/>
              <w:rPr>
                <w:sz w:val="4"/>
                <w:szCs w:val="4"/>
              </w:rPr>
            </w:pPr>
            <w:r>
              <w:rPr>
                <w:sz w:val="4"/>
                <w:szCs w:val="4"/>
              </w:rPr>
            </w:r>
          </w:p>
        </w:tc>
        <w:tc>
          <w:tcPr>
            <w:tcW w:w="2130" w:type="dxa"/>
            <w:gridSpan w:val="8"/>
            <w:tcBorders/>
            <w:shd w:fill="auto" w:val="clear"/>
            <w:vAlign w:val="center"/>
          </w:tcPr>
          <w:p>
            <w:pPr>
              <w:pStyle w:val="TableContents"/>
              <w:spacing w:before="0" w:after="283"/>
              <w:rPr>
                <w:sz w:val="4"/>
                <w:szCs w:val="4"/>
              </w:rPr>
            </w:pPr>
            <w:r>
              <w:rPr>
                <w:sz w:val="4"/>
                <w:szCs w:val="4"/>
              </w:rPr>
            </w:r>
          </w:p>
        </w:tc>
        <w:tc>
          <w:tcPr>
            <w:tcW w:w="2275" w:type="dxa"/>
            <w:gridSpan w:val="7"/>
            <w:tcBorders/>
            <w:shd w:fill="auto" w:val="clear"/>
            <w:vAlign w:val="center"/>
          </w:tcPr>
          <w:p>
            <w:pPr>
              <w:pStyle w:val="TableContents"/>
              <w:spacing w:before="0" w:after="283"/>
              <w:rPr>
                <w:sz w:val="4"/>
                <w:szCs w:val="4"/>
              </w:rPr>
            </w:pPr>
            <w:r>
              <w:rPr>
                <w:sz w:val="4"/>
                <w:szCs w:val="4"/>
              </w:rPr>
            </w:r>
          </w:p>
        </w:tc>
        <w:tc>
          <w:tcPr>
            <w:tcW w:w="2070" w:type="dxa"/>
            <w:gridSpan w:val="8"/>
            <w:tcBorders/>
            <w:shd w:fill="auto" w:val="clear"/>
            <w:vAlign w:val="center"/>
          </w:tcPr>
          <w:p>
            <w:pPr>
              <w:pStyle w:val="TableContents"/>
              <w:spacing w:before="0" w:after="283"/>
              <w:rPr>
                <w:sz w:val="4"/>
                <w:szCs w:val="4"/>
              </w:rPr>
            </w:pPr>
            <w:r>
              <w:rPr>
                <w:sz w:val="4"/>
                <w:szCs w:val="4"/>
              </w:rPr>
            </w:r>
          </w:p>
        </w:tc>
        <w:tc>
          <w:tcPr>
            <w:tcW w:w="2260" w:type="dxa"/>
            <w:gridSpan w:val="7"/>
            <w:tcBorders/>
            <w:shd w:fill="auto" w:val="clear"/>
            <w:vAlign w:val="center"/>
          </w:tcPr>
          <w:p>
            <w:pPr>
              <w:pStyle w:val="TableContents"/>
              <w:spacing w:before="0" w:after="283"/>
              <w:rPr>
                <w:sz w:val="4"/>
                <w:szCs w:val="4"/>
              </w:rPr>
            </w:pPr>
            <w:r>
              <w:rPr>
                <w:sz w:val="4"/>
                <w:szCs w:val="4"/>
              </w:rPr>
            </w:r>
          </w:p>
        </w:tc>
      </w:tr>
      <w:tr>
        <w:trPr/>
        <w:tc>
          <w:tcPr>
            <w:tcW w:w="2360"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Average Daily Volumes</w:t>
            </w:r>
          </w:p>
        </w:tc>
        <w:tc>
          <w:tcPr>
            <w:tcW w:w="120" w:type="dxa"/>
            <w:tcBorders/>
            <w:shd w:fill="auto" w:val="clear"/>
            <w:vAlign w:val="bottom"/>
          </w:tcPr>
          <w:p>
            <w:pPr>
              <w:pStyle w:val="TableContents"/>
              <w:spacing w:before="0" w:after="283"/>
              <w:rPr/>
            </w:pPr>
            <w:r>
              <w:rPr/>
              <w:t>  </w:t>
            </w:r>
          </w:p>
        </w:tc>
        <w:tc>
          <w:tcPr>
            <w:tcW w:w="1885"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Three Months</w:t>
            </w:r>
            <w:r>
              <w:rPr/>
              <w:br/>
            </w:r>
            <w:r>
              <w:rPr>
                <w:rFonts w:ascii="Times New Roman" w:hAnsi="Times New Roman"/>
                <w:b/>
                <w:sz w:val="14"/>
              </w:rPr>
              <w:t>Ended June 30,</w:t>
            </w:r>
            <w:r>
              <w:rPr>
                <w:rFonts w:ascii="Times New Roman" w:hAnsi="Times New Roman"/>
                <w:sz w:val="14"/>
              </w:rPr>
              <w:t xml:space="preserve">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25" w:type="dxa"/>
            <w:gridSpan w:val="5"/>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Three Months</w:t>
              <w:br/>
              <w:t>Favorable/</w:t>
              <w:br/>
              <w:t>(Unfavorable)</w:t>
            </w:r>
            <w:r>
              <w:rPr/>
              <w:br/>
            </w:r>
            <w:r>
              <w:rPr>
                <w:rFonts w:ascii="Times New Roman" w:hAnsi="Times New Roman"/>
                <w:b/>
                <w:sz w:val="14"/>
              </w:rPr>
              <w:t>Variance</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85"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w:t>
              <w:br/>
              <w:t>Ended June 30,</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80" w:type="dxa"/>
            <w:gridSpan w:val="5"/>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Six  Months</w:t>
            </w:r>
            <w:r>
              <w:rPr/>
              <w:br/>
            </w:r>
            <w:r>
              <w:rPr>
                <w:rFonts w:ascii="Times New Roman" w:hAnsi="Times New Roman"/>
                <w:b/>
                <w:sz w:val="14"/>
              </w:rPr>
              <w:t>Favorable/</w:t>
              <w:br/>
              <w:t>(Unfavorable)</w:t>
            </w:r>
            <w:r>
              <w:rPr/>
              <w:br/>
            </w:r>
            <w:r>
              <w:rPr>
                <w:rFonts w:ascii="Times New Roman" w:hAnsi="Times New Roman"/>
                <w:b/>
                <w:sz w:val="14"/>
              </w:rPr>
              <w:t>Variance</w:t>
            </w:r>
          </w:p>
        </w:tc>
        <w:tc>
          <w:tcPr>
            <w:tcW w:w="320" w:type="dxa"/>
            <w:tcBorders/>
            <w:shd w:fill="auto" w:val="clear"/>
            <w:vAlign w:val="bottom"/>
          </w:tcPr>
          <w:p>
            <w:pPr>
              <w:pStyle w:val="TableContents"/>
              <w:spacing w:before="0" w:after="283"/>
              <w:rPr/>
            </w:pPr>
            <w:r>
              <w:rPr/>
              <w:t> </w:t>
            </w:r>
          </w:p>
        </w:tc>
      </w:tr>
      <w:tr>
        <w:trPr/>
        <w:tc>
          <w:tcPr>
            <w:tcW w:w="236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(in thousands of barrels per day) (3)</w:t>
            </w:r>
          </w:p>
        </w:tc>
        <w:tc>
          <w:tcPr>
            <w:tcW w:w="120" w:type="dxa"/>
            <w:tcBorders/>
            <w:shd w:fill="auto" w:val="clear"/>
            <w:vAlign w:val="bottom"/>
          </w:tcPr>
          <w:p>
            <w:pPr>
              <w:pStyle w:val="TableContents"/>
              <w:spacing w:before="0" w:after="283"/>
              <w:rPr/>
            </w:pPr>
            <w:r>
              <w:rPr/>
              <w:t>  </w:t>
            </w:r>
          </w:p>
        </w:tc>
        <w:tc>
          <w:tcPr>
            <w:tcW w:w="8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Volumes</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Volumes</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20" w:type="dxa"/>
            <w:tcBorders/>
            <w:shd w:fill="auto" w:val="clear"/>
            <w:vAlign w:val="bottom"/>
          </w:tcPr>
          <w:p>
            <w:pPr>
              <w:pStyle w:val="TableContents"/>
              <w:spacing w:before="0" w:after="283"/>
              <w:rPr/>
            </w:pPr>
            <w:r>
              <w:rPr/>
              <w:t> </w:t>
            </w:r>
          </w:p>
        </w:tc>
      </w:tr>
      <w:tr>
        <w:trPr/>
        <w:tc>
          <w:tcPr>
            <w:tcW w:w="2360" w:type="dxa"/>
            <w:tcBorders/>
            <w:shd w:fill="CCEEFF" w:val="clear"/>
          </w:tcPr>
          <w:p>
            <w:pPr>
              <w:pStyle w:val="TableContents"/>
              <w:spacing w:before="0" w:after="283"/>
              <w:rPr>
                <w:rFonts w:ascii="Times New Roman" w:hAnsi="Times New Roman"/>
                <w:sz w:val="20"/>
              </w:rPr>
            </w:pPr>
            <w:r>
              <w:rPr>
                <w:rFonts w:ascii="Times New Roman" w:hAnsi="Times New Roman"/>
                <w:sz w:val="20"/>
              </w:rPr>
              <w:t>Tariff activities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8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rPr>
                <w:sz w:val="4"/>
                <w:szCs w:val="4"/>
              </w:rPr>
            </w:pPr>
            <w:r>
              <w:rPr>
                <w:sz w:val="4"/>
                <w:szCs w:val="4"/>
              </w:rPr>
            </w:r>
          </w:p>
        </w:tc>
        <w:tc>
          <w:tcPr>
            <w:tcW w:w="29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8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rPr>
                <w:sz w:val="4"/>
                <w:szCs w:val="4"/>
              </w:rPr>
            </w:pPr>
            <w:r>
              <w:rPr>
                <w:sz w:val="4"/>
                <w:szCs w:val="4"/>
              </w:rPr>
            </w:r>
          </w:p>
        </w:tc>
        <w:tc>
          <w:tcPr>
            <w:tcW w:w="320" w:type="dxa"/>
            <w:tcBorders/>
            <w:shd w:fill="CCEEFF" w:val="clear"/>
            <w:vAlign w:val="bottom"/>
          </w:tcPr>
          <w:p>
            <w:pPr>
              <w:pStyle w:val="TableContents"/>
              <w:spacing w:before="0" w:after="283"/>
              <w:rPr>
                <w:sz w:val="4"/>
                <w:szCs w:val="4"/>
              </w:rPr>
            </w:pPr>
            <w:r>
              <w:rPr>
                <w:sz w:val="4"/>
                <w:szCs w:val="4"/>
              </w:rPr>
            </w:r>
          </w:p>
        </w:tc>
      </w:tr>
      <w:tr>
        <w:trPr/>
        <w:tc>
          <w:tcPr>
            <w:tcW w:w="2360" w:type="dxa"/>
            <w:tcBorders/>
            <w:shd w:fill="auto" w:val="clear"/>
          </w:tcPr>
          <w:p>
            <w:pPr>
              <w:pStyle w:val="TableContents"/>
              <w:spacing w:before="0" w:after="283"/>
              <w:rPr>
                <w:rFonts w:ascii="Times New Roman" w:hAnsi="Times New Roman"/>
                <w:sz w:val="20"/>
              </w:rPr>
            </w:pPr>
            <w:r>
              <w:rPr>
                <w:rFonts w:ascii="Times New Roman" w:hAnsi="Times New Roman"/>
                <w:sz w:val="20"/>
              </w:rPr>
              <w:t>All American</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290" w:type="dxa"/>
            <w:tcBorders>
              <w:right w:val="single" w:sz="2" w:space="0" w:color="000000"/>
            </w:tcBorders>
            <w:shd w:fill="auto"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3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CCEEFF" w:val="clear"/>
          </w:tcPr>
          <w:p>
            <w:pPr>
              <w:pStyle w:val="TableContents"/>
              <w:spacing w:before="0" w:after="283"/>
              <w:rPr>
                <w:rFonts w:ascii="Times New Roman" w:hAnsi="Times New Roman"/>
                <w:sz w:val="20"/>
              </w:rPr>
            </w:pPr>
            <w:r>
              <w:rPr>
                <w:rFonts w:ascii="Times New Roman" w:hAnsi="Times New Roman"/>
                <w:sz w:val="20"/>
              </w:rPr>
              <w:t>Basin</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369</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440</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29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363</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417</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3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auto" w:val="clear"/>
          </w:tcPr>
          <w:p>
            <w:pPr>
              <w:pStyle w:val="TableContents"/>
              <w:spacing w:before="0" w:after="283"/>
              <w:rPr>
                <w:rFonts w:ascii="Times New Roman" w:hAnsi="Times New Roman"/>
                <w:sz w:val="20"/>
              </w:rPr>
            </w:pPr>
            <w:r>
              <w:rPr>
                <w:rFonts w:ascii="Times New Roman" w:hAnsi="Times New Roman"/>
                <w:sz w:val="20"/>
              </w:rPr>
              <w:t>Capline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246</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204</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290" w:type="dxa"/>
            <w:tcBorders>
              <w:right w:val="single" w:sz="2" w:space="0" w:color="000000"/>
            </w:tcBorders>
            <w:shd w:fill="auto"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203</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3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CCEEFF" w:val="clear"/>
          </w:tcPr>
          <w:p>
            <w:pPr>
              <w:pStyle w:val="TableContents"/>
              <w:spacing w:before="0" w:after="283"/>
              <w:rPr>
                <w:rFonts w:ascii="Times New Roman" w:hAnsi="Times New Roman"/>
                <w:sz w:val="20"/>
              </w:rPr>
            </w:pPr>
            <w:r>
              <w:rPr>
                <w:rFonts w:ascii="Times New Roman" w:hAnsi="Times New Roman"/>
                <w:sz w:val="20"/>
              </w:rPr>
              <w:t>Line 63/Line 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29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3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auto" w:val="clear"/>
          </w:tcPr>
          <w:p>
            <w:pPr>
              <w:pStyle w:val="TableContents"/>
              <w:spacing w:before="0" w:after="283"/>
              <w:rPr>
                <w:rFonts w:ascii="Times New Roman" w:hAnsi="Times New Roman"/>
                <w:sz w:val="20"/>
              </w:rPr>
            </w:pPr>
            <w:r>
              <w:rPr>
                <w:rFonts w:ascii="Times New Roman" w:hAnsi="Times New Roman"/>
                <w:sz w:val="20"/>
              </w:rPr>
              <w:t>Salt Lake City Area Systems</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139</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290" w:type="dxa"/>
            <w:tcBorders>
              <w:right w:val="single" w:sz="2" w:space="0" w:color="000000"/>
            </w:tcBorders>
            <w:shd w:fill="auto"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132</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3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CCEEFF" w:val="clear"/>
          </w:tcPr>
          <w:p>
            <w:pPr>
              <w:pStyle w:val="TableContents"/>
              <w:spacing w:before="0" w:after="283"/>
              <w:rPr>
                <w:rFonts w:ascii="Times New Roman" w:hAnsi="Times New Roman"/>
                <w:sz w:val="20"/>
              </w:rPr>
            </w:pPr>
            <w:r>
              <w:rPr>
                <w:rFonts w:ascii="Times New Roman" w:hAnsi="Times New Roman"/>
                <w:sz w:val="20"/>
              </w:rPr>
              <w:t xml:space="preserve">West Texas/New Mexico Area Systems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387</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374</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29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376</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384</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3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auto" w:val="clear"/>
          </w:tcPr>
          <w:p>
            <w:pPr>
              <w:pStyle w:val="TableContents"/>
              <w:spacing w:before="0" w:after="283"/>
              <w:rPr>
                <w:rFonts w:ascii="Times New Roman" w:hAnsi="Times New Roman"/>
                <w:sz w:val="20"/>
              </w:rPr>
            </w:pPr>
            <w:r>
              <w:rPr>
                <w:rFonts w:ascii="Times New Roman" w:hAnsi="Times New Roman"/>
                <w:sz w:val="20"/>
              </w:rPr>
              <w:t>Manito</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290" w:type="dxa"/>
            <w:tcBorders>
              <w:right w:val="single" w:sz="2" w:space="0" w:color="000000"/>
            </w:tcBorders>
            <w:shd w:fill="auto"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3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CCEEFF" w:val="clear"/>
          </w:tcPr>
          <w:p>
            <w:pPr>
              <w:pStyle w:val="TableContents"/>
              <w:spacing w:before="0" w:after="283"/>
              <w:rPr>
                <w:rFonts w:ascii="Times New Roman" w:hAnsi="Times New Roman"/>
                <w:sz w:val="20"/>
              </w:rPr>
            </w:pPr>
            <w:r>
              <w:rPr>
                <w:rFonts w:ascii="Times New Roman" w:hAnsi="Times New Roman"/>
                <w:sz w:val="20"/>
              </w:rPr>
              <w:t>Rainbow</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29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188</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3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auto" w:val="clear"/>
          </w:tcPr>
          <w:p>
            <w:pPr>
              <w:pStyle w:val="TableContents"/>
              <w:spacing w:before="0" w:after="283"/>
              <w:rPr>
                <w:rFonts w:ascii="Times New Roman" w:hAnsi="Times New Roman"/>
                <w:sz w:val="20"/>
              </w:rPr>
            </w:pPr>
            <w:r>
              <w:rPr>
                <w:rFonts w:ascii="Times New Roman" w:hAnsi="Times New Roman"/>
                <w:sz w:val="20"/>
              </w:rPr>
              <w:t>Rangeland</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290" w:type="dxa"/>
            <w:tcBorders>
              <w:right w:val="single" w:sz="2" w:space="0" w:color="000000"/>
            </w:tcBorders>
            <w:shd w:fill="auto"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3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CCEEFF" w:val="clear"/>
          </w:tcPr>
          <w:p>
            <w:pPr>
              <w:pStyle w:val="TableContents"/>
              <w:spacing w:before="0" w:after="283"/>
              <w:rPr>
                <w:rFonts w:ascii="Times New Roman" w:hAnsi="Times New Roman"/>
                <w:sz w:val="20"/>
              </w:rPr>
            </w:pPr>
            <w:r>
              <w:rPr>
                <w:rFonts w:ascii="Times New Roman" w:hAnsi="Times New Roman"/>
                <w:sz w:val="20"/>
              </w:rPr>
              <w:t>Refined products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29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3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1,256</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1,260</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90" w:type="dxa"/>
            <w:tcBorders>
              <w:right w:val="single" w:sz="2" w:space="0" w:color="000000"/>
            </w:tcBorders>
            <w:shd w:fill="auto"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1,193</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1,201</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3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8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top w:val="single" w:sz="2" w:space="0" w:color="000000"/>
            </w:tcBorders>
            <w:shd w:fill="auto" w:val="clear"/>
            <w:tcMar>
              <w:top w:w="28" w:type="dxa"/>
            </w:tcMar>
            <w:vAlign w:val="bottom"/>
          </w:tcPr>
          <w:p>
            <w:pPr>
              <w:pStyle w:val="TableContents"/>
              <w:spacing w:before="0" w:after="283"/>
              <w:rPr/>
            </w:pPr>
            <w:r>
              <w:rPr/>
              <w:t> </w:t>
            </w:r>
          </w:p>
        </w:tc>
        <w:tc>
          <w:tcPr>
            <w:tcW w:w="290"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8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tcBorders>
              <w:top w:val="single" w:sz="2" w:space="0" w:color="000000"/>
            </w:tcBorders>
            <w:shd w:fill="auto" w:val="clear"/>
            <w:tcMar>
              <w:top w:w="28" w:type="dxa"/>
            </w:tcMar>
            <w:vAlign w:val="bottom"/>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r>
      <w:tr>
        <w:trPr/>
        <w:tc>
          <w:tcPr>
            <w:tcW w:w="2360" w:type="dxa"/>
            <w:tcBorders/>
            <w:shd w:fill="CCEEFF" w:val="clear"/>
          </w:tcPr>
          <w:p>
            <w:pPr>
              <w:pStyle w:val="TableContents"/>
              <w:spacing w:before="0" w:after="283"/>
              <w:rPr>
                <w:rFonts w:ascii="Times New Roman" w:hAnsi="Times New Roman"/>
                <w:sz w:val="20"/>
              </w:rPr>
            </w:pPr>
            <w:r>
              <w:rPr>
                <w:rFonts w:ascii="Times New Roman" w:hAnsi="Times New Roman"/>
                <w:sz w:val="20"/>
              </w:rPr>
              <w:t>Tariff activities total</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2,987</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2,990</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9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2,846</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2,901</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3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auto" w:val="clear"/>
          </w:tcPr>
          <w:p>
            <w:pPr>
              <w:pStyle w:val="TableContents"/>
              <w:spacing w:before="0" w:after="283"/>
              <w:rPr>
                <w:rFonts w:ascii="Times New Roman" w:hAnsi="Times New Roman"/>
                <w:sz w:val="20"/>
              </w:rPr>
            </w:pPr>
            <w:r>
              <w:rPr>
                <w:rFonts w:ascii="Times New Roman" w:hAnsi="Times New Roman"/>
                <w:sz w:val="20"/>
              </w:rPr>
              <w:t>Trucking</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290" w:type="dxa"/>
            <w:tcBorders>
              <w:right w:val="single" w:sz="2" w:space="0" w:color="000000"/>
            </w:tcBorders>
            <w:shd w:fill="auto"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pPr>
            <w:r>
              <w:rPr/>
              <w:t>           </w:t>
            </w:r>
            <w:r>
              <w:rPr>
                <w:rFonts w:ascii="Times New Roman" w:hAnsi="Times New Roman"/>
                <w:sz w:val="20"/>
              </w:rPr>
              <w:t>6</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pPr>
            <w:r>
              <w:rPr/>
              <w:t>           </w:t>
            </w:r>
            <w:r>
              <w:rPr>
                <w:rFonts w:ascii="Times New Roman" w:hAnsi="Times New Roman"/>
                <w:sz w:val="20"/>
              </w:rPr>
              <w:t>7</w:t>
            </w:r>
          </w:p>
        </w:tc>
        <w:tc>
          <w:tcPr>
            <w:tcW w:w="3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3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8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top w:val="single" w:sz="2" w:space="0" w:color="000000"/>
            </w:tcBorders>
            <w:shd w:fill="auto" w:val="clear"/>
            <w:tcMar>
              <w:top w:w="28" w:type="dxa"/>
            </w:tcMar>
            <w:vAlign w:val="bottom"/>
          </w:tcPr>
          <w:p>
            <w:pPr>
              <w:pStyle w:val="TableContents"/>
              <w:spacing w:before="0" w:after="283"/>
              <w:rPr/>
            </w:pPr>
            <w:r>
              <w:rPr/>
              <w:t> </w:t>
            </w:r>
          </w:p>
        </w:tc>
        <w:tc>
          <w:tcPr>
            <w:tcW w:w="290"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8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tcBorders>
              <w:top w:val="single" w:sz="2" w:space="0" w:color="000000"/>
            </w:tcBorders>
            <w:shd w:fill="auto" w:val="clear"/>
            <w:tcMar>
              <w:top w:w="28" w:type="dxa"/>
            </w:tcMar>
            <w:vAlign w:val="bottom"/>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r>
      <w:tr>
        <w:trPr/>
        <w:tc>
          <w:tcPr>
            <w:tcW w:w="2360" w:type="dxa"/>
            <w:tcBorders/>
            <w:shd w:fill="CCEEFF" w:val="clear"/>
          </w:tcPr>
          <w:p>
            <w:pPr>
              <w:pStyle w:val="TableContents"/>
              <w:spacing w:before="0" w:after="283"/>
              <w:rPr>
                <w:rFonts w:ascii="Times New Roman" w:hAnsi="Times New Roman"/>
                <w:b/>
                <w:sz w:val="20"/>
              </w:rPr>
            </w:pPr>
            <w:r>
              <w:rPr>
                <w:rFonts w:ascii="Times New Roman" w:hAnsi="Times New Roman"/>
                <w:b/>
                <w:sz w:val="20"/>
              </w:rPr>
              <w:t>Transportation segment total</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pPr>
            <w:r>
              <w:rPr/>
              <w:t>    </w:t>
            </w:r>
            <w:r>
              <w:rPr>
                <w:rFonts w:ascii="Times New Roman" w:hAnsi="Times New Roman"/>
                <w:b/>
                <w:sz w:val="20"/>
              </w:rPr>
              <w:t>3,082</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pPr>
            <w:r>
              <w:rPr/>
              <w:t>    </w:t>
            </w:r>
            <w:r>
              <w:rPr>
                <w:rFonts w:ascii="Times New Roman" w:hAnsi="Times New Roman"/>
                <w:b/>
                <w:sz w:val="20"/>
              </w:rPr>
              <w:t>3,074</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pPr>
            <w:r>
              <w:rPr/>
              <w:t>           </w:t>
            </w:r>
            <w:r>
              <w:rPr>
                <w:rFonts w:ascii="Times New Roman" w:hAnsi="Times New Roman"/>
                <w:b/>
                <w:sz w:val="20"/>
              </w:rPr>
              <w:t>8</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pPr>
            <w:r>
              <w:rPr/>
              <w:t>           </w:t>
            </w:r>
            <w:r>
              <w:rPr>
                <w:rFonts w:ascii="Times New Roman" w:hAnsi="Times New Roman"/>
                <w:b/>
                <w:sz w:val="20"/>
              </w:rPr>
              <w:t></w:t>
            </w:r>
          </w:p>
        </w:tc>
        <w:tc>
          <w:tcPr>
            <w:tcW w:w="29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b/>
                <w:sz w:val="20"/>
              </w:rPr>
            </w:pPr>
            <w:r>
              <w:rPr>
                <w:rFonts w:ascii="Times New Roman" w:hAnsi="Times New Roman"/>
                <w:b/>
                <w:sz w:val="20"/>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pPr>
            <w:r>
              <w:rPr/>
              <w:t>    </w:t>
            </w:r>
            <w:r>
              <w:rPr>
                <w:rFonts w:ascii="Times New Roman" w:hAnsi="Times New Roman"/>
                <w:b/>
                <w:sz w:val="20"/>
              </w:rPr>
              <w:t>2,938</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pPr>
            <w:r>
              <w:rPr/>
              <w:t>    </w:t>
            </w:r>
            <w:r>
              <w:rPr>
                <w:rFonts w:ascii="Times New Roman" w:hAnsi="Times New Roman"/>
                <w:b/>
                <w:sz w:val="20"/>
              </w:rPr>
              <w:t>2,987</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(49</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(2</w:t>
            </w:r>
          </w:p>
        </w:tc>
        <w:tc>
          <w:tcPr>
            <w:tcW w:w="320"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 </w:t>
            </w:r>
          </w:p>
        </w:tc>
      </w:tr>
      <w:tr>
        <w:trPr/>
        <w:tc>
          <w:tcPr>
            <w:tcW w:w="23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8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top w:val="double" w:sz="6" w:space="0" w:color="000000"/>
            </w:tcBorders>
            <w:shd w:fill="auto" w:val="clear"/>
            <w:tcMar>
              <w:top w:w="28" w:type="dxa"/>
            </w:tcMar>
            <w:vAlign w:val="bottom"/>
          </w:tcPr>
          <w:p>
            <w:pPr>
              <w:pStyle w:val="TableContents"/>
              <w:spacing w:before="0" w:after="283"/>
              <w:rPr/>
            </w:pPr>
            <w:r>
              <w:rPr/>
              <w:t> </w:t>
            </w:r>
          </w:p>
        </w:tc>
        <w:tc>
          <w:tcPr>
            <w:tcW w:w="290"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8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tcBorders>
              <w:top w:val="double" w:sz="6" w:space="0" w:color="000000"/>
            </w:tcBorders>
            <w:shd w:fill="auto" w:val="clear"/>
            <w:tcMar>
              <w:top w:w="28" w:type="dxa"/>
            </w:tcMar>
            <w:vAlign w:val="bottom"/>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r>
    </w:tbl>
    <w:p>
      <w:pPr>
        <w:pStyle w:val="TextBody"/>
        <w:pBdr>
          <w:bottom w:val="single" w:sz="16"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Revenues and costs and expenses include intersegment amounts.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Equity compensation expense related to our equity compensation plans. See Note 8 to our Condensed Consolidated Financial Statements for additional discussion of our equity compensation plans.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(3)</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Volumes associated with acquisitions represent total volumes for the number of days we actually owned the assets divided by the number of days in the period. </w:t>
            </w:r>
          </w:p>
        </w:tc>
      </w:tr>
    </w:tbl>
    <w:p>
      <w:pPr>
        <w:pStyle w:val="TextBody"/>
        <w:spacing w:before="180" w:after="0"/>
        <w:rPr>
          <w:rFonts w:ascii="Times New Roman" w:hAnsi="Times New Roman"/>
          <w:sz w:val="20"/>
        </w:rPr>
      </w:pPr>
      <w:r>
        <w:rPr>
          <w:rFonts w:ascii="Times New Roman" w:hAnsi="Times New Roman"/>
          <w:sz w:val="20"/>
        </w:rPr>
        <w:t xml:space="preserve">Transportation segment profit and segment profit per barrel were impacted by the following: </w:t>
      </w:r>
    </w:p>
    <w:p>
      <w:pPr>
        <w:pStyle w:val="TextBody"/>
        <w:spacing w:before="180" w:after="0"/>
        <w:rPr>
          <w:rFonts w:ascii="Times New Roman" w:hAnsi="Times New Roman"/>
          <w:sz w:val="20"/>
        </w:rPr>
      </w:pPr>
      <w:r>
        <w:rPr>
          <w:rFonts w:ascii="Times New Roman" w:hAnsi="Times New Roman"/>
          <w:sz w:val="20"/>
        </w:rPr>
        <w:t xml:space="preserve">As noted in the table above, our transportation segment revenues increased for the three and six months ended June 30, 2010 compared to the three and six months ended June 30, 2009, while volumes remained relatively consistent over these comparative periods. The significant variances between the comparative periods are discussed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Foreign Currency Impact - Revenues and expenses from our Canadian based subsidiaries, which use the Canadian dollar as their functional currency, were translated at the prevailing average exchange rate for each month. During 2010, revenues from some of our Canadian pipeline systems were favorably impacted by the depreciation of the U.S. dollar relative to the Canadian dollar. The average Canadian dollar to U.S. dollar exchange rate for the three-month period ended June 30, 2010 was $1.03 CAD: $1.00 USD compared to an average of $1.17 CAD: $1.00 USD for the three-month period ended June 30, 2009. The average Canadian dollar to U.S. dollar exchange rate for the six-month period ended June 30, 2010 was $1.03 CAD: $1.00 USD compared to an average of $1.21 CAD: $1.00 USD for the six-month period ended June 30, 2009.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Tariff Rates - Tariff rates increased on some of our pipeline systems during the second half of 2009 as a result of indexing by the FERC. In addition, we had similar type rate increases on some non-FERC regulated pipelines.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Loss Allowance Revenue - As is common in the industry, our tariffs incorporate a loss allowance factor that is intended to, among other things,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decreased by approximately $6 million for the three months ended June 30, 2010 compared to the three months ended June 30, 2009. The decrease was primarily due to variance in volumes for the three months ended June 30, 2010 compared to the three months ended June 30, 2009. The loss allowance revenue increased by approximately $4 million for the six months ended June 30, 2010 compared to the six months ended June 30, 2009. The increase was primarily due to a higher average realized price per barrel for the six months ended June 30, 2010 compared to the six months ended June 30, 2009 (including the impact of gains and losses from derivative activities). </w:t>
            </w:r>
          </w:p>
        </w:tc>
      </w:tr>
    </w:tbl>
    <w:p>
      <w:pPr>
        <w:pStyle w:val="TextBody"/>
        <w:spacing w:before="180" w:after="0"/>
        <w:rPr>
          <w:rFonts w:ascii="Times New Roman" w:hAnsi="Times New Roman"/>
          <w:sz w:val="20"/>
        </w:rPr>
      </w:pPr>
      <w:r>
        <w:rPr>
          <w:rFonts w:ascii="Times New Roman" w:hAnsi="Times New Roman"/>
          <w:i/>
          <w:sz w:val="20"/>
        </w:rPr>
        <w:t xml:space="preserve">Field Operating Costs. </w:t>
      </w:r>
      <w:r>
        <w:rPr>
          <w:rFonts w:ascii="Times New Roman" w:hAnsi="Times New Roman"/>
          <w:sz w:val="20"/>
        </w:rPr>
        <w:t xml:space="preserve">Field operating costs (excluding equity compensation charges) increased in the three and six months ended June 30, 2010 over the three and six months ended June 30, 2009 primarily due to an approximately $6 million unfavorable foreign currency impact. </w:t>
      </w:r>
    </w:p>
    <w:p>
      <w:pPr>
        <w:pStyle w:val="TextBody"/>
        <w:spacing w:before="180" w:after="0"/>
        <w:rPr>
          <w:rFonts w:ascii="Times New Roman" w:hAnsi="Times New Roman"/>
          <w:sz w:val="20"/>
        </w:rPr>
      </w:pPr>
      <w:r>
        <w:rPr>
          <w:rFonts w:ascii="Times New Roman" w:hAnsi="Times New Roman"/>
          <w:sz w:val="20"/>
        </w:rPr>
        <w:t>Ge</w:t>
      </w:r>
      <w:r>
        <w:rPr>
          <w:rFonts w:ascii="Times New Roman" w:hAnsi="Times New Roman"/>
          <w:i/>
          <w:sz w:val="20"/>
        </w:rPr>
        <w:t>neral and Administrative Expenses</w:t>
      </w:r>
      <w:r>
        <w:rPr>
          <w:rFonts w:ascii="Times New Roman" w:hAnsi="Times New Roman"/>
          <w:sz w:val="20"/>
        </w:rPr>
        <w:t xml:space="preserve">. General and administrative expenses (excluding equity compensation charges as discussed below) increased in the three and six months ended June 30, 2010 compared to the three and six months ended June 30, 2009 primarily due to foreign currency impact. </w:t>
      </w:r>
    </w:p>
    <w:p>
      <w:pPr>
        <w:pStyle w:val="TextBody"/>
        <w:spacing w:before="180" w:after="0"/>
        <w:rPr>
          <w:rFonts w:ascii="Times New Roman" w:hAnsi="Times New Roman"/>
          <w:sz w:val="20"/>
        </w:rPr>
      </w:pPr>
      <w:r>
        <w:rPr>
          <w:rFonts w:ascii="Times New Roman" w:hAnsi="Times New Roman"/>
          <w:i/>
          <w:sz w:val="20"/>
        </w:rPr>
        <w:t xml:space="preserve">Maintenance Capital. </w:t>
      </w:r>
      <w:r>
        <w:rPr>
          <w:rFonts w:ascii="Times New Roman" w:hAnsi="Times New Roman"/>
          <w:sz w:val="20"/>
        </w:rPr>
        <w:t xml:space="preserve">The decrease in maintenance capital in the six months ended June 30, 2010 over the six months ended June 30, 2009 is primarily due to (i) increased investment in 2009 applicable to API 653 repairs in an effort to meet our May 2009 compliance deadline and (ii) timing of various repair projects during each year.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Facilities Segment </w:t>
      </w:r>
    </w:p>
    <w:p>
      <w:pPr>
        <w:pStyle w:val="TextBody"/>
        <w:spacing w:before="90" w:after="0"/>
        <w:rPr>
          <w:rFonts w:ascii="Times New Roman" w:hAnsi="Times New Roman"/>
          <w:sz w:val="20"/>
        </w:rPr>
      </w:pPr>
      <w:r>
        <w:rPr>
          <w:rFonts w:ascii="Times New Roman" w:hAnsi="Times New Roman"/>
          <w:sz w:val="20"/>
        </w:rPr>
        <w:t xml:space="preserve">The following table sets forth the operating results from our facilities segment for the periods indicated: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505"/>
        <w:gridCol w:w="125"/>
        <w:gridCol w:w="125"/>
        <w:gridCol w:w="620"/>
        <w:gridCol w:w="125"/>
        <w:gridCol w:w="65"/>
        <w:gridCol w:w="125"/>
        <w:gridCol w:w="620"/>
        <w:gridCol w:w="125"/>
        <w:gridCol w:w="65"/>
        <w:gridCol w:w="124"/>
        <w:gridCol w:w="620"/>
        <w:gridCol w:w="125"/>
        <w:gridCol w:w="65"/>
        <w:gridCol w:w="650"/>
        <w:gridCol w:w="300"/>
        <w:gridCol w:w="65"/>
        <w:gridCol w:w="125"/>
        <w:gridCol w:w="620"/>
        <w:gridCol w:w="125"/>
        <w:gridCol w:w="65"/>
        <w:gridCol w:w="125"/>
        <w:gridCol w:w="619"/>
        <w:gridCol w:w="125"/>
        <w:gridCol w:w="65"/>
        <w:gridCol w:w="125"/>
        <w:gridCol w:w="620"/>
        <w:gridCol w:w="125"/>
        <w:gridCol w:w="65"/>
        <w:gridCol w:w="650"/>
        <w:gridCol w:w="302"/>
      </w:tblGrid>
      <w:tr>
        <w:trPr/>
        <w:tc>
          <w:tcPr>
            <w:tcW w:w="250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r>
      <w:tr>
        <w:trPr/>
        <w:tc>
          <w:tcPr>
            <w:tcW w:w="250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Operating Results</w:t>
            </w:r>
          </w:p>
        </w:tc>
        <w:tc>
          <w:tcPr>
            <w:tcW w:w="125" w:type="dxa"/>
            <w:tcBorders/>
            <w:shd w:fill="auto" w:val="clear"/>
            <w:vAlign w:val="bottom"/>
          </w:tcPr>
          <w:p>
            <w:pPr>
              <w:pStyle w:val="TableContents"/>
              <w:spacing w:before="0" w:after="283"/>
              <w:rPr/>
            </w:pPr>
            <w:r>
              <w:rPr/>
              <w:t>  </w:t>
            </w:r>
          </w:p>
        </w:tc>
        <w:tc>
          <w:tcPr>
            <w:tcW w:w="1680"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Three Months</w:t>
            </w:r>
            <w:r>
              <w:rPr/>
              <w:br/>
            </w:r>
            <w:r>
              <w:rPr>
                <w:rFonts w:ascii="Times New Roman" w:hAnsi="Times New Roman"/>
                <w:b/>
                <w:sz w:val="14"/>
              </w:rPr>
              <w:t xml:space="preserve">Ended June 30, </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84"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w:t>
              <w:br/>
              <w:t>Favorable/</w:t>
              <w:br/>
              <w:t>(Unfavorable)</w:t>
              <w:br/>
              <w:t xml:space="preserve">Variance </w:t>
            </w:r>
          </w:p>
        </w:tc>
        <w:tc>
          <w:tcPr>
            <w:tcW w:w="30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79"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Six Months</w:t>
            </w:r>
            <w:r>
              <w:rPr/>
              <w:br/>
            </w:r>
            <w:r>
              <w:rPr>
                <w:rFonts w:ascii="Times New Roman" w:hAnsi="Times New Roman"/>
                <w:b/>
                <w:sz w:val="14"/>
              </w:rPr>
              <w:t>Ended June 30,</w:t>
            </w:r>
            <w:r>
              <w:rPr>
                <w:rFonts w:ascii="Times New Roman" w:hAnsi="Times New Roman"/>
                <w:sz w:val="14"/>
              </w:rPr>
              <w:t xml:space="preserve"> </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85"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w:t>
              <w:br/>
              <w:t>Favorable/</w:t>
              <w:br/>
              <w:t>(Unfavorable)</w:t>
              <w:br/>
              <w:t>Variance</w:t>
            </w:r>
          </w:p>
        </w:tc>
        <w:tc>
          <w:tcPr>
            <w:tcW w:w="302" w:type="dxa"/>
            <w:tcBorders/>
            <w:shd w:fill="auto" w:val="clear"/>
            <w:vAlign w:val="bottom"/>
          </w:tcPr>
          <w:p>
            <w:pPr>
              <w:pStyle w:val="TableContents"/>
              <w:spacing w:before="0" w:after="283"/>
              <w:rPr/>
            </w:pPr>
            <w:r>
              <w:rPr/>
              <w:t> </w:t>
            </w:r>
          </w:p>
        </w:tc>
      </w:tr>
      <w:tr>
        <w:trPr/>
        <w:tc>
          <w:tcPr>
            <w:tcW w:w="2505"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(in millions, except per barrel amounts)</w:t>
            </w:r>
          </w:p>
        </w:tc>
        <w:tc>
          <w:tcPr>
            <w:tcW w:w="125" w:type="dxa"/>
            <w:tcBorders/>
            <w:shd w:fill="auto" w:val="clear"/>
            <w:vAlign w:val="bottom"/>
          </w:tcPr>
          <w:p>
            <w:pPr>
              <w:pStyle w:val="TableContents"/>
              <w:spacing w:before="0" w:after="283"/>
              <w:rPr/>
            </w:pPr>
            <w:r>
              <w:rPr/>
              <w:t>  </w:t>
            </w:r>
          </w:p>
        </w:tc>
        <w:tc>
          <w:tcPr>
            <w:tcW w:w="74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2" w:type="dxa"/>
            <w:tcBorders/>
            <w:shd w:fill="auto" w:val="clear"/>
            <w:vAlign w:val="bottom"/>
          </w:tcPr>
          <w:p>
            <w:pPr>
              <w:pStyle w:val="TableContents"/>
              <w:spacing w:before="0" w:after="283"/>
              <w:rPr/>
            </w:pPr>
            <w:r>
              <w:rPr/>
              <w:t> </w:t>
            </w:r>
          </w:p>
        </w:tc>
      </w:tr>
      <w:tr>
        <w:trPr/>
        <w:tc>
          <w:tcPr>
            <w:tcW w:w="2505" w:type="dxa"/>
            <w:tcBorders/>
            <w:shd w:fill="CCEEFF" w:val="clear"/>
          </w:tcPr>
          <w:p>
            <w:pPr>
              <w:pStyle w:val="TableContents"/>
              <w:spacing w:before="0" w:after="283"/>
              <w:rPr/>
            </w:pPr>
            <w:r>
              <w:rPr>
                <w:rFonts w:ascii="Times New Roman" w:hAnsi="Times New Roman"/>
                <w:sz w:val="20"/>
              </w:rPr>
              <w:t xml:space="preserve">Storage and terminalling revenues </w:t>
            </w:r>
            <w:r>
              <w:rPr>
                <w:rFonts w:ascii="Times New Roman" w:hAnsi="Times New Roman"/>
                <w:sz w:val="14"/>
              </w:rPr>
              <w:t>(1)</w:t>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30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30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505" w:type="dxa"/>
            <w:tcBorders/>
            <w:shd w:fill="auto" w:val="clear"/>
          </w:tcPr>
          <w:p>
            <w:pPr>
              <w:pStyle w:val="TableContents"/>
              <w:spacing w:before="0" w:after="283"/>
              <w:rPr>
                <w:rFonts w:ascii="Times New Roman" w:hAnsi="Times New Roman"/>
                <w:sz w:val="20"/>
              </w:rPr>
            </w:pPr>
            <w:r>
              <w:rPr>
                <w:rFonts w:ascii="Times New Roman" w:hAnsi="Times New Roman"/>
                <w:sz w:val="20"/>
              </w:rPr>
              <w:t>Storage related costs (natural gas related)</w:t>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300" w:type="dxa"/>
            <w:tcBorders>
              <w:right w:val="single" w:sz="2" w:space="0" w:color="000000"/>
            </w:tcBorders>
            <w:shd w:fill="auto" w:val="clear"/>
            <w:tcMar>
              <w:right w:w="28" w:type="dxa"/>
            </w:tcM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302" w:type="dxa"/>
            <w:tcBorders/>
            <w:shd w:fill="auto" w:val="clear"/>
            <w:vAlign w:val="bottom"/>
          </w:tcPr>
          <w:p>
            <w:pPr>
              <w:pStyle w:val="TableContents"/>
              <w:spacing w:before="0" w:after="283"/>
              <w:rPr/>
            </w:pPr>
            <w:r>
              <w:rPr/>
              <w:t>  </w:t>
            </w:r>
          </w:p>
        </w:tc>
      </w:tr>
      <w:tr>
        <w:trPr/>
        <w:tc>
          <w:tcPr>
            <w:tcW w:w="2505" w:type="dxa"/>
            <w:tcBorders/>
            <w:shd w:fill="CCEEFF" w:val="clear"/>
          </w:tcPr>
          <w:p>
            <w:pPr>
              <w:pStyle w:val="TableContents"/>
              <w:spacing w:before="0" w:after="283"/>
              <w:rPr>
                <w:rFonts w:ascii="Times New Roman" w:hAnsi="Times New Roman"/>
                <w:sz w:val="20"/>
              </w:rPr>
            </w:pPr>
            <w:r>
              <w:rPr>
                <w:rFonts w:ascii="Times New Roman" w:hAnsi="Times New Roman"/>
                <w:sz w:val="20"/>
              </w:rPr>
              <w:t>Field operating costs</w:t>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30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30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505" w:type="dxa"/>
            <w:tcBorders/>
            <w:shd w:fill="auto" w:val="clear"/>
          </w:tcPr>
          <w:p>
            <w:pPr>
              <w:pStyle w:val="TableContents"/>
              <w:spacing w:before="0" w:after="283"/>
              <w:rPr/>
            </w:pPr>
            <w:r>
              <w:rPr>
                <w:rFonts w:ascii="Times New Roman" w:hAnsi="Times New Roman"/>
                <w:sz w:val="20"/>
              </w:rPr>
              <w:t>Equity compensation charge - operations </w:t>
            </w:r>
            <w:r>
              <w:rPr>
                <w:rFonts w:ascii="Times New Roman" w:hAnsi="Times New Roman"/>
                <w:sz w:val="14"/>
              </w:rPr>
              <w:t>(2)</w:t>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300" w:type="dxa"/>
            <w:tcBorders>
              <w:right w:val="single" w:sz="2" w:space="0" w:color="000000"/>
            </w:tcBorders>
            <w:shd w:fill="auto" w:val="clear"/>
            <w:tcMar>
              <w:right w:w="28" w:type="dxa"/>
            </w:tcM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302" w:type="dxa"/>
            <w:tcBorders/>
            <w:shd w:fill="auto" w:val="clear"/>
            <w:vAlign w:val="bottom"/>
          </w:tcPr>
          <w:p>
            <w:pPr>
              <w:pStyle w:val="TableContents"/>
              <w:spacing w:before="0" w:after="283"/>
              <w:rPr/>
            </w:pPr>
            <w:r>
              <w:rPr/>
              <w:t>  </w:t>
            </w:r>
          </w:p>
        </w:tc>
      </w:tr>
      <w:tr>
        <w:trPr/>
        <w:tc>
          <w:tcPr>
            <w:tcW w:w="2505" w:type="dxa"/>
            <w:tcBorders/>
            <w:shd w:fill="CCEEFF" w:val="clear"/>
          </w:tcPr>
          <w:p>
            <w:pPr>
              <w:pStyle w:val="TableContents"/>
              <w:spacing w:before="0" w:after="283"/>
              <w:rPr>
                <w:rFonts w:ascii="Times New Roman" w:hAnsi="Times New Roman"/>
                <w:sz w:val="20"/>
              </w:rPr>
            </w:pPr>
            <w:r>
              <w:rPr>
                <w:rFonts w:ascii="Times New Roman" w:hAnsi="Times New Roman"/>
                <w:sz w:val="20"/>
              </w:rPr>
              <w:t>Segment G&amp;A expenses (excluding equity compensation expense)</w:t>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30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30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505" w:type="dxa"/>
            <w:tcBorders/>
            <w:shd w:fill="auto" w:val="clear"/>
          </w:tcPr>
          <w:p>
            <w:pPr>
              <w:pStyle w:val="TableContents"/>
              <w:spacing w:before="0" w:after="283"/>
              <w:rPr/>
            </w:pPr>
            <w:r>
              <w:rPr>
                <w:rFonts w:ascii="Times New Roman" w:hAnsi="Times New Roman"/>
                <w:sz w:val="20"/>
              </w:rPr>
              <w:t xml:space="preserve">Equity compensation charge - general and administrative </w:t>
            </w:r>
            <w:r>
              <w:rPr>
                <w:rFonts w:ascii="Times New Roman" w:hAnsi="Times New Roman"/>
                <w:sz w:val="14"/>
              </w:rPr>
              <w:t>(2)</w:t>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right w:val="single" w:sz="2" w:space="0" w:color="000000"/>
            </w:tcBorders>
            <w:shd w:fill="auto"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30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505" w:type="dxa"/>
            <w:tcBorders/>
            <w:shd w:fill="CCEEFF" w:val="clear"/>
          </w:tcPr>
          <w:p>
            <w:pPr>
              <w:pStyle w:val="TableContents"/>
              <w:spacing w:before="0" w:after="283"/>
              <w:rPr>
                <w:rFonts w:ascii="Times New Roman" w:hAnsi="Times New Roman"/>
                <w:sz w:val="20"/>
              </w:rPr>
            </w:pPr>
            <w:r>
              <w:rPr>
                <w:rFonts w:ascii="Times New Roman" w:hAnsi="Times New Roman"/>
                <w:sz w:val="20"/>
              </w:rPr>
              <w:t>Equity earnings in unconsolidated entities</w:t>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30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30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5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2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2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62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top w:val="single" w:sz="2" w:space="0" w:color="000000"/>
            </w:tcBorders>
            <w:shd w:fill="auto" w:val="clear"/>
            <w:tcMar>
              <w:top w:w="28" w:type="dxa"/>
            </w:tcMar>
            <w:vAlign w:val="bottom"/>
          </w:tcPr>
          <w:p>
            <w:pPr>
              <w:pStyle w:val="TableContents"/>
              <w:spacing w:before="0" w:after="283"/>
              <w:rPr/>
            </w:pPr>
            <w:r>
              <w:rPr/>
              <w:t> </w:t>
            </w:r>
          </w:p>
        </w:tc>
        <w:tc>
          <w:tcPr>
            <w:tcW w:w="300" w:type="dxa"/>
            <w:tcBorders>
              <w:right w:val="single" w:sz="2" w:space="0" w:color="000000"/>
            </w:tcBorders>
            <w:shd w:fill="auto" w:val="clear"/>
            <w:tcMar>
              <w:right w:w="28" w:type="dxa"/>
            </w:tcM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2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1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2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top w:val="single" w:sz="2" w:space="0" w:color="000000"/>
            </w:tcBorders>
            <w:shd w:fill="auto" w:val="clear"/>
            <w:tcMar>
              <w:top w:w="28" w:type="dxa"/>
            </w:tcMar>
            <w:vAlign w:val="bottom"/>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r>
      <w:tr>
        <w:trPr/>
        <w:tc>
          <w:tcPr>
            <w:tcW w:w="2505" w:type="dxa"/>
            <w:tcBorders/>
            <w:shd w:fill="auto" w:val="clear"/>
          </w:tcPr>
          <w:p>
            <w:pPr>
              <w:pStyle w:val="TableContents"/>
              <w:spacing w:before="0" w:after="283"/>
              <w:rPr>
                <w:rFonts w:ascii="Times New Roman" w:hAnsi="Times New Roman"/>
                <w:sz w:val="20"/>
              </w:rPr>
            </w:pPr>
            <w:r>
              <w:rPr>
                <w:rFonts w:ascii="Times New Roman" w:hAnsi="Times New Roman"/>
                <w:sz w:val="20"/>
              </w:rPr>
              <w:t>Segment profit</w:t>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300" w:type="dxa"/>
            <w:tcBorders>
              <w:right w:val="single" w:sz="2" w:space="0" w:color="000000"/>
            </w:tcBorders>
            <w:shd w:fill="auto"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30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5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top w:val="double" w:sz="6" w:space="0" w:color="000000"/>
            </w:tcBorders>
            <w:shd w:fill="auto" w:val="clear"/>
            <w:tcMar>
              <w:top w:w="28" w:type="dxa"/>
            </w:tcMar>
            <w:vAlign w:val="bottom"/>
          </w:tcPr>
          <w:p>
            <w:pPr>
              <w:pStyle w:val="TableContents"/>
              <w:spacing w:before="0" w:after="283"/>
              <w:rPr/>
            </w:pPr>
            <w:r>
              <w:rPr/>
              <w:t> </w:t>
            </w:r>
          </w:p>
        </w:tc>
        <w:tc>
          <w:tcPr>
            <w:tcW w:w="300" w:type="dxa"/>
            <w:tcBorders>
              <w:right w:val="single" w:sz="2" w:space="0" w:color="000000"/>
            </w:tcBorders>
            <w:shd w:fill="auto" w:val="clear"/>
            <w:tcMar>
              <w:right w:w="28" w:type="dxa"/>
            </w:tcM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1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top w:val="double" w:sz="6" w:space="0" w:color="000000"/>
            </w:tcBorders>
            <w:shd w:fill="auto" w:val="clear"/>
            <w:tcMar>
              <w:top w:w="28" w:type="dxa"/>
            </w:tcMar>
            <w:vAlign w:val="bottom"/>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r>
      <w:tr>
        <w:trPr/>
        <w:tc>
          <w:tcPr>
            <w:tcW w:w="2505" w:type="dxa"/>
            <w:tcBorders/>
            <w:shd w:fill="CCEEFF" w:val="clear"/>
          </w:tcPr>
          <w:p>
            <w:pPr>
              <w:pStyle w:val="TableContents"/>
              <w:spacing w:before="0" w:after="283"/>
              <w:rPr>
                <w:rFonts w:ascii="Times New Roman" w:hAnsi="Times New Roman"/>
                <w:sz w:val="20"/>
              </w:rPr>
            </w:pPr>
            <w:r>
              <w:rPr>
                <w:rFonts w:ascii="Times New Roman" w:hAnsi="Times New Roman"/>
                <w:sz w:val="20"/>
              </w:rPr>
              <w:t>Maintenance capital</w:t>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30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30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5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top w:val="double" w:sz="6" w:space="0" w:color="000000"/>
            </w:tcBorders>
            <w:shd w:fill="auto" w:val="clear"/>
            <w:tcMar>
              <w:top w:w="28" w:type="dxa"/>
            </w:tcMar>
            <w:vAlign w:val="bottom"/>
          </w:tcPr>
          <w:p>
            <w:pPr>
              <w:pStyle w:val="TableContents"/>
              <w:spacing w:before="0" w:after="283"/>
              <w:rPr/>
            </w:pPr>
            <w:r>
              <w:rPr/>
              <w:t> </w:t>
            </w:r>
          </w:p>
        </w:tc>
        <w:tc>
          <w:tcPr>
            <w:tcW w:w="300" w:type="dxa"/>
            <w:tcBorders>
              <w:right w:val="single" w:sz="2" w:space="0" w:color="000000"/>
            </w:tcBorders>
            <w:shd w:fill="auto" w:val="clear"/>
            <w:tcMar>
              <w:right w:w="28" w:type="dxa"/>
            </w:tcM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1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top w:val="double" w:sz="6" w:space="0" w:color="000000"/>
            </w:tcBorders>
            <w:shd w:fill="auto" w:val="clear"/>
            <w:tcMar>
              <w:top w:w="28" w:type="dxa"/>
            </w:tcMar>
            <w:vAlign w:val="bottom"/>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r>
      <w:tr>
        <w:trPr/>
        <w:tc>
          <w:tcPr>
            <w:tcW w:w="2505" w:type="dxa"/>
            <w:tcBorders/>
            <w:shd w:fill="auto" w:val="clear"/>
          </w:tcPr>
          <w:p>
            <w:pPr>
              <w:pStyle w:val="TableContents"/>
              <w:spacing w:before="0" w:after="283"/>
              <w:rPr>
                <w:rFonts w:ascii="Times New Roman" w:hAnsi="Times New Roman"/>
                <w:sz w:val="20"/>
              </w:rPr>
            </w:pPr>
            <w:r>
              <w:rPr>
                <w:rFonts w:ascii="Times New Roman" w:hAnsi="Times New Roman"/>
                <w:sz w:val="20"/>
              </w:rPr>
              <w:t>Segment profit per barrel</w:t>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auto" w:val="clear"/>
            <w:vAlign w:val="bottom"/>
          </w:tcPr>
          <w:p>
            <w:pPr>
              <w:pStyle w:val="TableContents"/>
              <w:spacing w:before="0" w:after="283"/>
              <w:jc w:val="right"/>
              <w:rPr/>
            </w:pPr>
            <w:r>
              <w:rPr/>
              <w:t>    </w:t>
            </w:r>
            <w:r>
              <w:rPr>
                <w:rFonts w:ascii="Times New Roman" w:hAnsi="Times New Roman"/>
                <w:sz w:val="20"/>
              </w:rPr>
              <w:t>0.34</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auto" w:val="clear"/>
            <w:vAlign w:val="bottom"/>
          </w:tcPr>
          <w:p>
            <w:pPr>
              <w:pStyle w:val="TableContents"/>
              <w:spacing w:before="0" w:after="283"/>
              <w:jc w:val="right"/>
              <w:rPr/>
            </w:pPr>
            <w:r>
              <w:rPr/>
              <w:t>    </w:t>
            </w:r>
            <w:r>
              <w:rPr>
                <w:rFonts w:ascii="Times New Roman" w:hAnsi="Times New Roman"/>
                <w:sz w:val="20"/>
              </w:rPr>
              <w:t>0.29</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auto" w:val="clear"/>
            <w:vAlign w:val="bottom"/>
          </w:tcPr>
          <w:p>
            <w:pPr>
              <w:pStyle w:val="TableContents"/>
              <w:spacing w:before="0" w:after="283"/>
              <w:jc w:val="right"/>
              <w:rPr/>
            </w:pPr>
            <w:r>
              <w:rPr/>
              <w:t>    </w:t>
            </w:r>
            <w:r>
              <w:rPr>
                <w:rFonts w:ascii="Times New Roman" w:hAnsi="Times New Roman"/>
                <w:sz w:val="20"/>
              </w:rPr>
              <w:t>0.05</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pPr>
            <w:r>
              <w:rPr/>
              <w:t>       </w:t>
            </w:r>
            <w:r>
              <w:rPr>
                <w:rFonts w:ascii="Times New Roman" w:hAnsi="Times New Roman"/>
                <w:sz w:val="20"/>
              </w:rPr>
              <w:t>17</w:t>
            </w:r>
          </w:p>
        </w:tc>
        <w:tc>
          <w:tcPr>
            <w:tcW w:w="300" w:type="dxa"/>
            <w:tcBorders>
              <w:right w:val="single" w:sz="2" w:space="0" w:color="000000"/>
            </w:tcBorders>
            <w:shd w:fill="auto"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auto" w:val="clear"/>
            <w:vAlign w:val="bottom"/>
          </w:tcPr>
          <w:p>
            <w:pPr>
              <w:pStyle w:val="TableContents"/>
              <w:spacing w:before="0" w:after="283"/>
              <w:jc w:val="right"/>
              <w:rPr/>
            </w:pPr>
            <w:r>
              <w:rPr/>
              <w:t>    </w:t>
            </w:r>
            <w:r>
              <w:rPr>
                <w:rFonts w:ascii="Times New Roman" w:hAnsi="Times New Roman"/>
                <w:sz w:val="20"/>
              </w:rPr>
              <w:t>0.32</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9" w:type="dxa"/>
            <w:tcBorders/>
            <w:shd w:fill="auto" w:val="clear"/>
            <w:vAlign w:val="bottom"/>
          </w:tcPr>
          <w:p>
            <w:pPr>
              <w:pStyle w:val="TableContents"/>
              <w:spacing w:before="0" w:after="283"/>
              <w:jc w:val="right"/>
              <w:rPr/>
            </w:pPr>
            <w:r>
              <w:rPr/>
              <w:t>    </w:t>
            </w:r>
            <w:r>
              <w:rPr>
                <w:rFonts w:ascii="Times New Roman" w:hAnsi="Times New Roman"/>
                <w:sz w:val="20"/>
              </w:rPr>
              <w:t>0.28</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auto" w:val="clear"/>
            <w:vAlign w:val="bottom"/>
          </w:tcPr>
          <w:p>
            <w:pPr>
              <w:pStyle w:val="TableContents"/>
              <w:spacing w:before="0" w:after="283"/>
              <w:jc w:val="right"/>
              <w:rPr/>
            </w:pPr>
            <w:r>
              <w:rPr/>
              <w:t>    </w:t>
            </w:r>
            <w:r>
              <w:rPr>
                <w:rFonts w:ascii="Times New Roman" w:hAnsi="Times New Roman"/>
                <w:sz w:val="20"/>
              </w:rPr>
              <w:t>0.04</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pPr>
            <w:r>
              <w:rPr/>
              <w:t>       </w:t>
            </w:r>
            <w:r>
              <w:rPr>
                <w:rFonts w:ascii="Times New Roman" w:hAnsi="Times New Roman"/>
                <w:sz w:val="20"/>
              </w:rPr>
              <w:t>14</w:t>
            </w:r>
          </w:p>
        </w:tc>
        <w:tc>
          <w:tcPr>
            <w:tcW w:w="30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5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top w:val="double" w:sz="6" w:space="0" w:color="000000"/>
            </w:tcBorders>
            <w:shd w:fill="auto" w:val="clear"/>
            <w:tcMar>
              <w:top w:w="28" w:type="dxa"/>
            </w:tcMar>
            <w:vAlign w:val="bottom"/>
          </w:tcPr>
          <w:p>
            <w:pPr>
              <w:pStyle w:val="TableContents"/>
              <w:spacing w:before="0" w:after="283"/>
              <w:rPr/>
            </w:pPr>
            <w:r>
              <w:rPr/>
              <w:t> </w:t>
            </w:r>
          </w:p>
        </w:tc>
        <w:tc>
          <w:tcPr>
            <w:tcW w:w="300" w:type="dxa"/>
            <w:tcBorders>
              <w:right w:val="single" w:sz="2" w:space="0" w:color="000000"/>
            </w:tcBorders>
            <w:shd w:fill="auto" w:val="clear"/>
            <w:tcMar>
              <w:right w:w="28" w:type="dxa"/>
            </w:tcM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1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top w:val="double" w:sz="6" w:space="0" w:color="000000"/>
            </w:tcBorders>
            <w:shd w:fill="auto" w:val="clear"/>
            <w:tcMar>
              <w:top w:w="28" w:type="dxa"/>
            </w:tcMar>
            <w:vAlign w:val="bottom"/>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r>
      <w:tr>
        <w:trPr>
          <w:trHeight w:val="240" w:hRule="atLeast"/>
        </w:trPr>
        <w:tc>
          <w:tcPr>
            <w:tcW w:w="2505" w:type="dxa"/>
            <w:tcBorders/>
            <w:shd w:fill="auto" w:val="clear"/>
            <w:vAlign w:val="center"/>
          </w:tcPr>
          <w:p>
            <w:pPr>
              <w:pStyle w:val="TableContents"/>
              <w:spacing w:before="0" w:after="283"/>
              <w:rPr>
                <w:sz w:val="4"/>
                <w:szCs w:val="4"/>
              </w:rPr>
            </w:pPr>
            <w:r>
              <w:rPr>
                <w:sz w:val="4"/>
                <w:szCs w:val="4"/>
              </w:rPr>
            </w:r>
          </w:p>
        </w:tc>
        <w:tc>
          <w:tcPr>
            <w:tcW w:w="1930" w:type="dxa"/>
            <w:gridSpan w:val="8"/>
            <w:tcBorders/>
            <w:shd w:fill="auto" w:val="clear"/>
            <w:vAlign w:val="center"/>
          </w:tcPr>
          <w:p>
            <w:pPr>
              <w:pStyle w:val="TableContents"/>
              <w:spacing w:before="0" w:after="283"/>
              <w:rPr>
                <w:sz w:val="4"/>
                <w:szCs w:val="4"/>
              </w:rPr>
            </w:pPr>
            <w:r>
              <w:rPr>
                <w:sz w:val="4"/>
                <w:szCs w:val="4"/>
              </w:rPr>
            </w:r>
          </w:p>
        </w:tc>
        <w:tc>
          <w:tcPr>
            <w:tcW w:w="1949" w:type="dxa"/>
            <w:gridSpan w:val="7"/>
            <w:tcBorders/>
            <w:shd w:fill="auto" w:val="clear"/>
            <w:vAlign w:val="center"/>
          </w:tcPr>
          <w:p>
            <w:pPr>
              <w:pStyle w:val="TableContents"/>
              <w:spacing w:before="0" w:after="283"/>
              <w:rPr>
                <w:sz w:val="4"/>
                <w:szCs w:val="4"/>
              </w:rPr>
            </w:pPr>
            <w:r>
              <w:rPr>
                <w:sz w:val="4"/>
                <w:szCs w:val="4"/>
              </w:rPr>
            </w:r>
          </w:p>
        </w:tc>
        <w:tc>
          <w:tcPr>
            <w:tcW w:w="1869" w:type="dxa"/>
            <w:gridSpan w:val="8"/>
            <w:tcBorders/>
            <w:shd w:fill="auto" w:val="clear"/>
            <w:vAlign w:val="center"/>
          </w:tcPr>
          <w:p>
            <w:pPr>
              <w:pStyle w:val="TableContents"/>
              <w:spacing w:before="0" w:after="283"/>
              <w:rPr>
                <w:sz w:val="4"/>
                <w:szCs w:val="4"/>
              </w:rPr>
            </w:pPr>
            <w:r>
              <w:rPr>
                <w:sz w:val="4"/>
                <w:szCs w:val="4"/>
              </w:rPr>
            </w:r>
          </w:p>
        </w:tc>
        <w:tc>
          <w:tcPr>
            <w:tcW w:w="1952" w:type="dxa"/>
            <w:gridSpan w:val="7"/>
            <w:tcBorders/>
            <w:shd w:fill="auto" w:val="clear"/>
            <w:vAlign w:val="center"/>
          </w:tcPr>
          <w:p>
            <w:pPr>
              <w:pStyle w:val="TableContents"/>
              <w:spacing w:before="0" w:after="283"/>
              <w:rPr>
                <w:sz w:val="4"/>
                <w:szCs w:val="4"/>
              </w:rPr>
            </w:pPr>
            <w:r>
              <w:rPr>
                <w:sz w:val="4"/>
                <w:szCs w:val="4"/>
              </w:rPr>
            </w:r>
          </w:p>
        </w:tc>
      </w:tr>
      <w:tr>
        <w:trPr/>
        <w:tc>
          <w:tcPr>
            <w:tcW w:w="25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680"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Three Months</w:t>
            </w:r>
            <w:r>
              <w:rPr/>
              <w:br/>
            </w:r>
            <w:r>
              <w:rPr>
                <w:rFonts w:ascii="Times New Roman" w:hAnsi="Times New Roman"/>
                <w:b/>
                <w:sz w:val="14"/>
              </w:rPr>
              <w:t>Ended June 30,</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84"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w:t>
              <w:br/>
              <w:t>Favorable/</w:t>
              <w:br/>
              <w:t>(Unfavorable)</w:t>
              <w:br/>
              <w:t>Variance</w:t>
            </w:r>
          </w:p>
        </w:tc>
        <w:tc>
          <w:tcPr>
            <w:tcW w:w="30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79"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Six Months</w:t>
            </w:r>
            <w:r>
              <w:rPr/>
              <w:br/>
            </w:r>
            <w:r>
              <w:rPr>
                <w:rFonts w:ascii="Times New Roman" w:hAnsi="Times New Roman"/>
                <w:b/>
                <w:sz w:val="14"/>
              </w:rPr>
              <w:t>Ended June 30,</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85"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w:t>
              <w:br/>
              <w:t>Favorable/</w:t>
              <w:br/>
              <w:t>(Unfavorable)</w:t>
              <w:br/>
              <w:t>Variance</w:t>
            </w:r>
          </w:p>
        </w:tc>
        <w:tc>
          <w:tcPr>
            <w:tcW w:w="302" w:type="dxa"/>
            <w:tcBorders/>
            <w:shd w:fill="auto" w:val="clear"/>
            <w:vAlign w:val="bottom"/>
          </w:tcPr>
          <w:p>
            <w:pPr>
              <w:pStyle w:val="TableContents"/>
              <w:spacing w:before="0" w:after="283"/>
              <w:rPr/>
            </w:pPr>
            <w:r>
              <w:rPr/>
              <w:t> </w:t>
            </w:r>
          </w:p>
        </w:tc>
      </w:tr>
      <w:tr>
        <w:trPr/>
        <w:tc>
          <w:tcPr>
            <w:tcW w:w="2505"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Volumes (3)(4)(5)</w:t>
            </w:r>
          </w:p>
        </w:tc>
        <w:tc>
          <w:tcPr>
            <w:tcW w:w="125" w:type="dxa"/>
            <w:tcBorders/>
            <w:shd w:fill="auto" w:val="clear"/>
            <w:vAlign w:val="bottom"/>
          </w:tcPr>
          <w:p>
            <w:pPr>
              <w:pStyle w:val="TableContents"/>
              <w:spacing w:before="0" w:after="283"/>
              <w:rPr/>
            </w:pPr>
            <w:r>
              <w:rPr/>
              <w:t>  </w:t>
            </w:r>
          </w:p>
        </w:tc>
        <w:tc>
          <w:tcPr>
            <w:tcW w:w="74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Volumes</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4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Volumes</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2" w:type="dxa"/>
            <w:tcBorders/>
            <w:shd w:fill="auto" w:val="clear"/>
            <w:vAlign w:val="bottom"/>
          </w:tcPr>
          <w:p>
            <w:pPr>
              <w:pStyle w:val="TableContents"/>
              <w:spacing w:before="0" w:after="283"/>
              <w:rPr/>
            </w:pPr>
            <w:r>
              <w:rPr/>
              <w:t> </w:t>
            </w:r>
          </w:p>
        </w:tc>
      </w:tr>
      <w:tr>
        <w:trPr/>
        <w:tc>
          <w:tcPr>
            <w:tcW w:w="2505" w:type="dxa"/>
            <w:tcBorders/>
            <w:shd w:fill="CCEEFF" w:val="clear"/>
          </w:tcPr>
          <w:p>
            <w:pPr>
              <w:pStyle w:val="TableContents"/>
              <w:spacing w:before="0" w:after="283"/>
              <w:rPr>
                <w:rFonts w:ascii="Times New Roman" w:hAnsi="Times New Roman"/>
                <w:sz w:val="20"/>
              </w:rPr>
            </w:pPr>
            <w:r>
              <w:rPr>
                <w:rFonts w:ascii="Times New Roman" w:hAnsi="Times New Roman"/>
                <w:sz w:val="20"/>
              </w:rPr>
              <w:t>Crude oil, refined products and LPG storage (average monthly capacity in millions of barrels)</w:t>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30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30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5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top w:val="double" w:sz="6" w:space="0" w:color="000000"/>
            </w:tcBorders>
            <w:shd w:fill="auto" w:val="clear"/>
            <w:tcMar>
              <w:top w:w="28" w:type="dxa"/>
            </w:tcMar>
            <w:vAlign w:val="bottom"/>
          </w:tcPr>
          <w:p>
            <w:pPr>
              <w:pStyle w:val="TableContents"/>
              <w:spacing w:before="0" w:after="283"/>
              <w:rPr/>
            </w:pPr>
            <w:r>
              <w:rPr/>
              <w:t> </w:t>
            </w:r>
          </w:p>
        </w:tc>
        <w:tc>
          <w:tcPr>
            <w:tcW w:w="300" w:type="dxa"/>
            <w:tcBorders>
              <w:right w:val="single" w:sz="2" w:space="0" w:color="000000"/>
            </w:tcBorders>
            <w:shd w:fill="auto" w:val="clear"/>
            <w:tcMar>
              <w:right w:w="28" w:type="dxa"/>
            </w:tcM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1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top w:val="double" w:sz="6" w:space="0" w:color="000000"/>
            </w:tcBorders>
            <w:shd w:fill="auto" w:val="clear"/>
            <w:tcMar>
              <w:top w:w="28" w:type="dxa"/>
            </w:tcMar>
            <w:vAlign w:val="bottom"/>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r>
      <w:tr>
        <w:trPr/>
        <w:tc>
          <w:tcPr>
            <w:tcW w:w="2505" w:type="dxa"/>
            <w:tcBorders/>
            <w:shd w:fill="auto" w:val="clear"/>
          </w:tcPr>
          <w:p>
            <w:pPr>
              <w:pStyle w:val="TableContents"/>
              <w:spacing w:before="0" w:after="283"/>
              <w:rPr>
                <w:rFonts w:ascii="Times New Roman" w:hAnsi="Times New Roman"/>
                <w:sz w:val="20"/>
              </w:rPr>
            </w:pPr>
            <w:r>
              <w:rPr>
                <w:rFonts w:ascii="Times New Roman" w:hAnsi="Times New Roman"/>
                <w:sz w:val="20"/>
              </w:rPr>
              <w:t>Natural gas storage (average monthly capacity in billions of cubic feet)</w:t>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w:t>
            </w:r>
          </w:p>
        </w:tc>
        <w:tc>
          <w:tcPr>
            <w:tcW w:w="300" w:type="dxa"/>
            <w:tcBorders>
              <w:right w:val="single" w:sz="2" w:space="0" w:color="000000"/>
            </w:tcBorders>
            <w:shd w:fill="auto"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30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5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top w:val="double" w:sz="6" w:space="0" w:color="000000"/>
            </w:tcBorders>
            <w:shd w:fill="auto" w:val="clear"/>
            <w:tcMar>
              <w:top w:w="28" w:type="dxa"/>
            </w:tcMar>
            <w:vAlign w:val="bottom"/>
          </w:tcPr>
          <w:p>
            <w:pPr>
              <w:pStyle w:val="TableContents"/>
              <w:spacing w:before="0" w:after="283"/>
              <w:rPr/>
            </w:pPr>
            <w:r>
              <w:rPr/>
              <w:t> </w:t>
            </w:r>
          </w:p>
        </w:tc>
        <w:tc>
          <w:tcPr>
            <w:tcW w:w="300" w:type="dxa"/>
            <w:tcBorders>
              <w:right w:val="single" w:sz="2" w:space="0" w:color="000000"/>
            </w:tcBorders>
            <w:shd w:fill="auto" w:val="clear"/>
            <w:tcMar>
              <w:right w:w="28" w:type="dxa"/>
            </w:tcM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1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top w:val="double" w:sz="6" w:space="0" w:color="000000"/>
            </w:tcBorders>
            <w:shd w:fill="auto" w:val="clear"/>
            <w:tcMar>
              <w:top w:w="28" w:type="dxa"/>
            </w:tcMar>
            <w:vAlign w:val="bottom"/>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r>
      <w:tr>
        <w:trPr/>
        <w:tc>
          <w:tcPr>
            <w:tcW w:w="2505" w:type="dxa"/>
            <w:tcBorders/>
            <w:shd w:fill="CCEEFF" w:val="clear"/>
          </w:tcPr>
          <w:p>
            <w:pPr>
              <w:pStyle w:val="TableContents"/>
              <w:spacing w:before="0" w:after="283"/>
              <w:rPr>
                <w:rFonts w:ascii="Times New Roman" w:hAnsi="Times New Roman"/>
                <w:sz w:val="20"/>
              </w:rPr>
            </w:pPr>
            <w:r>
              <w:rPr>
                <w:rFonts w:ascii="Times New Roman" w:hAnsi="Times New Roman"/>
                <w:sz w:val="20"/>
              </w:rPr>
              <w:t>LPG processing (average throughput in thousands of barrels per day)</w:t>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30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30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5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top w:val="double" w:sz="6" w:space="0" w:color="000000"/>
            </w:tcBorders>
            <w:shd w:fill="auto" w:val="clear"/>
            <w:tcMar>
              <w:top w:w="28" w:type="dxa"/>
            </w:tcMar>
            <w:vAlign w:val="bottom"/>
          </w:tcPr>
          <w:p>
            <w:pPr>
              <w:pStyle w:val="TableContents"/>
              <w:spacing w:before="0" w:after="283"/>
              <w:rPr/>
            </w:pPr>
            <w:r>
              <w:rPr/>
              <w:t> </w:t>
            </w:r>
          </w:p>
        </w:tc>
        <w:tc>
          <w:tcPr>
            <w:tcW w:w="300" w:type="dxa"/>
            <w:tcBorders>
              <w:right w:val="single" w:sz="2" w:space="0" w:color="000000"/>
            </w:tcBorders>
            <w:shd w:fill="auto" w:val="clear"/>
            <w:tcMar>
              <w:right w:w="28" w:type="dxa"/>
            </w:tcM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1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top w:val="double" w:sz="6" w:space="0" w:color="000000"/>
            </w:tcBorders>
            <w:shd w:fill="auto" w:val="clear"/>
            <w:tcMar>
              <w:top w:w="28" w:type="dxa"/>
            </w:tcMar>
            <w:vAlign w:val="bottom"/>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r>
      <w:tr>
        <w:trPr/>
        <w:tc>
          <w:tcPr>
            <w:tcW w:w="2505" w:type="dxa"/>
            <w:tcBorders/>
            <w:shd w:fill="auto" w:val="clear"/>
          </w:tcPr>
          <w:p>
            <w:pPr>
              <w:pStyle w:val="TableContents"/>
              <w:spacing w:before="0" w:after="283"/>
              <w:rPr>
                <w:rFonts w:ascii="Times New Roman" w:hAnsi="Times New Roman"/>
                <w:b/>
                <w:sz w:val="20"/>
              </w:rPr>
            </w:pPr>
            <w:r>
              <w:rPr>
                <w:rFonts w:ascii="Times New Roman" w:hAnsi="Times New Roman"/>
                <w:b/>
                <w:sz w:val="20"/>
              </w:rPr>
              <w:t>Facilities segment total (average monthly capacity in millions of barrels)</w:t>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300" w:type="dxa"/>
            <w:tcBorders>
              <w:right w:val="single" w:sz="2" w:space="0" w:color="000000"/>
            </w:tcBorders>
            <w:shd w:fill="auto"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30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5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top w:val="double" w:sz="6" w:space="0" w:color="000000"/>
            </w:tcBorders>
            <w:shd w:fill="auto" w:val="clear"/>
            <w:tcMar>
              <w:top w:w="28" w:type="dxa"/>
            </w:tcMar>
            <w:vAlign w:val="bottom"/>
          </w:tcPr>
          <w:p>
            <w:pPr>
              <w:pStyle w:val="TableContents"/>
              <w:spacing w:before="0" w:after="283"/>
              <w:rPr/>
            </w:pPr>
            <w:r>
              <w:rPr/>
              <w:t> </w:t>
            </w:r>
          </w:p>
        </w:tc>
        <w:tc>
          <w:tcPr>
            <w:tcW w:w="300" w:type="dxa"/>
            <w:tcBorders>
              <w:right w:val="single" w:sz="2" w:space="0" w:color="000000"/>
            </w:tcBorders>
            <w:shd w:fill="auto" w:val="clear"/>
            <w:tcMar>
              <w:right w:w="28" w:type="dxa"/>
            </w:tcM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1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0" w:type="dxa"/>
            <w:tcBorders>
              <w:top w:val="double" w:sz="6" w:space="0" w:color="000000"/>
            </w:tcBorders>
            <w:shd w:fill="auto" w:val="clear"/>
            <w:tcMar>
              <w:top w:w="28" w:type="dxa"/>
            </w:tcMar>
            <w:vAlign w:val="bottom"/>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r>
    </w:tbl>
    <w:p>
      <w:pPr>
        <w:pStyle w:val="TextBody"/>
        <w:pBdr>
          <w:bottom w:val="single" w:sz="16"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intersegment amounts.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Equity compensation expense related to our equity compensation plans. See Note 8 to our Condensed Consolidated Financial Statements for additional discussion of our equity compensation plans.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(3)</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Volumes associated with acquisitions represent total volumes for the number of months we actually owned the assets divided by the number of months in the period.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Facilities total calculated as the sum of: (i) crude oil, refined products and LPG storage capacity; (ii) natural gas storage capacity divided by 6 to account for the 6:1 mcf of gas to crude oil barrel ratio; and (iii) LPG processing volumes multiplied by the number of days in the period and divided by the number of months in the period.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(5)</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September 2009, we acquired the remaining 50% indirect interest in PNGS, which resulted in our 100% ownership of the natural gas storage business and related operating entities. Therefore, natural gas storage volumes for January through June 2009 are netted to our 50% interest in PNGS. January through June 2010 volumes represent our 100% interest in PNGS.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Facilities segment profit and segment profit per barrel were impacted by the following: </w:t>
      </w:r>
    </w:p>
    <w:p>
      <w:pPr>
        <w:pStyle w:val="TextBody"/>
        <w:spacing w:before="90" w:after="0"/>
        <w:rPr>
          <w:rFonts w:ascii="Times New Roman" w:hAnsi="Times New Roman"/>
          <w:sz w:val="20"/>
        </w:rPr>
      </w:pPr>
      <w:r>
        <w:rPr>
          <w:rFonts w:ascii="Times New Roman" w:hAnsi="Times New Roman"/>
          <w:sz w:val="20"/>
        </w:rPr>
        <w:t xml:space="preserve">As noted in the table above, our facilities segment revenues (less storage related costs) and volumes increased for the three and six months ended June 30, 2010 over the three and six months ended June 30, 2009. The significant variances in revenues and average monthly volumes between the comparative periods are discussed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Acquisitions  Revenues net of storage related costs and volumes for the three and six months ended June 30, 2010 over the three and six months ended June 30, 2009 were primarily impacted by the PNGS acquisition, which closed during the third quarter of 2009. This acquisition and ongoing expansion activities at PNGS contributed approximately $16 million and $30 million of additional net revenue and approximately 30 Bcf and 27 Bcf of additional natural gas storage capacity for the three and six months ended June 30, 2010, respectively, compared to the corresponding periods during 2009. Revenues were also favorably impacted by the acquisition of a natural gas processing business, which closed during the second quarter of 2009. This acquisition contributed approximately $3 million and $7 million in additional revenue for the three and six months ended June 30, 2010, respectively.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Expansion Projects  Expansion projects that were completed in phases throughout 2009 also favorably impacted revenues and volumes during the comparative periods. These expansion projects, which were completed at some of our major terminal locations, increased our revenues by a combined $4 million and $6 million, respectively for the first three and six months 2010, compared to the same time period of the prior year. Aggregate volumes increased by approximately 4 million barrels and 5 million barrels for the first six months of 2010 at these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 During the three and six months ended June 30, 2010, we recognized approximately $3 million and $7 million related to volumetric gains. Volumetric gains were immaterial for the three and six months ended June 30, 2009. </w:t>
            </w:r>
          </w:p>
        </w:tc>
      </w:tr>
    </w:tbl>
    <w:p>
      <w:pPr>
        <w:pStyle w:val="TextBody"/>
        <w:spacing w:before="180" w:after="0"/>
        <w:rPr>
          <w:rFonts w:ascii="Times New Roman" w:hAnsi="Times New Roman"/>
          <w:sz w:val="20"/>
        </w:rPr>
      </w:pPr>
      <w:r>
        <w:rPr>
          <w:rFonts w:ascii="Times New Roman" w:hAnsi="Times New Roman"/>
          <w:i/>
          <w:sz w:val="20"/>
        </w:rPr>
        <w:t>Field Operating Costs.</w:t>
      </w:r>
      <w:r>
        <w:rPr>
          <w:rFonts w:ascii="Times New Roman" w:hAnsi="Times New Roman"/>
          <w:sz w:val="20"/>
        </w:rPr>
        <w:t xml:space="preserve"> Field operating costs (excluding equity compensation charges) increased in most categories during the three and six months ended June 30, 2010 compared to the three and six months ended June 30, 2009 primarily due to (i) our continued growth through additional tankage placed into service during 2009 and 2010 at some of our major terminal locations and (ii) acquisitions such as the PNGS and natural gas processing acquisitions completed in second and third quarters of 2009. The consolidation of PNGS into our financial statements following the acquisition in September 2009 resulted in an increase of operating expenses of approximately $2 million and $4 million for the three and six months ended June 30, 2010. </w:t>
      </w:r>
    </w:p>
    <w:p>
      <w:pPr>
        <w:pStyle w:val="TextBody"/>
        <w:spacing w:before="180" w:after="0"/>
        <w:rPr>
          <w:rFonts w:ascii="Times New Roman" w:hAnsi="Times New Roman"/>
          <w:sz w:val="20"/>
        </w:rPr>
      </w:pPr>
      <w:r>
        <w:rPr>
          <w:rFonts w:ascii="Times New Roman" w:hAnsi="Times New Roman"/>
          <w:i/>
          <w:sz w:val="20"/>
        </w:rPr>
        <w:t>General and Administrative Expenses.</w:t>
      </w:r>
      <w:r>
        <w:rPr>
          <w:rFonts w:ascii="Times New Roman" w:hAnsi="Times New Roman"/>
          <w:sz w:val="20"/>
        </w:rPr>
        <w:t xml:space="preserve"> Our general and administrative expenses (excluding equity compensation charges) increased during the three and six months ended June 30, 2010 over the three and six months ended June 30, 2009 primarily due to our continued growth through expansions and acquisitions, such as the PNGS and natural gas processing acquisitions completed in 2009. The consolidation of PNGS into our financial statements following the acquisition in September 2009 resulted in an increase of general and administrative expenses of approximately $4 million and $8 million for the three and six months ended June 30, 2010. These costs include approximately $2 million of costs associated with acquisition evaluation, the start-up of the PNG commercial optimization group and other costs associated with the initial public offering efforts. </w:t>
      </w:r>
    </w:p>
    <w:p>
      <w:pPr>
        <w:pStyle w:val="TextBody"/>
        <w:spacing w:before="180" w:after="0"/>
        <w:rPr>
          <w:rFonts w:ascii="Times New Roman" w:hAnsi="Times New Roman"/>
          <w:sz w:val="20"/>
        </w:rPr>
      </w:pPr>
      <w:r>
        <w:rPr>
          <w:rFonts w:ascii="Times New Roman" w:hAnsi="Times New Roman"/>
          <w:i/>
          <w:sz w:val="20"/>
        </w:rPr>
        <w:t xml:space="preserve">Equity Earnings in Unconsolidated Entities. </w:t>
      </w:r>
      <w:r>
        <w:rPr>
          <w:rFonts w:ascii="Times New Roman" w:hAnsi="Times New Roman"/>
          <w:sz w:val="20"/>
        </w:rPr>
        <w:t xml:space="preserve">Equity earnings in unconsolidated entities decreased in the three and six months ended June 30, 2010 over the three and six months ended June 30, 2009 due to the PNGS acquisition in September 2009 that increased our interest from 50% to 100%.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Supply and Logistics Segment </w:t>
      </w:r>
    </w:p>
    <w:p>
      <w:pPr>
        <w:pStyle w:val="TextBody"/>
        <w:spacing w:before="90" w:after="0"/>
        <w:rPr>
          <w:rFonts w:ascii="Times New Roman" w:hAnsi="Times New Roman"/>
          <w:sz w:val="20"/>
        </w:rPr>
      </w:pPr>
      <w:r>
        <w:rPr>
          <w:rFonts w:ascii="Times New Roman" w:hAnsi="Times New Roman"/>
          <w:sz w:val="20"/>
        </w:rPr>
        <w:t xml:space="preserve">The following table sets forth the operating results from our supply and logistics segment for the periods indicated: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886"/>
        <w:gridCol w:w="137"/>
        <w:gridCol w:w="125"/>
        <w:gridCol w:w="552"/>
        <w:gridCol w:w="125"/>
        <w:gridCol w:w="79"/>
        <w:gridCol w:w="125"/>
        <w:gridCol w:w="552"/>
        <w:gridCol w:w="124"/>
        <w:gridCol w:w="79"/>
        <w:gridCol w:w="125"/>
        <w:gridCol w:w="552"/>
        <w:gridCol w:w="125"/>
        <w:gridCol w:w="79"/>
        <w:gridCol w:w="712"/>
        <w:gridCol w:w="410"/>
        <w:gridCol w:w="79"/>
        <w:gridCol w:w="125"/>
        <w:gridCol w:w="653"/>
        <w:gridCol w:w="125"/>
        <w:gridCol w:w="79"/>
        <w:gridCol w:w="125"/>
        <w:gridCol w:w="552"/>
        <w:gridCol w:w="125"/>
        <w:gridCol w:w="79"/>
        <w:gridCol w:w="125"/>
        <w:gridCol w:w="552"/>
        <w:gridCol w:w="125"/>
        <w:gridCol w:w="79"/>
        <w:gridCol w:w="292"/>
        <w:gridCol w:w="303"/>
      </w:tblGrid>
      <w:tr>
        <w:trPr/>
        <w:tc>
          <w:tcPr>
            <w:tcW w:w="2886"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bottom"/>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r>
      <w:tr>
        <w:trPr/>
        <w:tc>
          <w:tcPr>
            <w:tcW w:w="2886"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Operating Results (1)</w:t>
            </w:r>
          </w:p>
        </w:tc>
        <w:tc>
          <w:tcPr>
            <w:tcW w:w="137" w:type="dxa"/>
            <w:tcBorders/>
            <w:shd w:fill="auto" w:val="clear"/>
            <w:vAlign w:val="bottom"/>
          </w:tcPr>
          <w:p>
            <w:pPr>
              <w:pStyle w:val="TableContents"/>
              <w:spacing w:before="0" w:after="283"/>
              <w:rPr/>
            </w:pPr>
            <w:r>
              <w:rPr/>
              <w:t>  </w:t>
            </w:r>
          </w:p>
        </w:tc>
        <w:tc>
          <w:tcPr>
            <w:tcW w:w="155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w:t>
              <w:br/>
              <w:t xml:space="preserve">Ended June 30, </w:t>
            </w:r>
          </w:p>
        </w:tc>
        <w:tc>
          <w:tcPr>
            <w:tcW w:w="12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593"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w:t>
              <w:br/>
              <w:t>Favorable/</w:t>
              <w:br/>
              <w:t>(Unfavorable)</w:t>
              <w:br/>
              <w:t xml:space="preserve">Variance </w:t>
            </w:r>
          </w:p>
        </w:tc>
        <w:tc>
          <w:tcPr>
            <w:tcW w:w="41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659"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w:t>
              <w:br/>
              <w:t>Ended June 30,</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173"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w:t>
              <w:br/>
              <w:t>Favorable/</w:t>
              <w:br/>
              <w:t>(Unfavorable)</w:t>
              <w:br/>
              <w:t>Variance</w:t>
            </w:r>
          </w:p>
        </w:tc>
        <w:tc>
          <w:tcPr>
            <w:tcW w:w="303" w:type="dxa"/>
            <w:tcBorders/>
            <w:shd w:fill="auto" w:val="clear"/>
            <w:vAlign w:val="bottom"/>
          </w:tcPr>
          <w:p>
            <w:pPr>
              <w:pStyle w:val="TableContents"/>
              <w:spacing w:before="0" w:after="283"/>
              <w:rPr/>
            </w:pPr>
            <w:r>
              <w:rPr/>
              <w:t> </w:t>
            </w:r>
          </w:p>
        </w:tc>
      </w:tr>
      <w:tr>
        <w:trPr/>
        <w:tc>
          <w:tcPr>
            <w:tcW w:w="2886"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(in millions, except per barrel amounts)</w:t>
            </w:r>
          </w:p>
        </w:tc>
        <w:tc>
          <w:tcPr>
            <w:tcW w:w="137" w:type="dxa"/>
            <w:tcBorders/>
            <w:shd w:fill="auto" w:val="clear"/>
            <w:vAlign w:val="bottom"/>
          </w:tcPr>
          <w:p>
            <w:pPr>
              <w:pStyle w:val="TableContents"/>
              <w:spacing w:before="0" w:after="283"/>
              <w:rPr/>
            </w:pPr>
            <w:r>
              <w:rPr/>
              <w:t>  </w:t>
            </w:r>
          </w:p>
        </w:tc>
        <w:tc>
          <w:tcPr>
            <w:tcW w:w="67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67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67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1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41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67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67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9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3" w:type="dxa"/>
            <w:tcBorders/>
            <w:shd w:fill="auto" w:val="clear"/>
            <w:vAlign w:val="bottom"/>
          </w:tcPr>
          <w:p>
            <w:pPr>
              <w:pStyle w:val="TableContents"/>
              <w:spacing w:before="0" w:after="283"/>
              <w:rPr/>
            </w:pPr>
            <w:r>
              <w:rPr/>
              <w:t> </w:t>
            </w:r>
          </w:p>
        </w:tc>
      </w:tr>
      <w:tr>
        <w:trPr/>
        <w:tc>
          <w:tcPr>
            <w:tcW w:w="2886"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1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5,901</w:t>
            </w:r>
          </w:p>
        </w:tc>
        <w:tc>
          <w:tcPr>
            <w:tcW w:w="12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4,099</w:t>
            </w:r>
          </w:p>
        </w:tc>
        <w:tc>
          <w:tcPr>
            <w:tcW w:w="124"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1,802</w:t>
            </w:r>
          </w:p>
        </w:tc>
        <w:tc>
          <w:tcPr>
            <w:tcW w:w="12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41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11,814</w:t>
            </w:r>
          </w:p>
        </w:tc>
        <w:tc>
          <w:tcPr>
            <w:tcW w:w="12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7,231</w:t>
            </w:r>
          </w:p>
        </w:tc>
        <w:tc>
          <w:tcPr>
            <w:tcW w:w="12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4,583</w:t>
            </w:r>
          </w:p>
        </w:tc>
        <w:tc>
          <w:tcPr>
            <w:tcW w:w="12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30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886" w:type="dxa"/>
            <w:tcBorders/>
            <w:shd w:fill="auto" w:val="clear"/>
          </w:tcPr>
          <w:p>
            <w:pPr>
              <w:pStyle w:val="TableContents"/>
              <w:spacing w:before="0" w:after="283"/>
              <w:rPr/>
            </w:pPr>
            <w:r>
              <w:rPr>
                <w:rFonts w:ascii="Times New Roman" w:hAnsi="Times New Roman"/>
                <w:sz w:val="20"/>
              </w:rPr>
              <w:t xml:space="preserve">Purchases and related costs </w:t>
            </w:r>
            <w:r>
              <w:rPr>
                <w:rFonts w:ascii="Times New Roman" w:hAnsi="Times New Roman"/>
                <w:sz w:val="14"/>
              </w:rPr>
              <w:t xml:space="preserve">(2) </w:t>
            </w:r>
          </w:p>
        </w:tc>
        <w:tc>
          <w:tcPr>
            <w:tcW w:w="1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(5,773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(3,951</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(1,822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410" w:type="dxa"/>
            <w:tcBorders>
              <w:right w:val="single" w:sz="2" w:space="0" w:color="000000"/>
            </w:tcBorders>
            <w:shd w:fill="auto"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(11,522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(6,854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(4,668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3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886" w:type="dxa"/>
            <w:tcBorders/>
            <w:shd w:fill="CCEEFF" w:val="clear"/>
          </w:tcPr>
          <w:p>
            <w:pPr>
              <w:pStyle w:val="TableContents"/>
              <w:spacing w:before="0" w:after="283"/>
              <w:rPr>
                <w:rFonts w:ascii="Times New Roman" w:hAnsi="Times New Roman"/>
                <w:sz w:val="20"/>
              </w:rPr>
            </w:pPr>
            <w:r>
              <w:rPr>
                <w:rFonts w:ascii="Times New Roman" w:hAnsi="Times New Roman"/>
                <w:sz w:val="20"/>
              </w:rPr>
              <w:t>Field operating costs</w:t>
            </w:r>
          </w:p>
        </w:tc>
        <w:tc>
          <w:tcPr>
            <w:tcW w:w="1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41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30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886" w:type="dxa"/>
            <w:tcBorders/>
            <w:shd w:fill="auto" w:val="clear"/>
          </w:tcPr>
          <w:p>
            <w:pPr>
              <w:pStyle w:val="TableContents"/>
              <w:spacing w:before="0" w:after="283"/>
              <w:rPr/>
            </w:pPr>
            <w:r>
              <w:rPr>
                <w:rFonts w:ascii="Times New Roman" w:hAnsi="Times New Roman"/>
                <w:sz w:val="20"/>
              </w:rPr>
              <w:t xml:space="preserve">Equity compensation charge - operation </w:t>
            </w:r>
            <w:r>
              <w:rPr>
                <w:rFonts w:ascii="Times New Roman" w:hAnsi="Times New Roman"/>
                <w:sz w:val="14"/>
              </w:rPr>
              <w:t>(3)</w:t>
            </w:r>
          </w:p>
        </w:tc>
        <w:tc>
          <w:tcPr>
            <w:tcW w:w="1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410" w:type="dxa"/>
            <w:tcBorders>
              <w:right w:val="single" w:sz="2" w:space="0" w:color="000000"/>
            </w:tcBorders>
            <w:shd w:fill="auto" w:val="clear"/>
            <w:tcMar>
              <w:right w:w="28" w:type="dxa"/>
            </w:tcM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303" w:type="dxa"/>
            <w:tcBorders/>
            <w:shd w:fill="auto" w:val="clear"/>
            <w:vAlign w:val="bottom"/>
          </w:tcPr>
          <w:p>
            <w:pPr>
              <w:pStyle w:val="TableContents"/>
              <w:spacing w:before="0" w:after="283"/>
              <w:rPr/>
            </w:pPr>
            <w:r>
              <w:rPr/>
              <w:t>  </w:t>
            </w:r>
          </w:p>
        </w:tc>
      </w:tr>
      <w:tr>
        <w:trPr/>
        <w:tc>
          <w:tcPr>
            <w:tcW w:w="2886" w:type="dxa"/>
            <w:tcBorders/>
            <w:shd w:fill="CCEEFF" w:val="clear"/>
          </w:tcPr>
          <w:p>
            <w:pPr>
              <w:pStyle w:val="TableContents"/>
              <w:spacing w:before="0" w:after="283"/>
              <w:rPr>
                <w:rFonts w:ascii="Times New Roman" w:hAnsi="Times New Roman"/>
                <w:sz w:val="20"/>
              </w:rPr>
            </w:pPr>
            <w:r>
              <w:rPr>
                <w:rFonts w:ascii="Times New Roman" w:hAnsi="Times New Roman"/>
                <w:sz w:val="20"/>
              </w:rPr>
              <w:t>Segment G&amp;A expenses (excluding equity compensation expense)</w:t>
            </w:r>
          </w:p>
        </w:tc>
        <w:tc>
          <w:tcPr>
            <w:tcW w:w="1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41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30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886" w:type="dxa"/>
            <w:tcBorders/>
            <w:shd w:fill="auto" w:val="clear"/>
          </w:tcPr>
          <w:p>
            <w:pPr>
              <w:pStyle w:val="TableContents"/>
              <w:spacing w:before="0" w:after="283"/>
              <w:rPr/>
            </w:pPr>
            <w:r>
              <w:rPr>
                <w:rFonts w:ascii="Times New Roman" w:hAnsi="Times New Roman"/>
                <w:sz w:val="20"/>
              </w:rPr>
              <w:t>Equity compensation expense - general and administrative</w:t>
            </w:r>
            <w:r>
              <w:rPr/>
              <w:t xml:space="preserve"> </w:t>
            </w:r>
            <w:r>
              <w:rPr>
                <w:rFonts w:ascii="Times New Roman" w:hAnsi="Times New Roman"/>
                <w:sz w:val="14"/>
              </w:rPr>
              <w:t>(3)</w:t>
            </w:r>
          </w:p>
        </w:tc>
        <w:tc>
          <w:tcPr>
            <w:tcW w:w="1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410" w:type="dxa"/>
            <w:tcBorders>
              <w:right w:val="single" w:sz="2" w:space="0" w:color="000000"/>
            </w:tcBorders>
            <w:shd w:fill="auto"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886"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2"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12" w:type="dxa"/>
            <w:tcBorders>
              <w:top w:val="single" w:sz="2" w:space="0" w:color="000000"/>
            </w:tcBorders>
            <w:shd w:fill="auto" w:val="clear"/>
            <w:tcMar>
              <w:top w:w="28" w:type="dxa"/>
            </w:tcMar>
            <w:vAlign w:val="bottom"/>
          </w:tcPr>
          <w:p>
            <w:pPr>
              <w:pStyle w:val="TableContents"/>
              <w:spacing w:before="0" w:after="283"/>
              <w:rPr/>
            </w:pPr>
            <w:r>
              <w:rPr/>
              <w:t> </w:t>
            </w:r>
          </w:p>
        </w:tc>
        <w:tc>
          <w:tcPr>
            <w:tcW w:w="410" w:type="dxa"/>
            <w:tcBorders>
              <w:right w:val="single" w:sz="2" w:space="0" w:color="000000"/>
            </w:tcBorders>
            <w:shd w:fill="auto" w:val="clear"/>
            <w:tcMar>
              <w:right w:w="28" w:type="dxa"/>
            </w:tcM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5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92" w:type="dxa"/>
            <w:tcBorders>
              <w:top w:val="single" w:sz="2" w:space="0" w:color="000000"/>
            </w:tcBorders>
            <w:shd w:fill="auto" w:val="clear"/>
            <w:tcMar>
              <w:top w:w="28" w:type="dxa"/>
            </w:tcMar>
            <w:vAlign w:val="bottom"/>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r>
      <w:tr>
        <w:trPr/>
        <w:tc>
          <w:tcPr>
            <w:tcW w:w="2886" w:type="dxa"/>
            <w:tcBorders/>
            <w:shd w:fill="CCEEFF" w:val="clear"/>
          </w:tcPr>
          <w:p>
            <w:pPr>
              <w:pStyle w:val="TableContents"/>
              <w:spacing w:before="0" w:after="283"/>
              <w:rPr>
                <w:rFonts w:ascii="Times New Roman" w:hAnsi="Times New Roman"/>
                <w:sz w:val="20"/>
              </w:rPr>
            </w:pPr>
            <w:r>
              <w:rPr>
                <w:rFonts w:ascii="Times New Roman" w:hAnsi="Times New Roman"/>
                <w:sz w:val="20"/>
              </w:rPr>
              <w:t>Segment profit</w:t>
            </w:r>
          </w:p>
        </w:tc>
        <w:tc>
          <w:tcPr>
            <w:tcW w:w="1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2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24"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41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2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w:t>
            </w:r>
          </w:p>
        </w:tc>
        <w:tc>
          <w:tcPr>
            <w:tcW w:w="12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30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886"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2"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2" w:type="dxa"/>
            <w:tcBorders>
              <w:top w:val="double" w:sz="6"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2"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12" w:type="dxa"/>
            <w:tcBorders>
              <w:top w:val="double" w:sz="6" w:space="0" w:color="000000"/>
            </w:tcBorders>
            <w:shd w:fill="auto" w:val="clear"/>
            <w:tcMar>
              <w:top w:w="28" w:type="dxa"/>
            </w:tcMar>
            <w:vAlign w:val="bottom"/>
          </w:tcPr>
          <w:p>
            <w:pPr>
              <w:pStyle w:val="TableContents"/>
              <w:spacing w:before="0" w:after="283"/>
              <w:rPr/>
            </w:pPr>
            <w:r>
              <w:rPr/>
              <w:t> </w:t>
            </w:r>
          </w:p>
        </w:tc>
        <w:tc>
          <w:tcPr>
            <w:tcW w:w="410" w:type="dxa"/>
            <w:tcBorders>
              <w:right w:val="single" w:sz="2" w:space="0" w:color="000000"/>
            </w:tcBorders>
            <w:shd w:fill="auto" w:val="clear"/>
            <w:tcMar>
              <w:right w:w="28" w:type="dxa"/>
            </w:tcM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5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2"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2"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92" w:type="dxa"/>
            <w:tcBorders>
              <w:top w:val="double" w:sz="6" w:space="0" w:color="000000"/>
            </w:tcBorders>
            <w:shd w:fill="auto" w:val="clear"/>
            <w:tcMar>
              <w:top w:w="28" w:type="dxa"/>
            </w:tcMar>
            <w:vAlign w:val="bottom"/>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r>
      <w:tr>
        <w:trPr/>
        <w:tc>
          <w:tcPr>
            <w:tcW w:w="2886" w:type="dxa"/>
            <w:tcBorders/>
            <w:shd w:fill="auto" w:val="clear"/>
          </w:tcPr>
          <w:p>
            <w:pPr>
              <w:pStyle w:val="TableContents"/>
              <w:spacing w:before="0" w:after="283"/>
              <w:rPr>
                <w:rFonts w:ascii="Times New Roman" w:hAnsi="Times New Roman"/>
                <w:sz w:val="20"/>
              </w:rPr>
            </w:pPr>
            <w:r>
              <w:rPr>
                <w:rFonts w:ascii="Times New Roman" w:hAnsi="Times New Roman"/>
                <w:sz w:val="20"/>
              </w:rPr>
              <w:t>Maintenance capital</w:t>
            </w:r>
          </w:p>
        </w:tc>
        <w:tc>
          <w:tcPr>
            <w:tcW w:w="1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410" w:type="dxa"/>
            <w:tcBorders>
              <w:right w:val="single" w:sz="2" w:space="0" w:color="000000"/>
            </w:tcBorders>
            <w:shd w:fill="auto"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3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886"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2"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2" w:type="dxa"/>
            <w:tcBorders>
              <w:top w:val="double" w:sz="6"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2"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12" w:type="dxa"/>
            <w:tcBorders>
              <w:top w:val="double" w:sz="6" w:space="0" w:color="000000"/>
            </w:tcBorders>
            <w:shd w:fill="auto" w:val="clear"/>
            <w:tcMar>
              <w:top w:w="28" w:type="dxa"/>
            </w:tcMar>
            <w:vAlign w:val="bottom"/>
          </w:tcPr>
          <w:p>
            <w:pPr>
              <w:pStyle w:val="TableContents"/>
              <w:spacing w:before="0" w:after="283"/>
              <w:rPr/>
            </w:pPr>
            <w:r>
              <w:rPr/>
              <w:t> </w:t>
            </w:r>
          </w:p>
        </w:tc>
        <w:tc>
          <w:tcPr>
            <w:tcW w:w="410" w:type="dxa"/>
            <w:tcBorders>
              <w:right w:val="single" w:sz="2" w:space="0" w:color="000000"/>
            </w:tcBorders>
            <w:shd w:fill="auto" w:val="clear"/>
            <w:tcMar>
              <w:right w:w="28" w:type="dxa"/>
            </w:tcM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5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2"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2"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92" w:type="dxa"/>
            <w:tcBorders>
              <w:top w:val="double" w:sz="6" w:space="0" w:color="000000"/>
            </w:tcBorders>
            <w:shd w:fill="auto" w:val="clear"/>
            <w:tcMar>
              <w:top w:w="28" w:type="dxa"/>
            </w:tcMar>
            <w:vAlign w:val="bottom"/>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r>
      <w:tr>
        <w:trPr/>
        <w:tc>
          <w:tcPr>
            <w:tcW w:w="2886" w:type="dxa"/>
            <w:tcBorders/>
            <w:shd w:fill="CCEEFF" w:val="clear"/>
          </w:tcPr>
          <w:p>
            <w:pPr>
              <w:pStyle w:val="TableContents"/>
              <w:spacing w:before="0" w:after="283"/>
              <w:rPr/>
            </w:pPr>
            <w:r>
              <w:rPr>
                <w:rFonts w:ascii="Times New Roman" w:hAnsi="Times New Roman"/>
                <w:sz w:val="20"/>
              </w:rPr>
              <w:t xml:space="preserve">Segment profit per barrel </w:t>
            </w:r>
            <w:r>
              <w:rPr>
                <w:rFonts w:ascii="Times New Roman" w:hAnsi="Times New Roman"/>
                <w:sz w:val="14"/>
              </w:rPr>
              <w:t xml:space="preserve">(4) </w:t>
            </w:r>
          </w:p>
        </w:tc>
        <w:tc>
          <w:tcPr>
            <w:tcW w:w="1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0.80</w:t>
            </w:r>
          </w:p>
        </w:tc>
        <w:tc>
          <w:tcPr>
            <w:tcW w:w="12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w:t>
            </w:r>
          </w:p>
        </w:tc>
        <w:tc>
          <w:tcPr>
            <w:tcW w:w="124"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pPr>
            <w:r>
              <w:rPr/>
              <w:t>       </w:t>
            </w:r>
            <w:r>
              <w:rPr>
                <w:rFonts w:ascii="Times New Roman" w:hAnsi="Times New Roman"/>
                <w:sz w:val="20"/>
              </w:rPr>
              <w:t>(28</w:t>
            </w:r>
          </w:p>
        </w:tc>
        <w:tc>
          <w:tcPr>
            <w:tcW w:w="41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w:t>
            </w:r>
          </w:p>
        </w:tc>
        <w:tc>
          <w:tcPr>
            <w:tcW w:w="12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w:t>
            </w:r>
          </w:p>
        </w:tc>
        <w:tc>
          <w:tcPr>
            <w:tcW w:w="12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30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886"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2"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2" w:type="dxa"/>
            <w:tcBorders>
              <w:top w:val="double" w:sz="6"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2"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12" w:type="dxa"/>
            <w:tcBorders>
              <w:top w:val="double" w:sz="6" w:space="0" w:color="000000"/>
            </w:tcBorders>
            <w:shd w:fill="auto" w:val="clear"/>
            <w:tcMar>
              <w:top w:w="28" w:type="dxa"/>
            </w:tcMar>
            <w:vAlign w:val="bottom"/>
          </w:tcPr>
          <w:p>
            <w:pPr>
              <w:pStyle w:val="TableContents"/>
              <w:spacing w:before="0" w:after="283"/>
              <w:rPr/>
            </w:pPr>
            <w:r>
              <w:rPr/>
              <w:t> </w:t>
            </w:r>
          </w:p>
        </w:tc>
        <w:tc>
          <w:tcPr>
            <w:tcW w:w="410" w:type="dxa"/>
            <w:tcBorders>
              <w:right w:val="single" w:sz="2" w:space="0" w:color="000000"/>
            </w:tcBorders>
            <w:shd w:fill="auto" w:val="clear"/>
            <w:tcMar>
              <w:right w:w="28" w:type="dxa"/>
            </w:tcM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5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2"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2"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92" w:type="dxa"/>
            <w:tcBorders>
              <w:top w:val="double" w:sz="6" w:space="0" w:color="000000"/>
            </w:tcBorders>
            <w:shd w:fill="auto" w:val="clear"/>
            <w:tcMar>
              <w:top w:w="28" w:type="dxa"/>
            </w:tcMar>
            <w:vAlign w:val="bottom"/>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r>
      <w:tr>
        <w:trPr>
          <w:trHeight w:val="240" w:hRule="atLeast"/>
        </w:trPr>
        <w:tc>
          <w:tcPr>
            <w:tcW w:w="2886" w:type="dxa"/>
            <w:tcBorders/>
            <w:shd w:fill="auto" w:val="clear"/>
            <w:vAlign w:val="center"/>
          </w:tcPr>
          <w:p>
            <w:pPr>
              <w:pStyle w:val="TableContents"/>
              <w:spacing w:before="0" w:after="283"/>
              <w:rPr>
                <w:sz w:val="4"/>
                <w:szCs w:val="4"/>
              </w:rPr>
            </w:pPr>
            <w:r>
              <w:rPr>
                <w:sz w:val="4"/>
                <w:szCs w:val="4"/>
              </w:rPr>
            </w:r>
          </w:p>
        </w:tc>
        <w:tc>
          <w:tcPr>
            <w:tcW w:w="1819" w:type="dxa"/>
            <w:gridSpan w:val="8"/>
            <w:tcBorders/>
            <w:shd w:fill="auto" w:val="clear"/>
            <w:vAlign w:val="center"/>
          </w:tcPr>
          <w:p>
            <w:pPr>
              <w:pStyle w:val="TableContents"/>
              <w:spacing w:before="0" w:after="283"/>
              <w:rPr>
                <w:sz w:val="4"/>
                <w:szCs w:val="4"/>
              </w:rPr>
            </w:pPr>
            <w:r>
              <w:rPr>
                <w:sz w:val="4"/>
                <w:szCs w:val="4"/>
              </w:rPr>
            </w:r>
          </w:p>
        </w:tc>
        <w:tc>
          <w:tcPr>
            <w:tcW w:w="2082" w:type="dxa"/>
            <w:gridSpan w:val="7"/>
            <w:tcBorders/>
            <w:shd w:fill="auto" w:val="clear"/>
            <w:vAlign w:val="center"/>
          </w:tcPr>
          <w:p>
            <w:pPr>
              <w:pStyle w:val="TableContents"/>
              <w:spacing w:before="0" w:after="283"/>
              <w:rPr>
                <w:sz w:val="4"/>
                <w:szCs w:val="4"/>
              </w:rPr>
            </w:pPr>
            <w:r>
              <w:rPr>
                <w:sz w:val="4"/>
                <w:szCs w:val="4"/>
              </w:rPr>
            </w:r>
          </w:p>
        </w:tc>
        <w:tc>
          <w:tcPr>
            <w:tcW w:w="1863" w:type="dxa"/>
            <w:gridSpan w:val="8"/>
            <w:tcBorders/>
            <w:shd w:fill="auto" w:val="clear"/>
            <w:vAlign w:val="center"/>
          </w:tcPr>
          <w:p>
            <w:pPr>
              <w:pStyle w:val="TableContents"/>
              <w:spacing w:before="0" w:after="283"/>
              <w:rPr>
                <w:sz w:val="4"/>
                <w:szCs w:val="4"/>
              </w:rPr>
            </w:pPr>
            <w:r>
              <w:rPr>
                <w:sz w:val="4"/>
                <w:szCs w:val="4"/>
              </w:rPr>
            </w:r>
          </w:p>
        </w:tc>
        <w:tc>
          <w:tcPr>
            <w:tcW w:w="1555" w:type="dxa"/>
            <w:gridSpan w:val="7"/>
            <w:tcBorders/>
            <w:shd w:fill="auto" w:val="clear"/>
            <w:vAlign w:val="center"/>
          </w:tcPr>
          <w:p>
            <w:pPr>
              <w:pStyle w:val="TableContents"/>
              <w:spacing w:before="0" w:after="283"/>
              <w:rPr>
                <w:sz w:val="4"/>
                <w:szCs w:val="4"/>
              </w:rPr>
            </w:pPr>
            <w:r>
              <w:rPr>
                <w:sz w:val="4"/>
                <w:szCs w:val="4"/>
              </w:rPr>
            </w:r>
          </w:p>
        </w:tc>
      </w:tr>
      <w:tr>
        <w:trPr/>
        <w:tc>
          <w:tcPr>
            <w:tcW w:w="2886"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Average Daily Volumes (5)</w:t>
            </w:r>
          </w:p>
        </w:tc>
        <w:tc>
          <w:tcPr>
            <w:tcW w:w="137" w:type="dxa"/>
            <w:tcBorders/>
            <w:shd w:fill="auto" w:val="clear"/>
            <w:vAlign w:val="bottom"/>
          </w:tcPr>
          <w:p>
            <w:pPr>
              <w:pStyle w:val="TableContents"/>
              <w:spacing w:before="0" w:after="283"/>
              <w:rPr/>
            </w:pPr>
            <w:r>
              <w:rPr/>
              <w:t>  </w:t>
            </w:r>
          </w:p>
        </w:tc>
        <w:tc>
          <w:tcPr>
            <w:tcW w:w="155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w:t>
              <w:br/>
              <w:t>Ended June 30,</w:t>
            </w:r>
          </w:p>
        </w:tc>
        <w:tc>
          <w:tcPr>
            <w:tcW w:w="12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593"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w:t>
              <w:br/>
              <w:t>Favorable/</w:t>
              <w:br/>
              <w:t>(Unfavorable)</w:t>
              <w:br/>
              <w:t>Variance</w:t>
            </w:r>
          </w:p>
        </w:tc>
        <w:tc>
          <w:tcPr>
            <w:tcW w:w="41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659"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w:t>
              <w:br/>
              <w:t>Ended June 30,</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173"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w:t>
              <w:br/>
              <w:t>Favorable/</w:t>
              <w:br/>
              <w:t>(Unfavorable)</w:t>
              <w:br/>
              <w:t>Variance</w:t>
            </w:r>
          </w:p>
        </w:tc>
        <w:tc>
          <w:tcPr>
            <w:tcW w:w="303" w:type="dxa"/>
            <w:tcBorders/>
            <w:shd w:fill="auto" w:val="clear"/>
            <w:vAlign w:val="bottom"/>
          </w:tcPr>
          <w:p>
            <w:pPr>
              <w:pStyle w:val="TableContents"/>
              <w:spacing w:before="0" w:after="283"/>
              <w:rPr/>
            </w:pPr>
            <w:r>
              <w:rPr/>
              <w:t> </w:t>
            </w:r>
          </w:p>
        </w:tc>
      </w:tr>
      <w:tr>
        <w:trPr/>
        <w:tc>
          <w:tcPr>
            <w:tcW w:w="2886"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(in thousands of barrels per day)</w:t>
            </w:r>
          </w:p>
        </w:tc>
        <w:tc>
          <w:tcPr>
            <w:tcW w:w="137" w:type="dxa"/>
            <w:tcBorders/>
            <w:shd w:fill="auto" w:val="clear"/>
            <w:vAlign w:val="bottom"/>
          </w:tcPr>
          <w:p>
            <w:pPr>
              <w:pStyle w:val="TableContents"/>
              <w:spacing w:before="0" w:after="283"/>
              <w:rPr/>
            </w:pPr>
            <w:r>
              <w:rPr/>
              <w:t>  </w:t>
            </w:r>
          </w:p>
        </w:tc>
        <w:tc>
          <w:tcPr>
            <w:tcW w:w="67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67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67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Volumes</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1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41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67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67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Volumes</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9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3" w:type="dxa"/>
            <w:tcBorders/>
            <w:shd w:fill="auto" w:val="clear"/>
            <w:vAlign w:val="bottom"/>
          </w:tcPr>
          <w:p>
            <w:pPr>
              <w:pStyle w:val="TableContents"/>
              <w:spacing w:before="0" w:after="283"/>
              <w:rPr/>
            </w:pPr>
            <w:r>
              <w:rPr/>
              <w:t> </w:t>
            </w:r>
          </w:p>
        </w:tc>
      </w:tr>
      <w:tr>
        <w:trPr/>
        <w:tc>
          <w:tcPr>
            <w:tcW w:w="2886" w:type="dxa"/>
            <w:tcBorders/>
            <w:shd w:fill="CCEEFF" w:val="clear"/>
          </w:tcPr>
          <w:p>
            <w:pPr>
              <w:pStyle w:val="TableContents"/>
              <w:spacing w:before="0" w:after="283"/>
              <w:rPr>
                <w:rFonts w:ascii="Times New Roman" w:hAnsi="Times New Roman"/>
                <w:sz w:val="20"/>
              </w:rPr>
            </w:pPr>
            <w:r>
              <w:rPr>
                <w:rFonts w:ascii="Times New Roman" w:hAnsi="Times New Roman"/>
                <w:sz w:val="20"/>
              </w:rPr>
              <w:t>Crude oil lease gathering purchases</w:t>
            </w:r>
          </w:p>
        </w:tc>
        <w:tc>
          <w:tcPr>
            <w:tcW w:w="1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620</w:t>
            </w:r>
          </w:p>
        </w:tc>
        <w:tc>
          <w:tcPr>
            <w:tcW w:w="12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623</w:t>
            </w:r>
          </w:p>
        </w:tc>
        <w:tc>
          <w:tcPr>
            <w:tcW w:w="124"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41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611</w:t>
            </w:r>
          </w:p>
        </w:tc>
        <w:tc>
          <w:tcPr>
            <w:tcW w:w="12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627</w:t>
            </w:r>
          </w:p>
        </w:tc>
        <w:tc>
          <w:tcPr>
            <w:tcW w:w="12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30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886" w:type="dxa"/>
            <w:tcBorders/>
            <w:shd w:fill="auto" w:val="clear"/>
          </w:tcPr>
          <w:p>
            <w:pPr>
              <w:pStyle w:val="TableContents"/>
              <w:spacing w:before="0" w:after="283"/>
              <w:rPr>
                <w:rFonts w:ascii="Times New Roman" w:hAnsi="Times New Roman"/>
                <w:sz w:val="20"/>
              </w:rPr>
            </w:pPr>
            <w:r>
              <w:rPr>
                <w:rFonts w:ascii="Times New Roman" w:hAnsi="Times New Roman"/>
                <w:sz w:val="20"/>
              </w:rPr>
              <w:t>LPG sales</w:t>
            </w:r>
          </w:p>
        </w:tc>
        <w:tc>
          <w:tcPr>
            <w:tcW w:w="1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2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410" w:type="dxa"/>
            <w:tcBorders>
              <w:right w:val="single" w:sz="2" w:space="0" w:color="000000"/>
            </w:tcBorders>
            <w:shd w:fill="auto"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3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886" w:type="dxa"/>
            <w:tcBorders/>
            <w:shd w:fill="CCEEFF" w:val="clear"/>
          </w:tcPr>
          <w:p>
            <w:pPr>
              <w:pStyle w:val="TableContents"/>
              <w:spacing w:before="0" w:after="283"/>
              <w:rPr>
                <w:rFonts w:ascii="Times New Roman" w:hAnsi="Times New Roman"/>
                <w:sz w:val="20"/>
              </w:rPr>
            </w:pPr>
            <w:r>
              <w:rPr>
                <w:rFonts w:ascii="Times New Roman" w:hAnsi="Times New Roman"/>
                <w:sz w:val="20"/>
              </w:rPr>
              <w:t>Waterborne foreign crude oil imported</w:t>
            </w:r>
          </w:p>
        </w:tc>
        <w:tc>
          <w:tcPr>
            <w:tcW w:w="1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w:t>
            </w:r>
          </w:p>
        </w:tc>
        <w:tc>
          <w:tcPr>
            <w:tcW w:w="12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24"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41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12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2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30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886" w:type="dxa"/>
            <w:tcBorders/>
            <w:shd w:fill="auto" w:val="clear"/>
          </w:tcPr>
          <w:p>
            <w:pPr>
              <w:pStyle w:val="TableContents"/>
              <w:spacing w:before="0" w:after="283"/>
              <w:rPr>
                <w:rFonts w:ascii="Times New Roman" w:hAnsi="Times New Roman"/>
                <w:sz w:val="20"/>
              </w:rPr>
            </w:pPr>
            <w:r>
              <w:rPr>
                <w:rFonts w:ascii="Times New Roman" w:hAnsi="Times New Roman"/>
                <w:sz w:val="20"/>
              </w:rPr>
              <w:t>Refined products sales</w:t>
            </w:r>
          </w:p>
        </w:tc>
        <w:tc>
          <w:tcPr>
            <w:tcW w:w="1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2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410" w:type="dxa"/>
            <w:tcBorders>
              <w:right w:val="single" w:sz="2" w:space="0" w:color="000000"/>
            </w:tcBorders>
            <w:shd w:fill="auto"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3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886"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2"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12" w:type="dxa"/>
            <w:tcBorders>
              <w:top w:val="single" w:sz="2" w:space="0" w:color="000000"/>
            </w:tcBorders>
            <w:shd w:fill="auto" w:val="clear"/>
            <w:tcMar>
              <w:top w:w="28" w:type="dxa"/>
            </w:tcMar>
            <w:vAlign w:val="bottom"/>
          </w:tcPr>
          <w:p>
            <w:pPr>
              <w:pStyle w:val="TableContents"/>
              <w:spacing w:before="0" w:after="283"/>
              <w:rPr/>
            </w:pPr>
            <w:r>
              <w:rPr/>
              <w:t> </w:t>
            </w:r>
          </w:p>
        </w:tc>
        <w:tc>
          <w:tcPr>
            <w:tcW w:w="410" w:type="dxa"/>
            <w:tcBorders>
              <w:right w:val="single" w:sz="2" w:space="0" w:color="000000"/>
            </w:tcBorders>
            <w:shd w:fill="auto" w:val="clear"/>
            <w:tcMar>
              <w:right w:w="28" w:type="dxa"/>
            </w:tcM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5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92" w:type="dxa"/>
            <w:tcBorders>
              <w:top w:val="single" w:sz="2" w:space="0" w:color="000000"/>
            </w:tcBorders>
            <w:shd w:fill="auto" w:val="clear"/>
            <w:tcMar>
              <w:top w:w="28" w:type="dxa"/>
            </w:tcMar>
            <w:vAlign w:val="bottom"/>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r>
      <w:tr>
        <w:trPr/>
        <w:tc>
          <w:tcPr>
            <w:tcW w:w="2886" w:type="dxa"/>
            <w:tcBorders/>
            <w:shd w:fill="CCEEFF" w:val="clear"/>
          </w:tcPr>
          <w:p>
            <w:pPr>
              <w:pStyle w:val="TableContents"/>
              <w:spacing w:before="0" w:after="283"/>
              <w:rPr>
                <w:rFonts w:ascii="Times New Roman" w:hAnsi="Times New Roman"/>
                <w:b/>
                <w:sz w:val="20"/>
              </w:rPr>
            </w:pPr>
            <w:r>
              <w:rPr>
                <w:rFonts w:ascii="Times New Roman" w:hAnsi="Times New Roman"/>
                <w:b/>
                <w:sz w:val="20"/>
              </w:rPr>
              <w:t>Supply &amp; Logistics segment total</w:t>
            </w:r>
          </w:p>
        </w:tc>
        <w:tc>
          <w:tcPr>
            <w:tcW w:w="1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790</w:t>
            </w:r>
          </w:p>
        </w:tc>
        <w:tc>
          <w:tcPr>
            <w:tcW w:w="12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776</w:t>
            </w:r>
          </w:p>
        </w:tc>
        <w:tc>
          <w:tcPr>
            <w:tcW w:w="124"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410" w:type="dxa"/>
            <w:tcBorders>
              <w:right w:val="single" w:sz="2" w:space="0" w:color="000000"/>
            </w:tcBorders>
            <w:shd w:fill="CCEEFF" w:val="clear"/>
            <w:tcMar>
              <w:right w:w="28" w:type="dxa"/>
            </w:tcM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819</w:t>
            </w:r>
          </w:p>
        </w:tc>
        <w:tc>
          <w:tcPr>
            <w:tcW w:w="12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822</w:t>
            </w:r>
          </w:p>
        </w:tc>
        <w:tc>
          <w:tcPr>
            <w:tcW w:w="12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9"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2886"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2"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2" w:type="dxa"/>
            <w:tcBorders>
              <w:top w:val="double" w:sz="6"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2"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12" w:type="dxa"/>
            <w:tcBorders>
              <w:top w:val="double" w:sz="6" w:space="0" w:color="000000"/>
            </w:tcBorders>
            <w:shd w:fill="auto" w:val="clear"/>
            <w:tcMar>
              <w:top w:w="28" w:type="dxa"/>
            </w:tcMar>
            <w:vAlign w:val="bottom"/>
          </w:tcPr>
          <w:p>
            <w:pPr>
              <w:pStyle w:val="TableContents"/>
              <w:spacing w:before="0" w:after="283"/>
              <w:rPr/>
            </w:pPr>
            <w:r>
              <w:rPr/>
              <w:t> </w:t>
            </w:r>
          </w:p>
        </w:tc>
        <w:tc>
          <w:tcPr>
            <w:tcW w:w="410" w:type="dxa"/>
            <w:tcBorders>
              <w:right w:val="single" w:sz="2" w:space="0" w:color="000000"/>
            </w:tcBorders>
            <w:shd w:fill="auto" w:val="clear"/>
            <w:tcMar>
              <w:right w:w="28" w:type="dxa"/>
            </w:tcM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5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2"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2"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92" w:type="dxa"/>
            <w:tcBorders>
              <w:top w:val="double" w:sz="6" w:space="0" w:color="000000"/>
            </w:tcBorders>
            <w:shd w:fill="auto" w:val="clear"/>
            <w:tcMar>
              <w:top w:w="28" w:type="dxa"/>
            </w:tcMar>
            <w:vAlign w:val="bottom"/>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r>
    </w:tbl>
    <w:p>
      <w:pPr>
        <w:pStyle w:val="TextBody"/>
        <w:pBdr>
          <w:bottom w:val="single" w:sz="16"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Revenues and costs include intersegment amounts.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Purchases and related costs include interest expense (related to hedged inventory purchases) of approximately $5 million and $8 million for the three and six months ended June 30, 2010, respectively, compared to $3 million and $5 million for the three and six months ended June 30, 2009, respectively.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(3)</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Equity compensation expense related to our equity compensation plans. See Note 8 to our Condensed Consolidated Financial Statements for additional discussion of our equity compensation plans.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Calculated based on crude oil lease gathering purchased volumes, refined products volumes, LPG sales volumes and waterborne foreign crude oil imported volumes.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(5)</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Volumes associated with acquisitions represent total volumes for the number of days we actually owned the assets divided by the number of days in the period. </w:t>
            </w:r>
          </w:p>
        </w:tc>
      </w:tr>
    </w:tbl>
    <w:p>
      <w:pPr>
        <w:pStyle w:val="TextBody"/>
        <w:spacing w:before="180" w:after="0"/>
        <w:rPr>
          <w:rFonts w:ascii="Times New Roman" w:hAnsi="Times New Roman"/>
          <w:sz w:val="20"/>
        </w:rPr>
      </w:pPr>
      <w:r>
        <w:rPr>
          <w:rFonts w:ascii="Times New Roman" w:hAnsi="Times New Roman"/>
          <w:sz w:val="20"/>
        </w:rPr>
        <w:t xml:space="preserve">The absolute amount of our revenues and purchases increased in the three and six months ended June 30, 2010 as compared to the three and six months ended June 30, 2009, primarily resulting from higher commodity prices experienced in the 2010 period. The NYMEX benchmark price of crude oil ranged from $64 to $87 per barrel and $45 to $73 per barrel during the three months ended June 30, 2010 and 2009, respectively, and from $64 to $87 per barrel and $34 to $73 per barrel during the six months ended June 30, 2010 and 2009, respectively. Because the commodities that we buy and sell are generally indexed to the same pricing indices for both the purchase and sale, revenues and costs related to purchases will fluctuate with market prices. However, the margins related to those purchases and sales will not necessarily have a corresponding increase or decrease.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Generally, we expect a base level of earnings from our supply and logistics segment that may be optimized and enhanced when there is a high level of market volatility, favorable basis differentials and/or a steep contango or backwardated market structure. In addition, certain of our subsidiaries are based in Canada and use the Canadian dollar as their functional currency. Revenues and expenses are translated at average exchange rates prevailing for each month and comparison between periods may be impacted by changes in the average exchange rates. </w:t>
      </w:r>
    </w:p>
    <w:p>
      <w:pPr>
        <w:pStyle w:val="TextBody"/>
        <w:spacing w:before="180" w:after="0"/>
        <w:rPr>
          <w:rFonts w:ascii="Times New Roman" w:hAnsi="Times New Roman"/>
          <w:sz w:val="20"/>
        </w:rPr>
      </w:pPr>
      <w:r>
        <w:rPr>
          <w:rFonts w:ascii="Times New Roman" w:hAnsi="Times New Roman"/>
          <w:sz w:val="20"/>
        </w:rPr>
        <w:t xml:space="preserve">Also, our LPG marketing operations are weather-sensitive, particularly during the approximate six-month peak heating season of October through March, and temperature differences from year to year may have a significant effect on financial performance. </w:t>
      </w:r>
    </w:p>
    <w:p>
      <w:pPr>
        <w:pStyle w:val="TextBody"/>
        <w:spacing w:before="180" w:after="0"/>
        <w:rPr>
          <w:rFonts w:ascii="Times New Roman" w:hAnsi="Times New Roman"/>
          <w:sz w:val="20"/>
        </w:rPr>
      </w:pPr>
      <w:r>
        <w:rPr>
          <w:rFonts w:ascii="Times New Roman" w:hAnsi="Times New Roman"/>
          <w:sz w:val="20"/>
        </w:rPr>
        <w:t xml:space="preserve">Average daily crude oil lease gathering volumes decreased by approximately 16,000 barrels per day during the six months ended June 30, 2010 compared to the same period of 2009 primarily due to the elimination of some of our less profitable lease gathering purchases. Revenues, net of purchases and related costs, decreased by approximately $20 million or 14% and $85 million or 23% during the three and six months ended June 30, 2010 as compared to the three and six months ended June 30, 2009, respectively. Such decrease was primarily due to the following: </w:t>
      </w:r>
    </w:p>
    <w:p>
      <w:pPr>
        <w:pStyle w:val="TextBody"/>
        <w:spacing w:before="90" w:after="0"/>
        <w:rPr>
          <w:rFonts w:ascii="Times New Roman" w:hAnsi="Times New Roman"/>
          <w:sz w:val="20"/>
        </w:rPr>
      </w:pPr>
      <w:r>
        <w:rPr>
          <w:rFonts w:ascii="Times New Roman" w:hAnsi="Times New Roman"/>
          <w:sz w:val="20"/>
        </w:rPr>
        <w:t xml:space="preserve">For the three month period, revenues, net of purchases and related costs were lower primarily due to a 10% decrease in LPG volumes and a decrease in LPG margins. The margin decrease is due to lower iso-butane margins and the contract mix of customer liftings during the quarter. For the six month period the revenues, net of purchases and related costs were lower due to a combination of (i) 8% lower LPG volumes and margins, particularly iso-butane margins, (ii) less favorable crude oil quality differentials and (iii) less favorable contango market conditions. </w:t>
      </w:r>
    </w:p>
    <w:p>
      <w:pPr>
        <w:pStyle w:val="TextBody"/>
        <w:spacing w:before="180" w:after="0"/>
        <w:rPr>
          <w:rFonts w:ascii="Times New Roman" w:hAnsi="Times New Roman"/>
          <w:sz w:val="20"/>
        </w:rPr>
      </w:pPr>
      <w:r>
        <w:rPr>
          <w:rFonts w:ascii="Times New Roman" w:hAnsi="Times New Roman"/>
          <w:sz w:val="20"/>
        </w:rPr>
        <w:t xml:space="preserve">Our results were favorably impacted, however, during the three and six months ended June 30, 2010 compared to the three and six months ended June 30, 2009 as a result of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Net gains on sales of excess inventory and linefill;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Foreign Currency ImpactRevenues and expenses from our Canadian based subsidiaries, which use the Canadian dollar as their functional currency, were translated at the prevailing average exchange rate for each month. During 2010, revenues from some of our Canadian activities were favorably impacted by the depreciation of the USD relative to the CAD. The average CAD to USD exchange rate for the three-month and six-month period ended June 30, 2010 was $1.03 CAD: $1.00 USD and $1.03 CAD: $1.00 USD compared to an average of $1.17 CAD: $1.00 USD and $1.21 CAD: $1.00 USD for the three and six-month period ended June 30, 2009, respectively. </w:t>
            </w:r>
          </w:p>
        </w:tc>
      </w:tr>
    </w:tbl>
    <w:p>
      <w:pPr>
        <w:pStyle w:val="TextBody"/>
        <w:spacing w:before="180" w:after="0"/>
        <w:rPr>
          <w:rFonts w:ascii="Times New Roman" w:hAnsi="Times New Roman"/>
          <w:sz w:val="20"/>
        </w:rPr>
      </w:pPr>
      <w:r>
        <w:rPr>
          <w:rFonts w:ascii="Times New Roman" w:hAnsi="Times New Roman"/>
          <w:i/>
          <w:sz w:val="20"/>
        </w:rPr>
        <w:t>General and Administrative Expenses.</w:t>
      </w:r>
      <w:r>
        <w:rPr>
          <w:rFonts w:ascii="Times New Roman" w:hAnsi="Times New Roman"/>
          <w:sz w:val="20"/>
        </w:rPr>
        <w:t xml:space="preserve"> Our general and administrative expenses (excluding equity compensation charges) increased during the three and six months ended June 30, 2010 over the three and six months ended June 30, 2009 primarily due to increases in payroll costs related to our intersegment allocation and legal fees. </w:t>
      </w:r>
    </w:p>
    <w:p>
      <w:pPr>
        <w:pStyle w:val="TextBody"/>
        <w:spacing w:before="270" w:after="0"/>
        <w:rPr>
          <w:rFonts w:ascii="Times New Roman" w:hAnsi="Times New Roman"/>
          <w:b/>
          <w:i/>
          <w:sz w:val="20"/>
        </w:rPr>
      </w:pPr>
      <w:r>
        <w:rPr>
          <w:rFonts w:ascii="Times New Roman" w:hAnsi="Times New Roman"/>
          <w:b/>
          <w:i/>
          <w:sz w:val="20"/>
        </w:rPr>
        <w:t xml:space="preserve">Other Income and Expenses </w:t>
      </w:r>
    </w:p>
    <w:p>
      <w:pPr>
        <w:pStyle w:val="TextBody"/>
        <w:spacing w:before="90" w:after="0"/>
        <w:rPr>
          <w:rFonts w:ascii="Times New Roman" w:hAnsi="Times New Roman"/>
          <w:sz w:val="20"/>
        </w:rPr>
      </w:pPr>
      <w:r>
        <w:rPr>
          <w:rFonts w:ascii="Times New Roman" w:hAnsi="Times New Roman"/>
          <w:i/>
          <w:sz w:val="20"/>
        </w:rPr>
        <w:t>Depreciation and Amortization.</w:t>
      </w:r>
      <w:r>
        <w:rPr>
          <w:rFonts w:ascii="Times New Roman" w:hAnsi="Times New Roman"/>
          <w:sz w:val="20"/>
        </w:rPr>
        <w:t xml:space="preserve"> Depreciation and amortization expense increased approximately $8 million and $17 million for the three and six months ended June 30, 2010 compared to the three and six months ended June 30, 2009, respectively. Such increases were primarily the result of an increased amount of depreciable assets resulting from our acquisition activities including PNGS as well as various internal growth projects. The increase in depreciation expense was partially offset by extensions of the depreciable lives of several of our large storage facilities based on an ongoing internal review.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rFonts w:ascii="Times New Roman" w:hAnsi="Times New Roman"/>
          <w:sz w:val="20"/>
        </w:rPr>
      </w:pPr>
      <w:r>
        <w:rPr>
          <w:rFonts w:ascii="Times New Roman" w:hAnsi="Times New Roman"/>
          <w:i/>
          <w:sz w:val="20"/>
        </w:rPr>
        <w:t>Interest Expense.</w:t>
      </w:r>
      <w:r>
        <w:rPr>
          <w:rFonts w:ascii="Times New Roman" w:hAnsi="Times New Roman"/>
          <w:sz w:val="20"/>
        </w:rPr>
        <w:t xml:space="preserve"> Interest expense increased approximately $6 million and $13 million for the three and six months ended June 30, 2010 compared to the three and six months ended June 30, 2009, respectively. This increase is primarily due to the collective issuance of approximately $1.4 billion of senior notes (in April, July and September 2009), which was partially offset by the collective retirement of approximately $425 million of senior notes (in August and October 2009). </w:t>
      </w:r>
    </w:p>
    <w:p>
      <w:pPr>
        <w:pStyle w:val="TextBody"/>
        <w:spacing w:before="270" w:after="0"/>
        <w:rPr>
          <w:rFonts w:ascii="Times New Roman" w:hAnsi="Times New Roman"/>
          <w:b/>
          <w:sz w:val="20"/>
        </w:rPr>
      </w:pPr>
      <w:r>
        <w:rPr>
          <w:rFonts w:ascii="Times New Roman" w:hAnsi="Times New Roman"/>
          <w:b/>
          <w:sz w:val="20"/>
        </w:rPr>
        <w:t xml:space="preserve">Liquidity and Capital Resources </w:t>
      </w:r>
    </w:p>
    <w:p>
      <w:pPr>
        <w:pStyle w:val="TextBody"/>
        <w:spacing w:before="90" w:after="0"/>
        <w:rPr>
          <w:rFonts w:ascii="Times New Roman" w:hAnsi="Times New Roman"/>
          <w:b/>
          <w:i/>
          <w:sz w:val="20"/>
        </w:rPr>
      </w:pPr>
      <w:r>
        <w:rPr>
          <w:rFonts w:ascii="Times New Roman" w:hAnsi="Times New Roman"/>
          <w:b/>
          <w:i/>
          <w:sz w:val="20"/>
        </w:rPr>
        <w:t xml:space="preserve">General </w:t>
      </w:r>
    </w:p>
    <w:p>
      <w:pPr>
        <w:pStyle w:val="TextBody"/>
        <w:spacing w:before="90" w:after="0"/>
        <w:rPr>
          <w:rFonts w:ascii="Times New Roman" w:hAnsi="Times New Roman"/>
          <w:sz w:val="20"/>
        </w:rPr>
      </w:pPr>
      <w:r>
        <w:rPr>
          <w:rFonts w:ascii="Times New Roman" w:hAnsi="Times New Roman"/>
          <w:sz w:val="20"/>
        </w:rPr>
        <w:t xml:space="preserve">Our primary cash requirements include, but are not limited to (i) ordinary course of business uses, such as the payment of amounts related to the purchase of crude oil and other products and other expenses, interest payments on our outstanding debt and distributions to our unitholders and General Partner, (ii) maintenance and expansion activities, (iii) acquisitions of assets or businesses and (iv) repayment of principal on our long-term debt. We generally expect to fund our short-term cash requirements through our primary sources of liquidity, which consist of our cash flow generated from operations as well as borrowings under our credit facilities. In addition, we generally expect to fund our long-term needs, such as those resulting from expansion activities or acquisitions, through a variety of sources (either separately or in combination), which may include operating cash flows, borrowings under our credit facilities, and/or the issuance of additional equity or debt securities. At June 30, 2010, we had a working capital surplus of approximately $121 million and approximately $1.2 billion of liquidity available to meet our ongoing operational, investing and finance needs as noted below (in millions):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152"/>
        <w:gridCol w:w="320"/>
        <w:gridCol w:w="125"/>
        <w:gridCol w:w="1608"/>
      </w:tblGrid>
      <w:tr>
        <w:trPr/>
        <w:tc>
          <w:tcPr>
            <w:tcW w:w="8152"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r>
      <w:tr>
        <w:trPr/>
        <w:tc>
          <w:tcPr>
            <w:tcW w:w="8152"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73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of</w:t>
              <w:br/>
              <w:t>June 30, 2010</w:t>
            </w:r>
          </w:p>
        </w:tc>
      </w:tr>
      <w:tr>
        <w:trPr/>
        <w:tc>
          <w:tcPr>
            <w:tcW w:w="8152" w:type="dxa"/>
            <w:tcBorders/>
            <w:shd w:fill="CCEEFF" w:val="clear"/>
          </w:tcPr>
          <w:p>
            <w:pPr>
              <w:pStyle w:val="TableContents"/>
              <w:spacing w:before="0" w:after="283"/>
              <w:rPr>
                <w:rFonts w:ascii="Times New Roman" w:hAnsi="Times New Roman"/>
                <w:sz w:val="20"/>
              </w:rPr>
            </w:pPr>
            <w:r>
              <w:rPr>
                <w:rFonts w:ascii="Times New Roman" w:hAnsi="Times New Roman"/>
                <w:sz w:val="20"/>
              </w:rPr>
              <w:t>Availability under PAA senior unsecured revolving credit facility</w:t>
            </w:r>
          </w:p>
        </w:tc>
        <w:tc>
          <w:tcPr>
            <w:tcW w:w="3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874</w:t>
            </w:r>
          </w:p>
        </w:tc>
      </w:tr>
      <w:tr>
        <w:trPr/>
        <w:tc>
          <w:tcPr>
            <w:tcW w:w="8152" w:type="dxa"/>
            <w:tcBorders/>
            <w:shd w:fill="auto" w:val="clear"/>
          </w:tcPr>
          <w:p>
            <w:pPr>
              <w:pStyle w:val="TableContents"/>
              <w:spacing w:before="0" w:after="283"/>
              <w:rPr/>
            </w:pPr>
            <w:r>
              <w:rPr>
                <w:rFonts w:ascii="Times New Roman" w:hAnsi="Times New Roman"/>
                <w:sz w:val="20"/>
              </w:rPr>
              <w:t xml:space="preserve">Availability under PNG senior unsecured revolving credit facility </w:t>
            </w:r>
            <w:r>
              <w:rPr>
                <w:rFonts w:ascii="Times New Roman" w:hAnsi="Times New Roman"/>
                <w:sz w:val="14"/>
              </w:rPr>
              <w:t>(1)</w:t>
            </w:r>
          </w:p>
        </w:tc>
        <w:tc>
          <w:tcPr>
            <w:tcW w:w="3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6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195</w:t>
            </w:r>
          </w:p>
        </w:tc>
      </w:tr>
      <w:tr>
        <w:trPr/>
        <w:tc>
          <w:tcPr>
            <w:tcW w:w="8152" w:type="dxa"/>
            <w:tcBorders/>
            <w:shd w:fill="CCEEFF" w:val="clear"/>
          </w:tcPr>
          <w:p>
            <w:pPr>
              <w:pStyle w:val="TableContents"/>
              <w:spacing w:before="0" w:after="283"/>
              <w:rPr>
                <w:rFonts w:ascii="Times New Roman" w:hAnsi="Times New Roman"/>
                <w:sz w:val="20"/>
              </w:rPr>
            </w:pPr>
            <w:r>
              <w:rPr>
                <w:rFonts w:ascii="Times New Roman" w:hAnsi="Times New Roman"/>
                <w:sz w:val="20"/>
              </w:rPr>
              <w:t>Availability under PAA senior secured hedged inventory facility</w:t>
            </w:r>
          </w:p>
        </w:tc>
        <w:tc>
          <w:tcPr>
            <w:tcW w:w="3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6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r>
      <w:tr>
        <w:trPr/>
        <w:tc>
          <w:tcPr>
            <w:tcW w:w="8152"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3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6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r>
      <w:tr>
        <w:trPr/>
        <w:tc>
          <w:tcPr>
            <w:tcW w:w="8152"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608"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8152"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08" w:type="dxa"/>
            <w:tcBorders/>
            <w:shd w:fill="CCEEFF" w:val="clear"/>
            <w:vAlign w:val="bottom"/>
          </w:tcPr>
          <w:p>
            <w:pPr>
              <w:pStyle w:val="TableContents"/>
              <w:spacing w:before="0" w:after="283"/>
              <w:jc w:val="right"/>
              <w:rPr/>
            </w:pPr>
            <w:r>
              <w:rPr/>
              <w:t>                  </w:t>
            </w:r>
            <w:r>
              <w:rPr>
                <w:rFonts w:ascii="Times New Roman" w:hAnsi="Times New Roman"/>
                <w:sz w:val="20"/>
              </w:rPr>
              <w:t>1,184</w:t>
            </w:r>
          </w:p>
        </w:tc>
      </w:tr>
      <w:tr>
        <w:trPr/>
        <w:tc>
          <w:tcPr>
            <w:tcW w:w="8152"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608"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pBdr>
          <w:bottom w:val="single" w:sz="16"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In April 2010, PNG entered into a three year, $400 million senior unsecured revolving credit facility that matures in May 2013. Borrowing capacity under this facility may be limited from time to time due to covenant limitations. See Note 5 to our condensed consolidated financial statements for additional discussion of this credit facility and the </w:t>
            </w:r>
            <w:r>
              <w:rPr>
                <w:rFonts w:ascii="Times New Roman" w:hAnsi="Times New Roman"/>
                <w:i/>
                <w:sz w:val="20"/>
              </w:rPr>
              <w:t>Sale of Noncontrolling Interest in a Subsidiary</w:t>
            </w:r>
            <w:r>
              <w:rPr>
                <w:rFonts w:ascii="Times New Roman" w:hAnsi="Times New Roman"/>
                <w:sz w:val="20"/>
              </w:rPr>
              <w:t xml:space="preserve"> section of Note 7 for additional discussion regarding PNG. </w:t>
            </w:r>
          </w:p>
        </w:tc>
      </w:tr>
    </w:tbl>
    <w:p>
      <w:pPr>
        <w:pStyle w:val="TextBody"/>
        <w:spacing w:before="180" w:after="0"/>
        <w:rPr>
          <w:rFonts w:ascii="Times New Roman" w:hAnsi="Times New Roman"/>
          <w:sz w:val="20"/>
        </w:rPr>
      </w:pPr>
      <w:r>
        <w:rPr>
          <w:rFonts w:ascii="Times New Roman" w:hAnsi="Times New Roman"/>
          <w:sz w:val="20"/>
        </w:rPr>
        <w:t xml:space="preserve">We believe that we have and will continue to have the ability to access our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 adverse effect on our financial condition, results of operations or cash flows. See Item 1A. Risk Factors in our 2009 Annual Report on Form 10-K for further discussion regarding risks that may impact our liquidity and capital resources. Usage of the credit facilities is subject to ongoing compliance with covenants. We are currently in compliance with all covenants. </w:t>
      </w:r>
    </w:p>
    <w:p>
      <w:pPr>
        <w:pStyle w:val="TextBody"/>
        <w:spacing w:before="180" w:after="0"/>
        <w:rPr>
          <w:rFonts w:ascii="Times New Roman" w:hAnsi="Times New Roman"/>
          <w:sz w:val="20"/>
        </w:rPr>
      </w:pPr>
      <w:r>
        <w:rPr>
          <w:rFonts w:ascii="Times New Roman" w:hAnsi="Times New Roman"/>
          <w:sz w:val="20"/>
        </w:rPr>
        <w:t xml:space="preserve">Congress recently enacted the Dodd-Frank Wall Street Reform and Consumer Protection Act, which includes provisions regarding the use of derivative financial instruments. The scope and applicability of these provisions is not entirely clear and regulations implementing the various aspects of the Act have not yet been issued. We are currently reviewing the provisions of this legislation and its potential impact on our business, and will continue to monitor the final rules and regulations as they develop. </w:t>
      </w:r>
    </w:p>
    <w:p>
      <w:pPr>
        <w:pStyle w:val="TextBody"/>
        <w:spacing w:before="270" w:after="0"/>
        <w:rPr>
          <w:rFonts w:ascii="Times New Roman" w:hAnsi="Times New Roman"/>
          <w:b/>
          <w:i/>
          <w:sz w:val="20"/>
        </w:rPr>
      </w:pPr>
      <w:r>
        <w:rPr>
          <w:rFonts w:ascii="Times New Roman" w:hAnsi="Times New Roman"/>
          <w:b/>
          <w:i/>
          <w:sz w:val="20"/>
        </w:rPr>
        <w:t xml:space="preserve">Cash Flows from Operating Activities </w:t>
      </w:r>
    </w:p>
    <w:p>
      <w:pPr>
        <w:pStyle w:val="TextBody"/>
        <w:spacing w:before="90" w:after="0"/>
        <w:rPr/>
      </w:pPr>
      <w:r>
        <w:rPr/>
        <w:t>        </w:t>
      </w:r>
      <w:r>
        <w:rPr>
          <w:rFonts w:ascii="Times New Roman" w:hAnsi="Times New Roman"/>
          <w:sz w:val="20"/>
        </w:rPr>
        <w:t xml:space="preserve">For a comprehensive discussion of the primary drivers of our cash flow from operations, including the impact of varying market conditions and the timing of settlement of our derivative activities, see Liquidity and Capital ResourcesCash Flow from Operations under Item 7 of our 2009 Annual Report on Form 10-K.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Net cash flow provided by operating activities for the first six months of 2010 and 2009 was approximately $283 million and approximately $287 million, respectively. The cash provided by operating activities reflects cash generated by our recurring operations, and is also significantly impacted in periods when we are increasing or decreasing the amount of inventory in storage. During the first six months of both 2010 and 2009, we increased the amount of our inventory. The increase in inventory was due to both increased volumes and prices and was primarily related to our crude oil contango market storage activities. During the first six months of 2010, we also have increased our LPG inventory in preparation of the end users increased demand for heating requirements experienced during the winter months. The net increased levels of inventory were financed through borrowings under our credit facilities as well as through our $500 million senior notes that are being used to supplement capital available from our hedged inventory facility. </w:t>
      </w:r>
    </w:p>
    <w:p>
      <w:pPr>
        <w:pStyle w:val="TextBody"/>
        <w:spacing w:before="270" w:after="0"/>
        <w:rPr>
          <w:rFonts w:ascii="Times New Roman" w:hAnsi="Times New Roman"/>
          <w:b/>
          <w:i/>
          <w:sz w:val="20"/>
        </w:rPr>
      </w:pPr>
      <w:r>
        <w:rPr>
          <w:rFonts w:ascii="Times New Roman" w:hAnsi="Times New Roman"/>
          <w:b/>
          <w:i/>
          <w:sz w:val="20"/>
        </w:rPr>
        <w:t xml:space="preserve">Equity and Debt Financing Activities </w:t>
      </w:r>
    </w:p>
    <w:p>
      <w:pPr>
        <w:pStyle w:val="TextBody"/>
        <w:spacing w:before="90" w:after="0"/>
        <w:rPr>
          <w:rFonts w:ascii="Times New Roman" w:hAnsi="Times New Roman"/>
          <w:sz w:val="20"/>
        </w:rPr>
      </w:pPr>
      <w:r>
        <w:rPr>
          <w:rFonts w:ascii="Times New Roman" w:hAnsi="Times New Roman"/>
          <w:sz w:val="20"/>
        </w:rPr>
        <w:t xml:space="preserve">Our financing activities primarily relate to funding acquisitions and internal capital projects, and short-term working capital and hedged inventory borrowings related to our LPG business and contango market activities. Our financing activities have primarily consisted of equity offerings, senior notes offerings and borrowings and repayments under our credit facilities. </w:t>
      </w:r>
    </w:p>
    <w:p>
      <w:pPr>
        <w:pStyle w:val="TextBody"/>
        <w:spacing w:before="180" w:after="0"/>
        <w:rPr>
          <w:rFonts w:ascii="Times New Roman" w:hAnsi="Times New Roman"/>
          <w:sz w:val="20"/>
        </w:rPr>
      </w:pPr>
      <w:r>
        <w:rPr>
          <w:rFonts w:ascii="Times New Roman" w:hAnsi="Times New Roman"/>
          <w:i/>
          <w:sz w:val="20"/>
        </w:rPr>
        <w:t xml:space="preserve">Registration Statements. </w:t>
      </w:r>
      <w:r>
        <w:rPr>
          <w:rFonts w:ascii="Times New Roman" w:hAnsi="Times New Roman"/>
          <w:sz w:val="20"/>
        </w:rPr>
        <w:t xml:space="preserve">We periodically access the capital markets for both equity and debt financing. We have filed with the Securities and Exchange Commission a universal shelf registration statement that, subject to effectiveness at the time of use, allows us to issue up to an aggregate of $2.0 billion of debt or equity securities (Traditional Shelf). As of June 30, 2010, we have $2.0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Our July 2010 offering of our $400 million senior notes due September 15, 2015 was conducted under the WKSI Shelf. </w:t>
      </w:r>
    </w:p>
    <w:p>
      <w:pPr>
        <w:pStyle w:val="TextBody"/>
        <w:spacing w:before="180" w:after="0"/>
        <w:rPr>
          <w:rFonts w:ascii="Times New Roman" w:hAnsi="Times New Roman"/>
          <w:sz w:val="20"/>
        </w:rPr>
      </w:pPr>
      <w:r>
        <w:rPr>
          <w:rFonts w:ascii="Times New Roman" w:hAnsi="Times New Roman"/>
          <w:i/>
          <w:sz w:val="20"/>
        </w:rPr>
        <w:t xml:space="preserve">Senior Notes. </w:t>
      </w:r>
      <w:r>
        <w:rPr>
          <w:rFonts w:ascii="Times New Roman" w:hAnsi="Times New Roman"/>
          <w:sz w:val="20"/>
        </w:rPr>
        <w:t xml:space="preserve">In July 2010, we completed the issuance of $400 million of 3.95% Senior Notes due September 15, 2015. The senior notes were sold at 99.889% of face value. Interest payments are due on March 15 and September 15 of each year, beginning on September 15, 2010. We used the net proceeds from this offering to repay outstanding borrowings under our credit facilities, which may be reborrowed to fund our ongoing expansion capital program, potential future acquisitions or potential redemption of our outstanding 6.25% senior notes that mature in September 2015. </w:t>
      </w:r>
    </w:p>
    <w:p>
      <w:pPr>
        <w:pStyle w:val="TextBody"/>
        <w:spacing w:before="180" w:after="0"/>
        <w:rPr>
          <w:rFonts w:ascii="Times New Roman" w:hAnsi="Times New Roman"/>
          <w:sz w:val="20"/>
        </w:rPr>
      </w:pPr>
      <w:r>
        <w:rPr>
          <w:rFonts w:ascii="Times New Roman" w:hAnsi="Times New Roman"/>
          <w:i/>
          <w:sz w:val="20"/>
        </w:rPr>
        <w:t>Credit Facilities.</w:t>
      </w:r>
      <w:r>
        <w:rPr>
          <w:rFonts w:ascii="Times New Roman" w:hAnsi="Times New Roman"/>
          <w:sz w:val="20"/>
        </w:rPr>
        <w:t xml:space="preserve"> During the six months ended June 30, 2010, we had net borrowings on our revolving credit facilities and our hedged inventory facility of approximately $155 million. The increased amount of borrowings during the first six months of 2010 is primarily due to our increased levels of inventory resulting from the favorable contango market structure and funding our capital program. </w:t>
      </w:r>
    </w:p>
    <w:p>
      <w:pPr>
        <w:pStyle w:val="TextBody"/>
        <w:spacing w:before="180" w:after="0"/>
        <w:rPr>
          <w:rFonts w:ascii="Times New Roman" w:hAnsi="Times New Roman"/>
          <w:sz w:val="20"/>
        </w:rPr>
      </w:pPr>
      <w:r>
        <w:rPr>
          <w:rFonts w:ascii="Times New Roman" w:hAnsi="Times New Roman"/>
          <w:sz w:val="20"/>
        </w:rPr>
        <w:t xml:space="preserve">During the six months ended June 30, 2009, we had net repayments on our revolving credit facilities and our hedged inventory facility of approximately $302 million. These net repayments resulted primarily from (i) sales of LPG inventory that was liquidated during the period, (ii) our March 2009 equity offering and (iii) our April 2009 debt offering. These repayments were partially offset by borrowings on our hedged inventory facility, which resulted from our increased levels of inventory due to the favorable contango market structure. </w:t>
      </w:r>
    </w:p>
    <w:p>
      <w:pPr>
        <w:pStyle w:val="TextBody"/>
        <w:spacing w:before="180" w:after="0"/>
        <w:rPr>
          <w:rFonts w:ascii="Times New Roman" w:hAnsi="Times New Roman"/>
          <w:sz w:val="20"/>
        </w:rPr>
      </w:pPr>
      <w:r>
        <w:rPr>
          <w:rFonts w:ascii="Times New Roman" w:hAnsi="Times New Roman"/>
          <w:sz w:val="20"/>
        </w:rPr>
        <w:t xml:space="preserve">For further discussion related to our credit facilities and long-term debt, see Cash Flow from Operations above and Liquidity and Capital ResourcesCredit Facilities and Long-Term Debt under Item 7 of our 2009 Annual Report on Form 10-K. </w:t>
      </w:r>
    </w:p>
    <w:p>
      <w:pPr>
        <w:pStyle w:val="TextBody"/>
        <w:spacing w:before="270" w:after="0"/>
        <w:rPr>
          <w:rFonts w:ascii="Times New Roman" w:hAnsi="Times New Roman"/>
          <w:b/>
          <w:i/>
          <w:sz w:val="20"/>
        </w:rPr>
      </w:pPr>
      <w:r>
        <w:rPr>
          <w:rFonts w:ascii="Times New Roman" w:hAnsi="Times New Roman"/>
          <w:b/>
          <w:i/>
          <w:sz w:val="20"/>
        </w:rPr>
        <w:t xml:space="preserve">Capital Expenditures and Distributions Paid to Unitholders and General Partner </w:t>
      </w:r>
    </w:p>
    <w:p>
      <w:pPr>
        <w:pStyle w:val="TextBody"/>
        <w:spacing w:before="90" w:after="0"/>
        <w:rPr>
          <w:rFonts w:ascii="Times New Roman" w:hAnsi="Times New Roman"/>
          <w:sz w:val="20"/>
        </w:rPr>
      </w:pPr>
      <w:r>
        <w:rPr>
          <w:rFonts w:ascii="Times New Roman" w:hAnsi="Times New Roman"/>
          <w:sz w:val="20"/>
        </w:rPr>
        <w:t xml:space="preserve">We use cash primarily for our acquisition activities, internal growth projects and distributions paid to our unitholders and general partner. We have made and will continue to make capital expenditures for acquisitions, expansion capital and maintenance capital. Historically, we have financed these expenditures primarily with cash generated by operations and the financing activities discussed above. See Internal Growth Projects above and Acquisitions and Internal Growth Projects under Item 7 of our 2009 Annual Report on Form 10-K for further discussion for such capital expenditures.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i/>
          <w:sz w:val="20"/>
        </w:rPr>
        <w:t>Distributions to unitholders and general partner.</w:t>
      </w:r>
      <w:r>
        <w:rPr>
          <w:rFonts w:ascii="Times New Roman" w:hAnsi="Times New Roman"/>
          <w:sz w:val="20"/>
        </w:rPr>
        <w:t xml:space="preserve"> We distribute 100% of our available cash within 45 days after the end of each quarter to unitholders of record and to our general partner. Available cash is generally defined as all of our cash and cash equivalents on hand at the end of each quarter less reserves established in the discretion of our general partner for future requirements. On August 13, 2010, we will pay a quarterly distribution of $0.9425 per limited partner unit. This distribution represented a year-over-year distribution increase of approximately 4.1%. See Note 7 to our Condensed Consolidated Financial Statements for details of distributions paid. Also, see Item 5. Market for Registrants Common Units, Related Unitholder Matters and Issuer Purchases of Equity SecuritiesCash Distribution Policy of our 2009 Annual Report on Form 10-K for additional discussion of distribution thresholds. </w:t>
      </w:r>
    </w:p>
    <w:p>
      <w:pPr>
        <w:pStyle w:val="TextBody"/>
        <w:spacing w:before="180" w:after="0"/>
        <w:rPr>
          <w:rFonts w:ascii="Times New Roman" w:hAnsi="Times New Roman"/>
          <w:sz w:val="20"/>
        </w:rPr>
      </w:pPr>
      <w:r>
        <w:rPr>
          <w:rFonts w:ascii="Times New Roman" w:hAnsi="Times New Roman"/>
          <w:sz w:val="20"/>
        </w:rPr>
        <w:t xml:space="preserve">Upon closing of the Pacific, Rainbow and PNGS acquisitions, our general partner agreed to reduce the amounts due as incentive distributions. See Note 7 to our Condensed Consolidated Financial Statements for details related to the general partners incentive distribution reduction. </w:t>
      </w:r>
    </w:p>
    <w:p>
      <w:pPr>
        <w:pStyle w:val="TextBody"/>
        <w:spacing w:before="180" w:after="0"/>
        <w:rPr>
          <w:rFonts w:ascii="Times New Roman" w:hAnsi="Times New Roman"/>
          <w:sz w:val="20"/>
        </w:rPr>
      </w:pPr>
      <w:r>
        <w:rPr>
          <w:rFonts w:ascii="Times New Roman" w:hAnsi="Times New Roman"/>
          <w:sz w:val="20"/>
        </w:rPr>
        <w:t xml:space="preserve">We believe that we have sufficient liquid assets, cash flow from operations and borrowing capacity under our credit agreements to meet our financial commitments, debt service obligations, contingencies and anticipated capital expenditures. We are subject to business and operational risks, however, that could adversely affect our cash flow. A material decrease in our cash flows would likely produce an adverse effect on our borrowing capacity. </w:t>
      </w:r>
    </w:p>
    <w:p>
      <w:pPr>
        <w:pStyle w:val="TextBody"/>
        <w:spacing w:before="270" w:after="0"/>
        <w:rPr>
          <w:rFonts w:ascii="Times New Roman" w:hAnsi="Times New Roman"/>
          <w:b/>
          <w:i/>
          <w:sz w:val="20"/>
        </w:rPr>
      </w:pPr>
      <w:r>
        <w:rPr>
          <w:rFonts w:ascii="Times New Roman" w:hAnsi="Times New Roman"/>
          <w:b/>
          <w:i/>
          <w:sz w:val="20"/>
        </w:rPr>
        <w:t xml:space="preserve">Contingencies </w:t>
      </w:r>
    </w:p>
    <w:p>
      <w:pPr>
        <w:pStyle w:val="TextBody"/>
        <w:spacing w:before="90" w:after="0"/>
        <w:rPr>
          <w:rFonts w:ascii="Times New Roman" w:hAnsi="Times New Roman"/>
          <w:sz w:val="20"/>
        </w:rPr>
      </w:pPr>
      <w:r>
        <w:rPr>
          <w:rFonts w:ascii="Times New Roman" w:hAnsi="Times New Roman"/>
          <w:sz w:val="20"/>
        </w:rPr>
        <w:t xml:space="preserve">See Note 10 to our Condensed Consolidated Financial Statements. </w:t>
      </w:r>
    </w:p>
    <w:p>
      <w:pPr>
        <w:pStyle w:val="TextBody"/>
        <w:spacing w:before="270" w:after="0"/>
        <w:rPr>
          <w:rFonts w:ascii="Times New Roman" w:hAnsi="Times New Roman"/>
          <w:b/>
          <w:i/>
          <w:sz w:val="20"/>
        </w:rPr>
      </w:pPr>
      <w:r>
        <w:rPr>
          <w:rFonts w:ascii="Times New Roman" w:hAnsi="Times New Roman"/>
          <w:b/>
          <w:i/>
          <w:sz w:val="20"/>
        </w:rPr>
        <w:t xml:space="preserve">Commitments </w:t>
      </w:r>
    </w:p>
    <w:p>
      <w:pPr>
        <w:pStyle w:val="TextBody"/>
        <w:spacing w:before="90" w:after="0"/>
        <w:rPr>
          <w:rFonts w:ascii="Times New Roman" w:hAnsi="Times New Roman"/>
          <w:sz w:val="20"/>
        </w:rPr>
      </w:pPr>
      <w:r>
        <w:rPr>
          <w:rFonts w:ascii="Times New Roman" w:hAnsi="Times New Roman"/>
          <w:i/>
          <w:sz w:val="20"/>
        </w:rPr>
        <w:t>Contractual Obligations.</w:t>
      </w:r>
      <w:r>
        <w:rPr>
          <w:rFonts w:ascii="Times New Roman" w:hAnsi="Times New Roman"/>
          <w:sz w:val="20"/>
        </w:rPr>
        <w:t xml:space="preserve"> In the ordinary course of doing business, we purchase crude oil and LPG from third parties under contracts, the majority of which range in term from thirty-day evergreen to three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Where applicable, the amounts presented represent the net obligations associated with buy/sell contracts and those subject to a net settlement arrangement with the counterparty. We do not expect to use a significant amount of internal capital to meet these obligations, as the obligations will be funded by corresponding sales to creditworthy entities. </w:t>
      </w:r>
    </w:p>
    <w:p>
      <w:pPr>
        <w:pStyle w:val="TextBody"/>
        <w:spacing w:before="180" w:after="0"/>
        <w:rPr>
          <w:rFonts w:ascii="Times New Roman" w:hAnsi="Times New Roman"/>
          <w:sz w:val="20"/>
        </w:rPr>
      </w:pPr>
      <w:r>
        <w:rPr>
          <w:rFonts w:ascii="Times New Roman" w:hAnsi="Times New Roman"/>
          <w:sz w:val="20"/>
        </w:rPr>
        <w:t xml:space="preserve">The following table includes our best estimate of the amount and timing of these payments as well as others due under the specified contractual obligations as of June 30, 2010 that varied significantly since December 31, 2009 (in millions): </w:t>
      </w:r>
    </w:p>
    <w:tbl>
      <w:tblPr>
        <w:tblW w:w="5000" w:type="pct"/>
        <w:jc w:val="center"/>
        <w:tblInd w:w="0" w:type="dxa"/>
        <w:tblCellMar>
          <w:top w:w="0" w:type="dxa"/>
          <w:left w:w="0" w:type="dxa"/>
          <w:bottom w:w="0" w:type="dxa"/>
          <w:right w:w="0" w:type="dxa"/>
        </w:tblCellMar>
      </w:tblPr>
      <w:tblGrid>
        <w:gridCol w:w="3212"/>
        <w:gridCol w:w="130"/>
        <w:gridCol w:w="125"/>
        <w:gridCol w:w="734"/>
        <w:gridCol w:w="130"/>
        <w:gridCol w:w="125"/>
        <w:gridCol w:w="734"/>
        <w:gridCol w:w="130"/>
        <w:gridCol w:w="125"/>
        <w:gridCol w:w="754"/>
        <w:gridCol w:w="130"/>
        <w:gridCol w:w="125"/>
        <w:gridCol w:w="755"/>
        <w:gridCol w:w="130"/>
        <w:gridCol w:w="125"/>
        <w:gridCol w:w="755"/>
        <w:gridCol w:w="130"/>
        <w:gridCol w:w="125"/>
        <w:gridCol w:w="733"/>
        <w:gridCol w:w="130"/>
        <w:gridCol w:w="125"/>
        <w:gridCol w:w="743"/>
      </w:tblGrid>
      <w:tr>
        <w:trPr/>
        <w:tc>
          <w:tcPr>
            <w:tcW w:w="321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r>
      <w:tr>
        <w:trPr/>
        <w:tc>
          <w:tcPr>
            <w:tcW w:w="3212"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As of June 30, 2010</w:t>
            </w:r>
          </w:p>
        </w:tc>
        <w:tc>
          <w:tcPr>
            <w:tcW w:w="130" w:type="dxa"/>
            <w:tcBorders/>
            <w:shd w:fill="auto" w:val="clear"/>
            <w:vAlign w:val="bottom"/>
          </w:tcPr>
          <w:p>
            <w:pPr>
              <w:pStyle w:val="TableContents"/>
              <w:spacing w:before="0" w:after="283"/>
              <w:rPr/>
            </w:pPr>
            <w:r>
              <w:rPr/>
              <w:t>  </w:t>
            </w:r>
          </w:p>
        </w:tc>
        <w:tc>
          <w:tcPr>
            <w:tcW w:w="85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30" w:type="dxa"/>
            <w:tcBorders/>
            <w:shd w:fill="auto" w:val="clear"/>
            <w:vAlign w:val="bottom"/>
          </w:tcPr>
          <w:p>
            <w:pPr>
              <w:pStyle w:val="TableContents"/>
              <w:spacing w:before="0" w:after="283"/>
              <w:rPr/>
            </w:pPr>
            <w:r>
              <w:rPr/>
              <w:t>  </w:t>
            </w:r>
          </w:p>
        </w:tc>
        <w:tc>
          <w:tcPr>
            <w:tcW w:w="85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30" w:type="dxa"/>
            <w:tcBorders/>
            <w:shd w:fill="auto" w:val="clear"/>
            <w:vAlign w:val="bottom"/>
          </w:tcPr>
          <w:p>
            <w:pPr>
              <w:pStyle w:val="TableContents"/>
              <w:spacing w:before="0" w:after="283"/>
              <w:rPr/>
            </w:pPr>
            <w:r>
              <w:rPr/>
              <w:t>  </w:t>
            </w:r>
          </w:p>
        </w:tc>
        <w:tc>
          <w:tcPr>
            <w:tcW w:w="87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2012</w:t>
            </w:r>
          </w:p>
        </w:tc>
        <w:tc>
          <w:tcPr>
            <w:tcW w:w="130" w:type="dxa"/>
            <w:tcBorders/>
            <w:shd w:fill="auto" w:val="clear"/>
            <w:vAlign w:val="bottom"/>
          </w:tcPr>
          <w:p>
            <w:pPr>
              <w:pStyle w:val="TableContents"/>
              <w:spacing w:before="0" w:after="283"/>
              <w:rPr/>
            </w:pPr>
            <w:r>
              <w:rPr/>
              <w:t>  </w:t>
            </w:r>
          </w:p>
        </w:tc>
        <w:tc>
          <w:tcPr>
            <w:tcW w:w="8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2013</w:t>
            </w:r>
          </w:p>
        </w:tc>
        <w:tc>
          <w:tcPr>
            <w:tcW w:w="130" w:type="dxa"/>
            <w:tcBorders/>
            <w:shd w:fill="auto" w:val="clear"/>
            <w:vAlign w:val="bottom"/>
          </w:tcPr>
          <w:p>
            <w:pPr>
              <w:pStyle w:val="TableContents"/>
              <w:spacing w:before="0" w:after="283"/>
              <w:rPr/>
            </w:pPr>
            <w:r>
              <w:rPr/>
              <w:t>  </w:t>
            </w:r>
          </w:p>
        </w:tc>
        <w:tc>
          <w:tcPr>
            <w:tcW w:w="8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2014</w:t>
            </w:r>
          </w:p>
        </w:tc>
        <w:tc>
          <w:tcPr>
            <w:tcW w:w="130" w:type="dxa"/>
            <w:tcBorders/>
            <w:shd w:fill="auto" w:val="clear"/>
            <w:vAlign w:val="bottom"/>
          </w:tcPr>
          <w:p>
            <w:pPr>
              <w:pStyle w:val="TableContents"/>
              <w:spacing w:before="0" w:after="283"/>
              <w:rPr/>
            </w:pPr>
            <w:r>
              <w:rPr/>
              <w:t>  </w:t>
            </w:r>
          </w:p>
        </w:tc>
        <w:tc>
          <w:tcPr>
            <w:tcW w:w="85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2015 and</w:t>
              <w:br/>
              <w:t>Thereafter</w:t>
            </w:r>
          </w:p>
        </w:tc>
        <w:tc>
          <w:tcPr>
            <w:tcW w:w="130" w:type="dxa"/>
            <w:tcBorders/>
            <w:shd w:fill="auto" w:val="clear"/>
            <w:vAlign w:val="bottom"/>
          </w:tcPr>
          <w:p>
            <w:pPr>
              <w:pStyle w:val="TableContents"/>
              <w:spacing w:before="0" w:after="283"/>
              <w:rPr/>
            </w:pPr>
            <w:r>
              <w:rPr/>
              <w:t>  </w:t>
            </w:r>
          </w:p>
        </w:tc>
        <w:tc>
          <w:tcPr>
            <w:tcW w:w="86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r>
      <w:tr>
        <w:trPr/>
        <w:tc>
          <w:tcPr>
            <w:tcW w:w="3212" w:type="dxa"/>
            <w:tcBorders/>
            <w:shd w:fill="CCEEFF" w:val="clear"/>
          </w:tcPr>
          <w:p>
            <w:pPr>
              <w:pStyle w:val="TableContents"/>
              <w:spacing w:before="0" w:after="283"/>
              <w:rPr/>
            </w:pPr>
            <w:r>
              <w:rPr>
                <w:rFonts w:ascii="Times New Roman" w:hAnsi="Times New Roman"/>
                <w:sz w:val="20"/>
              </w:rPr>
              <w:t xml:space="preserve">Long-term debt and interest payments </w:t>
            </w:r>
            <w:r>
              <w:rPr>
                <w:rFonts w:ascii="Times New Roman" w:hAnsi="Times New Roman"/>
                <w:sz w:val="14"/>
              </w:rPr>
              <w:t>(1)</w:t>
            </w:r>
          </w:p>
        </w:tc>
        <w:tc>
          <w:tcPr>
            <w:tcW w:w="1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w:t>
            </w:r>
          </w:p>
        </w:tc>
        <w:tc>
          <w:tcPr>
            <w:tcW w:w="1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267</w:t>
            </w:r>
          </w:p>
        </w:tc>
        <w:tc>
          <w:tcPr>
            <w:tcW w:w="1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956</w:t>
            </w:r>
          </w:p>
        </w:tc>
        <w:tc>
          <w:tcPr>
            <w:tcW w:w="1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474</w:t>
            </w:r>
          </w:p>
        </w:tc>
        <w:tc>
          <w:tcPr>
            <w:tcW w:w="1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w:t>
            </w:r>
          </w:p>
        </w:tc>
        <w:tc>
          <w:tcPr>
            <w:tcW w:w="1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CCEEFF" w:val="clear"/>
            <w:vAlign w:val="bottom"/>
          </w:tcPr>
          <w:p>
            <w:pPr>
              <w:pStyle w:val="TableContents"/>
              <w:spacing w:before="0" w:after="283"/>
              <w:jc w:val="right"/>
              <w:rPr/>
            </w:pPr>
            <w:r>
              <w:rPr/>
              <w:t>    </w:t>
            </w:r>
            <w:r>
              <w:rPr>
                <w:rFonts w:ascii="Times New Roman" w:hAnsi="Times New Roman"/>
                <w:sz w:val="20"/>
              </w:rPr>
              <w:t>4,933</w:t>
            </w:r>
          </w:p>
        </w:tc>
        <w:tc>
          <w:tcPr>
            <w:tcW w:w="1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3" w:type="dxa"/>
            <w:tcBorders/>
            <w:shd w:fill="CCEEFF" w:val="clear"/>
            <w:vAlign w:val="bottom"/>
          </w:tcPr>
          <w:p>
            <w:pPr>
              <w:pStyle w:val="TableContents"/>
              <w:spacing w:before="0" w:after="283"/>
              <w:jc w:val="right"/>
              <w:rPr/>
            </w:pPr>
            <w:r>
              <w:rPr/>
              <w:t>    </w:t>
            </w:r>
            <w:r>
              <w:rPr>
                <w:rFonts w:ascii="Times New Roman" w:hAnsi="Times New Roman"/>
                <w:sz w:val="20"/>
              </w:rPr>
              <w:t>6,973</w:t>
            </w:r>
          </w:p>
        </w:tc>
      </w:tr>
      <w:tr>
        <w:trPr/>
        <w:tc>
          <w:tcPr>
            <w:tcW w:w="3212" w:type="dxa"/>
            <w:tcBorders/>
            <w:shd w:fill="auto" w:val="clear"/>
          </w:tcPr>
          <w:p>
            <w:pPr>
              <w:pStyle w:val="TableContents"/>
              <w:spacing w:before="0" w:after="283"/>
              <w:rPr/>
            </w:pPr>
            <w:r>
              <w:rPr>
                <w:rFonts w:ascii="Times New Roman" w:hAnsi="Times New Roman"/>
                <w:sz w:val="20"/>
              </w:rPr>
              <w:t xml:space="preserve">Leases </w:t>
            </w:r>
            <w:r>
              <w:rPr>
                <w:rFonts w:ascii="Times New Roman" w:hAnsi="Times New Roman"/>
                <w:sz w:val="14"/>
              </w:rPr>
              <w:t>(2)</w:t>
            </w:r>
          </w:p>
        </w:tc>
        <w:tc>
          <w:tcPr>
            <w:tcW w:w="1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241</w:t>
            </w:r>
          </w:p>
        </w:tc>
        <w:tc>
          <w:tcPr>
            <w:tcW w:w="1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463</w:t>
            </w:r>
          </w:p>
        </w:tc>
      </w:tr>
      <w:tr>
        <w:trPr/>
        <w:tc>
          <w:tcPr>
            <w:tcW w:w="3212" w:type="dxa"/>
            <w:tcBorders/>
            <w:shd w:fill="CCEEFF" w:val="clear"/>
          </w:tcPr>
          <w:p>
            <w:pPr>
              <w:pStyle w:val="TableContents"/>
              <w:spacing w:before="0" w:after="283"/>
              <w:rPr/>
            </w:pPr>
            <w:r>
              <w:rPr>
                <w:rFonts w:ascii="Times New Roman" w:hAnsi="Times New Roman"/>
                <w:sz w:val="20"/>
              </w:rPr>
              <w:t>Crude oil, refined products and LPG purchases </w:t>
            </w:r>
            <w:r>
              <w:rPr>
                <w:rFonts w:ascii="Times New Roman" w:hAnsi="Times New Roman"/>
                <w:sz w:val="14"/>
              </w:rPr>
              <w:t>(3)</w:t>
            </w:r>
          </w:p>
        </w:tc>
        <w:tc>
          <w:tcPr>
            <w:tcW w:w="1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spacing w:before="0" w:after="283"/>
              <w:jc w:val="right"/>
              <w:rPr/>
            </w:pPr>
            <w:r>
              <w:rPr/>
              <w:t>    </w:t>
            </w:r>
            <w:r>
              <w:rPr>
                <w:rFonts w:ascii="Times New Roman" w:hAnsi="Times New Roman"/>
                <w:sz w:val="20"/>
              </w:rPr>
              <w:t>4,958</w:t>
            </w:r>
          </w:p>
        </w:tc>
        <w:tc>
          <w:tcPr>
            <w:tcW w:w="1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spacing w:before="0" w:after="283"/>
              <w:jc w:val="right"/>
              <w:rPr/>
            </w:pPr>
            <w:r>
              <w:rPr/>
              <w:t>    </w:t>
            </w:r>
            <w:r>
              <w:rPr>
                <w:rFonts w:ascii="Times New Roman" w:hAnsi="Times New Roman"/>
                <w:sz w:val="20"/>
              </w:rPr>
              <w:t>1,141</w:t>
            </w:r>
          </w:p>
        </w:tc>
        <w:tc>
          <w:tcPr>
            <w:tcW w:w="1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4" w:type="dxa"/>
            <w:tcBorders/>
            <w:shd w:fill="CCEEFF" w:val="clear"/>
            <w:vAlign w:val="bottom"/>
          </w:tcPr>
          <w:p>
            <w:pPr>
              <w:pStyle w:val="TableContents"/>
              <w:spacing w:before="0" w:after="283"/>
              <w:jc w:val="right"/>
              <w:rPr/>
            </w:pPr>
            <w:r>
              <w:rPr/>
              <w:t>       </w:t>
            </w:r>
            <w:r>
              <w:rPr>
                <w:rFonts w:ascii="Times New Roman" w:hAnsi="Times New Roman"/>
                <w:sz w:val="20"/>
              </w:rPr>
              <w:t>722</w:t>
            </w:r>
          </w:p>
        </w:tc>
        <w:tc>
          <w:tcPr>
            <w:tcW w:w="1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pPr>
            <w:r>
              <w:rPr/>
              <w:t>       </w:t>
            </w:r>
            <w:r>
              <w:rPr>
                <w:rFonts w:ascii="Times New Roman" w:hAnsi="Times New Roman"/>
                <w:sz w:val="20"/>
              </w:rPr>
              <w:t>408</w:t>
            </w:r>
          </w:p>
        </w:tc>
        <w:tc>
          <w:tcPr>
            <w:tcW w:w="1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pPr>
            <w:r>
              <w:rPr/>
              <w:t>       </w:t>
            </w:r>
            <w:r>
              <w:rPr>
                <w:rFonts w:ascii="Times New Roman" w:hAnsi="Times New Roman"/>
                <w:sz w:val="20"/>
              </w:rPr>
              <w:t>400</w:t>
            </w:r>
          </w:p>
        </w:tc>
        <w:tc>
          <w:tcPr>
            <w:tcW w:w="1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261</w:t>
            </w:r>
          </w:p>
        </w:tc>
        <w:tc>
          <w:tcPr>
            <w:tcW w:w="1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7,890</w:t>
            </w:r>
          </w:p>
        </w:tc>
      </w:tr>
    </w:tbl>
    <w:p>
      <w:pPr>
        <w:pStyle w:val="TextBody"/>
        <w:pBdr>
          <w:bottom w:val="single" w:sz="16"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rFonts w:ascii="Times New Roman" w:hAnsi="Times New Roman"/>
                <w:sz w:val="14"/>
              </w:rPr>
              <w:t>(1)</w:t>
            </w:r>
            <w:r>
              <w:rPr/>
              <w:t xml:space="preserve"> </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debt service payments, interest payments due on our senior notes and the commitment fee on our revolving credit facility. Although there is an outstanding balance on our revolving credit facility at June 30, 2010, we historically repay and borrow at varying amounts. As such, we have included only the maximum commitment fee (as if no amounts were outstanding on the facility) in the amounts above.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Leases are primarily for (i) storage, (ii) rights-of-way, (iii) office rent, (iv) pipeline assets and (v) trucks used in our gathering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(3)</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Amounts are based on estimated volumes and market prices based on average activity during June 2010.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i/>
          <w:sz w:val="20"/>
        </w:rPr>
        <w:t xml:space="preserve">Letters of Credit. </w:t>
      </w:r>
      <w:r>
        <w:rPr>
          <w:rFonts w:ascii="Times New Roman" w:hAnsi="Times New Roman"/>
          <w:sz w:val="20"/>
        </w:rPr>
        <w:t xml:space="preserve">In connection with our crude oil supply and logistics activities, we provide certain suppliers with irrevocable standby letters of credit to secure our obligations for the purchase of crude oil.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June 30, 2010 and December 31, 2009, we had outstanding letters of credit of approximately $103 million and $76 million, respectively. </w:t>
      </w:r>
    </w:p>
    <w:p>
      <w:pPr>
        <w:pStyle w:val="TextBody"/>
        <w:spacing w:before="270" w:after="0"/>
        <w:rPr>
          <w:rFonts w:ascii="Times New Roman" w:hAnsi="Times New Roman"/>
          <w:b/>
          <w:sz w:val="20"/>
        </w:rPr>
      </w:pPr>
      <w:r>
        <w:rPr>
          <w:rFonts w:ascii="Times New Roman" w:hAnsi="Times New Roman"/>
          <w:b/>
          <w:sz w:val="20"/>
        </w:rPr>
        <w:t xml:space="preserve">Off-Balance Sheet Arrangements </w:t>
      </w:r>
    </w:p>
    <w:p>
      <w:pPr>
        <w:pStyle w:val="TextBody"/>
        <w:spacing w:before="90" w:after="0"/>
        <w:rPr>
          <w:rFonts w:ascii="Times New Roman" w:hAnsi="Times New Roman"/>
          <w:sz w:val="20"/>
        </w:rPr>
      </w:pPr>
      <w:r>
        <w:rPr>
          <w:rFonts w:ascii="Times New Roman" w:hAnsi="Times New Roman"/>
          <w:sz w:val="20"/>
        </w:rPr>
        <w:t xml:space="preserve">We have no significant off-balance sheet arrangements as defined by Item 307 of Regulation S-K. </w:t>
      </w:r>
    </w:p>
    <w:p>
      <w:pPr>
        <w:pStyle w:val="TextBody"/>
        <w:spacing w:before="270" w:after="0"/>
        <w:rPr>
          <w:rFonts w:ascii="Times New Roman" w:hAnsi="Times New Roman"/>
          <w:b/>
          <w:sz w:val="20"/>
        </w:rPr>
      </w:pPr>
      <w:r>
        <w:rPr>
          <w:rFonts w:ascii="Times New Roman" w:hAnsi="Times New Roman"/>
          <w:b/>
          <w:sz w:val="20"/>
        </w:rPr>
        <w:t xml:space="preserve">Recent Accounting Pronouncements </w:t>
      </w:r>
    </w:p>
    <w:p>
      <w:pPr>
        <w:pStyle w:val="TextBody"/>
        <w:spacing w:before="90" w:after="0"/>
        <w:rPr>
          <w:rFonts w:ascii="Times New Roman" w:hAnsi="Times New Roman"/>
          <w:sz w:val="20"/>
        </w:rPr>
      </w:pPr>
      <w:r>
        <w:rPr>
          <w:rFonts w:ascii="Times New Roman" w:hAnsi="Times New Roman"/>
          <w:sz w:val="20"/>
        </w:rPr>
        <w:t xml:space="preserve">See Note 2 to our Condensed Consolidated Financial Statements. </w:t>
      </w:r>
    </w:p>
    <w:p>
      <w:pPr>
        <w:pStyle w:val="TextBody"/>
        <w:spacing w:before="270" w:after="0"/>
        <w:rPr>
          <w:rFonts w:ascii="Times New Roman" w:hAnsi="Times New Roman"/>
          <w:b/>
          <w:sz w:val="20"/>
        </w:rPr>
      </w:pPr>
      <w:r>
        <w:rPr>
          <w:rFonts w:ascii="Times New Roman" w:hAnsi="Times New Roman"/>
          <w:b/>
          <w:sz w:val="20"/>
        </w:rPr>
        <w:t xml:space="preserve">Critical Accounting Policies and Estimates </w:t>
      </w:r>
    </w:p>
    <w:p>
      <w:pPr>
        <w:pStyle w:val="TextBody"/>
        <w:spacing w:before="90" w:after="0"/>
        <w:rPr>
          <w:rFonts w:ascii="Times New Roman" w:hAnsi="Times New Roman"/>
          <w:sz w:val="20"/>
        </w:rPr>
      </w:pPr>
      <w:r>
        <w:rPr>
          <w:rFonts w:ascii="Times New Roman" w:hAnsi="Times New Roman"/>
          <w:sz w:val="20"/>
        </w:rPr>
        <w:t xml:space="preserve">For additional discussion regarding our critical accounting policies and estimates, see Critical Accounting Policies and Estimates under Item 7 of our 2009 Annual Report on Form 10-K. </w:t>
      </w:r>
    </w:p>
    <w:p>
      <w:pPr>
        <w:pStyle w:val="TextBody"/>
        <w:spacing w:before="270" w:after="0"/>
        <w:rPr>
          <w:rFonts w:ascii="Times New Roman" w:hAnsi="Times New Roman"/>
          <w:b/>
          <w:sz w:val="20"/>
        </w:rPr>
      </w:pPr>
      <w:r>
        <w:rPr>
          <w:rFonts w:ascii="Times New Roman" w:hAnsi="Times New Roman"/>
          <w:b/>
          <w:sz w:val="20"/>
        </w:rPr>
        <w:t xml:space="preserve">Forward-Looking Statements </w:t>
      </w:r>
    </w:p>
    <w:p>
      <w:pPr>
        <w:pStyle w:val="TextBody"/>
        <w:spacing w:before="90" w:after="0"/>
        <w:rPr>
          <w:rFonts w:ascii="Times New Roman" w:hAnsi="Times New Roman"/>
          <w:sz w:val="20"/>
        </w:rPr>
      </w:pPr>
      <w:r>
        <w:rPr>
          <w:rFonts w:ascii="Times New Roman" w:hAnsi="Times New Roman"/>
          <w:sz w:val="20"/>
        </w:rPr>
        <w:t xml:space="preserve">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the results anticipated in the forward-looking statements. These factors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implement or capitalize on planned internal growth projects;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maintenance of our credit rating and ability to receive open credit from our suppliers and trade counterparties;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continued creditworthiness of, and performance by, our counterparties, including financial institutions and trading companies with which we do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effectiveness of our risk management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environmental liabilities or events that are not covered by an indemnity, insurance or existing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abrupt or severe declines or interruptions in outer continental shelf production located offshore California and transported on our pipeline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shortages or cost increases of power supplies,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and our ability to consummate, acquisition or combination opportunities;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obtain debt or equity financing on satisfactory terms to fund additional acquisitions, expansion projects, working capital requirements and the repayment or refinancing of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successful integration and future performance of acquired assets or businesses and the risks associated with operating in lines of business that are distinct and separate from our historical operations;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changes in crude oil market structure, grade differentials and volatility (or lack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impact of current and future laws, rulings, governmental regulations, accounting standards and statements and related interpretations;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effects of competition;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interruptions in service and fluctuations in tariffs or volumes on third-party pipelines;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costs or lack of availability of insurance;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the debt and equity markets, including the price of our units at the time of vesting under our long-term incentive plans;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exchange rate of the Canadian dollar;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weather interference with business operations or project construction;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risks related to the development and operation of natural gas storage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future developments and circumstances at the time distributions are declared;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market or business conditions and the amplification of other risks caused by volatile financial markets, capital constraints and pervasive liquidity concerns;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factors and uncertainties inherent in the transportation, storage, terminalling and marketing of crude oil, refined products and liquefied petroleum gas and other natural gas related petroleum products. </w:t>
            </w:r>
          </w:p>
        </w:tc>
      </w:tr>
    </w:tbl>
    <w:p>
      <w:pPr>
        <w:pStyle w:val="TextBody"/>
        <w:spacing w:before="180" w:after="0"/>
        <w:rPr>
          <w:rFonts w:ascii="Times New Roman" w:hAnsi="Times New Roman"/>
          <w:sz w:val="20"/>
        </w:rPr>
      </w:pPr>
      <w:r>
        <w:rPr>
          <w:rFonts w:ascii="Times New Roman" w:hAnsi="Times New Roman"/>
          <w:sz w:val="20"/>
        </w:rPr>
        <w:t xml:space="preserve">Other factors, described herein, or factors that are unknown or unpredictable, could also have a material adverse effect on future results. Please read Risks Factors discussed in Item 1A of our 2009 Annual Report on Form 10-K. Except as required by applicable securities laws, we do not intend to update these forward-looking statements and information.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25" w:name="tx73093_23"/>
            <w:bookmarkEnd w:id="25"/>
            <w:r>
              <w:rPr>
                <w:rFonts w:ascii="Times New Roman" w:hAnsi="Times New Roman"/>
                <w:b/>
                <w:sz w:val="20"/>
              </w:rPr>
              <w:t>Item 3.</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QUANTITATIVE AND QUALITATIVE DISCLOSURES ABOUT MARKET RISK. </w:t>
            </w:r>
          </w:p>
        </w:tc>
      </w:tr>
    </w:tbl>
    <w:p>
      <w:pPr>
        <w:pStyle w:val="TextBody"/>
        <w:spacing w:before="90" w:after="0"/>
        <w:rPr>
          <w:rFonts w:ascii="Times New Roman" w:hAnsi="Times New Roman"/>
          <w:sz w:val="20"/>
        </w:rPr>
      </w:pPr>
      <w:r>
        <w:rPr>
          <w:rFonts w:ascii="Times New Roman" w:hAnsi="Times New Roman"/>
          <w:sz w:val="20"/>
        </w:rPr>
        <w:t xml:space="preserve">The following should be read in conjunction with Quantitative and Qualitative Disclosures About Market Risk included under Item 7A in our 2009 Annual Report on Form 10-K. There have been no material changes in that information other than as discussed below. Also, see Note 9 to our Condensed Consolidated Financial Statements for additional discussion related to derivative instruments and hedging activities. </w:t>
      </w:r>
    </w:p>
    <w:p>
      <w:pPr>
        <w:pStyle w:val="TextBody"/>
        <w:spacing w:before="270" w:after="0"/>
        <w:rPr>
          <w:rFonts w:ascii="Times New Roman" w:hAnsi="Times New Roman"/>
          <w:b/>
          <w:i/>
          <w:sz w:val="20"/>
        </w:rPr>
      </w:pPr>
      <w:r>
        <w:rPr>
          <w:rFonts w:ascii="Times New Roman" w:hAnsi="Times New Roman"/>
          <w:b/>
          <w:i/>
          <w:sz w:val="20"/>
        </w:rPr>
        <w:t xml:space="preserve">Commodity Price Risk </w:t>
      </w:r>
    </w:p>
    <w:p>
      <w:pPr>
        <w:pStyle w:val="TextBody"/>
        <w:spacing w:before="90" w:after="0"/>
        <w:rPr>
          <w:rFonts w:ascii="Times New Roman" w:hAnsi="Times New Roman"/>
          <w:sz w:val="20"/>
        </w:rPr>
      </w:pPr>
      <w:r>
        <w:rPr>
          <w:rFonts w:ascii="Times New Roman" w:hAnsi="Times New Roman"/>
          <w:sz w:val="20"/>
        </w:rPr>
        <w:t xml:space="preserve">The fair value of our open derivatives with commodity price risk and the change in fair value that would be expected from a ten percent price decrease are shown in the table below (in millions):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193"/>
        <w:gridCol w:w="219"/>
        <w:gridCol w:w="125"/>
        <w:gridCol w:w="1546"/>
        <w:gridCol w:w="125"/>
        <w:gridCol w:w="190"/>
        <w:gridCol w:w="125"/>
        <w:gridCol w:w="1554"/>
        <w:gridCol w:w="128"/>
      </w:tblGrid>
      <w:tr>
        <w:trPr/>
        <w:tc>
          <w:tcPr>
            <w:tcW w:w="619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6193"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67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Fair Value</w:t>
            </w:r>
          </w:p>
        </w:tc>
        <w:tc>
          <w:tcPr>
            <w:tcW w:w="12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67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Effect of 10%</w:t>
              <w:br/>
              <w:t>Price Decrease</w:t>
            </w:r>
          </w:p>
        </w:tc>
        <w:tc>
          <w:tcPr>
            <w:tcW w:w="128" w:type="dxa"/>
            <w:tcBorders/>
            <w:shd w:fill="auto" w:val="clear"/>
            <w:vAlign w:val="bottom"/>
          </w:tcPr>
          <w:p>
            <w:pPr>
              <w:pStyle w:val="TableContents"/>
              <w:spacing w:before="0" w:after="283"/>
              <w:rPr/>
            </w:pPr>
            <w:r>
              <w:rPr/>
              <w:t> </w:t>
            </w:r>
          </w:p>
        </w:tc>
      </w:tr>
      <w:tr>
        <w:trPr/>
        <w:tc>
          <w:tcPr>
            <w:tcW w:w="6193" w:type="dxa"/>
            <w:tcBorders/>
            <w:shd w:fill="CCEEFF" w:val="clear"/>
          </w:tcPr>
          <w:p>
            <w:pPr>
              <w:pStyle w:val="TableContents"/>
              <w:spacing w:before="0" w:after="283"/>
              <w:rPr>
                <w:rFonts w:ascii="Times New Roman" w:hAnsi="Times New Roman"/>
                <w:sz w:val="20"/>
              </w:rPr>
            </w:pPr>
            <w:r>
              <w:rPr>
                <w:rFonts w:ascii="Times New Roman" w:hAnsi="Times New Roman"/>
                <w:sz w:val="20"/>
              </w:rPr>
              <w:t>Crude oil:</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54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554"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6193" w:type="dxa"/>
            <w:tcBorders/>
            <w:shd w:fill="auto" w:val="clear"/>
          </w:tcPr>
          <w:p>
            <w:pPr>
              <w:pStyle w:val="TableContents"/>
              <w:spacing w:before="0" w:after="283"/>
              <w:rPr>
                <w:rFonts w:ascii="Times New Roman" w:hAnsi="Times New Roman"/>
                <w:sz w:val="20"/>
              </w:rPr>
            </w:pPr>
            <w:r>
              <w:rPr>
                <w:rFonts w:ascii="Times New Roman" w:hAnsi="Times New Roman"/>
                <w:sz w:val="20"/>
              </w:rPr>
              <w:t>Futures contracts</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46" w:type="dxa"/>
            <w:tcBorders/>
            <w:shd w:fill="auto" w:val="clear"/>
            <w:vAlign w:val="bottom"/>
          </w:tcPr>
          <w:p>
            <w:pPr>
              <w:pStyle w:val="TableContents"/>
              <w:spacing w:before="0" w:after="283"/>
              <w:jc w:val="right"/>
              <w:rPr/>
            </w:pPr>
            <w:r>
              <w:rPr/>
              <w:t>                    </w:t>
            </w:r>
            <w:r>
              <w:rPr>
                <w:rFonts w:ascii="Times New Roman" w:hAnsi="Times New Roman"/>
                <w:sz w:val="20"/>
              </w:rPr>
              <w:t>165</w:t>
            </w:r>
          </w:p>
        </w:tc>
        <w:tc>
          <w:tcPr>
            <w:tcW w:w="12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54" w:type="dxa"/>
            <w:tcBorders/>
            <w:shd w:fill="auto" w:val="clear"/>
            <w:vAlign w:val="bottom"/>
          </w:tcPr>
          <w:p>
            <w:pPr>
              <w:pStyle w:val="TableContents"/>
              <w:spacing w:before="0" w:after="283"/>
              <w:jc w:val="right"/>
              <w:rPr/>
            </w:pPr>
            <w:r>
              <w:rPr/>
              <w:t>                      </w:t>
            </w:r>
            <w:r>
              <w:rPr>
                <w:rFonts w:ascii="Times New Roman" w:hAnsi="Times New Roman"/>
                <w:sz w:val="20"/>
              </w:rPr>
              <w:t>73</w:t>
            </w:r>
          </w:p>
        </w:tc>
        <w:tc>
          <w:tcPr>
            <w:tcW w:w="128" w:type="dxa"/>
            <w:tcBorders/>
            <w:shd w:fill="auto" w:val="clear"/>
            <w:vAlign w:val="bottom"/>
          </w:tcPr>
          <w:p>
            <w:pPr>
              <w:pStyle w:val="TableContents"/>
              <w:spacing w:before="0" w:after="283"/>
              <w:rPr/>
            </w:pPr>
            <w:r>
              <w:rPr/>
              <w:t>  </w:t>
            </w:r>
          </w:p>
        </w:tc>
      </w:tr>
      <w:tr>
        <w:trPr/>
        <w:tc>
          <w:tcPr>
            <w:tcW w:w="6193" w:type="dxa"/>
            <w:tcBorders/>
            <w:shd w:fill="CCEEFF" w:val="clear"/>
          </w:tcPr>
          <w:p>
            <w:pPr>
              <w:pStyle w:val="TableContents"/>
              <w:spacing w:before="0" w:after="283"/>
              <w:rPr>
                <w:rFonts w:ascii="Times New Roman" w:hAnsi="Times New Roman"/>
                <w:sz w:val="20"/>
              </w:rPr>
            </w:pPr>
            <w:r>
              <w:rPr>
                <w:rFonts w:ascii="Times New Roman" w:hAnsi="Times New Roman"/>
                <w:sz w:val="20"/>
              </w:rPr>
              <w:t>Swaps and options contracts</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8" w:type="dxa"/>
            <w:tcBorders/>
            <w:shd w:fill="CCEEFF" w:val="clear"/>
            <w:vAlign w:val="bottom"/>
          </w:tcPr>
          <w:p>
            <w:pPr>
              <w:pStyle w:val="TableContents"/>
              <w:spacing w:before="0" w:after="283"/>
              <w:rPr/>
            </w:pPr>
            <w:r>
              <w:rPr/>
              <w:t>  </w:t>
            </w:r>
          </w:p>
        </w:tc>
      </w:tr>
      <w:tr>
        <w:trPr/>
        <w:tc>
          <w:tcPr>
            <w:tcW w:w="6193" w:type="dxa"/>
            <w:tcBorders/>
            <w:shd w:fill="auto" w:val="clea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54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554"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6193" w:type="dxa"/>
            <w:tcBorders/>
            <w:shd w:fill="CCEEFF" w:val="clear"/>
          </w:tcPr>
          <w:p>
            <w:pPr>
              <w:pStyle w:val="TableContents"/>
              <w:spacing w:before="0" w:after="283"/>
              <w:rPr>
                <w:rFonts w:ascii="Times New Roman" w:hAnsi="Times New Roman"/>
                <w:sz w:val="20"/>
              </w:rPr>
            </w:pPr>
            <w:r>
              <w:rPr>
                <w:rFonts w:ascii="Times New Roman" w:hAnsi="Times New Roman"/>
                <w:sz w:val="20"/>
              </w:rPr>
              <w:t>LPG and other:</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54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554"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6193" w:type="dxa"/>
            <w:tcBorders/>
            <w:shd w:fill="auto" w:val="clear"/>
          </w:tcPr>
          <w:p>
            <w:pPr>
              <w:pStyle w:val="TableContents"/>
              <w:spacing w:before="0" w:after="283"/>
              <w:rPr>
                <w:rFonts w:ascii="Times New Roman" w:hAnsi="Times New Roman"/>
                <w:sz w:val="20"/>
              </w:rPr>
            </w:pPr>
            <w:r>
              <w:rPr>
                <w:rFonts w:ascii="Times New Roman" w:hAnsi="Times New Roman"/>
                <w:sz w:val="20"/>
              </w:rPr>
              <w:t>Futures contracts</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8" w:type="dxa"/>
            <w:tcBorders/>
            <w:shd w:fill="auto" w:val="clear"/>
            <w:vAlign w:val="bottom"/>
          </w:tcPr>
          <w:p>
            <w:pPr>
              <w:pStyle w:val="TableContents"/>
              <w:spacing w:before="0" w:after="283"/>
              <w:rPr/>
            </w:pPr>
            <w:r>
              <w:rPr/>
              <w:t>  </w:t>
            </w:r>
          </w:p>
        </w:tc>
      </w:tr>
      <w:tr>
        <w:trPr/>
        <w:tc>
          <w:tcPr>
            <w:tcW w:w="6193" w:type="dxa"/>
            <w:tcBorders/>
            <w:shd w:fill="CCEEFF" w:val="clear"/>
          </w:tcPr>
          <w:p>
            <w:pPr>
              <w:pStyle w:val="TableContents"/>
              <w:spacing w:before="0" w:after="283"/>
              <w:rPr>
                <w:rFonts w:ascii="Times New Roman" w:hAnsi="Times New Roman"/>
                <w:sz w:val="20"/>
              </w:rPr>
            </w:pPr>
            <w:r>
              <w:rPr>
                <w:rFonts w:ascii="Times New Roman" w:hAnsi="Times New Roman"/>
                <w:sz w:val="20"/>
              </w:rPr>
              <w:t xml:space="preserve">Swaps and options contracts </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193" w:type="dxa"/>
            <w:tcBorders/>
            <w:shd w:fill="auto" w:val="clear"/>
            <w:vAlign w:val="bottom"/>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54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554"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6193" w:type="dxa"/>
            <w:tcBorders/>
            <w:shd w:fill="auto" w:val="clear"/>
          </w:tcPr>
          <w:p>
            <w:pPr>
              <w:pStyle w:val="TableContents"/>
              <w:spacing w:before="0" w:after="283"/>
              <w:rPr>
                <w:rFonts w:ascii="Times New Roman" w:hAnsi="Times New Roman"/>
                <w:sz w:val="20"/>
              </w:rPr>
            </w:pPr>
            <w:r>
              <w:rPr>
                <w:rFonts w:ascii="Times New Roman" w:hAnsi="Times New Roman"/>
                <w:sz w:val="20"/>
              </w:rPr>
              <w:t>Total Fair Value</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193</w:t>
            </w:r>
          </w:p>
        </w:tc>
        <w:tc>
          <w:tcPr>
            <w:tcW w:w="12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554"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6193" w:type="dxa"/>
            <w:tcBorders/>
            <w:shd w:fill="auto" w:val="clear"/>
            <w:vAlign w:val="bottom"/>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54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554"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26" w:name="tx73093_24"/>
            <w:bookmarkEnd w:id="26"/>
            <w:r>
              <w:rPr>
                <w:rFonts w:ascii="Times New Roman" w:hAnsi="Times New Roman"/>
                <w:b/>
                <w:sz w:val="20"/>
              </w:rPr>
              <w:t>Item 4.</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CONTROLS AND PROCEDURES </w:t>
            </w:r>
          </w:p>
        </w:tc>
      </w:tr>
    </w:tbl>
    <w:p>
      <w:pPr>
        <w:pStyle w:val="TextBody"/>
        <w:spacing w:before="90" w:after="0"/>
        <w:rPr>
          <w:rFonts w:ascii="Times New Roman" w:hAnsi="Times New Roman"/>
          <w:b/>
          <w:i/>
          <w:sz w:val="20"/>
        </w:rPr>
      </w:pPr>
      <w:r>
        <w:rPr>
          <w:rFonts w:ascii="Times New Roman" w:hAnsi="Times New Roman"/>
          <w:b/>
          <w:i/>
          <w:sz w:val="20"/>
        </w:rPr>
        <w:t xml:space="preserve">Disclosure Controls and Procedures </w:t>
      </w:r>
    </w:p>
    <w:p>
      <w:pPr>
        <w:pStyle w:val="TextBody"/>
        <w:spacing w:before="90" w:after="0"/>
        <w:rPr>
          <w:rFonts w:ascii="Times New Roman" w:hAnsi="Times New Roman"/>
          <w:sz w:val="20"/>
        </w:rPr>
      </w:pPr>
      <w:r>
        <w:rPr>
          <w:rFonts w:ascii="Times New Roman" w:hAnsi="Times New Roman"/>
          <w:sz w:val="20"/>
        </w:rPr>
        <w:t xml:space="preserve">We maintain written DCP. The purpose of our DCP is to provide reasonable assurance that (i) information is recorded, processed, summarized and reported in a manner that allows for timely disclosure of such information in accordance with the securities laws and SEC regulations and (ii) information is accumulated and communicated to management, including our Chief Executive Officer and Chief Financial Officer, to allow for timely decisions regarding required disclosure. </w:t>
      </w:r>
    </w:p>
    <w:p>
      <w:pPr>
        <w:pStyle w:val="TextBody"/>
        <w:spacing w:before="180" w:after="0"/>
        <w:rPr>
          <w:rFonts w:ascii="Times New Roman" w:hAnsi="Times New Roman"/>
          <w:sz w:val="20"/>
        </w:rPr>
      </w:pPr>
      <w:r>
        <w:rPr>
          <w:rFonts w:ascii="Times New Roman" w:hAnsi="Times New Roman"/>
          <w:sz w:val="20"/>
        </w:rPr>
        <w:t xml:space="preserve">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 </w:t>
      </w:r>
    </w:p>
    <w:p>
      <w:pPr>
        <w:pStyle w:val="TextBody"/>
        <w:spacing w:before="270" w:after="0"/>
        <w:rPr>
          <w:rFonts w:ascii="Times New Roman" w:hAnsi="Times New Roman"/>
          <w:b/>
          <w:i/>
          <w:sz w:val="20"/>
        </w:rPr>
      </w:pPr>
      <w:r>
        <w:rPr>
          <w:rFonts w:ascii="Times New Roman" w:hAnsi="Times New Roman"/>
          <w:b/>
          <w:i/>
          <w:sz w:val="20"/>
        </w:rPr>
        <w:t xml:space="preserve">Changes in Internal Control over Financial Reporting </w:t>
      </w:r>
    </w:p>
    <w:p>
      <w:pPr>
        <w:pStyle w:val="TextBody"/>
        <w:spacing w:before="90" w:after="0"/>
        <w:rPr>
          <w:rFonts w:ascii="Times New Roman" w:hAnsi="Times New Roman"/>
          <w:sz w:val="20"/>
        </w:rPr>
      </w:pPr>
      <w:r>
        <w:rPr>
          <w:rFonts w:ascii="Times New Roman" w:hAnsi="Times New Roman"/>
          <w:sz w:val="20"/>
        </w:rPr>
        <w:t xml:space="preserve">In addition to the information concerning our DCP, we are required to disclose certain changes in our internal control over financial reporting. Although we have made various enhancements to our controls, there have been no changes in our internal control over financial reporting during the period covered by this report that have materially affected, or are reasonably likely to materially affect, our internal control over financial reporting. </w:t>
      </w:r>
    </w:p>
    <w:p>
      <w:pPr>
        <w:pStyle w:val="TextBody"/>
        <w:spacing w:before="270" w:after="0"/>
        <w:rPr>
          <w:rFonts w:ascii="Times New Roman" w:hAnsi="Times New Roman"/>
          <w:b/>
          <w:i/>
          <w:sz w:val="20"/>
        </w:rPr>
      </w:pPr>
      <w:r>
        <w:rPr>
          <w:rFonts w:ascii="Times New Roman" w:hAnsi="Times New Roman"/>
          <w:b/>
          <w:i/>
          <w:sz w:val="20"/>
        </w:rPr>
        <w:t xml:space="preserve">Certifications </w:t>
      </w:r>
    </w:p>
    <w:p>
      <w:pPr>
        <w:pStyle w:val="TextBody"/>
        <w:spacing w:before="90" w:after="0"/>
        <w:rPr>
          <w:rFonts w:ascii="Times New Roman" w:hAnsi="Times New Roman"/>
          <w:sz w:val="20"/>
        </w:rPr>
      </w:pPr>
      <w:r>
        <w:rPr>
          <w:rFonts w:ascii="Times New Roman" w:hAnsi="Times New Roman"/>
          <w:sz w:val="20"/>
        </w:rPr>
        <w:t xml:space="preserve">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 </w:t>
      </w:r>
    </w:p>
    <w:p>
      <w:pPr>
        <w:pStyle w:val="TextBody"/>
        <w:spacing w:before="360" w:after="0"/>
        <w:jc w:val="center"/>
        <w:rPr>
          <w:rFonts w:ascii="Times New Roman" w:hAnsi="Times New Roman"/>
          <w:b/>
          <w:sz w:val="20"/>
        </w:rPr>
      </w:pPr>
      <w:bookmarkStart w:id="27" w:name="tx73093_25"/>
      <w:bookmarkEnd w:id="27"/>
      <w:r>
        <w:rPr>
          <w:rFonts w:ascii="Times New Roman" w:hAnsi="Times New Roman"/>
          <w:b/>
          <w:sz w:val="20"/>
        </w:rPr>
        <w:t xml:space="preserve">PART II. OTHER INFORMATION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28" w:name="tx73093_26"/>
            <w:bookmarkEnd w:id="28"/>
            <w:r>
              <w:rPr>
                <w:rFonts w:ascii="Times New Roman" w:hAnsi="Times New Roman"/>
                <w:b/>
                <w:sz w:val="20"/>
              </w:rPr>
              <w:t>Item 1.</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LEGAL PROCEEDINGS </w:t>
            </w:r>
          </w:p>
        </w:tc>
      </w:tr>
    </w:tbl>
    <w:p>
      <w:pPr>
        <w:pStyle w:val="TextBody"/>
        <w:spacing w:before="90" w:after="0"/>
        <w:rPr>
          <w:rFonts w:ascii="Times New Roman" w:hAnsi="Times New Roman"/>
          <w:sz w:val="20"/>
        </w:rPr>
      </w:pPr>
      <w:r>
        <w:rPr>
          <w:rFonts w:ascii="Times New Roman" w:hAnsi="Times New Roman"/>
          <w:sz w:val="20"/>
        </w:rPr>
        <w:t xml:space="preserve">The information required by this item is included under the caption Litigation in Note 10 to our Condensed Consolidated Financial Statements, and is incorporated herein by reference thereto.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29" w:name="tx73093_27"/>
            <w:bookmarkEnd w:id="29"/>
            <w:r>
              <w:rPr>
                <w:rFonts w:ascii="Times New Roman" w:hAnsi="Times New Roman"/>
                <w:b/>
                <w:sz w:val="20"/>
              </w:rPr>
              <w:t>Item 1A.</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RISK FACTORS </w:t>
            </w:r>
          </w:p>
        </w:tc>
      </w:tr>
    </w:tbl>
    <w:p>
      <w:pPr>
        <w:pStyle w:val="TextBody"/>
        <w:spacing w:before="90" w:after="0"/>
        <w:rPr>
          <w:rFonts w:ascii="Times New Roman" w:hAnsi="Times New Roman"/>
          <w:sz w:val="20"/>
        </w:rPr>
      </w:pPr>
      <w:r>
        <w:rPr>
          <w:rFonts w:ascii="Times New Roman" w:hAnsi="Times New Roman"/>
          <w:sz w:val="20"/>
        </w:rPr>
        <w:t xml:space="preserve">For a discussion regarding our risk factors, see Item 1A of our 2009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30" w:name="tx73093_28"/>
            <w:bookmarkEnd w:id="30"/>
            <w:r>
              <w:rPr>
                <w:rFonts w:ascii="Times New Roman" w:hAnsi="Times New Roman"/>
                <w:b/>
                <w:sz w:val="20"/>
              </w:rPr>
              <w:t>Item 2.</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UNREGISTERED SALES OF EQUITY SECURITIES AND USE OF PROCEEDS </w:t>
            </w:r>
          </w:p>
        </w:tc>
      </w:tr>
    </w:tbl>
    <w:p>
      <w:pPr>
        <w:pStyle w:val="TextBody"/>
        <w:spacing w:before="90" w:after="0"/>
        <w:rPr>
          <w:rFonts w:ascii="Times New Roman" w:hAnsi="Times New Roman"/>
          <w:sz w:val="20"/>
        </w:rPr>
      </w:pPr>
      <w:r>
        <w:rPr>
          <w:rFonts w:ascii="Times New Roman" w:hAnsi="Times New Roman"/>
          <w:sz w:val="20"/>
        </w:rPr>
        <w:t xml:space="preserve">None.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31" w:name="tx73093_29"/>
            <w:bookmarkEnd w:id="31"/>
            <w:r>
              <w:rPr>
                <w:rFonts w:ascii="Times New Roman" w:hAnsi="Times New Roman"/>
                <w:b/>
                <w:sz w:val="20"/>
              </w:rPr>
              <w:t>Item 3.</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DEFAULTS UPON SENIOR SECURITIES </w:t>
            </w:r>
          </w:p>
        </w:tc>
      </w:tr>
    </w:tbl>
    <w:p>
      <w:pPr>
        <w:pStyle w:val="TextBody"/>
        <w:spacing w:before="90" w:after="0"/>
        <w:rPr>
          <w:rFonts w:ascii="Times New Roman" w:hAnsi="Times New Roman"/>
          <w:sz w:val="20"/>
        </w:rPr>
      </w:pPr>
      <w:r>
        <w:rPr>
          <w:rFonts w:ascii="Times New Roman" w:hAnsi="Times New Roman"/>
          <w:sz w:val="20"/>
        </w:rPr>
        <w:t xml:space="preserve">None.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32" w:name="tx73093_30"/>
            <w:bookmarkEnd w:id="32"/>
            <w:r>
              <w:rPr>
                <w:rFonts w:ascii="Times New Roman" w:hAnsi="Times New Roman"/>
                <w:b/>
                <w:sz w:val="20"/>
              </w:rPr>
              <w:t>Item 4.</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[REMOVED AND RESERVED]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33" w:name="tx73093_31"/>
            <w:bookmarkEnd w:id="33"/>
            <w:r>
              <w:rPr>
                <w:rFonts w:ascii="Times New Roman" w:hAnsi="Times New Roman"/>
                <w:b/>
                <w:sz w:val="20"/>
              </w:rPr>
              <w:t>Item 5.</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OTHER INFORMATION </w:t>
            </w:r>
          </w:p>
        </w:tc>
      </w:tr>
    </w:tbl>
    <w:p>
      <w:pPr>
        <w:pStyle w:val="TextBody"/>
        <w:spacing w:before="90" w:after="0"/>
        <w:rPr>
          <w:rFonts w:ascii="Times New Roman" w:hAnsi="Times New Roman"/>
          <w:sz w:val="20"/>
        </w:rPr>
      </w:pPr>
      <w:r>
        <w:rPr>
          <w:rFonts w:ascii="Times New Roman" w:hAnsi="Times New Roman"/>
          <w:sz w:val="20"/>
        </w:rPr>
        <w:t xml:space="preserve">None.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34" w:name="tx73093_32"/>
            <w:bookmarkEnd w:id="34"/>
            <w:r>
              <w:rPr>
                <w:rFonts w:ascii="Times New Roman" w:hAnsi="Times New Roman"/>
                <w:b/>
                <w:sz w:val="20"/>
              </w:rPr>
              <w:t>Item 6.</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EXHIBITS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8"/>
        <w:gridCol w:w="223"/>
        <w:gridCol w:w="262"/>
        <w:gridCol w:w="127"/>
        <w:gridCol w:w="9075"/>
      </w:tblGrid>
      <w:tr>
        <w:trPr/>
        <w:tc>
          <w:tcPr>
            <w:tcW w:w="518"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9075" w:type="dxa"/>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pPr>
            <w:r>
              <w:rPr/>
              <w:t>  </w:t>
            </w:r>
            <w:r>
              <w:rPr>
                <w:rFonts w:ascii="Times New Roman" w:hAnsi="Times New Roman"/>
                <w:sz w:val="20"/>
              </w:rPr>
              <w:t>3.1</w:t>
            </w:r>
          </w:p>
        </w:tc>
        <w:tc>
          <w:tcPr>
            <w:tcW w:w="22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c>
          <w:tcPr>
            <w:tcW w:w="9075" w:type="dxa"/>
            <w:tcBorders/>
            <w:shd w:fill="auto" w:val="clear"/>
          </w:tcPr>
          <w:p>
            <w:pPr>
              <w:pStyle w:val="TableContents"/>
              <w:spacing w:before="0" w:after="283"/>
              <w:rPr>
                <w:rFonts w:ascii="Times New Roman" w:hAnsi="Times New Roman"/>
                <w:sz w:val="20"/>
              </w:rPr>
            </w:pPr>
            <w:r>
              <w:rPr>
                <w:rFonts w:ascii="Times New Roman" w:hAnsi="Times New Roman"/>
                <w:sz w:val="20"/>
              </w:rPr>
              <w:t>Third Amended and Restated Agreement of Limited Partnership of Plains All American Pipeline, L.P. dated as of June 27, 2001 (incorporated by reference to Exhibit 3.1 to the Current Report on Form 8-K filed August 27, 2001).</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485" w:type="dxa"/>
            <w:gridSpan w:val="2"/>
            <w:tcBorders/>
            <w:shd w:fill="auto" w:val="clear"/>
            <w:vAlign w:val="center"/>
          </w:tcPr>
          <w:p>
            <w:pPr>
              <w:pStyle w:val="TableContents"/>
              <w:spacing w:before="0" w:after="283"/>
              <w:rPr>
                <w:sz w:val="4"/>
                <w:szCs w:val="4"/>
              </w:rPr>
            </w:pPr>
            <w:r>
              <w:rPr>
                <w:sz w:val="4"/>
                <w:szCs w:val="4"/>
              </w:rPr>
            </w:r>
          </w:p>
        </w:tc>
        <w:tc>
          <w:tcPr>
            <w:tcW w:w="9202"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pPr>
            <w:r>
              <w:rPr/>
              <w:t>  </w:t>
            </w:r>
            <w:r>
              <w:rPr>
                <w:rFonts w:ascii="Times New Roman" w:hAnsi="Times New Roman"/>
                <w:sz w:val="20"/>
              </w:rPr>
              <w:t>3.2</w:t>
            </w:r>
          </w:p>
        </w:tc>
        <w:tc>
          <w:tcPr>
            <w:tcW w:w="22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c>
          <w:tcPr>
            <w:tcW w:w="9075"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dated April 15, 2004 to the Third Amended and Restated Agreement of Limited Partnership of Plains All American Pipeline, L.P. (incorporated by reference to Exhibit 3.1 to the Quarterly Report on Form 10-Q for the quarter ended March 31, 2004).</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485" w:type="dxa"/>
            <w:gridSpan w:val="2"/>
            <w:tcBorders/>
            <w:shd w:fill="auto" w:val="clear"/>
            <w:vAlign w:val="center"/>
          </w:tcPr>
          <w:p>
            <w:pPr>
              <w:pStyle w:val="TableContents"/>
              <w:spacing w:before="0" w:after="283"/>
              <w:rPr>
                <w:sz w:val="4"/>
                <w:szCs w:val="4"/>
              </w:rPr>
            </w:pPr>
            <w:r>
              <w:rPr>
                <w:sz w:val="4"/>
                <w:szCs w:val="4"/>
              </w:rPr>
            </w:r>
          </w:p>
        </w:tc>
        <w:tc>
          <w:tcPr>
            <w:tcW w:w="9202"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pPr>
            <w:r>
              <w:rPr/>
              <w:t>  </w:t>
            </w:r>
            <w:r>
              <w:rPr>
                <w:rFonts w:ascii="Times New Roman" w:hAnsi="Times New Roman"/>
                <w:sz w:val="20"/>
              </w:rPr>
              <w:t>3.3</w:t>
            </w:r>
          </w:p>
        </w:tc>
        <w:tc>
          <w:tcPr>
            <w:tcW w:w="22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c>
          <w:tcPr>
            <w:tcW w:w="9075"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2 dated November 15, 2006 to Third Amended and Restated Agreement of Limited Partnership of Plains All American Pipeline, L.P. (incorporated by reference to Exhibit 3.1 to the Current Report on Form 8-K filed November 21, 2006).</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485" w:type="dxa"/>
            <w:gridSpan w:val="2"/>
            <w:tcBorders/>
            <w:shd w:fill="auto" w:val="clear"/>
            <w:vAlign w:val="center"/>
          </w:tcPr>
          <w:p>
            <w:pPr>
              <w:pStyle w:val="TableContents"/>
              <w:spacing w:before="0" w:after="283"/>
              <w:rPr>
                <w:sz w:val="4"/>
                <w:szCs w:val="4"/>
              </w:rPr>
            </w:pPr>
            <w:r>
              <w:rPr>
                <w:sz w:val="4"/>
                <w:szCs w:val="4"/>
              </w:rPr>
            </w:r>
          </w:p>
        </w:tc>
        <w:tc>
          <w:tcPr>
            <w:tcW w:w="9202"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pPr>
            <w:r>
              <w:rPr/>
              <w:t>  </w:t>
            </w:r>
            <w:r>
              <w:rPr>
                <w:rFonts w:ascii="Times New Roman" w:hAnsi="Times New Roman"/>
                <w:sz w:val="20"/>
              </w:rPr>
              <w:t>3.4</w:t>
            </w:r>
          </w:p>
        </w:tc>
        <w:tc>
          <w:tcPr>
            <w:tcW w:w="22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c>
          <w:tcPr>
            <w:tcW w:w="9075"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3 dated August 16, 2007 to Third Amended and Restated Agreement of Limited Partnership of Plains All American Pipeline, L.P. (incorporated by reference to Exhibit 3.1 to the Current Report on Form 8-K filed August 22, 2007).</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485" w:type="dxa"/>
            <w:gridSpan w:val="2"/>
            <w:tcBorders/>
            <w:shd w:fill="auto" w:val="clear"/>
            <w:vAlign w:val="center"/>
          </w:tcPr>
          <w:p>
            <w:pPr>
              <w:pStyle w:val="TableContents"/>
              <w:spacing w:before="0" w:after="283"/>
              <w:rPr>
                <w:sz w:val="4"/>
                <w:szCs w:val="4"/>
              </w:rPr>
            </w:pPr>
            <w:r>
              <w:rPr>
                <w:sz w:val="4"/>
                <w:szCs w:val="4"/>
              </w:rPr>
            </w:r>
          </w:p>
        </w:tc>
        <w:tc>
          <w:tcPr>
            <w:tcW w:w="9202"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pPr>
            <w:r>
              <w:rPr/>
              <w:t>  </w:t>
            </w:r>
            <w:r>
              <w:rPr>
                <w:rFonts w:ascii="Times New Roman" w:hAnsi="Times New Roman"/>
                <w:sz w:val="20"/>
              </w:rPr>
              <w:t>3.5</w:t>
            </w:r>
          </w:p>
        </w:tc>
        <w:tc>
          <w:tcPr>
            <w:tcW w:w="22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c>
          <w:tcPr>
            <w:tcW w:w="9075"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4 effective as of January 1, 2007 to Third Amended and Restated Agreement of Limited Partnership of Plains All American Pipeline, L.P. (incorporated by reference to Exhibit 3.1 to the Current Report on Form 8-K filed April 15, 2008).</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485" w:type="dxa"/>
            <w:gridSpan w:val="2"/>
            <w:tcBorders/>
            <w:shd w:fill="auto" w:val="clear"/>
            <w:vAlign w:val="center"/>
          </w:tcPr>
          <w:p>
            <w:pPr>
              <w:pStyle w:val="TableContents"/>
              <w:spacing w:before="0" w:after="283"/>
              <w:rPr>
                <w:sz w:val="4"/>
                <w:szCs w:val="4"/>
              </w:rPr>
            </w:pPr>
            <w:r>
              <w:rPr>
                <w:sz w:val="4"/>
                <w:szCs w:val="4"/>
              </w:rPr>
            </w:r>
          </w:p>
        </w:tc>
        <w:tc>
          <w:tcPr>
            <w:tcW w:w="9202"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pPr>
            <w:r>
              <w:rPr/>
              <w:t>  </w:t>
            </w:r>
            <w:r>
              <w:rPr>
                <w:rFonts w:ascii="Times New Roman" w:hAnsi="Times New Roman"/>
                <w:sz w:val="20"/>
              </w:rPr>
              <w:t>3.6</w:t>
            </w:r>
          </w:p>
        </w:tc>
        <w:tc>
          <w:tcPr>
            <w:tcW w:w="22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c>
          <w:tcPr>
            <w:tcW w:w="9075"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5 dated May 28, 2008 to Third Amended and Restated Agreement of Limited Partnership of Plains All American Pipeline, L.P. (incorporated by reference to Exhibit 3.1 to the Current Report on Form 8-K filed May 30, 2008).</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485" w:type="dxa"/>
            <w:gridSpan w:val="2"/>
            <w:tcBorders/>
            <w:shd w:fill="auto" w:val="clear"/>
            <w:vAlign w:val="center"/>
          </w:tcPr>
          <w:p>
            <w:pPr>
              <w:pStyle w:val="TableContents"/>
              <w:spacing w:before="0" w:after="283"/>
              <w:rPr>
                <w:sz w:val="4"/>
                <w:szCs w:val="4"/>
              </w:rPr>
            </w:pPr>
            <w:r>
              <w:rPr>
                <w:sz w:val="4"/>
                <w:szCs w:val="4"/>
              </w:rPr>
            </w:r>
          </w:p>
        </w:tc>
        <w:tc>
          <w:tcPr>
            <w:tcW w:w="9202"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pPr>
            <w:r>
              <w:rPr/>
              <w:t>  </w:t>
            </w:r>
            <w:r>
              <w:rPr>
                <w:rFonts w:ascii="Times New Roman" w:hAnsi="Times New Roman"/>
                <w:sz w:val="20"/>
              </w:rPr>
              <w:t>3.7</w:t>
            </w:r>
          </w:p>
        </w:tc>
        <w:tc>
          <w:tcPr>
            <w:tcW w:w="22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7" w:type="dxa"/>
            <w:tcBorders/>
            <w:shd w:fill="auto" w:val="clear"/>
            <w:vAlign w:val="bottom"/>
          </w:tcPr>
          <w:p>
            <w:pPr>
              <w:pStyle w:val="TableContents"/>
              <w:spacing w:before="0" w:after="283"/>
              <w:rPr/>
            </w:pPr>
            <w:r>
              <w:rPr/>
              <w:t>  </w:t>
            </w:r>
          </w:p>
        </w:tc>
        <w:tc>
          <w:tcPr>
            <w:tcW w:w="9075"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6 dated September 3, 2009 to Third Amended and Restated Agreement of Limited Partnership of Plains All American Pipeline, L.P. (incorporated by reference to Exhibit 3.1 to the Current Report on Form 8-K filed September 3, 2009).</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485" w:type="dxa"/>
            <w:gridSpan w:val="2"/>
            <w:tcBorders/>
            <w:shd w:fill="auto" w:val="clear"/>
            <w:vAlign w:val="center"/>
          </w:tcPr>
          <w:p>
            <w:pPr>
              <w:pStyle w:val="TableContents"/>
              <w:spacing w:before="0" w:after="283"/>
              <w:rPr>
                <w:sz w:val="4"/>
                <w:szCs w:val="4"/>
              </w:rPr>
            </w:pPr>
            <w:r>
              <w:rPr>
                <w:sz w:val="4"/>
                <w:szCs w:val="4"/>
              </w:rPr>
            </w:r>
          </w:p>
        </w:tc>
        <w:tc>
          <w:tcPr>
            <w:tcW w:w="9202"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pPr>
            <w:r>
              <w:rPr/>
              <w:t>  </w:t>
            </w:r>
            <w:r>
              <w:rPr>
                <w:rFonts w:ascii="Times New Roman" w:hAnsi="Times New Roman"/>
                <w:sz w:val="20"/>
              </w:rPr>
              <w:t>3.8</w:t>
            </w:r>
          </w:p>
        </w:tc>
        <w:tc>
          <w:tcPr>
            <w:tcW w:w="22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7" w:type="dxa"/>
            <w:tcBorders/>
            <w:shd w:fill="auto" w:val="clear"/>
            <w:vAlign w:val="bottom"/>
          </w:tcPr>
          <w:p>
            <w:pPr>
              <w:pStyle w:val="TableContents"/>
              <w:spacing w:before="0" w:after="283"/>
              <w:rPr/>
            </w:pPr>
            <w:r>
              <w:rPr/>
              <w:t>  </w:t>
            </w:r>
          </w:p>
        </w:tc>
        <w:tc>
          <w:tcPr>
            <w:tcW w:w="9075" w:type="dxa"/>
            <w:tcBorders/>
            <w:shd w:fill="auto" w:val="clear"/>
          </w:tcPr>
          <w:p>
            <w:pPr>
              <w:pStyle w:val="TableContents"/>
              <w:spacing w:before="0" w:after="283"/>
              <w:rPr>
                <w:rFonts w:ascii="Times New Roman" w:hAnsi="Times New Roman"/>
                <w:sz w:val="20"/>
              </w:rPr>
            </w:pPr>
            <w:r>
              <w:rPr>
                <w:rFonts w:ascii="Times New Roman" w:hAnsi="Times New Roman"/>
                <w:sz w:val="20"/>
              </w:rPr>
              <w:t>Third Amended and Restated Agreement of Limited Partnership of Plains Marketing, L.P. dated as of April 1, 2004 (incorporated by reference to Exhibit 3.2 to the Quarterly Report on Form 10-Q for the quarter ended March 31, 2004).</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485" w:type="dxa"/>
            <w:gridSpan w:val="2"/>
            <w:tcBorders/>
            <w:shd w:fill="auto" w:val="clear"/>
            <w:vAlign w:val="center"/>
          </w:tcPr>
          <w:p>
            <w:pPr>
              <w:pStyle w:val="TableContents"/>
              <w:spacing w:before="0" w:after="283"/>
              <w:rPr>
                <w:sz w:val="4"/>
                <w:szCs w:val="4"/>
              </w:rPr>
            </w:pPr>
            <w:r>
              <w:rPr>
                <w:sz w:val="4"/>
                <w:szCs w:val="4"/>
              </w:rPr>
            </w:r>
          </w:p>
        </w:tc>
        <w:tc>
          <w:tcPr>
            <w:tcW w:w="9202"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pPr>
            <w:r>
              <w:rPr/>
              <w:t>  </w:t>
            </w:r>
            <w:r>
              <w:rPr>
                <w:rFonts w:ascii="Times New Roman" w:hAnsi="Times New Roman"/>
                <w:sz w:val="20"/>
              </w:rPr>
              <w:t>3.9</w:t>
            </w:r>
          </w:p>
        </w:tc>
        <w:tc>
          <w:tcPr>
            <w:tcW w:w="22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7" w:type="dxa"/>
            <w:tcBorders/>
            <w:shd w:fill="auto" w:val="clear"/>
            <w:vAlign w:val="bottom"/>
          </w:tcPr>
          <w:p>
            <w:pPr>
              <w:pStyle w:val="TableContents"/>
              <w:spacing w:before="0" w:after="283"/>
              <w:rPr/>
            </w:pPr>
            <w:r>
              <w:rPr/>
              <w:t>  </w:t>
            </w:r>
          </w:p>
        </w:tc>
        <w:tc>
          <w:tcPr>
            <w:tcW w:w="9075" w:type="dxa"/>
            <w:tcBorders/>
            <w:shd w:fill="auto" w:val="clear"/>
          </w:tcPr>
          <w:p>
            <w:pPr>
              <w:pStyle w:val="TableContents"/>
              <w:spacing w:before="0" w:after="283"/>
              <w:rPr>
                <w:rFonts w:ascii="Times New Roman" w:hAnsi="Times New Roman"/>
                <w:sz w:val="20"/>
              </w:rPr>
            </w:pPr>
            <w:r>
              <w:rPr>
                <w:rFonts w:ascii="Times New Roman" w:hAnsi="Times New Roman"/>
                <w:sz w:val="20"/>
              </w:rPr>
              <w:t>Third Amended and Restated Agreement of Limited Partnership of Plains Pipeline, L.P. dated as of April 1, 2004 (incorporated by reference to Exhibit 3.3 to the Quarterly Report on Form 10-Q for the quarter ended March 31, 2004).</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485" w:type="dxa"/>
            <w:gridSpan w:val="2"/>
            <w:tcBorders/>
            <w:shd w:fill="auto" w:val="clear"/>
            <w:vAlign w:val="center"/>
          </w:tcPr>
          <w:p>
            <w:pPr>
              <w:pStyle w:val="TableContents"/>
              <w:spacing w:before="0" w:after="283"/>
              <w:rPr>
                <w:sz w:val="4"/>
                <w:szCs w:val="4"/>
              </w:rPr>
            </w:pPr>
            <w:r>
              <w:rPr>
                <w:sz w:val="4"/>
                <w:szCs w:val="4"/>
              </w:rPr>
            </w:r>
          </w:p>
        </w:tc>
        <w:tc>
          <w:tcPr>
            <w:tcW w:w="9202"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pPr>
            <w:r>
              <w:rPr/>
              <w:t>  </w:t>
            </w:r>
            <w:r>
              <w:rPr>
                <w:rFonts w:ascii="Times New Roman" w:hAnsi="Times New Roman"/>
                <w:sz w:val="20"/>
              </w:rPr>
              <w:t>3.10</w:t>
            </w:r>
          </w:p>
        </w:tc>
        <w:tc>
          <w:tcPr>
            <w:tcW w:w="22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7" w:type="dxa"/>
            <w:tcBorders/>
            <w:shd w:fill="auto" w:val="clear"/>
            <w:vAlign w:val="bottom"/>
          </w:tcPr>
          <w:p>
            <w:pPr>
              <w:pStyle w:val="TableContents"/>
              <w:spacing w:before="0" w:after="283"/>
              <w:rPr/>
            </w:pPr>
            <w:r>
              <w:rPr/>
              <w:t>  </w:t>
            </w:r>
          </w:p>
        </w:tc>
        <w:tc>
          <w:tcPr>
            <w:tcW w:w="9075" w:type="dxa"/>
            <w:tcBorders/>
            <w:shd w:fill="auto" w:val="clear"/>
          </w:tcPr>
          <w:p>
            <w:pPr>
              <w:pStyle w:val="TableContents"/>
              <w:spacing w:before="0" w:after="283"/>
              <w:rPr>
                <w:rFonts w:ascii="Times New Roman" w:hAnsi="Times New Roman"/>
                <w:sz w:val="20"/>
              </w:rPr>
            </w:pPr>
            <w:r>
              <w:rPr>
                <w:rFonts w:ascii="Times New Roman" w:hAnsi="Times New Roman"/>
                <w:sz w:val="20"/>
              </w:rPr>
              <w:t>Fourth Amended and Restated Limited Liability Company Agreement of Plains All American GP LLC dated August 7, 2008, as amended November 2, 2009 (incorporated by reference to Exhibit 3.10 to the Quarterly Report on Form 10-Q for the quarter ended September 30, 2009).</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485" w:type="dxa"/>
            <w:gridSpan w:val="2"/>
            <w:tcBorders/>
            <w:shd w:fill="auto" w:val="clear"/>
            <w:vAlign w:val="center"/>
          </w:tcPr>
          <w:p>
            <w:pPr>
              <w:pStyle w:val="TableContents"/>
              <w:spacing w:before="0" w:after="283"/>
              <w:rPr>
                <w:sz w:val="4"/>
                <w:szCs w:val="4"/>
              </w:rPr>
            </w:pPr>
            <w:r>
              <w:rPr>
                <w:sz w:val="4"/>
                <w:szCs w:val="4"/>
              </w:rPr>
            </w:r>
          </w:p>
        </w:tc>
        <w:tc>
          <w:tcPr>
            <w:tcW w:w="9202"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pPr>
            <w:r>
              <w:rPr/>
              <w:t>  </w:t>
            </w:r>
            <w:r>
              <w:rPr>
                <w:rFonts w:ascii="Times New Roman" w:hAnsi="Times New Roman"/>
                <w:sz w:val="20"/>
              </w:rPr>
              <w:t>3.11</w:t>
            </w:r>
          </w:p>
        </w:tc>
        <w:tc>
          <w:tcPr>
            <w:tcW w:w="22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7" w:type="dxa"/>
            <w:tcBorders/>
            <w:shd w:fill="auto" w:val="clear"/>
            <w:vAlign w:val="bottom"/>
          </w:tcPr>
          <w:p>
            <w:pPr>
              <w:pStyle w:val="TableContents"/>
              <w:spacing w:before="0" w:after="283"/>
              <w:rPr/>
            </w:pPr>
            <w:r>
              <w:rPr/>
              <w:t>  </w:t>
            </w:r>
          </w:p>
        </w:tc>
        <w:tc>
          <w:tcPr>
            <w:tcW w:w="9075" w:type="dxa"/>
            <w:tcBorders/>
            <w:shd w:fill="auto" w:val="clear"/>
          </w:tcPr>
          <w:p>
            <w:pPr>
              <w:pStyle w:val="TableContents"/>
              <w:spacing w:before="0" w:after="283"/>
              <w:rPr>
                <w:rFonts w:ascii="Times New Roman" w:hAnsi="Times New Roman"/>
                <w:sz w:val="20"/>
              </w:rPr>
            </w:pPr>
            <w:r>
              <w:rPr>
                <w:rFonts w:ascii="Times New Roman" w:hAnsi="Times New Roman"/>
                <w:sz w:val="20"/>
              </w:rPr>
              <w:t>Fifth Amended and Restated Limited Partnership Agreement of Plains AAP, L.P. dated August 7, 2008 (incorporated by reference to Exhibit 3.1 to the Current Report on Form 8-K filed August 7, 2008).</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485" w:type="dxa"/>
            <w:gridSpan w:val="2"/>
            <w:tcBorders/>
            <w:shd w:fill="auto" w:val="clear"/>
            <w:vAlign w:val="center"/>
          </w:tcPr>
          <w:p>
            <w:pPr>
              <w:pStyle w:val="TableContents"/>
              <w:spacing w:before="0" w:after="283"/>
              <w:rPr>
                <w:sz w:val="4"/>
                <w:szCs w:val="4"/>
              </w:rPr>
            </w:pPr>
            <w:r>
              <w:rPr>
                <w:sz w:val="4"/>
                <w:szCs w:val="4"/>
              </w:rPr>
            </w:r>
          </w:p>
        </w:tc>
        <w:tc>
          <w:tcPr>
            <w:tcW w:w="9202"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pPr>
            <w:r>
              <w:rPr/>
              <w:t>  </w:t>
            </w:r>
            <w:r>
              <w:rPr>
                <w:rFonts w:ascii="Times New Roman" w:hAnsi="Times New Roman"/>
                <w:sz w:val="20"/>
              </w:rPr>
              <w:t>3.12</w:t>
            </w:r>
          </w:p>
        </w:tc>
        <w:tc>
          <w:tcPr>
            <w:tcW w:w="22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7" w:type="dxa"/>
            <w:tcBorders/>
            <w:shd w:fill="auto" w:val="clear"/>
            <w:vAlign w:val="bottom"/>
          </w:tcPr>
          <w:p>
            <w:pPr>
              <w:pStyle w:val="TableContents"/>
              <w:spacing w:before="0" w:after="283"/>
              <w:rPr/>
            </w:pPr>
            <w:r>
              <w:rPr/>
              <w:t>  </w:t>
            </w:r>
          </w:p>
        </w:tc>
        <w:tc>
          <w:tcPr>
            <w:tcW w:w="9075"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Certificate of Incorporation of PAA Finance Corp (f/k/a Pacific Energy Finance Corporation, successor-by-merger to PAA Finance Corp.) (incorporated by reference to Exhibit 3.10 to the Annual Report on Form 10-K for the year ended December 31, 2006).</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485" w:type="dxa"/>
            <w:gridSpan w:val="2"/>
            <w:tcBorders/>
            <w:shd w:fill="auto" w:val="clear"/>
            <w:vAlign w:val="center"/>
          </w:tcPr>
          <w:p>
            <w:pPr>
              <w:pStyle w:val="TableContents"/>
              <w:spacing w:before="0" w:after="283"/>
              <w:rPr>
                <w:sz w:val="4"/>
                <w:szCs w:val="4"/>
              </w:rPr>
            </w:pPr>
            <w:r>
              <w:rPr>
                <w:sz w:val="4"/>
                <w:szCs w:val="4"/>
              </w:rPr>
            </w:r>
          </w:p>
        </w:tc>
        <w:tc>
          <w:tcPr>
            <w:tcW w:w="9202"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pPr>
            <w:r>
              <w:rPr/>
              <w:t>  </w:t>
            </w:r>
            <w:r>
              <w:rPr>
                <w:rFonts w:ascii="Times New Roman" w:hAnsi="Times New Roman"/>
                <w:sz w:val="20"/>
              </w:rPr>
              <w:t>3.13</w:t>
            </w:r>
          </w:p>
        </w:tc>
        <w:tc>
          <w:tcPr>
            <w:tcW w:w="22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7" w:type="dxa"/>
            <w:tcBorders/>
            <w:shd w:fill="auto" w:val="clear"/>
            <w:vAlign w:val="bottom"/>
          </w:tcPr>
          <w:p>
            <w:pPr>
              <w:pStyle w:val="TableContents"/>
              <w:spacing w:before="0" w:after="283"/>
              <w:rPr/>
            </w:pPr>
            <w:r>
              <w:rPr/>
              <w:t>  </w:t>
            </w:r>
          </w:p>
        </w:tc>
        <w:tc>
          <w:tcPr>
            <w:tcW w:w="9075" w:type="dxa"/>
            <w:tcBorders/>
            <w:shd w:fill="auto" w:val="clear"/>
          </w:tcPr>
          <w:p>
            <w:pPr>
              <w:pStyle w:val="TableContents"/>
              <w:spacing w:before="0" w:after="283"/>
              <w:rPr>
                <w:rFonts w:ascii="Times New Roman" w:hAnsi="Times New Roman"/>
                <w:sz w:val="20"/>
              </w:rPr>
            </w:pPr>
            <w:r>
              <w:rPr>
                <w:rFonts w:ascii="Times New Roman" w:hAnsi="Times New Roman"/>
                <w:sz w:val="20"/>
              </w:rPr>
              <w:t>Bylaws of PAA Finance Corp (f/k/a Pacific Energy Finance Corporation, successor-by-merger to PAA Finance Corp.) (incorporated by reference to Exhibit 3.11 to the Annual Report on Form 10-K for the year ended December 31, 2006).</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485" w:type="dxa"/>
            <w:gridSpan w:val="2"/>
            <w:tcBorders/>
            <w:shd w:fill="auto" w:val="clear"/>
            <w:vAlign w:val="center"/>
          </w:tcPr>
          <w:p>
            <w:pPr>
              <w:pStyle w:val="TableContents"/>
              <w:spacing w:before="0" w:after="283"/>
              <w:rPr>
                <w:sz w:val="4"/>
                <w:szCs w:val="4"/>
              </w:rPr>
            </w:pPr>
            <w:r>
              <w:rPr>
                <w:sz w:val="4"/>
                <w:szCs w:val="4"/>
              </w:rPr>
            </w:r>
          </w:p>
        </w:tc>
        <w:tc>
          <w:tcPr>
            <w:tcW w:w="9202"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pPr>
            <w:r>
              <w:rPr/>
              <w:t>  </w:t>
            </w:r>
            <w:r>
              <w:rPr>
                <w:rFonts w:ascii="Times New Roman" w:hAnsi="Times New Roman"/>
                <w:sz w:val="20"/>
              </w:rPr>
              <w:t>3.14</w:t>
            </w:r>
          </w:p>
        </w:tc>
        <w:tc>
          <w:tcPr>
            <w:tcW w:w="22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7" w:type="dxa"/>
            <w:tcBorders/>
            <w:shd w:fill="auto" w:val="clear"/>
            <w:vAlign w:val="bottom"/>
          </w:tcPr>
          <w:p>
            <w:pPr>
              <w:pStyle w:val="TableContents"/>
              <w:spacing w:before="0" w:after="283"/>
              <w:rPr/>
            </w:pPr>
            <w:r>
              <w:rPr/>
              <w:t>  </w:t>
            </w:r>
          </w:p>
        </w:tc>
        <w:tc>
          <w:tcPr>
            <w:tcW w:w="9075" w:type="dxa"/>
            <w:tcBorders/>
            <w:shd w:fill="auto" w:val="clear"/>
          </w:tcPr>
          <w:p>
            <w:pPr>
              <w:pStyle w:val="TableContents"/>
              <w:spacing w:before="0" w:after="283"/>
              <w:rPr>
                <w:rFonts w:ascii="Times New Roman" w:hAnsi="Times New Roman"/>
                <w:sz w:val="20"/>
              </w:rPr>
            </w:pPr>
            <w:r>
              <w:rPr>
                <w:rFonts w:ascii="Times New Roman" w:hAnsi="Times New Roman"/>
                <w:sz w:val="20"/>
              </w:rPr>
              <w:t>Limited Liability Company Agreement of PAA GP LLC dated December 28, 2007 (incorporated by reference to Exhibit 3.3 to the Current Report on Form 8-K filed January 4, 2008).</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485" w:type="dxa"/>
            <w:gridSpan w:val="2"/>
            <w:tcBorders/>
            <w:shd w:fill="auto" w:val="clear"/>
            <w:vAlign w:val="center"/>
          </w:tcPr>
          <w:p>
            <w:pPr>
              <w:pStyle w:val="TableContents"/>
              <w:spacing w:before="0" w:after="283"/>
              <w:rPr>
                <w:sz w:val="4"/>
                <w:szCs w:val="4"/>
              </w:rPr>
            </w:pPr>
            <w:r>
              <w:rPr>
                <w:sz w:val="4"/>
                <w:szCs w:val="4"/>
              </w:rPr>
            </w:r>
          </w:p>
        </w:tc>
        <w:tc>
          <w:tcPr>
            <w:tcW w:w="9202"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pPr>
            <w:r>
              <w:rPr/>
              <w:t>  </w:t>
            </w:r>
            <w:r>
              <w:rPr>
                <w:rFonts w:ascii="Times New Roman" w:hAnsi="Times New Roman"/>
                <w:sz w:val="20"/>
              </w:rPr>
              <w:t>4.1</w:t>
            </w:r>
          </w:p>
        </w:tc>
        <w:tc>
          <w:tcPr>
            <w:tcW w:w="22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7" w:type="dxa"/>
            <w:tcBorders/>
            <w:shd w:fill="auto" w:val="clear"/>
            <w:vAlign w:val="bottom"/>
          </w:tcPr>
          <w:p>
            <w:pPr>
              <w:pStyle w:val="TableContents"/>
              <w:spacing w:before="0" w:after="283"/>
              <w:rPr/>
            </w:pPr>
            <w:r>
              <w:rPr/>
              <w:t>  </w:t>
            </w:r>
          </w:p>
        </w:tc>
        <w:tc>
          <w:tcPr>
            <w:tcW w:w="9075" w:type="dxa"/>
            <w:tcBorders/>
            <w:shd w:fill="auto" w:val="clear"/>
          </w:tcPr>
          <w:p>
            <w:pPr>
              <w:pStyle w:val="TableContents"/>
              <w:spacing w:before="0" w:after="283"/>
              <w:rPr>
                <w:rFonts w:ascii="Times New Roman" w:hAnsi="Times New Roman"/>
                <w:sz w:val="20"/>
              </w:rPr>
            </w:pPr>
            <w:r>
              <w:rPr>
                <w:rFonts w:ascii="Times New Roman" w:hAnsi="Times New Roman"/>
                <w:sz w:val="20"/>
              </w:rPr>
              <w:t>Indenture dated September 25, 2002 among Plains All American Pipeline, L.P., PAA Finance Corp. and Wachovia Bank, National Association, as trustee (incorporated by reference to Exhibit 4.1 to the Quarterly Report on Form 10-Q for the quarter ended September 30, 2002).</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485" w:type="dxa"/>
            <w:gridSpan w:val="2"/>
            <w:tcBorders/>
            <w:shd w:fill="auto" w:val="clear"/>
            <w:vAlign w:val="center"/>
          </w:tcPr>
          <w:p>
            <w:pPr>
              <w:pStyle w:val="TableContents"/>
              <w:spacing w:before="0" w:after="283"/>
              <w:rPr>
                <w:sz w:val="4"/>
                <w:szCs w:val="4"/>
              </w:rPr>
            </w:pPr>
            <w:r>
              <w:rPr>
                <w:sz w:val="4"/>
                <w:szCs w:val="4"/>
              </w:rPr>
            </w:r>
          </w:p>
        </w:tc>
        <w:tc>
          <w:tcPr>
            <w:tcW w:w="9202"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pPr>
            <w:r>
              <w:rPr/>
              <w:t>  </w:t>
            </w:r>
            <w:r>
              <w:rPr>
                <w:rFonts w:ascii="Times New Roman" w:hAnsi="Times New Roman"/>
                <w:sz w:val="20"/>
              </w:rPr>
              <w:t>4.2</w:t>
            </w:r>
          </w:p>
        </w:tc>
        <w:tc>
          <w:tcPr>
            <w:tcW w:w="22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7" w:type="dxa"/>
            <w:tcBorders/>
            <w:shd w:fill="auto" w:val="clear"/>
            <w:vAlign w:val="bottom"/>
          </w:tcPr>
          <w:p>
            <w:pPr>
              <w:pStyle w:val="TableContents"/>
              <w:spacing w:before="0" w:after="283"/>
              <w:rPr/>
            </w:pPr>
            <w:r>
              <w:rPr/>
              <w:t>  </w:t>
            </w:r>
          </w:p>
        </w:tc>
        <w:tc>
          <w:tcPr>
            <w:tcW w:w="9075" w:type="dxa"/>
            <w:tcBorders/>
            <w:shd w:fill="auto" w:val="clear"/>
          </w:tcPr>
          <w:p>
            <w:pPr>
              <w:pStyle w:val="TableContents"/>
              <w:spacing w:before="0" w:after="283"/>
              <w:rPr>
                <w:rFonts w:ascii="Times New Roman" w:hAnsi="Times New Roman"/>
                <w:sz w:val="20"/>
              </w:rPr>
            </w:pPr>
            <w:r>
              <w:rPr>
                <w:rFonts w:ascii="Times New Roman" w:hAnsi="Times New Roman"/>
                <w:sz w:val="20"/>
              </w:rPr>
              <w:t>First Supplemental Indenture (Series A and Series B 7.75% Senior Notes due 2012) dated as of September 25, 2002 among Plains All American Pipeline, L.P., PAA Finance Corp., the Subsidiary Guarantors named therein and Wachovia Bank, National Association, as trustee (incorporated by reference to Exhibit 4.2 to the Quarterly Report on Form 10-Q for the quarter ended September 30, 2002).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11"/>
        <w:gridCol w:w="223"/>
        <w:gridCol w:w="235"/>
        <w:gridCol w:w="126"/>
        <w:gridCol w:w="9110"/>
      </w:tblGrid>
      <w:tr>
        <w:trPr/>
        <w:tc>
          <w:tcPr>
            <w:tcW w:w="51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9110" w:type="dxa"/>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4.3</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Second Supplemental Indenture (Series A and Series B 5.625% Senior Notes due 2013) dated as of December 10, 2003 among Plains All American Pipeline, L.P., PAA Finance Corp., the Subsidiary Guarantors named therein and Wachovia Bank, National Association, as trustee (incorporated by reference to Exhibit 4.4 to the Annual Report on Form 10-K for the year ended December 31, 2003).</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4.4</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the Registration Statement on Form S-4, File No. 333-121168).</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4.5</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Fifth Supplemental Indenture (Series A and Series B 5.25% Senior Notes due 2015) dated May 27, 2005 among Plains All American Pipeline, L.P., PAA Finance Corp., the Subsidiary Guarantors named therein and Wachovia Bank, National Association, as trustee (incorporated by reference to Exhibit 4.1 to the Current Report on Form 8-K filed May 31, 2005).</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4.6</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the Current Report on Form 8-K filed May 12, 2006).</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4.7</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Seventh Supplemental Indenture dated May 12, 2006 among Plains All American Pipeline, L.P., PAA Finance Corp., the Subsidiary Guarantors named therein and Wachovia Bank, National Association, as trustee (incorporated by reference to Exhibit 4.3 to the Current Report on Form 8-K filed May 12, 2006).</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4.8</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Eighth Supplemental Indenture dated August 25, 2006 among Plains All American Pipeline, L.P., PAA Finance Corp., the Subsidiary Guarantors named therein and Wachovia Bank, National Association, as trustee (incorporated by reference to Exhibit 4.1 to the Current Report on Form 8-K filed August 25, 2006).</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4.9</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the Current Report on Form 8-K filed October 30, 2006).</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4.10</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the Current Report on Form 8-K filed October 30, 2006).</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4.11</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Eleventh Supplemental Indenture dated November 15, 2006 among Plains All American Pipeline, L.P., PAA Finance Corp., the Subsidiary Guarantors named therein and U.S. Bank National Association, as trustee (incorporated by reference to Exhibit 4.1 to the Current Report on Form 8-K filed November 21, 2006).</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4.12</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Twelfth Supplemental Indenture dated January 1, 2008 among Plains All American Pipeline, L.P., PAA Finance Corp., the Subsidiary Guarantors named therein and U.S. Bank National Association, as trustee (incorporated by reference to Exhibit 4.21 to the Annual Report on Form 10-K for the year ended December 31, 2007).</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4.13</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Thirteenth Supplemental Indenture (Series A and Series B 6.5% Senior Notes due 2018) dated April 23, 2008 among Plains All American Pipeline, L.P., PAA Finance Corp., the Subsidiary Guarantors named therein and U.S. Bank National Association, as trustee (incorporated by reference to Exhibit 4.1 to the Current Report on Form 8-K filed April 23, 2008).</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4.14</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Fourteenth Supplemental Indenture dated July 1, 2008 among Plains All American Pipeline, L.P., PAA Finance Corp., the Subsidiary Guarantors named therein and U.S. Bank National Association, as trustee (incorporated by reference to Exhibit 4.15 to the Quarterly Report on Form 10-Q for the quarter ended June 30, 2008).</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4.15</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Fifteenth Supplemental Indenture (8.75% Senior Notes due 2019) dated April 20, 2009 among Plains All American Pipeline, L.P., PAA Finance Corp., the Subsidiary Guarantors named therein and U.S. Bank National Association, as trustee (incorporated by reference to Exhibit 4.1 to the Current Report on Form 8-K filed April 20, 2009).</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12"/>
        <w:gridCol w:w="223"/>
        <w:gridCol w:w="236"/>
        <w:gridCol w:w="126"/>
        <w:gridCol w:w="9108"/>
      </w:tblGrid>
      <w:tr>
        <w:trPr/>
        <w:tc>
          <w:tcPr>
            <w:tcW w:w="512"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9108" w:type="dxa"/>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4.16</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Sixteenth Supplemental Indenture (4.25% Senior Notes due 2012) dated July 23, 2009 among Plains All American Pipeline, L.P., PAA Finance Corp., the Subsidiary Guarantors named therein and U.S. Bank National Association, as trustee (incorporated by reference to Exhibit 4.1 to the Current Report on Form 8-K filed July 23, 2009).</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4.17</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Seventeenth Supplemental Indenture (5.75% Senior Notes due 2020) dated September 4, 2009 among Plains All American Pipeline, L.P., PAA Finance Corp., the Subsidiary Guarantors named therein, and U.S. Bank National Association as trustee (incorporated by reference to Exhibit 4.1 to the Current Report on Form 8-K filed September 4, 2009).</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4.18</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Eighteenth Supplemental Indenture (3.95% Senior Notes due 2015) dated July 14, 2010 among Plains All American Pipeline, L.P., PAA Finance Corp., the Subsidiary Guarantors named therein, and U.S. Bank National Association, as trustee (incorporated by reference to Exhibit 4.1 to the Current Report on Form 8-K filed July 13, 2010).</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4.19</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Indenture dated September 23, 2005 among Pacific Energy Partners, L.P., PAA Finance Corp. (f/k/a Pacific Energy Finance Corporation), the Guarantors named therein, and Wells Fargo Bank, National Association, as trustee of the 61/4% senior notes due 2015 (incorporated by reference to Exhibit 4.1 to Pacific Energy Partners, L.P.s Current Report on Form 8-K filed September 28, 2005).</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4.20</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First Supplemental Indenture dated November 15, 2006 among Plains All American Pipeline, L.P., PAA Finance Corp. (f/k/a Pacific Energy Finance Corporation), the Guarantors named therein, and Wells Fargo Bank, National Association, as trustee (incorporated by reference to Exhibit 4.3 to the Current Report on Form 8-K filed November 21, 2006).</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4.21</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Second Supplemental Indenture dated January 1, 2008 among Plains All American Pipeline, L.P., PAA Finance Corp. (f/k/a Pacific Energy Finance Corporation), the Guarantors named therein, and Wells Fargo Bank, National Association, as trustee (incorporated by reference to Exhibit 4.22 to the Annual Report on Form 10-K for the year ended December 31, 2007).</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4.22</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Registration Rights Agreement dated September 3, 2009 by and between Plains All American Pipeline, L.P. and Vulcan Gas Storage LLC (incorporated by reference to Exhibit 4.1 to the Registration Statement on Form S-3, File No. 333-162477).</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rFonts w:ascii="Times New Roman" w:hAnsi="Times New Roman"/>
                <w:sz w:val="20"/>
              </w:rPr>
            </w:pPr>
            <w:r>
              <w:rPr>
                <w:rFonts w:ascii="Times New Roman" w:hAnsi="Times New Roman"/>
                <w:sz w:val="20"/>
              </w:rPr>
              <w:t>10.1</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Contribution Agreement dated as of April 29, 2010 by and among PAA Natural Gas Storage, L.P., PNGS GP LLC, Plains All American Pipeline, L.P., PAA Natural Gas Storage, LLC, PAA/Vulcan Gas Storage, LLC, Plains Marketing, L.P. and Plains Marketing GP Inc. (incorporated by reference to Exhibit 10.1 to PNGs Current Report on Form 8-K filed on May 4, 2010).</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rFonts w:ascii="Times New Roman" w:hAnsi="Times New Roman"/>
                <w:sz w:val="20"/>
              </w:rPr>
            </w:pPr>
            <w:r>
              <w:rPr>
                <w:rFonts w:ascii="Times New Roman" w:hAnsi="Times New Roman"/>
                <w:sz w:val="20"/>
              </w:rPr>
              <w:t>10.2</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Omnibus Agreement dated May 5, 2010 by and among Plains All American GP LLC, Plains All American Pipeline, L.P., PNGS GP LLC and PAA Natural Gas Storage, L.P. (incorporated by reference to Exhibit 10.1 to PNGs Current Report on Form 8-K filed on May 11, 2010).</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rFonts w:ascii="Times New Roman" w:hAnsi="Times New Roman"/>
                <w:sz w:val="20"/>
              </w:rPr>
            </w:pPr>
            <w:r>
              <w:rPr>
                <w:rFonts w:ascii="Times New Roman" w:hAnsi="Times New Roman"/>
                <w:sz w:val="20"/>
              </w:rPr>
              <w:t>12.1</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Computation of Ratio of Earnings to Fixed Charges</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rFonts w:ascii="Times New Roman" w:hAnsi="Times New Roman"/>
                <w:sz w:val="20"/>
              </w:rPr>
            </w:pPr>
            <w:r>
              <w:rPr>
                <w:rFonts w:ascii="Times New Roman" w:hAnsi="Times New Roman"/>
                <w:sz w:val="20"/>
              </w:rPr>
              <w:t>31.1</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 of Principal Executive Officer pursuant to Exchange Act Rules 13a-14(a) and 15d-14(a).</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rFonts w:ascii="Times New Roman" w:hAnsi="Times New Roman"/>
                <w:sz w:val="20"/>
              </w:rPr>
            </w:pPr>
            <w:r>
              <w:rPr>
                <w:rFonts w:ascii="Times New Roman" w:hAnsi="Times New Roman"/>
                <w:sz w:val="20"/>
              </w:rPr>
              <w:t>31.2</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 of Principal Financial Officer pursuant to Exchange Act Rules 13a-14(a) and 15d-14(a).</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rFonts w:ascii="Times New Roman" w:hAnsi="Times New Roman"/>
                <w:sz w:val="20"/>
              </w:rPr>
            </w:pPr>
            <w:r>
              <w:rPr>
                <w:rFonts w:ascii="Times New Roman" w:hAnsi="Times New Roman"/>
                <w:sz w:val="20"/>
              </w:rPr>
              <w:t>32.1</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 of Principal Executive Officer pursuant to 18 U.S.C. 1350</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rFonts w:ascii="Times New Roman" w:hAnsi="Times New Roman"/>
                <w:sz w:val="20"/>
              </w:rPr>
            </w:pPr>
            <w:r>
              <w:rPr>
                <w:rFonts w:ascii="Times New Roman" w:hAnsi="Times New Roman"/>
                <w:sz w:val="20"/>
              </w:rPr>
              <w:t>32.2</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 of Principal Financial Officer pursuant to 18 U.S.C. 1350</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rFonts w:ascii="Times New Roman" w:hAnsi="Times New Roman"/>
                <w:sz w:val="20"/>
              </w:rPr>
            </w:pPr>
            <w:r>
              <w:rPr>
                <w:rFonts w:ascii="Times New Roman" w:hAnsi="Times New Roman"/>
                <w:sz w:val="20"/>
              </w:rPr>
              <w:t>101</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The following financial information from the quarterly report on Form 10-Q of Plains All American Pipeline, L.P. for the quarter ended June 30, 2010, formatted in XBRL (eXtensible Business Reporting Language): (i) Condensed Consolidated Statements of Operations, (ii) Condensed Consolidated Balance Sheets, (iii) Condensed Consolidated Statements of Cash Flows, (iv) Condensed Consolidated Statement of Partners Capital, (v) Condensed Consolidated Statements of Comprehensive Income, (vi) Condensed Consolidated Statement of Changes in Accumulated Other Comprehensive Income and (vii) Notes to the Condensed Consolidated Financial Statements, tagged as blocks of text.</w:t>
            </w:r>
          </w:p>
        </w:tc>
      </w:tr>
    </w:tbl>
    <w:p>
      <w:pPr>
        <w:pStyle w:val="TextBody"/>
        <w:pBdr>
          <w:bottom w:val="single" w:sz="16"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Management compensatory plan or arrangement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5" w:name="tx73093_33"/>
      <w:bookmarkEnd w:id="35"/>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97"/>
        <w:gridCol w:w="101"/>
        <w:gridCol w:w="408"/>
        <w:gridCol w:w="101"/>
        <w:gridCol w:w="4798"/>
      </w:tblGrid>
      <w:tr>
        <w:trPr/>
        <w:tc>
          <w:tcPr>
            <w:tcW w:w="479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530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Date: August 6, 2010</w:t>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pBdr>
                <w:bottom w:val="single" w:sz="2" w:space="1" w:color="000000"/>
              </w:pBdr>
              <w:spacing w:before="0" w:after="15"/>
              <w:jc w:val="center"/>
              <w:rPr>
                <w:rFonts w:ascii="Times New Roman" w:hAnsi="Times New Roman"/>
                <w:sz w:val="20"/>
              </w:rPr>
            </w:pPr>
            <w:r>
              <w:rPr>
                <w:rFonts w:ascii="Times New Roman" w:hAnsi="Times New Roman"/>
                <w:sz w:val="20"/>
              </w:rPr>
              <w:t>/s/ GREG L. ARMSTRONG</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 xml:space="preserve">Greg L. Armstrong, </w:t>
            </w:r>
            <w:r>
              <w:rPr>
                <w:rFonts w:ascii="Times New Roman" w:hAnsi="Times New Roman"/>
                <w:i/>
                <w:sz w:val="20"/>
              </w:rPr>
              <w:t>Chairman of the Board,</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jc w:val="center"/>
              <w:rPr>
                <w:rFonts w:ascii="Times New Roman" w:hAnsi="Times New Roman"/>
                <w:i/>
                <w:sz w:val="20"/>
              </w:rPr>
            </w:pPr>
            <w:r>
              <w:rPr>
                <w:rFonts w:ascii="Times New Roman" w:hAnsi="Times New Roman"/>
                <w:i/>
                <w:sz w:val="20"/>
              </w:rPr>
              <w:t>Chief Executive Officer and Director</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jc w:val="center"/>
              <w:rPr>
                <w:rFonts w:ascii="Times New Roman" w:hAnsi="Times New Roman"/>
                <w:i/>
                <w:sz w:val="20"/>
              </w:rPr>
            </w:pPr>
            <w:r>
              <w:rPr>
                <w:rFonts w:ascii="Times New Roman" w:hAnsi="Times New Roman"/>
                <w:i/>
                <w:sz w:val="20"/>
              </w:rPr>
              <w:t>(Principal Executive Officer)</w:t>
            </w:r>
          </w:p>
        </w:tc>
      </w:tr>
      <w:tr>
        <w:trPr>
          <w:trHeight w:val="24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Date: August 6, 2010</w:t>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pBdr>
                <w:bottom w:val="single" w:sz="2" w:space="1" w:color="000000"/>
              </w:pBdr>
              <w:spacing w:before="0" w:after="15"/>
              <w:jc w:val="center"/>
              <w:rPr>
                <w:rFonts w:ascii="Times New Roman" w:hAnsi="Times New Roman"/>
                <w:sz w:val="20"/>
              </w:rPr>
            </w:pPr>
            <w:r>
              <w:rPr>
                <w:rFonts w:ascii="Times New Roman" w:hAnsi="Times New Roman"/>
                <w:sz w:val="20"/>
              </w:rPr>
              <w:t>/s/ AL SWANSON</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 xml:space="preserve">Al Swanson, </w:t>
            </w:r>
            <w:r>
              <w:rPr>
                <w:rFonts w:ascii="Times New Roman" w:hAnsi="Times New Roman"/>
                <w:i/>
                <w:sz w:val="20"/>
              </w:rPr>
              <w:t>Senior Vice President and</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jc w:val="center"/>
              <w:rPr>
                <w:rFonts w:ascii="Times New Roman" w:hAnsi="Times New Roman"/>
                <w:i/>
                <w:sz w:val="20"/>
              </w:rPr>
            </w:pPr>
            <w:r>
              <w:rPr>
                <w:rFonts w:ascii="Times New Roman" w:hAnsi="Times New Roman"/>
                <w:i/>
                <w:sz w:val="20"/>
              </w:rPr>
              <w:t>Chief Financial Officer</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jc w:val="center"/>
              <w:rPr>
                <w:rFonts w:ascii="Times New Roman" w:hAnsi="Times New Roman"/>
                <w:i/>
                <w:sz w:val="20"/>
              </w:rPr>
            </w:pPr>
            <w:r>
              <w:rPr>
                <w:rFonts w:ascii="Times New Roman" w:hAnsi="Times New Roman"/>
                <w:i/>
                <w:sz w:val="20"/>
              </w:rPr>
              <w:t>(Principal Financial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05"/>
        <w:gridCol w:w="221"/>
        <w:gridCol w:w="233"/>
        <w:gridCol w:w="125"/>
        <w:gridCol w:w="9121"/>
      </w:tblGrid>
      <w:tr>
        <w:trPr/>
        <w:tc>
          <w:tcPr>
            <w:tcW w:w="505"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9121" w:type="dxa"/>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pPr>
            <w:r>
              <w:rPr/>
              <w:t>  </w:t>
            </w:r>
            <w:r>
              <w:rPr>
                <w:rFonts w:ascii="Times New Roman" w:hAnsi="Times New Roman"/>
                <w:sz w:val="20"/>
              </w:rPr>
              <w:t>3.1</w:t>
            </w:r>
          </w:p>
        </w:tc>
        <w:tc>
          <w:tcPr>
            <w:tcW w:w="221" w:type="dxa"/>
            <w:tcBorders/>
            <w:shd w:fill="auto" w:val="clear"/>
            <w:vAlign w:val="bottom"/>
          </w:tcPr>
          <w:p>
            <w:pPr>
              <w:pStyle w:val="TableContents"/>
              <w:spacing w:before="0" w:after="283"/>
              <w:rPr/>
            </w:pPr>
            <w:r>
              <w:rPr/>
              <w:t>  </w:t>
            </w:r>
          </w:p>
        </w:tc>
        <w:tc>
          <w:tcPr>
            <w:tcW w:w="23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Third Amended and Restated Agreement of Limited Partnership of Plains All American Pipeline, L.P. dated as of June 27, 2001 (incorporated by reference to Exhibit 3.1 to the Current Report on Form 8-K filed August 27, 2001).</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c>
          <w:tcPr>
            <w:tcW w:w="9246"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pPr>
            <w:r>
              <w:rPr/>
              <w:t>  </w:t>
            </w:r>
            <w:r>
              <w:rPr>
                <w:rFonts w:ascii="Times New Roman" w:hAnsi="Times New Roman"/>
                <w:sz w:val="20"/>
              </w:rPr>
              <w:t>3.2</w:t>
            </w:r>
          </w:p>
        </w:tc>
        <w:tc>
          <w:tcPr>
            <w:tcW w:w="221" w:type="dxa"/>
            <w:tcBorders/>
            <w:shd w:fill="auto" w:val="clear"/>
            <w:vAlign w:val="bottom"/>
          </w:tcPr>
          <w:p>
            <w:pPr>
              <w:pStyle w:val="TableContents"/>
              <w:spacing w:before="0" w:after="283"/>
              <w:rPr/>
            </w:pPr>
            <w:r>
              <w:rPr/>
              <w:t>  </w:t>
            </w:r>
          </w:p>
        </w:tc>
        <w:tc>
          <w:tcPr>
            <w:tcW w:w="23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1 dated April 15, 2004 to the Third Amended and Restated Agreement of Limited Partnership of Plains All American Pipeline, L.P. (incorporated by reference to Exhibit 3.1 to the Quarterly Report on Form 10-Q for the quarter ended March 31, 2004).</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c>
          <w:tcPr>
            <w:tcW w:w="9246"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pPr>
            <w:r>
              <w:rPr/>
              <w:t>  </w:t>
            </w:r>
            <w:r>
              <w:rPr>
                <w:rFonts w:ascii="Times New Roman" w:hAnsi="Times New Roman"/>
                <w:sz w:val="20"/>
              </w:rPr>
              <w:t>3.3</w:t>
            </w:r>
          </w:p>
        </w:tc>
        <w:tc>
          <w:tcPr>
            <w:tcW w:w="221" w:type="dxa"/>
            <w:tcBorders/>
            <w:shd w:fill="auto" w:val="clear"/>
            <w:vAlign w:val="bottom"/>
          </w:tcPr>
          <w:p>
            <w:pPr>
              <w:pStyle w:val="TableContents"/>
              <w:spacing w:before="0" w:after="283"/>
              <w:rPr/>
            </w:pPr>
            <w:r>
              <w:rPr/>
              <w:t>  </w:t>
            </w:r>
          </w:p>
        </w:tc>
        <w:tc>
          <w:tcPr>
            <w:tcW w:w="23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2 dated November 15, 2006 to Third Amended and Restated Agreement of Limited Partnership of Plains All American Pipeline, L.P. (incorporated by reference to Exhibit 3.1 to the Current Report on Form 8-K filed November 21, 2006).</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c>
          <w:tcPr>
            <w:tcW w:w="9246"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pPr>
            <w:r>
              <w:rPr/>
              <w:t>  </w:t>
            </w:r>
            <w:r>
              <w:rPr>
                <w:rFonts w:ascii="Times New Roman" w:hAnsi="Times New Roman"/>
                <w:sz w:val="20"/>
              </w:rPr>
              <w:t>3.4</w:t>
            </w:r>
          </w:p>
        </w:tc>
        <w:tc>
          <w:tcPr>
            <w:tcW w:w="221" w:type="dxa"/>
            <w:tcBorders/>
            <w:shd w:fill="auto" w:val="clear"/>
            <w:vAlign w:val="bottom"/>
          </w:tcPr>
          <w:p>
            <w:pPr>
              <w:pStyle w:val="TableContents"/>
              <w:spacing w:before="0" w:after="283"/>
              <w:rPr/>
            </w:pPr>
            <w:r>
              <w:rPr/>
              <w:t>  </w:t>
            </w:r>
          </w:p>
        </w:tc>
        <w:tc>
          <w:tcPr>
            <w:tcW w:w="23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3 dated August 16, 2007 to Third Amended and Restated Agreement of Limited Partnership of Plains All American Pipeline, L.P. (incorporated by reference to Exhibit 3.1 to the Current Report on Form 8-K filed August 22, 2007).</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c>
          <w:tcPr>
            <w:tcW w:w="9246"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pPr>
            <w:r>
              <w:rPr/>
              <w:t>  </w:t>
            </w:r>
            <w:r>
              <w:rPr>
                <w:rFonts w:ascii="Times New Roman" w:hAnsi="Times New Roman"/>
                <w:sz w:val="20"/>
              </w:rPr>
              <w:t>3.5</w:t>
            </w:r>
          </w:p>
        </w:tc>
        <w:tc>
          <w:tcPr>
            <w:tcW w:w="221" w:type="dxa"/>
            <w:tcBorders/>
            <w:shd w:fill="auto" w:val="clear"/>
            <w:vAlign w:val="bottom"/>
          </w:tcPr>
          <w:p>
            <w:pPr>
              <w:pStyle w:val="TableContents"/>
              <w:spacing w:before="0" w:after="283"/>
              <w:rPr/>
            </w:pPr>
            <w:r>
              <w:rPr/>
              <w:t>  </w:t>
            </w:r>
          </w:p>
        </w:tc>
        <w:tc>
          <w:tcPr>
            <w:tcW w:w="23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4 effective as of January 1, 2007 to Third Amended and Restated Agreement of Limited Partnership of Plains All American Pipeline, L.P. (incorporated by reference to Exhibit 3.1 to the Current Report on Form 8-K filed April 15, 2008).</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c>
          <w:tcPr>
            <w:tcW w:w="9246"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pPr>
            <w:r>
              <w:rPr/>
              <w:t>  </w:t>
            </w:r>
            <w:r>
              <w:rPr>
                <w:rFonts w:ascii="Times New Roman" w:hAnsi="Times New Roman"/>
                <w:sz w:val="20"/>
              </w:rPr>
              <w:t>3.6</w:t>
            </w:r>
          </w:p>
        </w:tc>
        <w:tc>
          <w:tcPr>
            <w:tcW w:w="221" w:type="dxa"/>
            <w:tcBorders/>
            <w:shd w:fill="auto" w:val="clear"/>
            <w:vAlign w:val="bottom"/>
          </w:tcPr>
          <w:p>
            <w:pPr>
              <w:pStyle w:val="TableContents"/>
              <w:spacing w:before="0" w:after="283"/>
              <w:rPr/>
            </w:pPr>
            <w:r>
              <w:rPr/>
              <w:t>  </w:t>
            </w:r>
          </w:p>
        </w:tc>
        <w:tc>
          <w:tcPr>
            <w:tcW w:w="23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5 dated May 28, 2008 to Third Amended and Restated Agreement of Limited Partnership of Plains All American Pipeline, L.P. (incorporated by reference to Exhibit 3.1 to the Current Report on Form 8-K filed May 30, 2008).</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c>
          <w:tcPr>
            <w:tcW w:w="9246"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pPr>
            <w:r>
              <w:rPr/>
              <w:t>  </w:t>
            </w:r>
            <w:r>
              <w:rPr>
                <w:rFonts w:ascii="Times New Roman" w:hAnsi="Times New Roman"/>
                <w:sz w:val="20"/>
              </w:rPr>
              <w:t>3.7</w:t>
            </w:r>
          </w:p>
        </w:tc>
        <w:tc>
          <w:tcPr>
            <w:tcW w:w="221" w:type="dxa"/>
            <w:tcBorders/>
            <w:shd w:fill="auto" w:val="clear"/>
            <w:vAlign w:val="bottom"/>
          </w:tcPr>
          <w:p>
            <w:pPr>
              <w:pStyle w:val="TableContents"/>
              <w:spacing w:before="0" w:after="283"/>
              <w:rPr/>
            </w:pPr>
            <w:r>
              <w:rPr/>
              <w:t>  </w:t>
            </w:r>
          </w:p>
        </w:tc>
        <w:tc>
          <w:tcPr>
            <w:tcW w:w="23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6 dated September 3, 2009 to Third Amended and Restated Agreement of Limited Partnership of Plains All American Pipeline, L.P. (incorporated by reference to Exhibit 3.1 to the Current Report on Form 8-K filed September 3, 2009).</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c>
          <w:tcPr>
            <w:tcW w:w="9246"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pPr>
            <w:r>
              <w:rPr/>
              <w:t>  </w:t>
            </w:r>
            <w:r>
              <w:rPr>
                <w:rFonts w:ascii="Times New Roman" w:hAnsi="Times New Roman"/>
                <w:sz w:val="20"/>
              </w:rPr>
              <w:t>3.8</w:t>
            </w:r>
          </w:p>
        </w:tc>
        <w:tc>
          <w:tcPr>
            <w:tcW w:w="221" w:type="dxa"/>
            <w:tcBorders/>
            <w:shd w:fill="auto" w:val="clear"/>
            <w:vAlign w:val="bottom"/>
          </w:tcPr>
          <w:p>
            <w:pPr>
              <w:pStyle w:val="TableContents"/>
              <w:spacing w:before="0" w:after="283"/>
              <w:rPr/>
            </w:pPr>
            <w:r>
              <w:rPr/>
              <w:t>  </w:t>
            </w:r>
          </w:p>
        </w:tc>
        <w:tc>
          <w:tcPr>
            <w:tcW w:w="23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Third Amended and Restated Agreement of Limited Partnership of Plains Marketing, L.P. dated as of April 1, 2004 (incorporated by reference to Exhibit 3.2 to the Quarterly Report on Form 10-Q for the quarter ended March 31, 2004).</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c>
          <w:tcPr>
            <w:tcW w:w="9246"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pPr>
            <w:r>
              <w:rPr/>
              <w:t>  </w:t>
            </w:r>
            <w:r>
              <w:rPr>
                <w:rFonts w:ascii="Times New Roman" w:hAnsi="Times New Roman"/>
                <w:sz w:val="20"/>
              </w:rPr>
              <w:t>3.9</w:t>
            </w:r>
          </w:p>
        </w:tc>
        <w:tc>
          <w:tcPr>
            <w:tcW w:w="221" w:type="dxa"/>
            <w:tcBorders/>
            <w:shd w:fill="auto" w:val="clear"/>
            <w:vAlign w:val="bottom"/>
          </w:tcPr>
          <w:p>
            <w:pPr>
              <w:pStyle w:val="TableContents"/>
              <w:spacing w:before="0" w:after="283"/>
              <w:rPr/>
            </w:pPr>
            <w:r>
              <w:rPr/>
              <w:t>  </w:t>
            </w:r>
          </w:p>
        </w:tc>
        <w:tc>
          <w:tcPr>
            <w:tcW w:w="23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Third Amended and Restated Agreement of Limited Partnership of Plains Pipeline, L.P. dated as of April 1, 2004 (incorporated by reference to Exhibit 3.3 to the Quarterly Report on Form 10-Q for the quarter ended March 31, 2004).</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c>
          <w:tcPr>
            <w:tcW w:w="9246"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pPr>
            <w:r>
              <w:rPr/>
              <w:t>  </w:t>
            </w:r>
            <w:r>
              <w:rPr>
                <w:rFonts w:ascii="Times New Roman" w:hAnsi="Times New Roman"/>
                <w:sz w:val="20"/>
              </w:rPr>
              <w:t>3.10</w:t>
            </w:r>
          </w:p>
        </w:tc>
        <w:tc>
          <w:tcPr>
            <w:tcW w:w="221" w:type="dxa"/>
            <w:tcBorders/>
            <w:shd w:fill="auto" w:val="clear"/>
            <w:vAlign w:val="bottom"/>
          </w:tcPr>
          <w:p>
            <w:pPr>
              <w:pStyle w:val="TableContents"/>
              <w:spacing w:before="0" w:after="283"/>
              <w:rPr/>
            </w:pPr>
            <w:r>
              <w:rPr/>
              <w:t>  </w:t>
            </w:r>
          </w:p>
        </w:tc>
        <w:tc>
          <w:tcPr>
            <w:tcW w:w="23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Fourth Amended and Restated Limited Liability Company Agreement of Plains All American GP LLC dated August 7, 2008, as amended November 2, 2009 (incorporated by reference to Exhibit 3.10 to the Quarterly Report on Form 10-Q for the quarter ended September 30, 2009).</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c>
          <w:tcPr>
            <w:tcW w:w="9246"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pPr>
            <w:r>
              <w:rPr/>
              <w:t>  </w:t>
            </w:r>
            <w:r>
              <w:rPr>
                <w:rFonts w:ascii="Times New Roman" w:hAnsi="Times New Roman"/>
                <w:sz w:val="20"/>
              </w:rPr>
              <w:t>3.11</w:t>
            </w:r>
          </w:p>
        </w:tc>
        <w:tc>
          <w:tcPr>
            <w:tcW w:w="221" w:type="dxa"/>
            <w:tcBorders/>
            <w:shd w:fill="auto" w:val="clear"/>
            <w:vAlign w:val="bottom"/>
          </w:tcPr>
          <w:p>
            <w:pPr>
              <w:pStyle w:val="TableContents"/>
              <w:spacing w:before="0" w:after="283"/>
              <w:rPr/>
            </w:pPr>
            <w:r>
              <w:rPr/>
              <w:t>  </w:t>
            </w:r>
          </w:p>
        </w:tc>
        <w:tc>
          <w:tcPr>
            <w:tcW w:w="23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Fifth Amended and Restated Limited Partnership Agreement of Plains AAP, L.P. dated August 7, 2008 (incorporated by reference to Exhibit 3.1 to the Current Report on Form 8-K filed August 7, 2008).</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c>
          <w:tcPr>
            <w:tcW w:w="9246"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pPr>
            <w:r>
              <w:rPr/>
              <w:t>  </w:t>
            </w:r>
            <w:r>
              <w:rPr>
                <w:rFonts w:ascii="Times New Roman" w:hAnsi="Times New Roman"/>
                <w:sz w:val="20"/>
              </w:rPr>
              <w:t>3.12</w:t>
            </w:r>
          </w:p>
        </w:tc>
        <w:tc>
          <w:tcPr>
            <w:tcW w:w="221" w:type="dxa"/>
            <w:tcBorders/>
            <w:shd w:fill="auto" w:val="clear"/>
            <w:vAlign w:val="bottom"/>
          </w:tcPr>
          <w:p>
            <w:pPr>
              <w:pStyle w:val="TableContents"/>
              <w:spacing w:before="0" w:after="283"/>
              <w:rPr/>
            </w:pPr>
            <w:r>
              <w:rPr/>
              <w:t>  </w:t>
            </w:r>
          </w:p>
        </w:tc>
        <w:tc>
          <w:tcPr>
            <w:tcW w:w="23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Certificate of Incorporation of PAA Finance Corp (f/k/a Pacific Energy Finance Corporation, successor-by-merger to PAA Finance Corp.) (incorporated by reference to Exhibit 3.10 to the Annual Report on Form 10-K for the year ended December 31, 2006).</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c>
          <w:tcPr>
            <w:tcW w:w="9246"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pPr>
            <w:r>
              <w:rPr/>
              <w:t>  </w:t>
            </w:r>
            <w:r>
              <w:rPr>
                <w:rFonts w:ascii="Times New Roman" w:hAnsi="Times New Roman"/>
                <w:sz w:val="20"/>
              </w:rPr>
              <w:t>3.13</w:t>
            </w:r>
          </w:p>
        </w:tc>
        <w:tc>
          <w:tcPr>
            <w:tcW w:w="221" w:type="dxa"/>
            <w:tcBorders/>
            <w:shd w:fill="auto" w:val="clear"/>
            <w:vAlign w:val="bottom"/>
          </w:tcPr>
          <w:p>
            <w:pPr>
              <w:pStyle w:val="TableContents"/>
              <w:spacing w:before="0" w:after="283"/>
              <w:rPr/>
            </w:pPr>
            <w:r>
              <w:rPr/>
              <w:t>  </w:t>
            </w:r>
          </w:p>
        </w:tc>
        <w:tc>
          <w:tcPr>
            <w:tcW w:w="23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Bylaws of PAA Finance Corp (f/k/a Pacific Energy Finance Corporation, successor-by-merger to PAA Finance Corp.) (incorporated by reference to Exhibit 3.11 to the Annual Report on Form 10-K for the year ended December 31, 2006).</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c>
          <w:tcPr>
            <w:tcW w:w="9246"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pPr>
            <w:r>
              <w:rPr/>
              <w:t>  </w:t>
            </w:r>
            <w:r>
              <w:rPr>
                <w:rFonts w:ascii="Times New Roman" w:hAnsi="Times New Roman"/>
                <w:sz w:val="20"/>
              </w:rPr>
              <w:t>3.14</w:t>
            </w:r>
          </w:p>
        </w:tc>
        <w:tc>
          <w:tcPr>
            <w:tcW w:w="221" w:type="dxa"/>
            <w:tcBorders/>
            <w:shd w:fill="auto" w:val="clear"/>
            <w:vAlign w:val="bottom"/>
          </w:tcPr>
          <w:p>
            <w:pPr>
              <w:pStyle w:val="TableContents"/>
              <w:spacing w:before="0" w:after="283"/>
              <w:rPr/>
            </w:pPr>
            <w:r>
              <w:rPr/>
              <w:t>  </w:t>
            </w:r>
          </w:p>
        </w:tc>
        <w:tc>
          <w:tcPr>
            <w:tcW w:w="23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Limited Liability Company Agreement of PAA GP LLC dated December 28, 2007 (incorporated by reference to Exhibit 3.3 to the Current Report on Form 8-K filed January 4, 2008).</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c>
          <w:tcPr>
            <w:tcW w:w="9246"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pPr>
            <w:r>
              <w:rPr/>
              <w:t>  </w:t>
            </w:r>
            <w:r>
              <w:rPr>
                <w:rFonts w:ascii="Times New Roman" w:hAnsi="Times New Roman"/>
                <w:sz w:val="20"/>
              </w:rPr>
              <w:t>4.1</w:t>
            </w:r>
          </w:p>
        </w:tc>
        <w:tc>
          <w:tcPr>
            <w:tcW w:w="221" w:type="dxa"/>
            <w:tcBorders/>
            <w:shd w:fill="auto" w:val="clear"/>
            <w:vAlign w:val="bottom"/>
          </w:tcPr>
          <w:p>
            <w:pPr>
              <w:pStyle w:val="TableContents"/>
              <w:spacing w:before="0" w:after="283"/>
              <w:rPr/>
            </w:pPr>
            <w:r>
              <w:rPr/>
              <w:t>  </w:t>
            </w:r>
          </w:p>
        </w:tc>
        <w:tc>
          <w:tcPr>
            <w:tcW w:w="23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Indenture dated September 25, 2002 among Plains All American Pipeline, L.P., PAA Finance Corp. and Wachovia Bank, National Association, as trustee (incorporated by reference to Exhibit 4.1 to the Quarterly Report on Form 10-Q for the quarter ended September 30, 2002).</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c>
          <w:tcPr>
            <w:tcW w:w="9246"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pPr>
            <w:r>
              <w:rPr/>
              <w:t>  </w:t>
            </w:r>
            <w:r>
              <w:rPr>
                <w:rFonts w:ascii="Times New Roman" w:hAnsi="Times New Roman"/>
                <w:sz w:val="20"/>
              </w:rPr>
              <w:t>4.2</w:t>
            </w:r>
          </w:p>
        </w:tc>
        <w:tc>
          <w:tcPr>
            <w:tcW w:w="221" w:type="dxa"/>
            <w:tcBorders/>
            <w:shd w:fill="auto" w:val="clear"/>
            <w:vAlign w:val="bottom"/>
          </w:tcPr>
          <w:p>
            <w:pPr>
              <w:pStyle w:val="TableContents"/>
              <w:spacing w:before="0" w:after="283"/>
              <w:rPr/>
            </w:pPr>
            <w:r>
              <w:rPr/>
              <w:t>  </w:t>
            </w:r>
          </w:p>
        </w:tc>
        <w:tc>
          <w:tcPr>
            <w:tcW w:w="23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5" w:type="dxa"/>
            <w:tcBorders/>
            <w:shd w:fill="auto" w:val="clear"/>
            <w:vAlign w:val="bottom"/>
          </w:tcPr>
          <w:p>
            <w:pPr>
              <w:pStyle w:val="TableContents"/>
              <w:spacing w:before="0" w:after="283"/>
              <w:rPr/>
            </w:pPr>
            <w:r>
              <w:rPr/>
              <w:t>  </w:t>
            </w:r>
          </w:p>
        </w:tc>
        <w:tc>
          <w:tcPr>
            <w:tcW w:w="9121" w:type="dxa"/>
            <w:tcBorders/>
            <w:shd w:fill="auto" w:val="clear"/>
          </w:tcPr>
          <w:p>
            <w:pPr>
              <w:pStyle w:val="TableContents"/>
              <w:spacing w:before="0" w:after="283"/>
              <w:rPr>
                <w:rFonts w:ascii="Times New Roman" w:hAnsi="Times New Roman"/>
                <w:sz w:val="20"/>
              </w:rPr>
            </w:pPr>
            <w:r>
              <w:rPr>
                <w:rFonts w:ascii="Times New Roman" w:hAnsi="Times New Roman"/>
                <w:sz w:val="20"/>
              </w:rPr>
              <w:t>First Supplemental Indenture (Series A and Series B 7.75% Senior Notes due 2012) dated as of September 25, 2002 among Plains All American Pipeline, L.P., PAA Finance Corp., the Subsidiary Guarantors named therein and Wachovia Bank, National Association, as trustee (incorporated by reference to Exhibit 4.2 to the Quarterly Report on Form 10-Q for the quarter ended September 30, 2002).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11"/>
        <w:gridCol w:w="223"/>
        <w:gridCol w:w="235"/>
        <w:gridCol w:w="126"/>
        <w:gridCol w:w="9110"/>
      </w:tblGrid>
      <w:tr>
        <w:trPr/>
        <w:tc>
          <w:tcPr>
            <w:tcW w:w="51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9110"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4.3</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Second Supplemental Indenture (Series A and Series B 5.625% Senior Notes due 2013) dated as of December 10, 2003 among Plains All American Pipeline, L.P., PAA Finance Corp., the Subsidiary Guarantors named therein and Wachovia Bank, National Association, as trustee (incorporated by reference to Exhibit 4.4 to the Annual Report on Form 10-K for the year ended December 31, 2003).</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4.4</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the Registration Statement on Form S-4, File No. 333-121168).</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4.5</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Fifth Supplemental Indenture (Series A and Series B 5.25% Senior Notes due 2015) dated May 27, 2005 among Plains All American Pipeline, L.P., PAA Finance Corp., the Subsidiary Guarantors named therein and Wachovia Bank, National Association, as trustee (incorporated by reference to Exhibit 4.1 to the Current Report on Form 8-K filed May 31, 2005).</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4.6</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the Current Report on Form 8-K filed May 12, 2006).</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4.7</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Seventh Supplemental Indenture dated May 12, 2006 among Plains All American Pipeline, L.P., PAA Finance Corp., the Subsidiary Guarantors named therein and Wachovia Bank, National Association, as trustee (incorporated by reference to Exhibit 4.3 to the Current Report on Form 8-K filed May 12, 2006).</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4.8</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Eighth Supplemental Indenture dated August 25, 2006 among Plains All American Pipeline, L.P., PAA Finance Corp., the Subsidiary Guarantors named therein and Wachovia Bank, National Association, as trustee (incorporated by reference to Exhibit 4.1 to the Current Report on Form 8-K filed August 25, 2006).</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4.9</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the Current Report on Form 8-K filed October 30, 2006).</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4.10</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the Current Report on Form 8-K filed October 30, 2006).</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4.11</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Eleventh Supplemental Indenture dated November 15, 2006 among Plains All American Pipeline, L.P., PAA Finance Corp., the Subsidiary Guarantors named therein and U.S. Bank National Association, as trustee (incorporated by reference to Exhibit 4.1 to the Current Report on Form 8-K filed November 21, 2006).</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4.12</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Twelfth Supplemental Indenture dated January 1, 2008 among Plains All American Pipeline, L.P., PAA Finance Corp., the Subsidiary Guarantors named therein and U.S. Bank National Association, as trustee (incorporated by reference to Exhibit 4.21 to the Annual Report on Form 10-K for the year ended December 31, 2007).</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4.13</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Thirteenth Supplemental Indenture (Series A and Series B 6.5% Senior Notes due 2018) dated April 23, 2008 among Plains All American Pipeline, L.P., PAA Finance Corp., the Subsidiary Guarantors named therein and U.S. Bank National Association, as trustee (incorporated by reference to Exhibit 4.1 to the Current Report on Form 8-K filed April 23, 2008).</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4.14</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Fourteenth Supplemental Indenture dated July 1, 2008 among Plains All American Pipeline, L.P., PAA Finance Corp., the Subsidiary Guarantors named therein and U.S. Bank National Association, as trustee (incorporated by reference to Exhibit 4.15 to the Quarterly Report on Form 10-Q for the quarter ended June 30, 2008).</w:t>
            </w:r>
          </w:p>
        </w:tc>
      </w:tr>
      <w:tr>
        <w:trPr>
          <w:trHeight w:val="120" w:hRule="atLeast"/>
        </w:trPr>
        <w:tc>
          <w:tcPr>
            <w:tcW w:w="511" w:type="dxa"/>
            <w:tcBorders/>
            <w:shd w:fill="auto" w:val="clear"/>
            <w:vAlign w:val="center"/>
          </w:tcPr>
          <w:p>
            <w:pPr>
              <w:pStyle w:val="TableContents"/>
              <w:spacing w:before="0" w:after="283"/>
              <w:rPr>
                <w:sz w:val="4"/>
                <w:szCs w:val="4"/>
              </w:rPr>
            </w:pPr>
            <w:r>
              <w:rPr>
                <w:sz w:val="4"/>
                <w:szCs w:val="4"/>
              </w:rPr>
            </w:r>
          </w:p>
        </w:tc>
        <w:tc>
          <w:tcPr>
            <w:tcW w:w="458" w:type="dxa"/>
            <w:gridSpan w:val="2"/>
            <w:tcBorders/>
            <w:shd w:fill="auto" w:val="clear"/>
            <w:vAlign w:val="center"/>
          </w:tcPr>
          <w:p>
            <w:pPr>
              <w:pStyle w:val="TableContents"/>
              <w:spacing w:before="0" w:after="283"/>
              <w:rPr>
                <w:sz w:val="4"/>
                <w:szCs w:val="4"/>
              </w:rPr>
            </w:pPr>
            <w:r>
              <w:rPr>
                <w:sz w:val="4"/>
                <w:szCs w:val="4"/>
              </w:rPr>
            </w:r>
          </w:p>
        </w:tc>
        <w:tc>
          <w:tcPr>
            <w:tcW w:w="9236"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  </w:t>
            </w:r>
            <w:r>
              <w:rPr>
                <w:rFonts w:ascii="Times New Roman" w:hAnsi="Times New Roman"/>
                <w:sz w:val="20"/>
              </w:rPr>
              <w:t>4.15</w:t>
            </w:r>
          </w:p>
        </w:tc>
        <w:tc>
          <w:tcPr>
            <w:tcW w:w="223" w:type="dxa"/>
            <w:tcBorders/>
            <w:shd w:fill="auto" w:val="clear"/>
            <w:vAlign w:val="bottom"/>
          </w:tcPr>
          <w:p>
            <w:pPr>
              <w:pStyle w:val="TableContents"/>
              <w:spacing w:before="0" w:after="283"/>
              <w:rPr/>
            </w:pPr>
            <w:r>
              <w:rPr/>
              <w:t>  </w:t>
            </w:r>
          </w:p>
        </w:tc>
        <w:tc>
          <w:tcPr>
            <w:tcW w:w="23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10" w:type="dxa"/>
            <w:tcBorders/>
            <w:shd w:fill="auto" w:val="clear"/>
          </w:tcPr>
          <w:p>
            <w:pPr>
              <w:pStyle w:val="TableContents"/>
              <w:spacing w:before="0" w:after="283"/>
              <w:rPr>
                <w:rFonts w:ascii="Times New Roman" w:hAnsi="Times New Roman"/>
                <w:sz w:val="20"/>
              </w:rPr>
            </w:pPr>
            <w:r>
              <w:rPr>
                <w:rFonts w:ascii="Times New Roman" w:hAnsi="Times New Roman"/>
                <w:sz w:val="20"/>
              </w:rPr>
              <w:t>Fifteenth Supplemental Indenture (8.75% Senior Notes due 2019) dated April 20, 2009 among Plains All American Pipeline, L.P., PAA Finance Corp., the Subsidiary Guarantors named therein and U.S. Bank National Association, as trustee (incorporated by reference to Exhibit 4.1 to the Current Report on Form 8-K filed April 20, 2009).</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12"/>
        <w:gridCol w:w="223"/>
        <w:gridCol w:w="236"/>
        <w:gridCol w:w="126"/>
        <w:gridCol w:w="9108"/>
      </w:tblGrid>
      <w:tr>
        <w:trPr/>
        <w:tc>
          <w:tcPr>
            <w:tcW w:w="512"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9108"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4.16</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Sixteenth Supplemental Indenture (4.25% Senior Notes due 2012) dated July 23, 2009 among Plains All American Pipeline, L.P., PAA Finance Corp., the Subsidiary Guarantors named therein and U.S. Bank National Association, as trustee (incorporated by reference to Exhibit 4.1 to the Current Report on Form 8-K filed July 23, 2009).</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4.17</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Seventeenth Supplemental Indenture (5.75% Senior Notes due 2020) dated September 4, 2009 among Plains All American Pipeline, L.P., PAA Finance Corp., the Subsidiary Guarantors named therein, and U.S. Bank National Association as trustee (incorporated by reference to Exhibit 4.1 to the Current Report on Form 8-K filed September 4, 2009).</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4.18</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Eighteenth Supplemental Indenture (3.95% Senior Notes due 2015) dated July 14, 2010 among Plains All American Pipeline, L.P., PAA Finance Corp., the Subsidiary Guarantors named therein, and U.S. Bank National Association, as trustee (incorporated by reference to Exhibit 4.1 to the Current Report on Form 8-K filed July 13, 2010).</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4.19</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Indenture dated September 23, 2005 among Pacific Energy Partners, L.P., PAA Finance Corp. (f/k/a Pacific Energy Finance Corporation), the Guarantors named therein, and Wells Fargo Bank, National Association, as trustee of the 61/4% senior notes due 2015 (incorporated by reference to Exhibit 4.1 to Pacific Energy Partners, L.P.s Current Report on Form 8-K filed September 28, 2005).</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4.20</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First Supplemental Indenture dated November 15, 2006 among Plains All American Pipeline, L.P., PAA Finance Corp. (f/k/a Pacific Energy Finance Corporation), the Guarantors named therein, and Wells Fargo Bank, National Association, as trustee (incorporated by reference to Exhibit 4.3 to the Current Report on Form 8-K filed November 21, 2006).</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4.21</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Second Supplemental Indenture dated January 1, 2008 among Plains All American Pipeline, L.P., PAA Finance Corp. (f/k/a Pacific Energy Finance Corporation), the Guarantors named therein, and Wells Fargo Bank, National Association, as trustee (incorporated by reference to Exhibit 4.22 to the Annual Report on Form 10-K for the year ended December 31, 2007).</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4.22</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Registration Rights Agreement dated September 3, 2009 by and between Plains All American Pipeline, L.P. and Vulcan Gas Storage LLC (incorporated by reference to Exhibit 4.1 to the Registration Statement on Form S-3, File No. 333-162477).</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10.1</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Contribution Agreement dated as of April 29, 2010 by and among PAA Natural Gas Storage, L.P., PNGS GP LLC, Plains All American Pipeline, L.P., PAA Natural Gas Storage, LLC, PAA/Vulcan Gas Storage, LLC, Plains Marketing, L.P. and Plains Marketing GP Inc. (incorporated by reference to Exhibit 10.1 to PNGs Current Report on Form 8-K filed on May 4, 2010).</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pPr>
            <w:r>
              <w:rPr/>
              <w:t>  </w:t>
            </w:r>
            <w:r>
              <w:rPr>
                <w:rFonts w:ascii="Times New Roman" w:hAnsi="Times New Roman"/>
                <w:sz w:val="20"/>
              </w:rPr>
              <w:t>10.2</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Omnibus Agreement dated May 5, 2010 by and among Plains All American GP LLC, Plains All American Pipeline, L.P., PNGS GP LLC and PAA Natural Gas Storage, L.P. (incorporated by reference to Exhibit 10.1 to PNGs Current Report on Form 8-K filed on May 11, 2010).</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rFonts w:ascii="Times New Roman" w:hAnsi="Times New Roman"/>
                <w:sz w:val="20"/>
              </w:rPr>
            </w:pPr>
            <w:r>
              <w:rPr>
                <w:rFonts w:ascii="Times New Roman" w:hAnsi="Times New Roman"/>
                <w:sz w:val="20"/>
              </w:rPr>
              <w:t>12.1</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Computation of Ratio of Earnings to Fixed Charges</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rFonts w:ascii="Times New Roman" w:hAnsi="Times New Roman"/>
                <w:sz w:val="20"/>
              </w:rPr>
            </w:pPr>
            <w:r>
              <w:rPr>
                <w:rFonts w:ascii="Times New Roman" w:hAnsi="Times New Roman"/>
                <w:sz w:val="20"/>
              </w:rPr>
              <w:t>31.1</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 of Principal Executive Officer pursuant to Exchange Act Rules 13a-14(a) and 15d-14(a).</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rFonts w:ascii="Times New Roman" w:hAnsi="Times New Roman"/>
                <w:sz w:val="20"/>
              </w:rPr>
            </w:pPr>
            <w:r>
              <w:rPr>
                <w:rFonts w:ascii="Times New Roman" w:hAnsi="Times New Roman"/>
                <w:sz w:val="20"/>
              </w:rPr>
              <w:t>31.2</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 of Principal Financial Officer pursuant to Exchange Act Rules 13a-14(a) and 15d-14(a).</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rFonts w:ascii="Times New Roman" w:hAnsi="Times New Roman"/>
                <w:sz w:val="20"/>
              </w:rPr>
            </w:pPr>
            <w:r>
              <w:rPr>
                <w:rFonts w:ascii="Times New Roman" w:hAnsi="Times New Roman"/>
                <w:sz w:val="20"/>
              </w:rPr>
              <w:t>32.1</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 of Principal Executive Officer pursuant to 18 U.S.C. 1350</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rFonts w:ascii="Times New Roman" w:hAnsi="Times New Roman"/>
                <w:sz w:val="20"/>
              </w:rPr>
            </w:pPr>
            <w:r>
              <w:rPr>
                <w:rFonts w:ascii="Times New Roman" w:hAnsi="Times New Roman"/>
                <w:sz w:val="20"/>
              </w:rPr>
              <w:t>32.2</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 of Principal Financial Officer pursuant to 18 U.S.C. 1350</w:t>
            </w:r>
          </w:p>
        </w:tc>
      </w:tr>
      <w:tr>
        <w:trPr>
          <w:trHeight w:val="120" w:hRule="atLeast"/>
        </w:trPr>
        <w:tc>
          <w:tcPr>
            <w:tcW w:w="512"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9234" w:type="dxa"/>
            <w:gridSpan w:val="2"/>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tcPr>
          <w:p>
            <w:pPr>
              <w:pStyle w:val="TableContents"/>
              <w:spacing w:before="0" w:after="283"/>
              <w:rPr>
                <w:rFonts w:ascii="Times New Roman" w:hAnsi="Times New Roman"/>
                <w:sz w:val="20"/>
              </w:rPr>
            </w:pPr>
            <w:r>
              <w:rPr>
                <w:rFonts w:ascii="Times New Roman" w:hAnsi="Times New Roman"/>
                <w:sz w:val="20"/>
              </w:rPr>
              <w:t>101</w:t>
            </w:r>
          </w:p>
        </w:tc>
        <w:tc>
          <w:tcPr>
            <w:tcW w:w="223"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9108" w:type="dxa"/>
            <w:tcBorders/>
            <w:shd w:fill="auto" w:val="clear"/>
          </w:tcPr>
          <w:p>
            <w:pPr>
              <w:pStyle w:val="TableContents"/>
              <w:spacing w:before="0" w:after="283"/>
              <w:rPr>
                <w:rFonts w:ascii="Times New Roman" w:hAnsi="Times New Roman"/>
                <w:sz w:val="20"/>
              </w:rPr>
            </w:pPr>
            <w:r>
              <w:rPr>
                <w:rFonts w:ascii="Times New Roman" w:hAnsi="Times New Roman"/>
                <w:sz w:val="20"/>
              </w:rPr>
              <w:t>The following financial information from the quarterly report on Form 10-Q of Plains All American Pipeline, L.P. for the quarter ended June 30, 2010, formatted in XBRL (eXtensible Business Reporting Language): (i) Condensed Consolidated Statements of Operations, (ii) Condensed Consolidated Balance Sheets, (iii) Condensed Consolidated Statements of Cash Flows, (iv) Condensed Consolidated Statement of Partners Capital, (v) Condensed Consolidated Statements of Comprehensive Income, (vi) Condensed Consolidated Statement of Changes in Accumulated Other Comprehensive Income and (vii) Notes to the Condensed Consolidated Financial Statements, tagged as blocks of text.</w:t>
            </w:r>
          </w:p>
        </w:tc>
      </w:tr>
    </w:tbl>
    <w:p>
      <w:pPr>
        <w:pStyle w:val="TextBody"/>
        <w:pBdr>
          <w:bottom w:val="single" w:sz="16"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Management compensatory plan or arrangement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TextBody"/>
        <w:spacing w:before="0" w:after="0"/>
        <w:jc w:val="right"/>
        <w:rPr>
          <w:rFonts w:ascii="Times New Roman" w:hAnsi="Times New Roman"/>
          <w:b/>
          <w:sz w:val="20"/>
        </w:rPr>
      </w:pPr>
      <w:bookmarkStart w:id="36" w:name="dex121.htm"/>
      <w:bookmarkStart w:id="37" w:name="ksdex121"/>
      <w:bookmarkEnd w:id="36"/>
      <w:bookmarkEnd w:id="37"/>
      <w:r>
        <w:rPr>
          <w:rFonts w:ascii="Times New Roman" w:hAnsi="Times New Roman"/>
          <w:b/>
          <w:sz w:val="20"/>
        </w:rPr>
        <w:t xml:space="preserve">EXHIBIT 12.1 </w:t>
      </w:r>
    </w:p>
    <w:p>
      <w:pPr>
        <w:pStyle w:val="TextBody"/>
        <w:spacing w:before="180" w:after="0"/>
        <w:jc w:val="center"/>
        <w:rPr>
          <w:rFonts w:ascii="Times New Roman" w:hAnsi="Times New Roman"/>
          <w:b/>
          <w:sz w:val="20"/>
        </w:rPr>
      </w:pPr>
      <w:r>
        <w:rPr>
          <w:rFonts w:ascii="Times New Roman" w:hAnsi="Times New Roman"/>
          <w:b/>
          <w:sz w:val="20"/>
        </w:rPr>
        <w:t xml:space="preserve">STATEMENT OF COMPUTATION OF RATIO OF EARNINGS TO FIXED CHARGES </w:t>
      </w:r>
    </w:p>
    <w:p>
      <w:pPr>
        <w:pStyle w:val="TextBody"/>
        <w:spacing w:before="0" w:after="0"/>
        <w:jc w:val="center"/>
        <w:rPr>
          <w:rFonts w:ascii="Times New Roman" w:hAnsi="Times New Roman"/>
          <w:b/>
          <w:sz w:val="20"/>
        </w:rPr>
      </w:pPr>
      <w:r>
        <w:rPr>
          <w:rFonts w:ascii="Times New Roman" w:hAnsi="Times New Roman"/>
          <w:b/>
          <w:sz w:val="20"/>
        </w:rPr>
        <w:t xml:space="preserve">(in millions)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970"/>
        <w:gridCol w:w="214"/>
        <w:gridCol w:w="172"/>
        <w:gridCol w:w="559"/>
        <w:gridCol w:w="170"/>
        <w:gridCol w:w="162"/>
        <w:gridCol w:w="125"/>
        <w:gridCol w:w="342"/>
        <w:gridCol w:w="170"/>
        <w:gridCol w:w="162"/>
        <w:gridCol w:w="125"/>
        <w:gridCol w:w="342"/>
        <w:gridCol w:w="169"/>
        <w:gridCol w:w="162"/>
        <w:gridCol w:w="125"/>
        <w:gridCol w:w="381"/>
        <w:gridCol w:w="170"/>
        <w:gridCol w:w="162"/>
        <w:gridCol w:w="125"/>
        <w:gridCol w:w="381"/>
        <w:gridCol w:w="170"/>
        <w:gridCol w:w="162"/>
        <w:gridCol w:w="125"/>
        <w:gridCol w:w="380"/>
        <w:gridCol w:w="180"/>
      </w:tblGrid>
      <w:tr>
        <w:trPr/>
        <w:tc>
          <w:tcPr>
            <w:tcW w:w="497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497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731"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w:t>
              <w:br/>
              <w:t>Ended</w:t>
              <w:br/>
              <w:t>June 30,</w:t>
              <w:br/>
              <w:t>2010</w:t>
            </w:r>
          </w:p>
        </w:tc>
        <w:tc>
          <w:tcPr>
            <w:tcW w:w="170" w:type="dxa"/>
            <w:vMerge w:val="restart"/>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3778"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 Ended December 31,</w:t>
            </w:r>
          </w:p>
        </w:tc>
        <w:tc>
          <w:tcPr>
            <w:tcW w:w="180" w:type="dxa"/>
            <w:tcBorders/>
            <w:shd w:fill="auto" w:val="clear"/>
            <w:vAlign w:val="bottom"/>
          </w:tcPr>
          <w:p>
            <w:pPr>
              <w:pStyle w:val="TableContents"/>
              <w:spacing w:before="0" w:after="283"/>
              <w:rPr/>
            </w:pPr>
            <w:r>
              <w:rPr/>
              <w:t> </w:t>
            </w:r>
          </w:p>
        </w:tc>
      </w:tr>
      <w:tr>
        <w:trPr/>
        <w:tc>
          <w:tcPr>
            <w:tcW w:w="497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731" w:type="dxa"/>
            <w:gridSpan w:val="2"/>
            <w:vMerge w:val="continue"/>
            <w:tcBorders>
              <w:bottom w:val="single" w:sz="2" w:space="0" w:color="000000"/>
            </w:tcBorders>
            <w:shd w:fill="auto" w:val="clear"/>
            <w:tcMar>
              <w:bottom w:w="28" w:type="dxa"/>
            </w:tcMar>
            <w:vAlign w:val="bottom"/>
          </w:tcPr>
          <w:p>
            <w:pPr>
              <w:pStyle w:val="Normal"/>
              <w:rPr/>
            </w:pPr>
            <w:r>
              <w:rPr/>
            </w:r>
          </w:p>
        </w:tc>
        <w:tc>
          <w:tcPr>
            <w:tcW w:w="170" w:type="dxa"/>
            <w:vMerge w:val="continue"/>
            <w:tcBorders/>
            <w:shd w:fill="auto" w:val="clear"/>
            <w:vAlign w:val="bottom"/>
          </w:tcPr>
          <w:p>
            <w:pPr>
              <w:pStyle w:val="Normal"/>
              <w:rPr/>
            </w:pPr>
            <w:r>
              <w:rPr/>
            </w:r>
          </w:p>
        </w:tc>
        <w:tc>
          <w:tcPr>
            <w:tcW w:w="162" w:type="dxa"/>
            <w:tcBorders/>
            <w:shd w:fill="auto" w:val="clear"/>
            <w:vAlign w:val="bottom"/>
          </w:tcPr>
          <w:p>
            <w:pPr>
              <w:pStyle w:val="TableContents"/>
              <w:spacing w:before="0" w:after="283"/>
              <w:rPr/>
            </w:pPr>
            <w:r>
              <w:rPr/>
              <w:t> </w:t>
            </w:r>
          </w:p>
        </w:tc>
        <w:tc>
          <w:tcPr>
            <w:tcW w:w="46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7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46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6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0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17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0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7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0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80" w:type="dxa"/>
            <w:tcBorders/>
            <w:shd w:fill="auto" w:val="clear"/>
            <w:vAlign w:val="bottom"/>
          </w:tcPr>
          <w:p>
            <w:pPr>
              <w:pStyle w:val="TableContents"/>
              <w:spacing w:before="0" w:after="283"/>
              <w:rPr/>
            </w:pPr>
            <w:r>
              <w:rPr/>
              <w:t> </w:t>
            </w:r>
          </w:p>
        </w:tc>
      </w:tr>
      <w:tr>
        <w:trPr/>
        <w:tc>
          <w:tcPr>
            <w:tcW w:w="4970" w:type="dxa"/>
            <w:tcBorders/>
            <w:shd w:fill="CCEEFF" w:val="clear"/>
          </w:tcPr>
          <w:p>
            <w:pPr>
              <w:pStyle w:val="TableContents"/>
              <w:spacing w:before="0" w:after="283"/>
              <w:rPr>
                <w:rFonts w:ascii="Times New Roman" w:hAnsi="Times New Roman"/>
                <w:b/>
                <w:sz w:val="20"/>
              </w:rPr>
            </w:pPr>
            <w:r>
              <w:rPr>
                <w:rFonts w:ascii="Times New Roman" w:hAnsi="Times New Roman"/>
                <w:b/>
                <w:sz w:val="20"/>
              </w:rPr>
              <w:t xml:space="preserve">EARNINGS </w:t>
            </w:r>
            <w:r>
              <w:rPr>
                <w:rFonts w:ascii="Times New Roman" w:hAnsi="Times New Roman"/>
                <w:b/>
                <w:sz w:val="14"/>
              </w:rPr>
              <w:t>(1)</w:t>
            </w:r>
          </w:p>
        </w:tc>
        <w:tc>
          <w:tcPr>
            <w:tcW w:w="21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sz w:val="4"/>
                <w:szCs w:val="4"/>
              </w:rPr>
            </w:pPr>
            <w:r>
              <w:rPr>
                <w:sz w:val="4"/>
                <w:szCs w:val="4"/>
              </w:rPr>
            </w:r>
          </w:p>
        </w:tc>
        <w:tc>
          <w:tcPr>
            <w:tcW w:w="559" w:type="dxa"/>
            <w:tcBorders/>
            <w:shd w:fill="CCEEFF" w:val="clear"/>
            <w:vAlign w:val="bottom"/>
          </w:tcPr>
          <w:p>
            <w:pPr>
              <w:pStyle w:val="TableContents"/>
              <w:spacing w:before="0" w:after="283"/>
              <w:rPr>
                <w:sz w:val="4"/>
                <w:szCs w:val="4"/>
              </w:rPr>
            </w:pPr>
            <w:r>
              <w:rPr>
                <w:sz w:val="4"/>
                <w:szCs w:val="4"/>
              </w:rPr>
            </w:r>
          </w:p>
        </w:tc>
        <w:tc>
          <w:tcPr>
            <w:tcW w:w="170"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sz w:val="4"/>
                <w:szCs w:val="4"/>
              </w:rPr>
            </w:pPr>
            <w:r>
              <w:rPr>
                <w:sz w:val="4"/>
                <w:szCs w:val="4"/>
              </w:rPr>
            </w:r>
          </w:p>
        </w:tc>
        <w:tc>
          <w:tcPr>
            <w:tcW w:w="170"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81" w:type="dxa"/>
            <w:tcBorders/>
            <w:shd w:fill="CCEEFF" w:val="clear"/>
            <w:vAlign w:val="bottom"/>
          </w:tcPr>
          <w:p>
            <w:pPr>
              <w:pStyle w:val="TableContents"/>
              <w:spacing w:before="0" w:after="283"/>
              <w:rPr>
                <w:sz w:val="4"/>
                <w:szCs w:val="4"/>
              </w:rPr>
            </w:pPr>
            <w:r>
              <w:rPr>
                <w:sz w:val="4"/>
                <w:szCs w:val="4"/>
              </w:rPr>
            </w:r>
          </w:p>
        </w:tc>
        <w:tc>
          <w:tcPr>
            <w:tcW w:w="170"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81" w:type="dxa"/>
            <w:tcBorders/>
            <w:shd w:fill="CCEEFF" w:val="clear"/>
            <w:vAlign w:val="bottom"/>
          </w:tcPr>
          <w:p>
            <w:pPr>
              <w:pStyle w:val="TableContents"/>
              <w:spacing w:before="0" w:after="283"/>
              <w:rPr>
                <w:sz w:val="4"/>
                <w:szCs w:val="4"/>
              </w:rPr>
            </w:pPr>
            <w:r>
              <w:rPr>
                <w:sz w:val="4"/>
                <w:szCs w:val="4"/>
              </w:rPr>
            </w:r>
          </w:p>
        </w:tc>
        <w:tc>
          <w:tcPr>
            <w:tcW w:w="170"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80" w:type="dxa"/>
            <w:tcBorders/>
            <w:shd w:fill="CCEEFF" w:val="clear"/>
            <w:vAlign w:val="bottom"/>
          </w:tcPr>
          <w:p>
            <w:pPr>
              <w:pStyle w:val="TableContents"/>
              <w:spacing w:before="0" w:after="283"/>
              <w:rPr>
                <w:sz w:val="4"/>
                <w:szCs w:val="4"/>
              </w:rPr>
            </w:pPr>
            <w:r>
              <w:rPr>
                <w:sz w:val="4"/>
                <w:szCs w:val="4"/>
              </w:rPr>
            </w:r>
          </w:p>
        </w:tc>
        <w:tc>
          <w:tcPr>
            <w:tcW w:w="180" w:type="dxa"/>
            <w:tcBorders/>
            <w:shd w:fill="CCEEFF" w:val="clear"/>
            <w:vAlign w:val="bottom"/>
          </w:tcPr>
          <w:p>
            <w:pPr>
              <w:pStyle w:val="TableContents"/>
              <w:spacing w:before="0" w:after="283"/>
              <w:rPr>
                <w:sz w:val="4"/>
                <w:szCs w:val="4"/>
              </w:rPr>
            </w:pPr>
            <w:r>
              <w:rPr>
                <w:sz w:val="4"/>
                <w:szCs w:val="4"/>
              </w:rPr>
            </w:r>
          </w:p>
        </w:tc>
      </w:tr>
      <w:tr>
        <w:trPr/>
        <w:tc>
          <w:tcPr>
            <w:tcW w:w="4970" w:type="dxa"/>
            <w:tcBorders/>
            <w:shd w:fill="auto" w:val="clear"/>
          </w:tcPr>
          <w:p>
            <w:pPr>
              <w:pStyle w:val="TableContents"/>
              <w:spacing w:before="0" w:after="283"/>
              <w:rPr>
                <w:rFonts w:ascii="Times New Roman" w:hAnsi="Times New Roman"/>
                <w:sz w:val="20"/>
              </w:rPr>
            </w:pPr>
            <w:r>
              <w:rPr>
                <w:rFonts w:ascii="Times New Roman" w:hAnsi="Times New Roman"/>
                <w:sz w:val="20"/>
              </w:rPr>
              <w:t>Pre-tax income from continuing operations before noncontrolling interest and income from equity investees</w:t>
            </w:r>
          </w:p>
        </w:tc>
        <w:tc>
          <w:tcPr>
            <w:tcW w:w="21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282</w:t>
            </w:r>
          </w:p>
        </w:tc>
        <w:tc>
          <w:tcPr>
            <w:tcW w:w="17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572</w:t>
            </w:r>
          </w:p>
        </w:tc>
        <w:tc>
          <w:tcPr>
            <w:tcW w:w="17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430</w:t>
            </w:r>
          </w:p>
        </w:tc>
        <w:tc>
          <w:tcPr>
            <w:tcW w:w="16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350</w:t>
            </w:r>
          </w:p>
        </w:tc>
        <w:tc>
          <w:tcPr>
            <w:tcW w:w="17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278</w:t>
            </w:r>
          </w:p>
        </w:tc>
        <w:tc>
          <w:tcPr>
            <w:tcW w:w="17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216</w:t>
            </w:r>
          </w:p>
        </w:tc>
        <w:tc>
          <w:tcPr>
            <w:tcW w:w="180" w:type="dxa"/>
            <w:tcBorders/>
            <w:shd w:fill="auto" w:val="clear"/>
            <w:vAlign w:val="bottom"/>
          </w:tcPr>
          <w:p>
            <w:pPr>
              <w:pStyle w:val="TableContents"/>
              <w:spacing w:before="0" w:after="283"/>
              <w:rPr/>
            </w:pPr>
            <w:r>
              <w:rPr/>
              <w:t>  </w:t>
            </w:r>
          </w:p>
        </w:tc>
      </w:tr>
      <w:tr>
        <w:trPr/>
        <w:tc>
          <w:tcPr>
            <w:tcW w:w="4970" w:type="dxa"/>
            <w:tcBorders/>
            <w:shd w:fill="CCEEFF" w:val="clear"/>
          </w:tcPr>
          <w:p>
            <w:pPr>
              <w:pStyle w:val="TableContents"/>
              <w:spacing w:before="0" w:after="283"/>
              <w:rPr>
                <w:rFonts w:ascii="Times New Roman" w:hAnsi="Times New Roman"/>
                <w:sz w:val="20"/>
              </w:rPr>
            </w:pPr>
            <w:r>
              <w:rPr>
                <w:rFonts w:ascii="Times New Roman" w:hAnsi="Times New Roman"/>
                <w:sz w:val="20"/>
              </w:rPr>
              <w:t>add: Fixed charges</w:t>
            </w:r>
          </w:p>
        </w:tc>
        <w:tc>
          <w:tcPr>
            <w:tcW w:w="21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17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w:t>
            </w:r>
          </w:p>
        </w:tc>
        <w:tc>
          <w:tcPr>
            <w:tcW w:w="17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16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w:t>
            </w:r>
          </w:p>
        </w:tc>
        <w:tc>
          <w:tcPr>
            <w:tcW w:w="17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w:t>
            </w:r>
          </w:p>
        </w:tc>
        <w:tc>
          <w:tcPr>
            <w:tcW w:w="17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180" w:type="dxa"/>
            <w:tcBorders/>
            <w:shd w:fill="CCEEFF" w:val="clear"/>
            <w:vAlign w:val="bottom"/>
          </w:tcPr>
          <w:p>
            <w:pPr>
              <w:pStyle w:val="TableContents"/>
              <w:spacing w:before="0" w:after="283"/>
              <w:rPr/>
            </w:pPr>
            <w:r>
              <w:rPr/>
              <w:t>  </w:t>
            </w:r>
          </w:p>
        </w:tc>
      </w:tr>
      <w:tr>
        <w:trPr/>
        <w:tc>
          <w:tcPr>
            <w:tcW w:w="4970" w:type="dxa"/>
            <w:tcBorders/>
            <w:shd w:fill="auto" w:val="clear"/>
          </w:tcPr>
          <w:p>
            <w:pPr>
              <w:pStyle w:val="TableContents"/>
              <w:spacing w:before="0" w:after="283"/>
              <w:rPr>
                <w:rFonts w:ascii="Times New Roman" w:hAnsi="Times New Roman"/>
                <w:sz w:val="20"/>
              </w:rPr>
            </w:pPr>
            <w:r>
              <w:rPr>
                <w:rFonts w:ascii="Times New Roman" w:hAnsi="Times New Roman"/>
                <w:sz w:val="20"/>
              </w:rPr>
              <w:t>Distributed income of equity investees</w:t>
            </w:r>
          </w:p>
        </w:tc>
        <w:tc>
          <w:tcPr>
            <w:tcW w:w="21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7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7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6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7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7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80" w:type="dxa"/>
            <w:tcBorders/>
            <w:shd w:fill="auto" w:val="clear"/>
            <w:vAlign w:val="bottom"/>
          </w:tcPr>
          <w:p>
            <w:pPr>
              <w:pStyle w:val="TableContents"/>
              <w:spacing w:before="0" w:after="283"/>
              <w:rPr/>
            </w:pPr>
            <w:r>
              <w:rPr/>
              <w:t>  </w:t>
            </w:r>
          </w:p>
        </w:tc>
      </w:tr>
      <w:tr>
        <w:trPr/>
        <w:tc>
          <w:tcPr>
            <w:tcW w:w="4970"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 of capitalized interest</w:t>
            </w:r>
          </w:p>
        </w:tc>
        <w:tc>
          <w:tcPr>
            <w:tcW w:w="21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7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7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6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0" w:type="dxa"/>
            <w:tcBorders/>
            <w:shd w:fill="CCEEFF" w:val="clear"/>
            <w:vAlign w:val="bottom"/>
          </w:tcPr>
          <w:p>
            <w:pPr>
              <w:pStyle w:val="TableContents"/>
              <w:spacing w:before="0" w:after="283"/>
              <w:rPr/>
            </w:pPr>
            <w:r>
              <w:rPr/>
              <w:t>  </w:t>
            </w:r>
          </w:p>
        </w:tc>
      </w:tr>
      <w:tr>
        <w:trPr/>
        <w:tc>
          <w:tcPr>
            <w:tcW w:w="4970" w:type="dxa"/>
            <w:tcBorders/>
            <w:shd w:fill="auto" w:val="clear"/>
          </w:tcPr>
          <w:p>
            <w:pPr>
              <w:pStyle w:val="TableContents"/>
              <w:spacing w:before="0" w:after="283"/>
              <w:rPr>
                <w:rFonts w:ascii="Times New Roman" w:hAnsi="Times New Roman"/>
                <w:sz w:val="20"/>
              </w:rPr>
            </w:pPr>
            <w:r>
              <w:rPr>
                <w:rFonts w:ascii="Times New Roman" w:hAnsi="Times New Roman"/>
                <w:sz w:val="20"/>
              </w:rPr>
              <w:t>less: Capitalized interest</w:t>
            </w:r>
          </w:p>
        </w:tc>
        <w:tc>
          <w:tcPr>
            <w:tcW w:w="21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7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7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7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7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970"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pPr>
            <w:r>
              <w:rPr/>
              <w:t>  </w:t>
            </w:r>
          </w:p>
        </w:tc>
        <w:tc>
          <w:tcPr>
            <w:tcW w:w="172" w:type="dxa"/>
            <w:tcBorders>
              <w:top w:val="single" w:sz="2" w:space="0" w:color="000000"/>
            </w:tcBorders>
            <w:shd w:fill="auto" w:val="clear"/>
            <w:tcMar>
              <w:top w:w="28" w:type="dxa"/>
            </w:tcMar>
            <w:vAlign w:val="bottom"/>
          </w:tcPr>
          <w:p>
            <w:pPr>
              <w:pStyle w:val="TableContents"/>
              <w:spacing w:before="0" w:after="283"/>
              <w:rPr/>
            </w:pPr>
            <w:r>
              <w:rPr/>
              <w:t> </w:t>
            </w:r>
          </w:p>
        </w:tc>
        <w:tc>
          <w:tcPr>
            <w:tcW w:w="559" w:type="dxa"/>
            <w:tcBorders>
              <w:top w:val="single" w:sz="2" w:space="0" w:color="000000"/>
            </w:tcBorders>
            <w:shd w:fill="auto" w:val="clear"/>
            <w:tcMar>
              <w:top w:w="28" w:type="dxa"/>
            </w:tcMar>
            <w:vAlign w:val="bottom"/>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42" w:type="dxa"/>
            <w:tcBorders>
              <w:top w:val="single" w:sz="2" w:space="0" w:color="000000"/>
            </w:tcBorders>
            <w:shd w:fill="auto" w:val="clear"/>
            <w:tcMar>
              <w:top w:w="28" w:type="dxa"/>
            </w:tcMar>
            <w:vAlign w:val="bottom"/>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42" w:type="dxa"/>
            <w:tcBorders>
              <w:top w:val="single" w:sz="2" w:space="0" w:color="000000"/>
            </w:tcBorders>
            <w:shd w:fill="auto" w:val="clear"/>
            <w:tcMar>
              <w:top w:w="28" w:type="dxa"/>
            </w:tcMar>
            <w:vAlign w:val="bottom"/>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81" w:type="dxa"/>
            <w:tcBorders>
              <w:top w:val="single" w:sz="2" w:space="0" w:color="000000"/>
            </w:tcBorders>
            <w:shd w:fill="auto" w:val="clear"/>
            <w:tcMar>
              <w:top w:w="28" w:type="dxa"/>
            </w:tcMar>
            <w:vAlign w:val="bottom"/>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81" w:type="dxa"/>
            <w:tcBorders>
              <w:top w:val="single" w:sz="2" w:space="0" w:color="000000"/>
            </w:tcBorders>
            <w:shd w:fill="auto" w:val="clear"/>
            <w:tcMar>
              <w:top w:w="28" w:type="dxa"/>
            </w:tcMar>
            <w:vAlign w:val="bottom"/>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80" w:type="dxa"/>
            <w:tcBorders>
              <w:top w:val="single" w:sz="2" w:space="0" w:color="000000"/>
            </w:tcBorders>
            <w:shd w:fill="auto" w:val="clear"/>
            <w:tcMar>
              <w:top w:w="28" w:type="dxa"/>
            </w:tcMar>
            <w:vAlign w:val="bottom"/>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r>
      <w:tr>
        <w:trPr/>
        <w:tc>
          <w:tcPr>
            <w:tcW w:w="4970" w:type="dxa"/>
            <w:tcBorders/>
            <w:shd w:fill="CCEEFF" w:val="clear"/>
          </w:tcPr>
          <w:p>
            <w:pPr>
              <w:pStyle w:val="TableContents"/>
              <w:spacing w:before="0" w:after="283"/>
              <w:rPr>
                <w:rFonts w:ascii="Times New Roman" w:hAnsi="Times New Roman"/>
                <w:sz w:val="20"/>
              </w:rPr>
            </w:pPr>
            <w:r>
              <w:rPr>
                <w:rFonts w:ascii="Times New Roman" w:hAnsi="Times New Roman"/>
                <w:sz w:val="20"/>
              </w:rPr>
              <w:t>Total Earnings</w:t>
            </w:r>
          </w:p>
        </w:tc>
        <w:tc>
          <w:tcPr>
            <w:tcW w:w="21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434</w:t>
            </w:r>
          </w:p>
        </w:tc>
        <w:tc>
          <w:tcPr>
            <w:tcW w:w="17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851</w:t>
            </w:r>
          </w:p>
        </w:tc>
        <w:tc>
          <w:tcPr>
            <w:tcW w:w="17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688</w:t>
            </w:r>
          </w:p>
        </w:tc>
        <w:tc>
          <w:tcPr>
            <w:tcW w:w="16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571</w:t>
            </w:r>
          </w:p>
        </w:tc>
        <w:tc>
          <w:tcPr>
            <w:tcW w:w="17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422</w:t>
            </w:r>
          </w:p>
        </w:tc>
        <w:tc>
          <w:tcPr>
            <w:tcW w:w="17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307</w:t>
            </w:r>
          </w:p>
        </w:tc>
        <w:tc>
          <w:tcPr>
            <w:tcW w:w="180" w:type="dxa"/>
            <w:tcBorders/>
            <w:shd w:fill="CCEEFF" w:val="clear"/>
            <w:vAlign w:val="bottom"/>
          </w:tcPr>
          <w:p>
            <w:pPr>
              <w:pStyle w:val="TableContents"/>
              <w:spacing w:before="0" w:after="283"/>
              <w:rPr/>
            </w:pPr>
            <w:r>
              <w:rPr/>
              <w:t>  </w:t>
            </w:r>
          </w:p>
        </w:tc>
      </w:tr>
      <w:tr>
        <w:trPr>
          <w:trHeight w:val="120" w:hRule="atLeast"/>
        </w:trPr>
        <w:tc>
          <w:tcPr>
            <w:tcW w:w="4970" w:type="dxa"/>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799" w:type="dxa"/>
            <w:gridSpan w:val="4"/>
            <w:tcBorders/>
            <w:shd w:fill="auto" w:val="clear"/>
            <w:vAlign w:val="center"/>
          </w:tcPr>
          <w:p>
            <w:pPr>
              <w:pStyle w:val="TableContents"/>
              <w:spacing w:before="0" w:after="283"/>
              <w:rPr>
                <w:sz w:val="4"/>
                <w:szCs w:val="4"/>
              </w:rPr>
            </w:pPr>
            <w:r>
              <w:rPr>
                <w:sz w:val="4"/>
                <w:szCs w:val="4"/>
              </w:rPr>
            </w:r>
          </w:p>
        </w:tc>
        <w:tc>
          <w:tcPr>
            <w:tcW w:w="798" w:type="dxa"/>
            <w:gridSpan w:val="4"/>
            <w:tcBorders/>
            <w:shd w:fill="auto" w:val="clear"/>
            <w:vAlign w:val="center"/>
          </w:tcPr>
          <w:p>
            <w:pPr>
              <w:pStyle w:val="TableContents"/>
              <w:spacing w:before="0" w:after="283"/>
              <w:rPr>
                <w:sz w:val="4"/>
                <w:szCs w:val="4"/>
              </w:rPr>
            </w:pPr>
            <w:r>
              <w:rPr>
                <w:sz w:val="4"/>
                <w:szCs w:val="4"/>
              </w:rPr>
            </w:r>
          </w:p>
        </w:tc>
        <w:tc>
          <w:tcPr>
            <w:tcW w:w="838" w:type="dxa"/>
            <w:gridSpan w:val="4"/>
            <w:tcBorders/>
            <w:shd w:fill="auto" w:val="clear"/>
            <w:vAlign w:val="center"/>
          </w:tcPr>
          <w:p>
            <w:pPr>
              <w:pStyle w:val="TableContents"/>
              <w:spacing w:before="0" w:after="283"/>
              <w:rPr>
                <w:sz w:val="4"/>
                <w:szCs w:val="4"/>
              </w:rPr>
            </w:pPr>
            <w:r>
              <w:rPr>
                <w:sz w:val="4"/>
                <w:szCs w:val="4"/>
              </w:rPr>
            </w:r>
          </w:p>
        </w:tc>
        <w:tc>
          <w:tcPr>
            <w:tcW w:w="838" w:type="dxa"/>
            <w:gridSpan w:val="4"/>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4970" w:type="dxa"/>
            <w:tcBorders/>
            <w:shd w:fill="auto" w:val="clear"/>
          </w:tcPr>
          <w:p>
            <w:pPr>
              <w:pStyle w:val="TableContents"/>
              <w:spacing w:before="0" w:after="283"/>
              <w:rPr>
                <w:rFonts w:ascii="Times New Roman" w:hAnsi="Times New Roman"/>
                <w:b/>
                <w:sz w:val="20"/>
              </w:rPr>
            </w:pPr>
            <w:r>
              <w:rPr>
                <w:rFonts w:ascii="Times New Roman" w:hAnsi="Times New Roman"/>
                <w:b/>
                <w:sz w:val="20"/>
              </w:rPr>
              <w:t xml:space="preserve">FIXED CHARGES </w:t>
            </w:r>
            <w:r>
              <w:rPr>
                <w:rFonts w:ascii="Times New Roman" w:hAnsi="Times New Roman"/>
                <w:b/>
                <w:sz w:val="14"/>
              </w:rPr>
              <w:t>(1)</w:t>
            </w:r>
          </w:p>
        </w:tc>
        <w:tc>
          <w:tcPr>
            <w:tcW w:w="21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sz w:val="4"/>
                <w:szCs w:val="4"/>
              </w:rPr>
            </w:pPr>
            <w:r>
              <w:rPr>
                <w:sz w:val="4"/>
                <w:szCs w:val="4"/>
              </w:rPr>
            </w:r>
          </w:p>
        </w:tc>
        <w:tc>
          <w:tcPr>
            <w:tcW w:w="559"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r>
      <w:tr>
        <w:trPr/>
        <w:tc>
          <w:tcPr>
            <w:tcW w:w="4970" w:type="dxa"/>
            <w:tcBorders/>
            <w:shd w:fill="CCEEFF" w:val="clear"/>
          </w:tcPr>
          <w:p>
            <w:pPr>
              <w:pStyle w:val="TableContents"/>
              <w:spacing w:before="0" w:after="283"/>
              <w:rPr/>
            </w:pPr>
            <w:r>
              <w:rPr>
                <w:rFonts w:ascii="Times New Roman" w:hAnsi="Times New Roman"/>
                <w:sz w:val="20"/>
              </w:rPr>
              <w:t xml:space="preserve">Interest expensed and capitalized </w:t>
            </w:r>
            <w:r>
              <w:rPr>
                <w:rFonts w:ascii="Times New Roman" w:hAnsi="Times New Roman"/>
                <w:sz w:val="14"/>
              </w:rPr>
              <w:t>(2)</w:t>
            </w:r>
          </w:p>
        </w:tc>
        <w:tc>
          <w:tcPr>
            <w:tcW w:w="21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7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w:t>
            </w:r>
          </w:p>
        </w:tc>
        <w:tc>
          <w:tcPr>
            <w:tcW w:w="17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w:t>
            </w:r>
          </w:p>
        </w:tc>
        <w:tc>
          <w:tcPr>
            <w:tcW w:w="16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w:t>
            </w:r>
          </w:p>
        </w:tc>
        <w:tc>
          <w:tcPr>
            <w:tcW w:w="17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w:t>
            </w:r>
          </w:p>
        </w:tc>
        <w:tc>
          <w:tcPr>
            <w:tcW w:w="17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180" w:type="dxa"/>
            <w:tcBorders/>
            <w:shd w:fill="CCEEFF" w:val="clear"/>
            <w:vAlign w:val="bottom"/>
          </w:tcPr>
          <w:p>
            <w:pPr>
              <w:pStyle w:val="TableContents"/>
              <w:spacing w:before="0" w:after="283"/>
              <w:rPr/>
            </w:pPr>
            <w:r>
              <w:rPr/>
              <w:t>  </w:t>
            </w:r>
          </w:p>
        </w:tc>
      </w:tr>
      <w:tr>
        <w:trPr/>
        <w:tc>
          <w:tcPr>
            <w:tcW w:w="4970"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 of debt expense</w:t>
            </w:r>
          </w:p>
        </w:tc>
        <w:tc>
          <w:tcPr>
            <w:tcW w:w="21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7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7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6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7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7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80" w:type="dxa"/>
            <w:tcBorders/>
            <w:shd w:fill="auto" w:val="clear"/>
            <w:vAlign w:val="bottom"/>
          </w:tcPr>
          <w:p>
            <w:pPr>
              <w:pStyle w:val="TableContents"/>
              <w:spacing w:before="0" w:after="283"/>
              <w:rPr/>
            </w:pPr>
            <w:r>
              <w:rPr/>
              <w:t>  </w:t>
            </w:r>
          </w:p>
        </w:tc>
      </w:tr>
      <w:tr>
        <w:trPr/>
        <w:tc>
          <w:tcPr>
            <w:tcW w:w="4970" w:type="dxa"/>
            <w:tcBorders/>
            <w:shd w:fill="CCEEFF" w:val="clear"/>
          </w:tcPr>
          <w:p>
            <w:pPr>
              <w:pStyle w:val="TableContents"/>
              <w:spacing w:before="0" w:after="283"/>
              <w:rPr>
                <w:rFonts w:ascii="Times New Roman" w:hAnsi="Times New Roman"/>
                <w:sz w:val="20"/>
              </w:rPr>
            </w:pPr>
            <w:r>
              <w:rPr>
                <w:rFonts w:ascii="Times New Roman" w:hAnsi="Times New Roman"/>
                <w:sz w:val="20"/>
              </w:rPr>
              <w:t>Portion of rent expense related to interest (33.33%)</w:t>
            </w:r>
          </w:p>
        </w:tc>
        <w:tc>
          <w:tcPr>
            <w:tcW w:w="21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7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7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69"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7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7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80" w:type="dxa"/>
            <w:tcBorders/>
            <w:shd w:fill="CCEEFF" w:val="clear"/>
            <w:vAlign w:val="bottom"/>
          </w:tcPr>
          <w:p>
            <w:pPr>
              <w:pStyle w:val="TableContents"/>
              <w:spacing w:before="0" w:after="283"/>
              <w:rPr/>
            </w:pPr>
            <w:r>
              <w:rPr/>
              <w:t>  </w:t>
            </w:r>
          </w:p>
        </w:tc>
      </w:tr>
      <w:tr>
        <w:trPr/>
        <w:tc>
          <w:tcPr>
            <w:tcW w:w="4970"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pPr>
            <w:r>
              <w:rPr/>
              <w:t>  </w:t>
            </w:r>
          </w:p>
        </w:tc>
        <w:tc>
          <w:tcPr>
            <w:tcW w:w="172" w:type="dxa"/>
            <w:tcBorders>
              <w:top w:val="single" w:sz="2" w:space="0" w:color="000000"/>
            </w:tcBorders>
            <w:shd w:fill="auto" w:val="clear"/>
            <w:tcMar>
              <w:top w:w="28" w:type="dxa"/>
            </w:tcMar>
            <w:vAlign w:val="bottom"/>
          </w:tcPr>
          <w:p>
            <w:pPr>
              <w:pStyle w:val="TableContents"/>
              <w:spacing w:before="0" w:after="283"/>
              <w:rPr/>
            </w:pPr>
            <w:r>
              <w:rPr/>
              <w:t> </w:t>
            </w:r>
          </w:p>
        </w:tc>
        <w:tc>
          <w:tcPr>
            <w:tcW w:w="559" w:type="dxa"/>
            <w:tcBorders>
              <w:top w:val="single" w:sz="2" w:space="0" w:color="000000"/>
            </w:tcBorders>
            <w:shd w:fill="auto" w:val="clear"/>
            <w:tcMar>
              <w:top w:w="28" w:type="dxa"/>
            </w:tcMar>
            <w:vAlign w:val="bottom"/>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42" w:type="dxa"/>
            <w:tcBorders>
              <w:top w:val="single" w:sz="2" w:space="0" w:color="000000"/>
            </w:tcBorders>
            <w:shd w:fill="auto" w:val="clear"/>
            <w:tcMar>
              <w:top w:w="28" w:type="dxa"/>
            </w:tcMar>
            <w:vAlign w:val="bottom"/>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42" w:type="dxa"/>
            <w:tcBorders>
              <w:top w:val="single" w:sz="2" w:space="0" w:color="000000"/>
            </w:tcBorders>
            <w:shd w:fill="auto" w:val="clear"/>
            <w:tcMar>
              <w:top w:w="28" w:type="dxa"/>
            </w:tcMar>
            <w:vAlign w:val="bottom"/>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81" w:type="dxa"/>
            <w:tcBorders>
              <w:top w:val="single" w:sz="2" w:space="0" w:color="000000"/>
            </w:tcBorders>
            <w:shd w:fill="auto" w:val="clear"/>
            <w:tcMar>
              <w:top w:w="28" w:type="dxa"/>
            </w:tcMar>
            <w:vAlign w:val="bottom"/>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81" w:type="dxa"/>
            <w:tcBorders>
              <w:top w:val="single" w:sz="2" w:space="0" w:color="000000"/>
            </w:tcBorders>
            <w:shd w:fill="auto" w:val="clear"/>
            <w:tcMar>
              <w:top w:w="28" w:type="dxa"/>
            </w:tcMar>
            <w:vAlign w:val="bottom"/>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80" w:type="dxa"/>
            <w:tcBorders>
              <w:top w:val="single" w:sz="2" w:space="0" w:color="000000"/>
            </w:tcBorders>
            <w:shd w:fill="auto" w:val="clear"/>
            <w:tcMar>
              <w:top w:w="28" w:type="dxa"/>
            </w:tcMar>
            <w:vAlign w:val="bottom"/>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r>
      <w:tr>
        <w:trPr/>
        <w:tc>
          <w:tcPr>
            <w:tcW w:w="4970" w:type="dxa"/>
            <w:tcBorders/>
            <w:shd w:fill="auto" w:val="clear"/>
          </w:tcPr>
          <w:p>
            <w:pPr>
              <w:pStyle w:val="TableContents"/>
              <w:spacing w:before="0" w:after="283"/>
              <w:rPr>
                <w:rFonts w:ascii="Times New Roman" w:hAnsi="Times New Roman"/>
                <w:sz w:val="20"/>
              </w:rPr>
            </w:pPr>
            <w:r>
              <w:rPr>
                <w:rFonts w:ascii="Times New Roman" w:hAnsi="Times New Roman"/>
                <w:sz w:val="20"/>
              </w:rPr>
              <w:t>Total Fixed Charges</w:t>
            </w:r>
          </w:p>
        </w:tc>
        <w:tc>
          <w:tcPr>
            <w:tcW w:w="21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17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283</w:t>
            </w:r>
          </w:p>
        </w:tc>
        <w:tc>
          <w:tcPr>
            <w:tcW w:w="17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169"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233</w:t>
            </w:r>
          </w:p>
        </w:tc>
        <w:tc>
          <w:tcPr>
            <w:tcW w:w="17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149</w:t>
            </w:r>
          </w:p>
        </w:tc>
        <w:tc>
          <w:tcPr>
            <w:tcW w:w="17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180" w:type="dxa"/>
            <w:tcBorders/>
            <w:shd w:fill="auto" w:val="clear"/>
            <w:vAlign w:val="bottom"/>
          </w:tcPr>
          <w:p>
            <w:pPr>
              <w:pStyle w:val="TableContents"/>
              <w:spacing w:before="0" w:after="283"/>
              <w:rPr/>
            </w:pPr>
            <w:r>
              <w:rPr/>
              <w:t>  </w:t>
            </w:r>
          </w:p>
        </w:tc>
      </w:tr>
      <w:tr>
        <w:trPr>
          <w:trHeight w:val="120" w:hRule="atLeast"/>
        </w:trPr>
        <w:tc>
          <w:tcPr>
            <w:tcW w:w="4970" w:type="dxa"/>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799" w:type="dxa"/>
            <w:gridSpan w:val="4"/>
            <w:tcBorders/>
            <w:shd w:fill="auto" w:val="clear"/>
            <w:vAlign w:val="center"/>
          </w:tcPr>
          <w:p>
            <w:pPr>
              <w:pStyle w:val="TableContents"/>
              <w:spacing w:before="0" w:after="283"/>
              <w:rPr>
                <w:sz w:val="4"/>
                <w:szCs w:val="4"/>
              </w:rPr>
            </w:pPr>
            <w:r>
              <w:rPr>
                <w:sz w:val="4"/>
                <w:szCs w:val="4"/>
              </w:rPr>
            </w:r>
          </w:p>
        </w:tc>
        <w:tc>
          <w:tcPr>
            <w:tcW w:w="798" w:type="dxa"/>
            <w:gridSpan w:val="4"/>
            <w:tcBorders/>
            <w:shd w:fill="auto" w:val="clear"/>
            <w:vAlign w:val="center"/>
          </w:tcPr>
          <w:p>
            <w:pPr>
              <w:pStyle w:val="TableContents"/>
              <w:spacing w:before="0" w:after="283"/>
              <w:rPr>
                <w:sz w:val="4"/>
                <w:szCs w:val="4"/>
              </w:rPr>
            </w:pPr>
            <w:r>
              <w:rPr>
                <w:sz w:val="4"/>
                <w:szCs w:val="4"/>
              </w:rPr>
            </w:r>
          </w:p>
        </w:tc>
        <w:tc>
          <w:tcPr>
            <w:tcW w:w="838" w:type="dxa"/>
            <w:gridSpan w:val="4"/>
            <w:tcBorders/>
            <w:shd w:fill="auto" w:val="clear"/>
            <w:vAlign w:val="center"/>
          </w:tcPr>
          <w:p>
            <w:pPr>
              <w:pStyle w:val="TableContents"/>
              <w:spacing w:before="0" w:after="283"/>
              <w:rPr>
                <w:sz w:val="4"/>
                <w:szCs w:val="4"/>
              </w:rPr>
            </w:pPr>
            <w:r>
              <w:rPr>
                <w:sz w:val="4"/>
                <w:szCs w:val="4"/>
              </w:rPr>
            </w:r>
          </w:p>
        </w:tc>
        <w:tc>
          <w:tcPr>
            <w:tcW w:w="838" w:type="dxa"/>
            <w:gridSpan w:val="4"/>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4970" w:type="dxa"/>
            <w:tcBorders/>
            <w:shd w:fill="CCEEFF" w:val="clear"/>
          </w:tcPr>
          <w:p>
            <w:pPr>
              <w:pStyle w:val="TableContents"/>
              <w:spacing w:before="0" w:after="283"/>
              <w:rPr>
                <w:rFonts w:ascii="Times New Roman" w:hAnsi="Times New Roman"/>
                <w:sz w:val="20"/>
              </w:rPr>
            </w:pPr>
            <w:r>
              <w:rPr>
                <w:rFonts w:ascii="Times New Roman" w:hAnsi="Times New Roman"/>
                <w:b/>
                <w:sz w:val="20"/>
              </w:rPr>
              <w:t xml:space="preserve">RATIO OF EARNINGS TO FIXED CHARGES </w:t>
            </w:r>
            <w:r>
              <w:rPr>
                <w:rFonts w:ascii="Times New Roman" w:hAnsi="Times New Roman"/>
                <w:b/>
                <w:sz w:val="14"/>
              </w:rPr>
              <w:t>(3)</w:t>
            </w:r>
            <w:r>
              <w:rPr>
                <w:rFonts w:ascii="Times New Roman" w:hAnsi="Times New Roman"/>
                <w:sz w:val="20"/>
              </w:rPr>
              <w:t xml:space="preserve"> </w:t>
            </w:r>
          </w:p>
        </w:tc>
        <w:tc>
          <w:tcPr>
            <w:tcW w:w="21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2.76</w:t>
            </w:r>
          </w:p>
        </w:tc>
        <w:tc>
          <w:tcPr>
            <w:tcW w:w="17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x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7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x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6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x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w:t>
            </w:r>
          </w:p>
        </w:tc>
        <w:tc>
          <w:tcPr>
            <w:tcW w:w="17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x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w:t>
            </w:r>
          </w:p>
        </w:tc>
        <w:tc>
          <w:tcPr>
            <w:tcW w:w="17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x </w:t>
            </w:r>
          </w:p>
        </w:tc>
        <w:tc>
          <w:tcPr>
            <w:tcW w:w="1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3.34</w:t>
            </w:r>
          </w:p>
        </w:tc>
        <w:tc>
          <w:tcPr>
            <w:tcW w:w="1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x </w:t>
            </w:r>
          </w:p>
        </w:tc>
      </w:tr>
    </w:tbl>
    <w:p>
      <w:pPr>
        <w:pStyle w:val="TextBody"/>
        <w:pBdr>
          <w:bottom w:val="single" w:sz="8"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operating leases deemed to be the equivalent of interest.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interest costs attributable to borrowings for inventory stored in a contango market of $8 million for the six months ended June 30, 2010 and $11 million, $21 million, $44 million, $49 million and $24 million for each of the years ended December 31, 2009, 2008, 2007, 2006, and 2005, respectively.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Ratios may not recalculate due to rounding. </w:t>
            </w:r>
          </w:p>
        </w:tc>
      </w:tr>
    </w:tbl>
    <w:p>
      <w:pPr>
        <w:pStyle w:val="TextBody"/>
        <w:spacing w:before="0" w:after="0"/>
        <w:jc w:val="right"/>
        <w:rPr>
          <w:rFonts w:ascii="Times New Roman" w:hAnsi="Times New Roman"/>
          <w:b/>
          <w:sz w:val="20"/>
        </w:rPr>
      </w:pPr>
      <w:r>
        <w:br w:type="page"/>
      </w:r>
      <w:bookmarkStart w:id="38" w:name="dex311.htm"/>
      <w:bookmarkStart w:id="39" w:name="ksdex311"/>
      <w:bookmarkEnd w:id="38"/>
      <w:bookmarkEnd w:id="39"/>
      <w:r>
        <w:rPr>
          <w:rFonts w:ascii="Times New Roman" w:hAnsi="Times New Roman"/>
          <w:b/>
          <w:sz w:val="20"/>
        </w:rPr>
        <w:t xml:space="preserve">EXHIBIT 31.1 </w:t>
      </w:r>
    </w:p>
    <w:p>
      <w:pPr>
        <w:pStyle w:val="TextBody"/>
        <w:spacing w:before="180" w:after="0"/>
        <w:jc w:val="center"/>
        <w:rPr>
          <w:rFonts w:ascii="Times New Roman" w:hAnsi="Times New Roman"/>
          <w:b/>
          <w:sz w:val="20"/>
        </w:rPr>
      </w:pPr>
      <w:r>
        <w:rPr>
          <w:rFonts w:ascii="Times New Roman" w:hAnsi="Times New Roman"/>
          <w:b/>
          <w:sz w:val="20"/>
        </w:rPr>
        <w:t xml:space="preserve">CERTIFICATION OF PRINCIPAL EXECUTIVE OFFICER </w:t>
      </w:r>
    </w:p>
    <w:p>
      <w:pPr>
        <w:pStyle w:val="TextBody"/>
        <w:spacing w:before="180" w:after="0"/>
        <w:jc w:val="center"/>
        <w:rPr>
          <w:rFonts w:ascii="Times New Roman" w:hAnsi="Times New Roman"/>
          <w:b/>
          <w:sz w:val="20"/>
        </w:rPr>
      </w:pPr>
      <w:r>
        <w:rPr>
          <w:rFonts w:ascii="Times New Roman" w:hAnsi="Times New Roman"/>
          <w:b/>
          <w:sz w:val="20"/>
        </w:rPr>
        <w:t xml:space="preserve">PLAINS ALL AMERICAN PIPELINE, L.P. </w:t>
      </w:r>
    </w:p>
    <w:p>
      <w:pPr>
        <w:pStyle w:val="TextBody"/>
        <w:spacing w:before="180" w:after="0"/>
        <w:rPr>
          <w:rFonts w:ascii="Times New Roman" w:hAnsi="Times New Roman"/>
          <w:sz w:val="20"/>
        </w:rPr>
      </w:pPr>
      <w:r>
        <w:rPr>
          <w:rFonts w:ascii="Times New Roman" w:hAnsi="Times New Roman"/>
          <w:sz w:val="20"/>
        </w:rPr>
        <w:t xml:space="preserve">I, Greg L. Armstrong,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quarterly report on Form 10-Q of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before="180" w:after="0"/>
        <w:rPr>
          <w:rFonts w:ascii="Times New Roman" w:hAnsi="Times New Roman"/>
          <w:sz w:val="20"/>
        </w:rPr>
      </w:pPr>
      <w:r>
        <w:rPr>
          <w:rFonts w:ascii="Times New Roman" w:hAnsi="Times New Roman"/>
          <w:sz w:val="20"/>
        </w:rPr>
        <w:t xml:space="preserve">Date: August 6, 2010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GREG L. ARMSTRONG</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Greg L. Armstrong</w:t>
            </w:r>
          </w:p>
        </w:tc>
      </w:tr>
      <w:tr>
        <w:trPr/>
        <w:tc>
          <w:tcPr>
            <w:tcW w:w="4082" w:type="dxa"/>
            <w:tcBorders/>
            <w:shd w:fill="auto" w:val="clear"/>
          </w:tcPr>
          <w:p>
            <w:pPr>
              <w:pStyle w:val="TableContents"/>
              <w:spacing w:before="0" w:after="283"/>
              <w:rPr>
                <w:rFonts w:ascii="Times New Roman" w:hAnsi="Times New Roman"/>
                <w:i/>
                <w:sz w:val="20"/>
              </w:rPr>
            </w:pPr>
            <w:r>
              <w:rPr>
                <w:rFonts w:ascii="Times New Roman" w:hAnsi="Times New Roman"/>
                <w:i/>
                <w:sz w:val="20"/>
              </w:rPr>
              <w:t>Chief Executive Officer</w:t>
            </w:r>
          </w:p>
        </w:tc>
      </w:tr>
    </w:tbl>
    <w:p>
      <w:pPr>
        <w:pStyle w:val="TextBody"/>
        <w:spacing w:before="0" w:after="0"/>
        <w:jc w:val="right"/>
        <w:rPr>
          <w:rFonts w:ascii="Times New Roman" w:hAnsi="Times New Roman"/>
          <w:b/>
          <w:sz w:val="20"/>
        </w:rPr>
      </w:pPr>
      <w:r>
        <w:br w:type="page"/>
      </w:r>
      <w:bookmarkStart w:id="40" w:name="dex312.htm"/>
      <w:bookmarkStart w:id="41" w:name="ksdex312"/>
      <w:bookmarkEnd w:id="40"/>
      <w:bookmarkEnd w:id="41"/>
      <w:r>
        <w:rPr>
          <w:rFonts w:ascii="Times New Roman" w:hAnsi="Times New Roman"/>
          <w:b/>
          <w:sz w:val="20"/>
        </w:rPr>
        <w:t xml:space="preserve">EXHIBIT 31.2 </w:t>
      </w:r>
    </w:p>
    <w:p>
      <w:pPr>
        <w:pStyle w:val="TextBody"/>
        <w:spacing w:before="180" w:after="0"/>
        <w:jc w:val="center"/>
        <w:rPr>
          <w:rFonts w:ascii="Times New Roman" w:hAnsi="Times New Roman"/>
          <w:b/>
          <w:sz w:val="20"/>
        </w:rPr>
      </w:pPr>
      <w:r>
        <w:rPr>
          <w:rFonts w:ascii="Times New Roman" w:hAnsi="Times New Roman"/>
          <w:b/>
          <w:sz w:val="20"/>
        </w:rPr>
        <w:t xml:space="preserve">CERTIFICATION OF PRINCIPAL FINANCIAL OFFICER </w:t>
      </w:r>
    </w:p>
    <w:p>
      <w:pPr>
        <w:pStyle w:val="TextBody"/>
        <w:spacing w:before="180" w:after="0"/>
        <w:jc w:val="center"/>
        <w:rPr>
          <w:rFonts w:ascii="Times New Roman" w:hAnsi="Times New Roman"/>
          <w:b/>
          <w:sz w:val="20"/>
        </w:rPr>
      </w:pPr>
      <w:r>
        <w:rPr>
          <w:rFonts w:ascii="Times New Roman" w:hAnsi="Times New Roman"/>
          <w:b/>
          <w:sz w:val="20"/>
        </w:rPr>
        <w:t xml:space="preserve">PLAINS ALL AMERICAN PIPELINE, L.P. </w:t>
      </w:r>
    </w:p>
    <w:p>
      <w:pPr>
        <w:pStyle w:val="TextBody"/>
        <w:spacing w:before="180" w:after="0"/>
        <w:rPr>
          <w:rFonts w:ascii="Times New Roman" w:hAnsi="Times New Roman"/>
          <w:sz w:val="20"/>
        </w:rPr>
      </w:pPr>
      <w:r>
        <w:rPr>
          <w:rFonts w:ascii="Times New Roman" w:hAnsi="Times New Roman"/>
          <w:sz w:val="20"/>
        </w:rPr>
        <w:t xml:space="preserve">I, Al Swanson,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quarterly report on Form 10-Q of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before="180" w:after="0"/>
        <w:rPr>
          <w:rFonts w:ascii="Times New Roman" w:hAnsi="Times New Roman"/>
          <w:sz w:val="20"/>
        </w:rPr>
      </w:pPr>
      <w:r>
        <w:rPr>
          <w:rFonts w:ascii="Times New Roman" w:hAnsi="Times New Roman"/>
          <w:sz w:val="20"/>
        </w:rPr>
        <w:t xml:space="preserve">Date: August 6, 2010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Al Swanson</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Al Swanson</w:t>
            </w:r>
          </w:p>
        </w:tc>
      </w:tr>
      <w:tr>
        <w:trPr/>
        <w:tc>
          <w:tcPr>
            <w:tcW w:w="4082" w:type="dxa"/>
            <w:tcBorders/>
            <w:shd w:fill="auto" w:val="clear"/>
          </w:tcPr>
          <w:p>
            <w:pPr>
              <w:pStyle w:val="TableContents"/>
              <w:spacing w:before="0" w:after="283"/>
              <w:rPr>
                <w:rFonts w:ascii="Times New Roman" w:hAnsi="Times New Roman"/>
                <w:i/>
                <w:sz w:val="20"/>
              </w:rPr>
            </w:pPr>
            <w:r>
              <w:rPr>
                <w:rFonts w:ascii="Times New Roman" w:hAnsi="Times New Roman"/>
                <w:i/>
                <w:sz w:val="20"/>
              </w:rPr>
              <w:t>Chief Financial Officer</w:t>
            </w:r>
          </w:p>
        </w:tc>
      </w:tr>
    </w:tbl>
    <w:p>
      <w:pPr>
        <w:pStyle w:val="TextBody"/>
        <w:spacing w:before="0" w:after="0"/>
        <w:jc w:val="right"/>
        <w:rPr>
          <w:rFonts w:ascii="Times New Roman" w:hAnsi="Times New Roman"/>
          <w:b/>
          <w:sz w:val="20"/>
        </w:rPr>
      </w:pPr>
      <w:r>
        <w:br w:type="page"/>
      </w:r>
      <w:bookmarkStart w:id="42" w:name="dex321.htm"/>
      <w:bookmarkStart w:id="43" w:name="ksdex321"/>
      <w:bookmarkEnd w:id="42"/>
      <w:bookmarkEnd w:id="43"/>
      <w:r>
        <w:rPr>
          <w:rFonts w:ascii="Times New Roman" w:hAnsi="Times New Roman"/>
          <w:b/>
          <w:sz w:val="20"/>
        </w:rPr>
        <w:t xml:space="preserve">EXHIBIT 32.1 </w:t>
      </w:r>
    </w:p>
    <w:p>
      <w:pPr>
        <w:pStyle w:val="TextBody"/>
        <w:spacing w:before="180" w:after="0"/>
        <w:jc w:val="center"/>
        <w:rPr>
          <w:rFonts w:ascii="Times New Roman" w:hAnsi="Times New Roman"/>
          <w:b/>
          <w:sz w:val="20"/>
        </w:rPr>
      </w:pPr>
      <w:r>
        <w:rPr>
          <w:rFonts w:ascii="Times New Roman" w:hAnsi="Times New Roman"/>
          <w:b/>
          <w:sz w:val="20"/>
        </w:rPr>
        <w:t xml:space="preserve">CERTIFICATION OF </w:t>
      </w:r>
    </w:p>
    <w:p>
      <w:pPr>
        <w:pStyle w:val="TextBody"/>
        <w:spacing w:before="0" w:after="0"/>
        <w:jc w:val="center"/>
        <w:rPr>
          <w:rFonts w:ascii="Times New Roman" w:hAnsi="Times New Roman"/>
          <w:b/>
          <w:sz w:val="20"/>
        </w:rPr>
      </w:pPr>
      <w:r>
        <w:rPr>
          <w:rFonts w:ascii="Times New Roman" w:hAnsi="Times New Roman"/>
          <w:b/>
          <w:sz w:val="20"/>
        </w:rPr>
        <w:t xml:space="preserve">PRINCIPAL EXECUTIVE OFFICER </w:t>
      </w:r>
    </w:p>
    <w:p>
      <w:pPr>
        <w:pStyle w:val="TextBody"/>
        <w:spacing w:before="0" w:after="0"/>
        <w:jc w:val="center"/>
        <w:rPr>
          <w:rFonts w:ascii="Times New Roman" w:hAnsi="Times New Roman"/>
          <w:b/>
          <w:sz w:val="20"/>
        </w:rPr>
      </w:pPr>
      <w:r>
        <w:rPr>
          <w:rFonts w:ascii="Times New Roman" w:hAnsi="Times New Roman"/>
          <w:b/>
          <w:sz w:val="20"/>
        </w:rPr>
        <w:t xml:space="preserve">OF 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PURSUANT TO 18 U.S.C. 1350 </w:t>
      </w:r>
    </w:p>
    <w:p>
      <w:pPr>
        <w:pStyle w:val="TextBody"/>
        <w:spacing w:before="180" w:after="0"/>
        <w:rPr>
          <w:rFonts w:ascii="Times New Roman" w:hAnsi="Times New Roman"/>
          <w:sz w:val="20"/>
        </w:rPr>
      </w:pPr>
      <w:r>
        <w:rPr>
          <w:rFonts w:ascii="Times New Roman" w:hAnsi="Times New Roman"/>
          <w:sz w:val="20"/>
        </w:rPr>
        <w:t xml:space="preserve">I, Greg L. Armstrong, Chief Executive Officer of Plains All American Pipeline, L.P. (the Company), hereby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accompanying report on Form 10-Q for the period ended June 30, 2010 and filed with the Securities and Exchange Commission on the date hereof (the Report) by the Company fully complies with the requirements of Section 13(a) or 15(d) of the Securities Exchange Act of 1934 (15 U.S.C. 78m(a) or 78o(d));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(ii)</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26"/>
        <w:gridCol w:w="60"/>
        <w:gridCol w:w="3396"/>
      </w:tblGrid>
      <w:tr>
        <w:trPr/>
        <w:tc>
          <w:tcPr>
            <w:tcW w:w="6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9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GREG L. ARMSTRONG</w:t>
            </w:r>
          </w:p>
        </w:tc>
      </w:tr>
      <w:tr>
        <w:trPr/>
        <w:tc>
          <w:tcPr>
            <w:tcW w:w="62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39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Greg L. Armstrong</w:t>
            </w:r>
          </w:p>
        </w:tc>
      </w:tr>
      <w:tr>
        <w:trPr/>
        <w:tc>
          <w:tcPr>
            <w:tcW w:w="626" w:type="dxa"/>
            <w:tcBorders/>
            <w:shd w:fill="auto" w:val="clear"/>
          </w:tcPr>
          <w:p>
            <w:pPr>
              <w:pStyle w:val="TableContents"/>
              <w:spacing w:before="0" w:after="283"/>
              <w:rPr>
                <w:rFonts w:ascii="Times New Roman" w:hAnsi="Times New Roman"/>
                <w:sz w:val="20"/>
              </w:rPr>
            </w:pPr>
            <w:r>
              <w:rPr>
                <w:rFonts w:ascii="Times New Roman" w:hAnsi="Times New Roman"/>
                <w:sz w:val="20"/>
              </w:rPr>
              <w:t>Date:</w:t>
            </w:r>
          </w:p>
        </w:tc>
        <w:tc>
          <w:tcPr>
            <w:tcW w:w="60" w:type="dxa"/>
            <w:tcBorders/>
            <w:shd w:fill="auto" w:val="clear"/>
            <w:vAlign w:val="bottom"/>
          </w:tcPr>
          <w:p>
            <w:pPr>
              <w:pStyle w:val="TableContents"/>
              <w:spacing w:before="0" w:after="283"/>
              <w:rPr/>
            </w:pPr>
            <w:r>
              <w:rPr/>
              <w:t> </w:t>
            </w:r>
          </w:p>
        </w:tc>
        <w:tc>
          <w:tcPr>
            <w:tcW w:w="339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August 6, 2010</w:t>
            </w:r>
          </w:p>
        </w:tc>
      </w:tr>
    </w:tbl>
    <w:p>
      <w:pPr>
        <w:pStyle w:val="TextBody"/>
        <w:spacing w:before="0" w:after="0"/>
        <w:jc w:val="right"/>
        <w:rPr>
          <w:rFonts w:ascii="Times New Roman" w:hAnsi="Times New Roman"/>
          <w:b/>
          <w:sz w:val="20"/>
        </w:rPr>
      </w:pPr>
      <w:r>
        <w:br w:type="page"/>
      </w:r>
      <w:bookmarkStart w:id="44" w:name="dex322.htm"/>
      <w:bookmarkStart w:id="45" w:name="ksdex322"/>
      <w:bookmarkEnd w:id="44"/>
      <w:bookmarkEnd w:id="45"/>
      <w:r>
        <w:rPr>
          <w:rFonts w:ascii="Times New Roman" w:hAnsi="Times New Roman"/>
          <w:b/>
          <w:sz w:val="20"/>
        </w:rPr>
        <w:t xml:space="preserve">EXHIBIT 32.2 </w:t>
      </w:r>
    </w:p>
    <w:p>
      <w:pPr>
        <w:pStyle w:val="TextBody"/>
        <w:spacing w:before="180" w:after="0"/>
        <w:jc w:val="center"/>
        <w:rPr>
          <w:rFonts w:ascii="Times New Roman" w:hAnsi="Times New Roman"/>
          <w:b/>
          <w:sz w:val="20"/>
        </w:rPr>
      </w:pPr>
      <w:r>
        <w:rPr>
          <w:rFonts w:ascii="Times New Roman" w:hAnsi="Times New Roman"/>
          <w:b/>
          <w:sz w:val="20"/>
        </w:rPr>
        <w:t xml:space="preserve">CERTIFICATION OF </w:t>
      </w:r>
    </w:p>
    <w:p>
      <w:pPr>
        <w:pStyle w:val="TextBody"/>
        <w:spacing w:before="0" w:after="0"/>
        <w:jc w:val="center"/>
        <w:rPr>
          <w:rFonts w:ascii="Times New Roman" w:hAnsi="Times New Roman"/>
          <w:b/>
          <w:sz w:val="20"/>
        </w:rPr>
      </w:pPr>
      <w:r>
        <w:rPr>
          <w:rFonts w:ascii="Times New Roman" w:hAnsi="Times New Roman"/>
          <w:b/>
          <w:sz w:val="20"/>
        </w:rPr>
        <w:t xml:space="preserve">PRINCIPAL FINANCIAL OFFICER </w:t>
      </w:r>
    </w:p>
    <w:p>
      <w:pPr>
        <w:pStyle w:val="TextBody"/>
        <w:spacing w:before="0" w:after="0"/>
        <w:jc w:val="center"/>
        <w:rPr>
          <w:rFonts w:ascii="Times New Roman" w:hAnsi="Times New Roman"/>
          <w:b/>
          <w:sz w:val="20"/>
        </w:rPr>
      </w:pPr>
      <w:r>
        <w:rPr>
          <w:rFonts w:ascii="Times New Roman" w:hAnsi="Times New Roman"/>
          <w:b/>
          <w:sz w:val="20"/>
        </w:rPr>
        <w:t xml:space="preserve">OF 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PURSUANT TO 18 U.S.C. 1350 </w:t>
      </w:r>
    </w:p>
    <w:p>
      <w:pPr>
        <w:pStyle w:val="TextBody"/>
        <w:spacing w:before="180" w:after="0"/>
        <w:rPr>
          <w:rFonts w:ascii="Times New Roman" w:hAnsi="Times New Roman"/>
          <w:sz w:val="20"/>
        </w:rPr>
      </w:pPr>
      <w:r>
        <w:rPr>
          <w:rFonts w:ascii="Times New Roman" w:hAnsi="Times New Roman"/>
          <w:sz w:val="20"/>
        </w:rPr>
        <w:t xml:space="preserve">I, Al Swanson, Chief Financial Officer of Plains All American Pipeline, L.P. (the Company), hereby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accompanying report on Form 10-Q for the period ended June 30, 2010 and filed with the Securities and Exchange Commission on the date hereof (the Report) by the Company fully complies with the requirements of Section 13(a) or 15(d) of the Securities Exchange Act of 1934 (15 U.S.C. 78m(a) or 78o(d));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(ii)</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28"/>
        <w:gridCol w:w="60"/>
        <w:gridCol w:w="3394"/>
      </w:tblGrid>
      <w:tr>
        <w:trPr/>
        <w:tc>
          <w:tcPr>
            <w:tcW w:w="6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9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Al Swanson</w:t>
            </w:r>
          </w:p>
        </w:tc>
      </w:tr>
      <w:tr>
        <w:trPr/>
        <w:tc>
          <w:tcPr>
            <w:tcW w:w="628"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39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Al Swanson</w:t>
            </w:r>
          </w:p>
        </w:tc>
      </w:tr>
      <w:tr>
        <w:trPr/>
        <w:tc>
          <w:tcPr>
            <w:tcW w:w="628" w:type="dxa"/>
            <w:tcBorders/>
            <w:shd w:fill="auto" w:val="clear"/>
          </w:tcPr>
          <w:p>
            <w:pPr>
              <w:pStyle w:val="TableContents"/>
              <w:spacing w:before="0" w:after="283"/>
              <w:rPr>
                <w:rFonts w:ascii="Times New Roman" w:hAnsi="Times New Roman"/>
                <w:sz w:val="20"/>
              </w:rPr>
            </w:pPr>
            <w:r>
              <w:rPr>
                <w:rFonts w:ascii="Times New Roman" w:hAnsi="Times New Roman"/>
                <w:sz w:val="20"/>
              </w:rPr>
              <w:t>Date:</w:t>
            </w:r>
          </w:p>
        </w:tc>
        <w:tc>
          <w:tcPr>
            <w:tcW w:w="60" w:type="dxa"/>
            <w:tcBorders/>
            <w:shd w:fill="auto" w:val="clear"/>
            <w:vAlign w:val="bottom"/>
          </w:tcPr>
          <w:p>
            <w:pPr>
              <w:pStyle w:val="TableContents"/>
              <w:spacing w:before="0" w:after="283"/>
              <w:rPr/>
            </w:pPr>
            <w:r>
              <w:rPr/>
              <w:t> </w:t>
            </w:r>
          </w:p>
        </w:tc>
        <w:tc>
          <w:tcPr>
            <w:tcW w:w="339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August 6, 2010</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60</Pages>
  <Words>29512</Words>
  <CharactersWithSpaces>190475</CharactersWithSpaces>
  <Paragraphs>15905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Certification of Principal Financial Officer (906)</dc:title>
</cp:coreProperties>
</file>