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600710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540385</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w:t>
      </w:r>
    </w:p>
    <w:p>
      <w:pPr>
        <w:spacing w:after="0" w:line="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7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FORM 8-K/A</w:t>
      </w:r>
    </w:p>
    <w:p>
      <w:pPr>
        <w:spacing w:after="0" w:line="4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3"/>
          <w:szCs w:val="23"/>
          <w:b w:val="1"/>
          <w:bCs w:val="1"/>
          <w:color w:val="auto"/>
        </w:rPr>
        <w:t>(Amendment No. 1)</w:t>
      </w:r>
    </w:p>
    <w:p>
      <w:pPr>
        <w:spacing w:after="0" w:line="17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 </w:t>
      </w:r>
      <w:r>
        <w:rPr>
          <w:rFonts w:ascii="Times New Roman" w:cs="Times New Roman" w:eastAsia="Times New Roman" w:hAnsi="Times New Roman"/>
          <w:sz w:val="14"/>
          <w:szCs w:val="14"/>
          <w:b w:val="1"/>
          <w:bCs w:val="1"/>
          <w:color w:val="auto"/>
        </w:rPr>
        <w:t>October 31, 2025</w:t>
      </w:r>
    </w:p>
    <w:p>
      <w:pPr>
        <w:spacing w:after="0" w:line="18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Plains GP Holdings, L.P.</w:t>
      </w:r>
    </w:p>
    <w:p>
      <w:pPr>
        <w:spacing w:after="0" w:line="3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140"/>
          </w:cols>
          <w:pgMar w:left="300" w:top="1067" w:right="459" w:bottom="1440" w:gutter="0" w:footer="0" w:header="0"/>
        </w:sectPr>
      </w:pPr>
    </w:p>
    <w:p>
      <w:pPr>
        <w:spacing w:after="0" w:line="23"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1-36132</w:t>
      </w:r>
    </w:p>
    <w:p>
      <w:pPr>
        <w:spacing w:after="0" w:line="2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90-1005472</w:t>
      </w:r>
    </w:p>
    <w:p>
      <w:pPr>
        <w:spacing w:after="0" w:line="2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7" w:lineRule="exact"/>
        <w:rPr>
          <w:sz w:val="24"/>
          <w:szCs w:val="24"/>
          <w:color w:val="auto"/>
        </w:rPr>
      </w:pPr>
    </w:p>
    <w:p>
      <w:pPr>
        <w:sectPr>
          <w:pgSz w:w="11900" w:h="16838" w:orient="portrait"/>
          <w:cols w:equalWidth="0" w:num="3">
            <w:col w:w="4140" w:space="720"/>
            <w:col w:w="2580" w:space="720"/>
            <w:col w:w="2980"/>
          </w:cols>
          <w:pgMar w:left="300" w:top="1067" w:right="45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4"/>
          <w:szCs w:val="14"/>
          <w:color w:val="auto"/>
        </w:rPr>
        <w:t>incorporation)</w:t>
      </w:r>
    </w:p>
    <w:p>
      <w:pPr>
        <w:spacing w:after="0" w:line="24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333 Clay Street, Suite 1600, Houston, Texas 77002</w:t>
      </w:r>
    </w:p>
    <w:p>
      <w:pPr>
        <w:spacing w:after="0" w:line="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ectPr>
          <w:pgSz w:w="11900" w:h="16838" w:orient="portrait"/>
          <w:cols w:equalWidth="0" w:num="1">
            <w:col w:w="11140"/>
          </w:cols>
          <w:pgMar w:left="300" w:top="1067" w:right="459" w:bottom="1440" w:gutter="0" w:footer="0" w:header="0"/>
          <w:type w:val="continuous"/>
        </w:sectPr>
      </w:pP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713-646-4100</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8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9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9" w:lineRule="exact"/>
        <w:rPr>
          <w:rFonts w:ascii="MS PGothic" w:cs="MS PGothic" w:eastAsia="MS PGothic" w:hAnsi="MS PGothic"/>
          <w:sz w:val="14"/>
          <w:szCs w:val="14"/>
          <w:color w:val="auto"/>
        </w:rPr>
      </w:pPr>
    </w:p>
    <w:p>
      <w:pPr>
        <w:ind w:right="4540" w:firstLine="5"/>
        <w:spacing w:after="0" w:line="560" w:lineRule="auto"/>
        <w:tabs>
          <w:tab w:leader="none" w:pos="269"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86"/>
        </w:trPr>
        <w:tc>
          <w:tcPr>
            <w:tcW w:w="3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5"/>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Shares</w:t>
            </w:r>
          </w:p>
        </w:tc>
        <w:tc>
          <w:tcPr>
            <w:tcW w:w="10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PAGP</w:t>
            </w:r>
          </w:p>
        </w:tc>
        <w:tc>
          <w:tcPr>
            <w:tcW w:w="100" w:type="dxa"/>
            <w:vAlign w:val="bottom"/>
          </w:tcPr>
          <w:p>
            <w:pPr>
              <w:spacing w:after="0"/>
              <w:rPr>
                <w:sz w:val="15"/>
                <w:szCs w:val="15"/>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w:t>
            </w:r>
          </w:p>
        </w:tc>
      </w:tr>
    </w:tbl>
    <w:p>
      <w:pPr>
        <w:spacing w:after="0" w:line="183" w:lineRule="exact"/>
        <w:rPr>
          <w:sz w:val="24"/>
          <w:szCs w:val="24"/>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36" w:lineRule="exact"/>
        <w:rPr>
          <w:sz w:val="24"/>
          <w:szCs w:val="24"/>
          <w:color w:val="auto"/>
        </w:rPr>
      </w:pPr>
    </w:p>
    <w:p>
      <w:pPr>
        <w:ind w:right="36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775970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168275</wp:posOffset>
            </wp:positionV>
            <wp:extent cx="711454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4540" cy="1333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121285</wp:posOffset>
            </wp:positionV>
            <wp:extent cx="711454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4540" cy="6985"/>
                    </a:xfrm>
                    <a:prstGeom prst="rect">
                      <a:avLst/>
                    </a:prstGeom>
                    <a:noFill/>
                  </pic:spPr>
                </pic:pic>
              </a:graphicData>
            </a:graphic>
          </wp:anchor>
        </w:drawing>
      </w:r>
    </w:p>
    <w:p>
      <w:pPr>
        <w:sectPr>
          <w:pgSz w:w="11900" w:h="16838" w:orient="portrait"/>
          <w:cols w:equalWidth="0" w:num="1">
            <w:col w:w="11140"/>
          </w:cols>
          <w:pgMar w:left="300" w:top="1067"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On November 6, 2025, Plains GP Holdings, L.P. (“PAGP” or the “Registrant”) filed a Current Report on Form 8-K (the “Original Filing”) to report that on October 31, 2025, pursuant to that certain definitive Purchase and Sale Agreement (the “PSA”) entered into on August 30, 2025 by and among a wholly-owned subsidiary (the “Buyer”) of Plains All American Pipeline, L.P., a subsidiary of PAGP, and subsidiaries of Diamondback Energy, Inc. and Kinetik Holdings Inc. (collectively, the “Sellers”), Buyer completed the purchase from Sellers of an aggregate 55% non-operated equity interest in EPIC Crude Holdings, LP (“EPIC Crude Holdings”), the entity that owns and operates the EPIC Crude Oil Pipeline (the “EPIC Pipeline”), and an aggregate 55% of the membership interests in EPIC Crude Holdings GP, LLC (“EPIC GP”), the general partner of EPIC Crude Holdings (the “EPIC 55% Transaction”).</w:t>
      </w:r>
    </w:p>
    <w:p>
      <w:pPr>
        <w:spacing w:after="0" w:line="164"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Effective November 1, 2025, in a separate transaction from the EPIC 55% Transaction, Buyer also completed the purchase of the remaining 45% equity interest in EPIC Crude Holdings and the remaining 45% of the membership interests in EPIC GP from a subsidiary of Ares Management LLC (the “Ares Seller”) pursuant to that certain definitive Equity Purchase Agreement among Buyer and the Ares Seller (the “EPIC 45% Transaction,” and, together with the EPIC 55% Transaction, the “Transactions”).</w:t>
      </w:r>
    </w:p>
    <w:p>
      <w:pPr>
        <w:spacing w:after="0" w:line="157" w:lineRule="exact"/>
        <w:rPr>
          <w:sz w:val="20"/>
          <w:szCs w:val="20"/>
          <w:color w:val="auto"/>
        </w:rPr>
      </w:pPr>
    </w:p>
    <w:p>
      <w:pPr>
        <w:ind w:right="260" w:firstLine="134"/>
        <w:spacing w:after="0" w:line="271" w:lineRule="auto"/>
        <w:rPr>
          <w:sz w:val="20"/>
          <w:szCs w:val="20"/>
          <w:color w:val="auto"/>
        </w:rPr>
      </w:pPr>
      <w:r>
        <w:rPr>
          <w:rFonts w:ascii="Times New Roman" w:cs="Times New Roman" w:eastAsia="Times New Roman" w:hAnsi="Times New Roman"/>
          <w:sz w:val="14"/>
          <w:szCs w:val="14"/>
          <w:color w:val="auto"/>
        </w:rPr>
        <w:t>As a result of the Transactions, PAA now indirectly owns 100% of the equity interests in EPIC Crude Holdings and 100% of the membership interests in EPIC GP and will serve as operator of record of the EPIC Pipeline.</w:t>
      </w:r>
    </w:p>
    <w:p>
      <w:pPr>
        <w:spacing w:after="0" w:line="146" w:lineRule="exact"/>
        <w:rPr>
          <w:sz w:val="20"/>
          <w:szCs w:val="20"/>
          <w:color w:val="auto"/>
        </w:rPr>
      </w:pPr>
    </w:p>
    <w:p>
      <w:pPr>
        <w:ind w:right="240" w:firstLine="509"/>
        <w:spacing w:after="0" w:line="271" w:lineRule="auto"/>
        <w:rPr>
          <w:sz w:val="20"/>
          <w:szCs w:val="20"/>
          <w:color w:val="auto"/>
        </w:rPr>
      </w:pPr>
      <w:r>
        <w:rPr>
          <w:rFonts w:ascii="Times New Roman" w:cs="Times New Roman" w:eastAsia="Times New Roman" w:hAnsi="Times New Roman"/>
          <w:sz w:val="14"/>
          <w:szCs w:val="14"/>
          <w:color w:val="auto"/>
        </w:rPr>
        <w:t>This Current Report on Form 8-K/A (this “Amendment”) amends and supplements the Original Filing to provide the financial statements of EPIC Crude Holdings, LP and the pro forma financial information of PAGP required by Items 9.01(a) and 9.01(b) of Form 8-K. No other modifications to the Original Filing are being made by this Amendment.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5" w:lineRule="exact"/>
        <w:rPr>
          <w:sz w:val="20"/>
          <w:szCs w:val="20"/>
          <w:color w:val="auto"/>
        </w:rPr>
      </w:pPr>
    </w:p>
    <w:p>
      <w:pPr>
        <w:ind w:left="340" w:hanging="194"/>
        <w:spacing w:after="0"/>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Financial Statements of Business or Funds Acquired.</w:t>
      </w:r>
    </w:p>
    <w:p>
      <w:pPr>
        <w:spacing w:after="0" w:line="185"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The audited consolidated financial statements of EPIC Crude Holdings, LP and Subsidiaries as of and for the years ended December 31, 2024 and 2023, including notes thereto, are filed as Exhibit 99.1 to this Current Report on Form 8-K/A and are incorporated herein by reference.</w:t>
      </w:r>
    </w:p>
    <w:p>
      <w:pPr>
        <w:spacing w:after="0" w:line="145" w:lineRule="exact"/>
        <w:rPr>
          <w:sz w:val="20"/>
          <w:szCs w:val="20"/>
          <w:color w:val="auto"/>
        </w:rPr>
      </w:pPr>
    </w:p>
    <w:p>
      <w:pPr>
        <w:ind w:right="360" w:firstLine="509"/>
        <w:spacing w:after="0" w:line="287" w:lineRule="auto"/>
        <w:rPr>
          <w:sz w:val="20"/>
          <w:szCs w:val="20"/>
          <w:color w:val="auto"/>
        </w:rPr>
      </w:pPr>
      <w:r>
        <w:rPr>
          <w:rFonts w:ascii="Times New Roman" w:cs="Times New Roman" w:eastAsia="Times New Roman" w:hAnsi="Times New Roman"/>
          <w:sz w:val="14"/>
          <w:szCs w:val="14"/>
          <w:color w:val="auto"/>
        </w:rPr>
        <w:t>The unaudited consolidated financial statements of EPIC Crude Holdings, LP and Subsidiaries as of and for the nine months ended September 30, 2025 are filed as Exhibit 99.2 to this Current Report on Form 8-K/A and are incorporated herein by reference.</w:t>
      </w:r>
    </w:p>
    <w:p>
      <w:pPr>
        <w:spacing w:after="0" w:line="145" w:lineRule="exact"/>
        <w:rPr>
          <w:sz w:val="20"/>
          <w:szCs w:val="20"/>
          <w:color w:val="auto"/>
        </w:rPr>
      </w:pPr>
    </w:p>
    <w:p>
      <w:pPr>
        <w:ind w:left="720" w:hanging="206"/>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 Forma Financial Information.</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4"/>
          <w:szCs w:val="14"/>
          <w:color w:val="auto"/>
        </w:rPr>
        <w:t>The unaudited pro forma condensed combined balance sheet of PAGP as of September 30, 2025 and the unaudited pro forma condensed statement of combined continuing operations for the nine months ended September 30, 2025 and for the year ended December 31, 2024, and the notes thereto, are filed as Exhibit 99.3 to this Current Report on Form 8-K/A and are incorporated herein by reference.</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 xml:space="preserve">(d) </w:t>
      </w:r>
      <w:r>
        <w:rPr>
          <w:rFonts w:ascii="Times New Roman" w:cs="Times New Roman" w:eastAsia="Times New Roman" w:hAnsi="Times New Roman"/>
          <w:sz w:val="14"/>
          <w:szCs w:val="14"/>
          <w:u w:val="single" w:color="auto"/>
          <w:color w:val="auto"/>
        </w:rPr>
        <w:t>Exhibits.</w:t>
      </w:r>
    </w:p>
    <w:p>
      <w:pPr>
        <w:spacing w:after="0" w:line="43"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Exhibit Number</w:t>
            </w: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8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1"/>
        </w:trPr>
        <w:tc>
          <w:tcPr>
            <w:tcW w:w="11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23.1</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460" w:type="dxa"/>
            <w:vAlign w:val="bottom"/>
            <w:tcBorders>
              <w:top w:val="single" w:sz="8" w:color="auto"/>
            </w:tcBorders>
            <w:gridSpan w:val="9"/>
          </w:tcPr>
          <w:p>
            <w:pPr>
              <w:spacing w:after="0" w:line="141" w:lineRule="exact"/>
              <w:rPr>
                <w:sz w:val="20"/>
                <w:szCs w:val="20"/>
                <w:color w:val="auto"/>
              </w:rPr>
            </w:pPr>
            <w:r>
              <w:rPr>
                <w:rFonts w:ascii="Times New Roman" w:cs="Times New Roman" w:eastAsia="Times New Roman" w:hAnsi="Times New Roman"/>
                <w:sz w:val="14"/>
                <w:szCs w:val="14"/>
                <w:color w:val="0000FF"/>
              </w:rPr>
              <w:t>Consent of KPMG LLP.</w:t>
            </w: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Audited consolidated financial statements of EPIC Crude Holdings, LP and Subsidiaries as of and for the years ended December</w:t>
            </w:r>
          </w:p>
        </w:tc>
      </w:tr>
      <w:tr>
        <w:trPr>
          <w:trHeight w:val="118"/>
        </w:trPr>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tcBorders>
              <w:top w:val="single" w:sz="8" w:color="0000FF"/>
              <w:bottom w:val="single" w:sz="8" w:color="0000FF"/>
            </w:tcBorders>
            <w:gridSpan w:val="3"/>
          </w:tcPr>
          <w:p>
            <w:pPr>
              <w:spacing w:after="0" w:line="118" w:lineRule="exact"/>
              <w:rPr>
                <w:sz w:val="20"/>
                <w:szCs w:val="20"/>
                <w:color w:val="auto"/>
              </w:rPr>
            </w:pPr>
            <w:r>
              <w:rPr>
                <w:rFonts w:ascii="Times New Roman" w:cs="Times New Roman" w:eastAsia="Times New Roman" w:hAnsi="Times New Roman"/>
                <w:sz w:val="13"/>
                <w:szCs w:val="13"/>
                <w:color w:val="0000FF"/>
              </w:rPr>
              <w:t>31, 2024 and 2023, including notes thereto.</w:t>
            </w:r>
          </w:p>
        </w:tc>
        <w:tc>
          <w:tcPr>
            <w:tcW w:w="4820" w:type="dxa"/>
            <w:vAlign w:val="bottom"/>
            <w:tcBorders>
              <w:top w:val="single" w:sz="8" w:color="0000FF"/>
            </w:tcBorders>
            <w:gridSpan w:val="4"/>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71"/>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Unaudited consolidated financial statements of EPIC Crude Holdings, LP and Subsidiaries as of and for the nine months ended</w:t>
            </w:r>
          </w:p>
        </w:tc>
      </w:tr>
      <w:tr>
        <w:trPr>
          <w:trHeight w:val="118"/>
        </w:trPr>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180" w:type="dxa"/>
            <w:vAlign w:val="bottom"/>
            <w:tcBorders>
              <w:top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3"/>
                <w:szCs w:val="13"/>
                <w:color w:val="0000FF"/>
              </w:rPr>
              <w:t>September 30, 2025.</w:t>
            </w:r>
          </w:p>
        </w:tc>
        <w:tc>
          <w:tcPr>
            <w:tcW w:w="14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1"/>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Unaudited pro forma condensed combined balance sheet of Plains GP Holdings, L.P. as of September 30, 2025 and unaudited pro</w:t>
            </w:r>
          </w:p>
        </w:tc>
      </w:tr>
      <w:tr>
        <w:trPr>
          <w:trHeight w:val="118"/>
        </w:trPr>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320" w:type="dxa"/>
            <w:vAlign w:val="bottom"/>
            <w:tcBorders>
              <w:top w:val="single" w:sz="8" w:color="0000FF"/>
            </w:tcBorders>
            <w:gridSpan w:val="8"/>
          </w:tcPr>
          <w:p>
            <w:pPr>
              <w:spacing w:after="0" w:line="118" w:lineRule="exact"/>
              <w:rPr>
                <w:sz w:val="20"/>
                <w:szCs w:val="20"/>
                <w:color w:val="auto"/>
              </w:rPr>
            </w:pPr>
            <w:r>
              <w:rPr>
                <w:rFonts w:ascii="Times New Roman" w:cs="Times New Roman" w:eastAsia="Times New Roman" w:hAnsi="Times New Roman"/>
                <w:sz w:val="13"/>
                <w:szCs w:val="13"/>
                <w:color w:val="0000FF"/>
              </w:rPr>
              <w:t>forma condensed statement of combined continuing operations for the nine months ended September 30, 2025 and for the year</w:t>
            </w:r>
          </w:p>
        </w:tc>
        <w:tc>
          <w:tcPr>
            <w:tcW w:w="140" w:type="dxa"/>
            <w:vAlign w:val="bottom"/>
          </w:tcPr>
          <w:p>
            <w:pPr>
              <w:spacing w:after="0"/>
              <w:rPr>
                <w:sz w:val="10"/>
                <w:szCs w:val="10"/>
                <w:color w:val="auto"/>
              </w:rPr>
            </w:pPr>
          </w:p>
        </w:tc>
      </w:tr>
      <w:tr>
        <w:trPr>
          <w:trHeight w:val="118"/>
        </w:trPr>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160" w:type="dxa"/>
            <w:vAlign w:val="bottom"/>
            <w:tcBorders>
              <w:top w:val="single" w:sz="8" w:color="0000FF"/>
            </w:tcBorders>
            <w:gridSpan w:val="5"/>
          </w:tcPr>
          <w:p>
            <w:pPr>
              <w:spacing w:after="0" w:line="118" w:lineRule="exact"/>
              <w:rPr>
                <w:sz w:val="20"/>
                <w:szCs w:val="20"/>
                <w:color w:val="auto"/>
              </w:rPr>
            </w:pPr>
            <w:r>
              <w:rPr>
                <w:rFonts w:ascii="Times New Roman" w:cs="Times New Roman" w:eastAsia="Times New Roman" w:hAnsi="Times New Roman"/>
                <w:sz w:val="13"/>
                <w:szCs w:val="13"/>
                <w:color w:val="0000FF"/>
              </w:rPr>
              <w:t>ended December 31, 2024, including notes thereto.</w:t>
            </w:r>
          </w:p>
        </w:tc>
        <w:tc>
          <w:tcPr>
            <w:tcW w:w="300" w:type="dxa"/>
            <w:vAlign w:val="bottom"/>
            <w:gridSpan w:val="4"/>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8" w:lineRule="exact"/>
        <w:rPr>
          <w:sz w:val="20"/>
          <w:szCs w:val="20"/>
          <w:color w:val="auto"/>
        </w:rPr>
      </w:pPr>
    </w:p>
    <w:p>
      <w:pPr>
        <w:ind w:left="1720" w:hanging="760"/>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98" w:lineRule="exact"/>
        <w:rPr>
          <w:rFonts w:ascii="Times New Roman" w:cs="Times New Roman" w:eastAsia="Times New Roman" w:hAnsi="Times New Roman"/>
          <w:sz w:val="14"/>
          <w:szCs w:val="14"/>
          <w:color w:val="auto"/>
        </w:rPr>
      </w:pPr>
    </w:p>
    <w:p>
      <w:pPr>
        <w:ind w:left="5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8" w:right="35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1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7920" w:type="dxa"/>
            <w:vAlign w:val="bottom"/>
            <w:gridSpan w:val="3"/>
          </w:tcPr>
          <w:p>
            <w:pPr>
              <w:ind w:left="1620"/>
              <w:spacing w:after="0"/>
              <w:rPr>
                <w:sz w:val="20"/>
                <w:szCs w:val="20"/>
                <w:color w:val="auto"/>
              </w:rPr>
            </w:pPr>
            <w:r>
              <w:rPr>
                <w:rFonts w:ascii="Times New Roman" w:cs="Times New Roman" w:eastAsia="Times New Roman" w:hAnsi="Times New Roman"/>
                <w:sz w:val="14"/>
                <w:szCs w:val="14"/>
                <w:color w:val="auto"/>
              </w:rPr>
              <w:t>PLAINS GP HOLDINGS, L.P.</w:t>
            </w:r>
          </w:p>
        </w:tc>
      </w:tr>
      <w:tr>
        <w:trPr>
          <w:trHeight w:val="393"/>
        </w:trPr>
        <w:tc>
          <w:tcPr>
            <w:tcW w:w="2920" w:type="dxa"/>
            <w:vAlign w:val="bottom"/>
          </w:tcPr>
          <w:p>
            <w:pPr>
              <w:spacing w:after="0"/>
              <w:rPr>
                <w:sz w:val="24"/>
                <w:szCs w:val="24"/>
                <w:color w:val="auto"/>
              </w:rPr>
            </w:pPr>
          </w:p>
        </w:tc>
        <w:tc>
          <w:tcPr>
            <w:tcW w:w="206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By:</w:t>
            </w:r>
          </w:p>
        </w:tc>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PAA GP Holdings LLC, its general partner</w:t>
            </w:r>
          </w:p>
        </w:tc>
      </w:tr>
      <w:tr>
        <w:trPr>
          <w:trHeight w:val="393"/>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Date: January 15, 2026</w:t>
            </w:r>
          </w:p>
        </w:tc>
        <w:tc>
          <w:tcPr>
            <w:tcW w:w="206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By:</w:t>
            </w:r>
          </w:p>
        </w:tc>
        <w:tc>
          <w:tcPr>
            <w:tcW w:w="5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 Chris Herbold</w:t>
            </w:r>
          </w:p>
        </w:tc>
      </w:tr>
      <w:tr>
        <w:trPr>
          <w:trHeight w:val="165"/>
        </w:trPr>
        <w:tc>
          <w:tcPr>
            <w:tcW w:w="29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Chris Herbold</w:t>
            </w:r>
          </w:p>
        </w:tc>
      </w:tr>
      <w:tr>
        <w:trPr>
          <w:trHeight w:val="186"/>
        </w:trPr>
        <w:tc>
          <w:tcPr>
            <w:tcW w:w="29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6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Senior Vice President, Finance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160"/>
          </w:cols>
          <w:pgMar w:left="500" w:top="802"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Auditors</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(Nos. 333-200596, 333-210067, 333-218463, 333-267726 and 333-274400) on Form S-3 and (No. 333-193141) on Form S-8 of Plains GP Holdings, L.P. of our report dated April 24, 2025, with respect to the consolidated financial statements of EPIC Crude Holdings, LP, which report appears in this Current Report on Form 8-K of Plains GP Holdings, L.P. dated January 15, 2026.</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KPMG LLP</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San Antonio, Texas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January 15, 2026</w:t>
      </w:r>
    </w:p>
    <w:p>
      <w:pPr>
        <w:sectPr>
          <w:pgSz w:w="11900" w:h="16838" w:orient="portrait"/>
          <w:cols w:equalWidth="0" w:num="1">
            <w:col w:w="11280"/>
          </w:cols>
          <w:pgMar w:left="300" w:top="728"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PLAINS GP HOLDINGS, L.P.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FINANCIAL INFORMATION</w:t>
      </w:r>
    </w:p>
    <w:p>
      <w:pPr>
        <w:spacing w:after="0" w:line="36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On November 6, 2025, Plains GP Holdings, L.P. (“PAGP”, “we”, “us”, “our”, or the “Company”) filed a Current Report on Form 8-K (the “Original Filing”) to report that on October 31, 2025, pursuant to a Purchase and Sale Agreement (the “PSA”) entered into on August 30, 2025 by and among a wholly-owned subsidiary (the “Buyer”) of Plains All American Pipeline, L.P. (“PAA”),a wholly-owned subsidiary of PAGP, and subsidiaries of Diamondback Energy, Inc. and Kinetik Holdings Inc. (collectively, the “Sellers”), the Buyer completed the purchase from Sellers of an aggregate 55% non-operated equity interest in EPIC Crude Holdings, LP (“EPIC Crude Holdings”), the entity that owns and operates the EPIC Crude Oil Pipeline (the “EPIC Pipeline”), and an aggregate 55% of the membership interests in EPIC Crude Holdings GP, LLC (“EPIC GP”), the general partner of EPIC Crude Holdings (the “EPIC 55% Transaction”).</w:t>
      </w:r>
    </w:p>
    <w:p>
      <w:pPr>
        <w:spacing w:after="0" w:line="164"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4"/>
          <w:szCs w:val="14"/>
          <w:color w:val="auto"/>
        </w:rPr>
        <w:t>Effective November 1, 2025, in a separate transaction from the EPIC 55% Transaction, the Buyer also completed the purchase of the remaining 45% equity interest in EPIC Crude Holdings and the remaining 45% of the membership interests in EPIC GP from a subsidiary of Ares Management LLC (the “Ares Seller”) pursuant to that certain definitive Equity Purchase Agreement (the “EPA”) among the Buyer and the Ares Seller (the “EPIC 45% Transaction,” and, together with the EPIC 55% Transaction, the “Transactions”).</w:t>
      </w:r>
    </w:p>
    <w:p>
      <w:pPr>
        <w:ind w:right="220" w:firstLine="509"/>
        <w:spacing w:after="0" w:line="253" w:lineRule="auto"/>
        <w:rPr>
          <w:sz w:val="20"/>
          <w:szCs w:val="20"/>
          <w:color w:val="auto"/>
        </w:rPr>
      </w:pPr>
      <w:r>
        <w:rPr>
          <w:rFonts w:ascii="Times New Roman" w:cs="Times New Roman" w:eastAsia="Times New Roman" w:hAnsi="Times New Roman"/>
          <w:sz w:val="14"/>
          <w:szCs w:val="14"/>
          <w:color w:val="auto"/>
        </w:rPr>
        <w:t>As a result of the Transactions, PAGP, through its wholly-owned subsidiary PAA, now indirectly owns 100% of the equity interests in EPIC Crude Holdings and 100% of the membership interests in EPIC GP and will serve as operator of record of the EPIC Pipeline. PAGP is reporting the Transactions in aggregate as a singular transaction (the “Transaction”) for purposes of the unaudited pro forma condensed combined financial information below due to EPIC Crude Holdings being managed by a common management team despite varying equity ownership.</w:t>
      </w:r>
    </w:p>
    <w:p>
      <w:pPr>
        <w:ind w:right="60" w:firstLine="509"/>
        <w:spacing w:after="0" w:line="255" w:lineRule="auto"/>
        <w:rPr>
          <w:sz w:val="20"/>
          <w:szCs w:val="20"/>
          <w:color w:val="auto"/>
        </w:rPr>
      </w:pPr>
      <w:r>
        <w:rPr>
          <w:rFonts w:ascii="Times New Roman" w:cs="Times New Roman" w:eastAsia="Times New Roman" w:hAnsi="Times New Roman"/>
          <w:sz w:val="14"/>
          <w:szCs w:val="14"/>
          <w:color w:val="auto"/>
        </w:rPr>
        <w:t>The Transaction is accounted for as a business combination and thus the Transaction Accounting Adjustments presented in the unaudited pro forma condensed combined financial information have been prepared using the acquisition method of accounting in accordance with Financial Accounting Standards Board Accounting Standards Codification 805, Business Combinations (“ASC 805”). The unaudited pro forma condensed combined financial information is based on assumptions that we believe are reasonable under the circumstances and are intended for informational purposes only. They reflect management’s preliminary estimates of the values of the assets acquired and liabilities assumed, pending the completion of valuation procedures. A change in pro forma adjustments of the purchase price for the Transaction would primarily result in an adjustment to the determined fair values assigned to tangible and intangible assets. The income statement effect of any such changes will depend on the nature and amount of the adjustments.</w:t>
      </w:r>
    </w:p>
    <w:p>
      <w:pPr>
        <w:spacing w:after="0" w:line="169"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4"/>
          <w:szCs w:val="14"/>
          <w:color w:val="auto"/>
        </w:rPr>
        <w:t>The following unaudited pro forma condensed combined financial information has been prepared in accordance with Article 11 of SEC Regulation S-X and includes pro forma adjustments that are directly attributable to the Transaction and factually supportable. Certain adjustments have been reflected in the unaudited pro forma condensed statement of combined continuing operations for the year ended December 31, 2024 to give effect to the removal of the results of our natural gas liquids business in Canada (the “Canadian NGL Business”), which is presented as discontinued operations. Accordingly, these adjustments have been included to provide consistent presentation and enhance comparability between periods. See Note 4 for additional information. Additionally, certain reclassifications have been made to the historical presentation of EPIC Crude Holdings’ financial statements to conform to our presentation and to the presentation of the unaudited pro forma condensed combined financial information contained herein. See Note 6 for additional information.</w:t>
      </w:r>
    </w:p>
    <w:p>
      <w:pPr>
        <w:spacing w:after="0" w:line="167" w:lineRule="exact"/>
        <w:rPr>
          <w:sz w:val="20"/>
          <w:szCs w:val="20"/>
          <w:color w:val="auto"/>
        </w:rPr>
      </w:pPr>
    </w:p>
    <w:p>
      <w:pPr>
        <w:ind w:right="620" w:firstLine="509"/>
        <w:spacing w:after="0" w:line="287"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has been derived from and should be read in conjunction with the following historical financial statements and accompanying notes of PAGP and EPIC Crude Holdings:</w:t>
      </w:r>
    </w:p>
    <w:p>
      <w:pPr>
        <w:spacing w:after="0" w:line="145"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audited consolidated financial statements and related notes of PAGP included in PAGP’s Annual Report on Form 10-K for the year ended December 31, 2024;</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unaudited condensed consolidated financial statements and related notes of PAGP included in PAGP’s Quarterly Report on Form 10-Q for the nine months ended September 30, 2025;</w:t>
      </w:r>
    </w:p>
    <w:p>
      <w:pPr>
        <w:spacing w:after="0" w:line="8" w:lineRule="exact"/>
        <w:rPr>
          <w:rFonts w:ascii="Times New Roman" w:cs="Times New Roman" w:eastAsia="Times New Roman" w:hAnsi="Times New Roman"/>
          <w:sz w:val="14"/>
          <w:szCs w:val="14"/>
          <w:color w:val="auto"/>
        </w:rPr>
      </w:pPr>
    </w:p>
    <w:p>
      <w:pPr>
        <w:ind w:left="520" w:right="18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audited consolidated financial statements and related notes of EPIC Crude Holdings, LP and Subsidiaries for the years ended December 31, 2024 and 2023, included in Exhibit 99.1 to this Current Report on Form 8-K/A; and</w:t>
      </w:r>
    </w:p>
    <w:p>
      <w:pPr>
        <w:ind w:left="520" w:right="60" w:hanging="260"/>
        <w:spacing w:after="0" w:line="26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unaudited condensed consolidated financial statements of EPIC Crude Holdings, LP and Subsidiaries for the nine months ended September 30, 2025, included in Exhibit 99.2 to this Current Report on Form 8-K/A.</w:t>
      </w:r>
    </w:p>
    <w:p>
      <w:pPr>
        <w:spacing w:after="0" w:line="159" w:lineRule="exact"/>
        <w:rPr>
          <w:sz w:val="20"/>
          <w:szCs w:val="20"/>
          <w:color w:val="auto"/>
        </w:rPr>
      </w:pPr>
    </w:p>
    <w:p>
      <w:pPr>
        <w:ind w:right="280" w:firstLine="509"/>
        <w:spacing w:after="0" w:line="270"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should also be read together with the accompanying notes to the unaudited pro forma condensed combined financial information. The pro forma adjustments are preliminary and are based upon available information and certain assumptions, as described in the accompanying notes to the unaudited pro forma condensed combined financial information, which PAGP believes are reasonable under the circumstances.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23" w:right="319" w:bottom="1440" w:gutter="0" w:footer="0" w:header="0"/>
        </w:sectPr>
      </w:pPr>
    </w:p>
    <w:bookmarkStart w:id="39" w:name="page40"/>
    <w:bookmarkEnd w:id="39"/>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PLAINS GP HOLDINGS, L.P. AND SUBSIDIARIES</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FINANCIAL INFORMATION</w:t>
      </w:r>
    </w:p>
    <w:p>
      <w:pPr>
        <w:spacing w:after="0" w:line="340"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following unaudited pro forma condensed statements of combined continuing operations for the nine months ended September 30, 2025 and for the year ended December 31, 2024 have been prepared as if the Transaction described above had taken place on January 1, 2024. The unaudited pro forma condensed combined balance sheet as of September 30, 2025 assumes the Transaction was consummated on September 30, 2025.</w:t>
      </w:r>
    </w:p>
    <w:p>
      <w:pPr>
        <w:spacing w:after="0" w:line="157"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was prepared to reflect transaction accounting adjustments that PAGP believes are necessary to present a fair statement of the combined company’s financial position and results of operations following the Transaction. They do not reflect any anticipated synergies, integration costs, cost savings, or other potential impacts of combining the businesses. The unaudited pro forma condensed combined financial information is presented for illustrative purposes only and are based on preliminary estimates and assumptions that are subject to change.</w:t>
      </w:r>
    </w:p>
    <w:p>
      <w:pPr>
        <w:spacing w:after="0" w:line="162"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is not necessarily indicative of the results of the actual or future operations or financial condition that would have been achieved had the Transaction occurred at the dates assumed (as noted above). The actual results in the periods following the Transaction may differ significantly from those reflected in the unaudited pro forma condensed combined financial information for a number of reasons including, but not limited to, differences between the assumptions used to prepare the unaudited pro forma condensed combined financial information and the actual amounts and the completion of a final valuation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20"/>
          </w:cols>
          <w:pgMar w:left="300" w:top="324"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PLAINS GP HOLDINGS,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FINANCIAL INFORMATION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PLAINS GP HOLDINGS, L.P.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PAGP</w:t>
            </w:r>
          </w:p>
        </w:tc>
        <w:tc>
          <w:tcPr>
            <w:tcW w:w="160" w:type="dxa"/>
            <w:vAlign w:val="bottom"/>
          </w:tcPr>
          <w:p>
            <w:pPr>
              <w:spacing w:after="0"/>
              <w:rPr>
                <w:sz w:val="11"/>
                <w:szCs w:val="11"/>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EPIC Historical</w:t>
            </w:r>
          </w:p>
        </w:tc>
        <w:tc>
          <w:tcPr>
            <w:tcW w:w="200" w:type="dxa"/>
            <w:vAlign w:val="bottom"/>
          </w:tcPr>
          <w:p>
            <w:pPr>
              <w:spacing w:after="0"/>
              <w:rPr>
                <w:sz w:val="11"/>
                <w:szCs w:val="11"/>
                <w:color w:val="auto"/>
              </w:rPr>
            </w:pPr>
          </w:p>
        </w:tc>
        <w:tc>
          <w:tcPr>
            <w:tcW w:w="1060" w:type="dxa"/>
            <w:vAlign w:val="bottom"/>
          </w:tcPr>
          <w:p>
            <w:pPr>
              <w:jc w:val="center"/>
              <w:ind w:right="157"/>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restart"/>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PAGP</w:t>
            </w:r>
          </w:p>
        </w:tc>
        <w:tc>
          <w:tcPr>
            <w:tcW w:w="0" w:type="dxa"/>
            <w:vAlign w:val="bottom"/>
          </w:tcPr>
          <w:p>
            <w:pPr>
              <w:spacing w:after="0"/>
              <w:rPr>
                <w:sz w:val="1"/>
                <w:szCs w:val="1"/>
                <w:color w:val="auto"/>
              </w:rPr>
            </w:pPr>
          </w:p>
        </w:tc>
      </w:tr>
      <w:tr>
        <w:trPr>
          <w:trHeight w:val="127"/>
        </w:trPr>
        <w:tc>
          <w:tcPr>
            <w:tcW w:w="5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200" w:type="dxa"/>
            <w:vAlign w:val="bottom"/>
          </w:tcPr>
          <w:p>
            <w:pPr>
              <w:spacing w:after="0"/>
              <w:rPr>
                <w:sz w:val="11"/>
                <w:szCs w:val="11"/>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(Note 6)</w:t>
            </w:r>
          </w:p>
        </w:tc>
        <w:tc>
          <w:tcPr>
            <w:tcW w:w="200" w:type="dxa"/>
            <w:vAlign w:val="bottom"/>
          </w:tcPr>
          <w:p>
            <w:pPr>
              <w:spacing w:after="0"/>
              <w:rPr>
                <w:sz w:val="14"/>
                <w:szCs w:val="14"/>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1"/>
                <w:szCs w:val="11"/>
                <w:b w:val="1"/>
                <w:bCs w:val="1"/>
                <w:color w:val="auto"/>
              </w:rPr>
              <w:t>(Note 3)</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Pro Forma Combined</w:t>
            </w:r>
          </w:p>
        </w:tc>
        <w:tc>
          <w:tcPr>
            <w:tcW w:w="0" w:type="dxa"/>
            <w:vAlign w:val="bottom"/>
          </w:tcPr>
          <w:p>
            <w:pPr>
              <w:spacing w:after="0"/>
              <w:rPr>
                <w:sz w:val="1"/>
                <w:szCs w:val="1"/>
                <w:color w:val="auto"/>
              </w:rPr>
            </w:pPr>
          </w:p>
        </w:tc>
      </w:tr>
      <w:tr>
        <w:trPr>
          <w:trHeight w:val="180"/>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w:t>
            </w: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Trade accounts receivable and other receivables, net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3,657</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Inventory</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Current assets of discontinued operations</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current assets</w:t>
            </w: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0" w:type="dxa"/>
            <w:vAlign w:val="bottom"/>
          </w:tcPr>
          <w:p>
            <w:pPr>
              <w:spacing w:after="0"/>
              <w:rPr>
                <w:sz w:val="1"/>
                <w:szCs w:val="1"/>
                <w:color w:val="auto"/>
              </w:rPr>
            </w:pPr>
          </w:p>
        </w:tc>
      </w:tr>
      <w:tr>
        <w:trPr>
          <w:trHeight w:val="182"/>
        </w:trPr>
        <w:tc>
          <w:tcPr>
            <w:tcW w:w="5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5,577</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5,738</w:t>
            </w:r>
          </w:p>
        </w:tc>
        <w:tc>
          <w:tcPr>
            <w:tcW w:w="0" w:type="dxa"/>
            <w:vAlign w:val="bottom"/>
          </w:tcPr>
          <w:p>
            <w:pPr>
              <w:spacing w:after="0"/>
              <w:rPr>
                <w:sz w:val="1"/>
                <w:szCs w:val="1"/>
                <w:color w:val="auto"/>
              </w:rPr>
            </w:pPr>
          </w:p>
        </w:tc>
      </w:tr>
      <w:tr>
        <w:trPr>
          <w:trHeight w:val="115"/>
        </w:trPr>
        <w:tc>
          <w:tcPr>
            <w:tcW w:w="54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460" w:type="dxa"/>
            <w:vAlign w:val="bottom"/>
            <w:gridSpan w:val="2"/>
          </w:tcPr>
          <w:p>
            <w:pPr>
              <w:jc w:val="right"/>
              <w:ind w:right="236"/>
              <w:spacing w:after="0"/>
              <w:rPr>
                <w:sz w:val="20"/>
                <w:szCs w:val="20"/>
                <w:color w:val="auto"/>
              </w:rPr>
            </w:pPr>
            <w:r>
              <w:rPr>
                <w:rFonts w:ascii="Times New Roman" w:cs="Times New Roman" w:eastAsia="Times New Roman" w:hAnsi="Times New Roman"/>
                <w:sz w:val="13"/>
                <w:szCs w:val="13"/>
                <w:color w:val="auto"/>
                <w:w w:val="96"/>
              </w:rPr>
              <w:t>(a)</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16,880</w:t>
            </w:r>
          </w:p>
        </w:tc>
        <w:tc>
          <w:tcPr>
            <w:tcW w:w="0" w:type="dxa"/>
            <w:vAlign w:val="bottom"/>
          </w:tcPr>
          <w:p>
            <w:pPr>
              <w:spacing w:after="0"/>
              <w:rPr>
                <w:sz w:val="1"/>
                <w:szCs w:val="1"/>
                <w:color w:val="auto"/>
              </w:rPr>
            </w:pPr>
          </w:p>
        </w:tc>
      </w:tr>
      <w:tr>
        <w:trPr>
          <w:trHeight w:val="135"/>
        </w:trPr>
        <w:tc>
          <w:tcPr>
            <w:tcW w:w="5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Investments in unconsolidated entities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2,873</w:t>
            </w: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Intangible assets, net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460" w:type="dxa"/>
            <w:vAlign w:val="bottom"/>
            <w:gridSpan w:val="2"/>
          </w:tcPr>
          <w:p>
            <w:pPr>
              <w:jc w:val="right"/>
              <w:ind w:right="236"/>
              <w:spacing w:after="0"/>
              <w:rPr>
                <w:sz w:val="20"/>
                <w:szCs w:val="20"/>
                <w:color w:val="auto"/>
              </w:rPr>
            </w:pPr>
            <w:r>
              <w:rPr>
                <w:rFonts w:ascii="Times New Roman" w:cs="Times New Roman" w:eastAsia="Times New Roman" w:hAnsi="Times New Roman"/>
                <w:sz w:val="13"/>
                <w:szCs w:val="13"/>
                <w:color w:val="auto"/>
                <w:w w:val="96"/>
              </w:rPr>
              <w:t>(a)</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1,848</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 asset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Linefill</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 term operating lease right of use asset, net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Long-term inventory</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Long-term assets of discontinued operations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2,479</w:t>
            </w: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long-term assets, net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jc w:val="right"/>
              <w:ind w:right="236"/>
              <w:spacing w:after="0"/>
              <w:rPr>
                <w:sz w:val="20"/>
                <w:szCs w:val="20"/>
                <w:color w:val="auto"/>
              </w:rPr>
            </w:pPr>
            <w:r>
              <w:rPr>
                <w:rFonts w:ascii="Times New Roman" w:cs="Times New Roman" w:eastAsia="Times New Roman" w:hAnsi="Times New Roman"/>
                <w:sz w:val="13"/>
                <w:szCs w:val="13"/>
                <w:color w:val="auto"/>
              </w:rPr>
              <w:t>(1) (a)</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0" w:type="dxa"/>
            <w:vAlign w:val="bottom"/>
          </w:tcPr>
          <w:p>
            <w:pPr>
              <w:spacing w:after="0"/>
              <w:rPr>
                <w:sz w:val="1"/>
                <w:szCs w:val="1"/>
                <w:color w:val="auto"/>
              </w:rPr>
            </w:pPr>
          </w:p>
        </w:tc>
      </w:tr>
      <w:tr>
        <w:trPr>
          <w:trHeight w:val="214"/>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29,252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32,470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5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PARTNERS’ CAPITAL</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Trade accounts payable</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(b)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3,606</w:t>
            </w: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Short-term debt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Current liabilities of discontinued operations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0" w:type="dxa"/>
            <w:vAlign w:val="bottom"/>
          </w:tcPr>
          <w:p>
            <w:pPr>
              <w:spacing w:after="0"/>
              <w:rPr>
                <w:sz w:val="1"/>
                <w:szCs w:val="1"/>
                <w:color w:val="auto"/>
              </w:rPr>
            </w:pPr>
          </w:p>
        </w:tc>
      </w:tr>
      <w:tr>
        <w:trPr>
          <w:trHeight w:val="183"/>
        </w:trPr>
        <w:tc>
          <w:tcPr>
            <w:tcW w:w="5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5,430</w:t>
            </w:r>
          </w:p>
        </w:tc>
        <w:tc>
          <w:tcPr>
            <w:tcW w:w="0" w:type="dxa"/>
            <w:vAlign w:val="bottom"/>
          </w:tcPr>
          <w:p>
            <w:pPr>
              <w:spacing w:after="0"/>
              <w:rPr>
                <w:sz w:val="1"/>
                <w:szCs w:val="1"/>
                <w:color w:val="auto"/>
              </w:rPr>
            </w:pPr>
          </w:p>
        </w:tc>
      </w:tr>
      <w:tr>
        <w:trPr>
          <w:trHeight w:val="127"/>
        </w:trPr>
        <w:tc>
          <w:tcPr>
            <w:tcW w:w="5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LIABILITIES</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Senior notes, net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8,371</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long-term debt, net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1,901</w:t>
            </w:r>
          </w:p>
        </w:tc>
        <w:tc>
          <w:tcPr>
            <w:tcW w:w="4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6"/>
              </w:rPr>
              <w:t>(c)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3,072</w:t>
            </w: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460" w:type="dxa"/>
            <w:vAlign w:val="bottom"/>
            <w:gridSpan w:val="2"/>
          </w:tcPr>
          <w:p>
            <w:pPr>
              <w:jc w:val="right"/>
              <w:ind w:right="236"/>
              <w:spacing w:after="0"/>
              <w:rPr>
                <w:sz w:val="20"/>
                <w:szCs w:val="20"/>
                <w:color w:val="auto"/>
              </w:rPr>
            </w:pPr>
            <w:r>
              <w:rPr>
                <w:rFonts w:ascii="Times New Roman" w:cs="Times New Roman" w:eastAsia="Times New Roman" w:hAnsi="Times New Roman"/>
                <w:sz w:val="13"/>
                <w:szCs w:val="13"/>
                <w:color w:val="auto"/>
                <w:w w:val="96"/>
              </w:rPr>
              <w:t>(a)</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Long-term liabilities of discontinued operations</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long-term liabilities and deferred credits</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46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0" w:type="dxa"/>
            <w:vAlign w:val="bottom"/>
          </w:tcPr>
          <w:p>
            <w:pPr>
              <w:spacing w:after="0"/>
              <w:rPr>
                <w:sz w:val="1"/>
                <w:szCs w:val="1"/>
                <w:color w:val="auto"/>
              </w:rPr>
            </w:pPr>
          </w:p>
        </w:tc>
      </w:tr>
      <w:tr>
        <w:trPr>
          <w:trHeight w:val="182"/>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long-term liabilities</w:t>
            </w: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9,747</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1,124</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2,030</w:t>
            </w: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12,901</w:t>
            </w:r>
          </w:p>
        </w:tc>
        <w:tc>
          <w:tcPr>
            <w:tcW w:w="0" w:type="dxa"/>
            <w:vAlign w:val="bottom"/>
          </w:tcPr>
          <w:p>
            <w:pPr>
              <w:spacing w:after="0"/>
              <w:rPr>
                <w:sz w:val="1"/>
                <w:szCs w:val="1"/>
                <w:color w:val="auto"/>
              </w:rPr>
            </w:pPr>
          </w:p>
        </w:tc>
      </w:tr>
      <w:tr>
        <w:trPr>
          <w:trHeight w:val="135"/>
        </w:trPr>
        <w:tc>
          <w:tcPr>
            <w:tcW w:w="5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PARTNERS’ CAPITAL</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Class A shareholders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(840) (a)</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1,343</w:t>
            </w: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jc w:val="right"/>
              <w:ind w:right="216"/>
              <w:spacing w:after="0"/>
              <w:rPr>
                <w:sz w:val="20"/>
                <w:szCs w:val="20"/>
                <w:color w:val="auto"/>
              </w:rPr>
            </w:pPr>
            <w:r>
              <w:rPr>
                <w:rFonts w:ascii="Times New Roman" w:cs="Times New Roman" w:eastAsia="Times New Roman" w:hAnsi="Times New Roman"/>
                <w:sz w:val="13"/>
                <w:szCs w:val="13"/>
                <w:color w:val="auto"/>
              </w:rPr>
              <w:t>(2) (b)</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Noncontrolling interests</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12,801</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52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(5) (b)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12,796</w:t>
            </w:r>
          </w:p>
        </w:tc>
        <w:tc>
          <w:tcPr>
            <w:tcW w:w="0" w:type="dxa"/>
            <w:vAlign w:val="bottom"/>
          </w:tcPr>
          <w:p>
            <w:pPr>
              <w:spacing w:after="0"/>
              <w:rPr>
                <w:sz w:val="1"/>
                <w:szCs w:val="1"/>
                <w:color w:val="auto"/>
              </w:rPr>
            </w:pPr>
          </w:p>
        </w:tc>
      </w:tr>
      <w:tr>
        <w:trPr>
          <w:trHeight w:val="182"/>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partners’ capital</w:t>
            </w:r>
          </w:p>
        </w:tc>
        <w:tc>
          <w:tcPr>
            <w:tcW w:w="2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14,146</w:t>
            </w:r>
          </w:p>
        </w:tc>
        <w:tc>
          <w:tcPr>
            <w:tcW w:w="2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2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3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14,139</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 and partners’ capital</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32,470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this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324"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PLAINS GP HOLDINGS,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FINANCIAL INFORMATION</w:t>
      </w:r>
    </w:p>
    <w:p>
      <w:pPr>
        <w:spacing w:after="0" w:line="200" w:lineRule="exact"/>
        <w:rPr>
          <w:sz w:val="20"/>
          <w:szCs w:val="20"/>
          <w:color w:val="auto"/>
        </w:rPr>
      </w:pPr>
    </w:p>
    <w:p>
      <w:pPr>
        <w:spacing w:after="0" w:line="33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PLAINS GP HOLDINGS, L.P. AND SUBSIDIARIES</w:t>
      </w:r>
    </w:p>
    <w:p>
      <w:pPr>
        <w:spacing w:after="0" w:line="2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UNAUDITED PRO FORMA CONDENSED STATEMENT OF COMBINED CONTINUING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PAGP</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EPIC Historical</w:t>
            </w:r>
          </w:p>
        </w:tc>
        <w:tc>
          <w:tcPr>
            <w:tcW w:w="200" w:type="dxa"/>
            <w:vAlign w:val="bottom"/>
          </w:tcPr>
          <w:p>
            <w:pPr>
              <w:spacing w:after="0"/>
              <w:rPr>
                <w:sz w:val="11"/>
                <w:szCs w:val="11"/>
                <w:color w:val="auto"/>
              </w:rPr>
            </w:pPr>
          </w:p>
        </w:tc>
        <w:tc>
          <w:tcPr>
            <w:tcW w:w="1060" w:type="dxa"/>
            <w:vAlign w:val="bottom"/>
          </w:tcPr>
          <w:p>
            <w:pPr>
              <w:jc w:val="center"/>
              <w:ind w:right="151"/>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restart"/>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PAGP</w:t>
            </w:r>
          </w:p>
        </w:tc>
        <w:tc>
          <w:tcPr>
            <w:tcW w:w="0" w:type="dxa"/>
            <w:vAlign w:val="bottom"/>
          </w:tcPr>
          <w:p>
            <w:pPr>
              <w:spacing w:after="0"/>
              <w:rPr>
                <w:sz w:val="1"/>
                <w:szCs w:val="1"/>
                <w:color w:val="auto"/>
              </w:rPr>
            </w:pPr>
          </w:p>
        </w:tc>
      </w:tr>
      <w:tr>
        <w:trPr>
          <w:trHeight w:val="127"/>
        </w:trPr>
        <w:tc>
          <w:tcPr>
            <w:tcW w:w="54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200" w:type="dxa"/>
            <w:vAlign w:val="bottom"/>
          </w:tcPr>
          <w:p>
            <w:pPr>
              <w:spacing w:after="0"/>
              <w:rPr>
                <w:sz w:val="11"/>
                <w:szCs w:val="11"/>
                <w:color w:val="auto"/>
              </w:rPr>
            </w:pPr>
          </w:p>
        </w:tc>
        <w:tc>
          <w:tcPr>
            <w:tcW w:w="1060" w:type="dxa"/>
            <w:vAlign w:val="bottom"/>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4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(Note 6)</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rPr>
              <w:t>(Note 3)</w:t>
            </w: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Pro Forma Combined</w:t>
            </w:r>
          </w:p>
        </w:tc>
        <w:tc>
          <w:tcPr>
            <w:tcW w:w="0" w:type="dxa"/>
            <w:vAlign w:val="bottom"/>
          </w:tcPr>
          <w:p>
            <w:pPr>
              <w:spacing w:after="0"/>
              <w:rPr>
                <w:sz w:val="1"/>
                <w:szCs w:val="1"/>
                <w:color w:val="auto"/>
              </w:rPr>
            </w:pPr>
          </w:p>
        </w:tc>
      </w:tr>
      <w:tr>
        <w:trPr>
          <w:trHeight w:val="21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20" w:type="dxa"/>
            <w:vAlign w:val="bottom"/>
            <w:tcBorders>
              <w:bottom w:val="single" w:sz="8" w:color="CCEEFF"/>
            </w:tcBorders>
            <w:shd w:val="clear" w:color="auto" w:fill="CCEEFF"/>
          </w:tcPr>
          <w:p>
            <w:pPr>
              <w:jc w:val="right"/>
              <w:ind w:right="655"/>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33,698</w:t>
            </w: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33,879</w:t>
            </w:r>
          </w:p>
        </w:tc>
        <w:tc>
          <w:tcPr>
            <w:tcW w:w="0" w:type="dxa"/>
            <w:vAlign w:val="bottom"/>
          </w:tcPr>
          <w:p>
            <w:pPr>
              <w:spacing w:after="0"/>
              <w:rPr>
                <w:sz w:val="1"/>
                <w:szCs w:val="1"/>
                <w:color w:val="auto"/>
              </w:rPr>
            </w:pPr>
          </w:p>
        </w:tc>
      </w:tr>
      <w:tr>
        <w:trPr>
          <w:trHeight w:val="150"/>
        </w:trPr>
        <w:tc>
          <w:tcPr>
            <w:tcW w:w="54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8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and related costs</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30,862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30,794</w:t>
            </w: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Field operating costs</w:t>
            </w:r>
          </w:p>
        </w:tc>
        <w:tc>
          <w:tcPr>
            <w:tcW w:w="8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(86) (f)</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w:t>
            </w: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asset sales, net</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2"/>
        </w:trPr>
        <w:tc>
          <w:tcPr>
            <w:tcW w:w="5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32,622</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32,709</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8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INCOME/(EXPENSE)</w:t>
            </w:r>
          </w:p>
        </w:tc>
        <w:tc>
          <w:tcPr>
            <w:tcW w:w="8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earnings in unconsolidated entities</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investments in unconsolidated entities, net</w:t>
            </w:r>
          </w:p>
        </w:tc>
        <w:tc>
          <w:tcPr>
            <w:tcW w:w="8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(80) (h)</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8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CONTINUING OPERATIONS BEFORE TAX</w:t>
            </w:r>
          </w:p>
        </w:tc>
        <w:tc>
          <w:tcPr>
            <w:tcW w:w="8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income tax expense from continuing operations</w:t>
            </w:r>
          </w:p>
        </w:tc>
        <w:tc>
          <w:tcPr>
            <w:tcW w:w="8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expense from continuing operations</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2"/>
        </w:trPr>
        <w:tc>
          <w:tcPr>
            <w:tcW w:w="5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CONTINUING OPERATIONS, NET OF TAX</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0" w:type="dxa"/>
            <w:vAlign w:val="bottom"/>
          </w:tcPr>
          <w:p>
            <w:pPr>
              <w:spacing w:after="0"/>
              <w:rPr>
                <w:sz w:val="1"/>
                <w:szCs w:val="1"/>
                <w:color w:val="auto"/>
              </w:rPr>
            </w:pPr>
          </w:p>
        </w:tc>
      </w:tr>
      <w:tr>
        <w:trPr>
          <w:trHeight w:val="191"/>
        </w:trPr>
        <w:tc>
          <w:tcPr>
            <w:tcW w:w="5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attributable to noncontrolling interests from continuing operations</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0" w:type="dxa"/>
            <w:vAlign w:val="bottom"/>
          </w:tcPr>
          <w:p>
            <w:pPr>
              <w:spacing w:after="0"/>
              <w:rPr>
                <w:sz w:val="1"/>
                <w:szCs w:val="1"/>
                <w:color w:val="auto"/>
              </w:rPr>
            </w:pPr>
          </w:p>
        </w:tc>
      </w:tr>
      <w:tr>
        <w:trPr>
          <w:trHeight w:val="22"/>
        </w:trPr>
        <w:tc>
          <w:tcPr>
            <w:tcW w:w="5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PAGP FROM CONTINUING OPERATIONS</w:t>
            </w:r>
          </w:p>
        </w:tc>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weighted average common units outstanding</w:t>
            </w:r>
          </w:p>
        </w:tc>
        <w:tc>
          <w:tcPr>
            <w:tcW w:w="8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 net income per Class A share from continuing operations</w:t>
            </w:r>
          </w:p>
        </w:tc>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this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324"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PLAINS GP HOLDINGS,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FINANCIAL INFORMATION</w:t>
      </w:r>
    </w:p>
    <w:p>
      <w:pPr>
        <w:spacing w:after="0" w:line="34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PLAINS GP HOLDINGS, L.P. AND SUBSIDIARIES</w:t>
      </w:r>
    </w:p>
    <w:p>
      <w:pPr>
        <w:spacing w:after="0" w:line="2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UNAUDITED PRO FORMA CONDENSED STATEMENT OF COMBINED CONTINUING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rPr>
              <w:t>PAGP Historical</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rPr>
              <w:t>As Adjusted for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EPIC Historical</w:t>
            </w:r>
          </w:p>
        </w:tc>
        <w:tc>
          <w:tcPr>
            <w:tcW w:w="200" w:type="dxa"/>
            <w:vAlign w:val="bottom"/>
          </w:tcPr>
          <w:p>
            <w:pPr>
              <w:spacing w:after="0"/>
              <w:rPr>
                <w:sz w:val="11"/>
                <w:szCs w:val="11"/>
                <w:color w:val="auto"/>
              </w:rPr>
            </w:pPr>
          </w:p>
        </w:tc>
        <w:tc>
          <w:tcPr>
            <w:tcW w:w="1060" w:type="dxa"/>
            <w:vAlign w:val="bottom"/>
          </w:tcPr>
          <w:p>
            <w:pPr>
              <w:jc w:val="center"/>
              <w:ind w:right="151"/>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restart"/>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PAGP</w:t>
            </w:r>
          </w:p>
        </w:tc>
        <w:tc>
          <w:tcPr>
            <w:tcW w:w="0" w:type="dxa"/>
            <w:vAlign w:val="bottom"/>
          </w:tcPr>
          <w:p>
            <w:pPr>
              <w:spacing w:after="0"/>
              <w:rPr>
                <w:sz w:val="1"/>
                <w:szCs w:val="1"/>
                <w:color w:val="auto"/>
              </w:rPr>
            </w:pPr>
          </w:p>
        </w:tc>
      </w:tr>
      <w:tr>
        <w:trPr>
          <w:trHeight w:val="127"/>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Continuing Operations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200" w:type="dxa"/>
            <w:vAlign w:val="bottom"/>
          </w:tcPr>
          <w:p>
            <w:pPr>
              <w:spacing w:after="0"/>
              <w:rPr>
                <w:sz w:val="11"/>
                <w:szCs w:val="11"/>
                <w:color w:val="auto"/>
              </w:rPr>
            </w:pPr>
          </w:p>
        </w:tc>
        <w:tc>
          <w:tcPr>
            <w:tcW w:w="1060" w:type="dxa"/>
            <w:vAlign w:val="bottom"/>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(Note 4)</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(Note 6)</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rPr>
              <w:t>(Note 3)</w:t>
            </w: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Pro Forma Combined</w:t>
            </w:r>
          </w:p>
        </w:tc>
        <w:tc>
          <w:tcPr>
            <w:tcW w:w="0" w:type="dxa"/>
            <w:vAlign w:val="bottom"/>
          </w:tcPr>
          <w:p>
            <w:pPr>
              <w:spacing w:after="0"/>
              <w:rPr>
                <w:sz w:val="1"/>
                <w:szCs w:val="1"/>
                <w:color w:val="auto"/>
              </w:rPr>
            </w:pPr>
          </w:p>
        </w:tc>
      </w:tr>
      <w:tr>
        <w:trPr>
          <w:trHeight w:val="212"/>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48,889</w:t>
            </w:r>
          </w:p>
        </w:tc>
        <w:tc>
          <w:tcPr>
            <w:tcW w:w="36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49,124</w:t>
            </w:r>
          </w:p>
        </w:tc>
        <w:tc>
          <w:tcPr>
            <w:tcW w:w="0" w:type="dxa"/>
            <w:vAlign w:val="bottom"/>
          </w:tcPr>
          <w:p>
            <w:pPr>
              <w:spacing w:after="0"/>
              <w:rPr>
                <w:sz w:val="1"/>
                <w:szCs w:val="1"/>
                <w:color w:val="auto"/>
              </w:rPr>
            </w:pPr>
          </w:p>
        </w:tc>
      </w:tr>
      <w:tr>
        <w:trPr>
          <w:trHeight w:val="182"/>
        </w:trPr>
        <w:tc>
          <w:tcPr>
            <w:tcW w:w="5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and related costs</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45,162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45,087</w:t>
            </w: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Field operating costs</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0" w:type="dxa"/>
            <w:vAlign w:val="bottom"/>
          </w:tcPr>
          <w:p>
            <w:pPr>
              <w:spacing w:after="0"/>
              <w:rPr>
                <w:sz w:val="1"/>
                <w:szCs w:val="1"/>
                <w:color w:val="auto"/>
              </w:rPr>
            </w:pPr>
          </w:p>
        </w:tc>
      </w:tr>
      <w:tr>
        <w:trPr>
          <w:trHeight w:val="191"/>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(111) (f)</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w:t>
            </w: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asset sales, net</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81"/>
        </w:trPr>
        <w:tc>
          <w:tcPr>
            <w:tcW w:w="5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48,027</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48,196</w:t>
            </w: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INCOME/(EXPENSE)</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earnings in unconsolidated entities</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191"/>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investments in unconsolidated entities, net</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3"/>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(121) (h)</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91"/>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2"/>
        </w:trPr>
        <w:tc>
          <w:tcPr>
            <w:tcW w:w="5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FROM CONTINUING OPERATIONS BEFORE TAX</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0" w:type="dxa"/>
            <w:vAlign w:val="bottom"/>
          </w:tcPr>
          <w:p>
            <w:pPr>
              <w:spacing w:after="0"/>
              <w:rPr>
                <w:sz w:val="1"/>
                <w:szCs w:val="1"/>
                <w:color w:val="auto"/>
              </w:rPr>
            </w:pPr>
          </w:p>
        </w:tc>
      </w:tr>
      <w:tr>
        <w:trPr>
          <w:trHeight w:val="191"/>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income tax expense from continuing operations</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expense from continuing operations</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1"/>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FROM CONTINUING OPERATIONS, NET OF TAX</w:t>
            </w: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noncontrolling interests from continuing operations</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154"/>
        </w:trPr>
        <w:tc>
          <w:tcPr>
            <w:tcW w:w="52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INCOME (LOSS) ATTRIBUTABLE TO PAGP FROM CONTINUING</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0" w:type="dxa"/>
            <w:vAlign w:val="bottom"/>
            <w:vMerge w:val="restart"/>
          </w:tcPr>
          <w:p>
            <w:pPr>
              <w:spacing w:after="0"/>
              <w:rPr>
                <w:sz w:val="13"/>
                <w:szCs w:val="13"/>
                <w:color w:val="auto"/>
              </w:rPr>
            </w:pPr>
          </w:p>
        </w:tc>
        <w:tc>
          <w:tcPr>
            <w:tcW w:w="160" w:type="dxa"/>
            <w:vAlign w:val="bottom"/>
            <w:tcBorders>
              <w:top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vMerge w:val="restart"/>
          </w:tcPr>
          <w:p>
            <w:pPr>
              <w:spacing w:after="0"/>
              <w:rPr>
                <w:sz w:val="13"/>
                <w:szCs w:val="13"/>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1"/>
        </w:trPr>
        <w:tc>
          <w:tcPr>
            <w:tcW w:w="52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weighted average Class A shares outstanding</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net income (loss) per Class A share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this Unaudited Pro Forma Condensed Combined Financial Information.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324"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PLAINS GP HOLDINGS,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PRO FORMA CONDENSED COMBINED FINANCIAL INFORMATION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Basis of Presentation</w:t>
      </w:r>
    </w:p>
    <w:p>
      <w:pPr>
        <w:spacing w:after="0" w:line="202"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was prepared in accordance with Article 11 of SEC Regulation S-X (“Article 11”). The unaudited pro forma condensed combined financial information includes adjustments that depict the accounting for the Transaction using Transaction Accounting Adjustments (as defined in Article 11). Adjustments depicting synergies and dis-synergies of the Transaction (“Management Adjustments”) are not presented herein.</w:t>
      </w:r>
    </w:p>
    <w:p>
      <w:pPr>
        <w:spacing w:after="0" w:line="157"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and underlying pro forma adjustments are based upon currently available information and certain estimates and assumptions that management believes are factually supportable; therefore, actual results could differ materially from the unaudited pro forma condensed combined financial information. However, we believe the assumptions provide a reasonable basis for presenting the significant effects of the Transaction noted herein. We believe the pro forma adjustments give appropriate effect to those assumptions and are properly applied in the unaudited pro forma condensed combined financial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Purchase Price Allocation</w:t>
      </w:r>
    </w:p>
    <w:p>
      <w:pPr>
        <w:spacing w:after="0" w:line="21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We purchased an aggregate 55% equity interest in EPIC Crude Holdings for approximately $1,568 million, subject to certain adjustments and inclusive of approximately $600 million of debt assumed. We also agreed to a potential earnout payment of $193 million contingent upon the formal sanctioning before the end of 2027 of one or more expansions of EPIC Pipeline that in the aggregate will increase the capacity of the pipeline to at least 900,000 barrels per day. In a separate transaction, effective November 1, 2025, we acquired the remaining 45% equity interest in EPIC Crude Holdings for approximately $1,327 million, subject to certain adjustments and inclusive of approximately $500 million of debt assumed. We also agreed to a potential earnout payment to the seller of up to $157 million depending on the timing and amount of incremental expansion capacity up to 300,000 barrels per day in excess of 650,000 barrels per day that is formally sanctioned before the end of 2028. The aggregate cash consideration also includes closing cash and working capital of approximately $106 million. The estimated fair value of the aggregate earnout consideration recorded in connection with the Transaction was approximately $115 million. The fair value of the aggregate earnout consideration was determined based on weighted-average probabilities of certain capacity expansion scenarios and the related timing thereof.</w:t>
      </w:r>
    </w:p>
    <w:p>
      <w:pPr>
        <w:spacing w:after="0" w:line="170"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4"/>
          <w:szCs w:val="14"/>
          <w:color w:val="auto"/>
        </w:rPr>
        <w:t>The Transaction is accounted for as a business combination in accordance with ASC 805. As the majority owner and the controlling entity, PAGP is considered the acquirer and as such the PAGP predecessor business is accounted for at historical cost, while the EPIC Crude Holdings predecessor business is accounted for at fair value. In accordance with ASC 805, the following table presents the fair value of the consideration in the Transaction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4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
        </w:trPr>
        <w:tc>
          <w:tcPr>
            <w:tcW w:w="8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consideration</w:t>
            </w:r>
          </w:p>
        </w:tc>
        <w:tc>
          <w:tcPr>
            <w:tcW w:w="1400" w:type="dxa"/>
            <w:vAlign w:val="bottom"/>
            <w:tcBorders>
              <w:bottom w:val="single" w:sz="8" w:color="CCEEFF"/>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w:t>
            </w:r>
          </w:p>
        </w:tc>
      </w:tr>
      <w:tr>
        <w:trPr>
          <w:trHeight w:val="191"/>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4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The Transaction has been accounted for using the acquisition method of accounting and the determination of the fair value of the assets acquired and liabilities assumed has been estimated in accordance with ASC 805. The following table shows our preliminary determination of the fair value of those assets and liabilities as of September 30, 2025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Depreciable</w:t>
            </w:r>
          </w:p>
        </w:tc>
        <w:tc>
          <w:tcPr>
            <w:tcW w:w="0" w:type="dxa"/>
            <w:vAlign w:val="bottom"/>
          </w:tcPr>
          <w:p>
            <w:pPr>
              <w:spacing w:after="0"/>
              <w:rPr>
                <w:sz w:val="1"/>
                <w:szCs w:val="1"/>
                <w:color w:val="auto"/>
              </w:rPr>
            </w:pPr>
          </w:p>
        </w:tc>
      </w:tr>
      <w:tr>
        <w:trPr>
          <w:trHeight w:val="212"/>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0" w:type="dxa"/>
            <w:vAlign w:val="bottom"/>
          </w:tcPr>
          <w:p>
            <w:pPr>
              <w:spacing w:after="0"/>
              <w:rPr>
                <w:sz w:val="1"/>
                <w:szCs w:val="1"/>
                <w:color w:val="auto"/>
              </w:rPr>
            </w:pP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Working capital and other assets, net</w:t>
            </w:r>
          </w:p>
        </w:tc>
        <w:tc>
          <w:tcPr>
            <w:tcW w:w="2740" w:type="dxa"/>
            <w:vAlign w:val="bottom"/>
            <w:tcBorders>
              <w:bottom w:val="single" w:sz="8" w:color="CCEEFF"/>
            </w:tcBorders>
            <w:gridSpan w:val="3"/>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4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2420" w:type="dxa"/>
            <w:vAlign w:val="bottom"/>
            <w:tcBorders>
              <w:bottom w:val="single" w:sz="8" w:color="CCEEFF"/>
            </w:tcBorders>
            <w:gridSpan w:val="2"/>
            <w:shd w:val="clear" w:color="auto" w:fill="CCEEFF"/>
          </w:tcPr>
          <w:p>
            <w:pPr>
              <w:jc w:val="center"/>
              <w:ind w:left="169"/>
              <w:spacing w:after="0"/>
              <w:rPr>
                <w:sz w:val="20"/>
                <w:szCs w:val="20"/>
                <w:color w:val="auto"/>
              </w:rPr>
            </w:pPr>
            <w:r>
              <w:rPr>
                <w:rFonts w:ascii="Times New Roman" w:cs="Times New Roman" w:eastAsia="Times New Roman" w:hAnsi="Times New Roman"/>
                <w:sz w:val="14"/>
                <w:szCs w:val="14"/>
                <w:color w:val="auto"/>
                <w:w w:val="99"/>
              </w:rPr>
              <w:t>47</w:t>
            </w:r>
          </w:p>
        </w:tc>
        <w:tc>
          <w:tcPr>
            <w:tcW w:w="0" w:type="dxa"/>
            <w:vAlign w:val="bottom"/>
          </w:tcPr>
          <w:p>
            <w:pPr>
              <w:spacing w:after="0"/>
              <w:rPr>
                <w:sz w:val="1"/>
                <w:szCs w:val="1"/>
                <w:color w:val="auto"/>
              </w:rPr>
            </w:pPr>
          </w:p>
        </w:tc>
      </w:tr>
      <w:tr>
        <w:trPr>
          <w:trHeight w:val="19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(included within Intangible assets, net)</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2420" w:type="dxa"/>
            <w:vAlign w:val="bottom"/>
            <w:gridSpan w:val="2"/>
          </w:tcPr>
          <w:p>
            <w:pPr>
              <w:jc w:val="center"/>
              <w:ind w:left="169"/>
              <w:spacing w:after="0"/>
              <w:rPr>
                <w:sz w:val="20"/>
                <w:szCs w:val="20"/>
                <w:color w:val="auto"/>
              </w:rPr>
            </w:pPr>
            <w:r>
              <w:rPr>
                <w:rFonts w:ascii="Times New Roman" w:cs="Times New Roman" w:eastAsia="Times New Roman" w:hAnsi="Times New Roman"/>
                <w:sz w:val="14"/>
                <w:szCs w:val="14"/>
                <w:color w:val="auto"/>
                <w:w w:val="99"/>
              </w:rPr>
              <w:t>10</w:t>
            </w: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debt, net</w:t>
            </w:r>
          </w:p>
        </w:tc>
        <w:tc>
          <w:tcPr>
            <w:tcW w:w="20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24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liability</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 and deferred credits</w:t>
            </w:r>
          </w:p>
        </w:tc>
        <w:tc>
          <w:tcPr>
            <w:tcW w:w="20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02"/>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60" w:type="dxa"/>
            <w:vAlign w:val="bottom"/>
            <w:gridSpan w:val="2"/>
          </w:tcPr>
          <w:p>
            <w:pPr>
              <w:spacing w:after="0"/>
              <w:rPr>
                <w:sz w:val="17"/>
                <w:szCs w:val="17"/>
                <w:color w:val="auto"/>
              </w:rPr>
            </w:pPr>
          </w:p>
        </w:tc>
        <w:tc>
          <w:tcPr>
            <w:tcW w:w="48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2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0" w:type="dxa"/>
            <w:vAlign w:val="bottom"/>
            <w:vMerge w:val="restart"/>
          </w:tcPr>
          <w:p>
            <w:pPr>
              <w:jc w:val="right"/>
              <w:ind w:right="649"/>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5"/>
        </w:trPr>
        <w:tc>
          <w:tcPr>
            <w:tcW w:w="44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324"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PLAINS GP HOLDINGS,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PRO FORMA CONDENSED COMBINED FINANCIAL INFORMATION</w:t>
      </w:r>
    </w:p>
    <w:p>
      <w:pPr>
        <w:spacing w:after="0" w:line="340" w:lineRule="exact"/>
        <w:rPr>
          <w:sz w:val="20"/>
          <w:szCs w:val="20"/>
          <w:color w:val="auto"/>
        </w:rPr>
      </w:pPr>
    </w:p>
    <w:p>
      <w:pPr>
        <w:ind w:right="300" w:firstLine="509"/>
        <w:spacing w:after="0" w:line="264" w:lineRule="auto"/>
        <w:rPr>
          <w:sz w:val="20"/>
          <w:szCs w:val="20"/>
          <w:color w:val="auto"/>
        </w:rPr>
      </w:pPr>
      <w:r>
        <w:rPr>
          <w:rFonts w:ascii="Times New Roman" w:cs="Times New Roman" w:eastAsia="Times New Roman" w:hAnsi="Times New Roman"/>
          <w:sz w:val="14"/>
          <w:szCs w:val="14"/>
          <w:color w:val="auto"/>
        </w:rPr>
        <w:t>This preliminary purchase price allocation has been used to prepare the Transaction Accounting Adjustments in the unaudited pro forma condensed combined financial information. The analysis was performed based on estimates that are reflective of market participant assumptions. The determination of the fair value of the assets acquired and liabilities assumed is preliminary pending the completion of valuation procedures and other potential adjustments. The final allocation is expected to be completed as soon as practicable and could differ materially from the preliminary allocation used in the Transaction Accounting Adjustments.</w:t>
      </w:r>
    </w:p>
    <w:p>
      <w:pPr>
        <w:spacing w:after="0" w:line="162"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Intangible Assets are comprised of favorable contracts with useful lives from 5 to 10 years. Amortization of these intangible assets is through the declining balance amortization method and is estimated to be approximately $13 million for the remaining three months of 2025 and approximately $32 million, $27 million, $19 million, $12 million and $10 million, respectively, for each of the five years thereafter.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Pro Forma Adjustments</w:t>
      </w:r>
    </w:p>
    <w:p>
      <w:pPr>
        <w:spacing w:after="0" w:line="181" w:lineRule="exact"/>
        <w:rPr>
          <w:sz w:val="20"/>
          <w:szCs w:val="20"/>
          <w:color w:val="auto"/>
        </w:rPr>
      </w:pPr>
    </w:p>
    <w:p>
      <w:pPr>
        <w:ind w:left="520" w:right="280" w:hanging="260"/>
        <w:spacing w:after="0" w:line="287" w:lineRule="auto"/>
        <w:tabs>
          <w:tab w:leader="none" w:pos="51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adjustments to fair value of the assets acquired and liabilities assumed in the Transaction based on the acquisition method of accounting. Reflects the elimination of EPIC Crude Holdings’ historical Partners’ capital balance.</w:t>
      </w:r>
    </w:p>
    <w:p>
      <w:pPr>
        <w:spacing w:after="0" w:line="156" w:lineRule="exact"/>
        <w:rPr>
          <w:rFonts w:ascii="Times New Roman" w:cs="Times New Roman" w:eastAsia="Times New Roman" w:hAnsi="Times New Roman"/>
          <w:sz w:val="14"/>
          <w:szCs w:val="14"/>
          <w:color w:val="auto"/>
        </w:rPr>
      </w:pPr>
    </w:p>
    <w:p>
      <w:pPr>
        <w:ind w:left="520" w:right="100" w:hanging="260"/>
        <w:spacing w:after="0" w:line="264" w:lineRule="auto"/>
        <w:tabs>
          <w:tab w:leader="none" w:pos="51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transaction costs that are directly attributable to the Transaction of $9 million. As of September 30, 2025, $2 million of such costs had been accrued and were reflected in the Company’s historical balance sheet. The remaining $7 million of transaction costs are reflected as an adjustment to Trade accounts payable on the unaudited pro forma condensed combined balance sheet, with the offset to Class A shareholders and Noncontrolling interest within Partners’ capital. The total of $9 million of transaction costs has been recorded as an adjustment to General and administrative expense in the unaudited pro forma condensed statement of combined continuing operations for the year ended December 31, 2024.</w:t>
      </w:r>
    </w:p>
    <w:p>
      <w:pPr>
        <w:spacing w:after="0" w:line="1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adjustment of $1,901 million as of September 30, 2025 in connection with the borrowings to finance the Transaction.</w:t>
      </w:r>
    </w:p>
    <w:p>
      <w:pPr>
        <w:spacing w:after="0" w:line="19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fair value of earnout payments of $115 million pursuant to the PSA and EPA. See Note 2 for additional information regarding the earnout payments.</w:t>
      </w:r>
    </w:p>
    <w:p>
      <w:pPr>
        <w:spacing w:after="0" w:line="199" w:lineRule="exact"/>
        <w:rPr>
          <w:rFonts w:ascii="Times New Roman" w:cs="Times New Roman" w:eastAsia="Times New Roman" w:hAnsi="Times New Roman"/>
          <w:sz w:val="14"/>
          <w:szCs w:val="14"/>
          <w:color w:val="auto"/>
        </w:rPr>
      </w:pPr>
    </w:p>
    <w:p>
      <w:pPr>
        <w:ind w:left="520" w:right="80" w:hanging="260"/>
        <w:spacing w:after="0" w:line="270" w:lineRule="auto"/>
        <w:tabs>
          <w:tab w:leader="none" w:pos="51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transition service agreement costs directly attributable to the Transaction of $7 million. As these costs are expected to be incurred after the acquisition date, they are not reflected on the unaudited pro forma condensed combined balance sheet. These amounts have been recorded as adjustments to Field operating costs and General and administrative expense in the unaudited pro forma condensed statement of combined continuing operations for the year ended December 31, 2024.</w:t>
      </w:r>
    </w:p>
    <w:p>
      <w:pPr>
        <w:spacing w:after="0" w:line="156"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3"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EPIC Crude Holdings’ historical depreciation and amortization of $86 million and $111 million for the nine months ended September 30, 2025 and the year ended December 31, 2024, respectively.</w:t>
      </w:r>
    </w:p>
    <w:p>
      <w:pPr>
        <w:spacing w:after="0" w:line="156" w:lineRule="exact"/>
        <w:rPr>
          <w:rFonts w:ascii="Times New Roman" w:cs="Times New Roman" w:eastAsia="Times New Roman" w:hAnsi="Times New Roman"/>
          <w:sz w:val="14"/>
          <w:szCs w:val="14"/>
          <w:color w:val="auto"/>
        </w:rPr>
      </w:pPr>
    </w:p>
    <w:p>
      <w:pPr>
        <w:ind w:left="520" w:right="80" w:hanging="260"/>
        <w:spacing w:after="0" w:line="264" w:lineRule="auto"/>
        <w:tabs>
          <w:tab w:leader="none" w:pos="51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depreciation on the acquired property and equipment under the straight-line method of depreciation over a blended average useful life of 47 years resulting in depreciation expense of $43 million and $57 million for the nine months ended September 30, 2025 and the year ended December 31, 2024, respectively. Also reflects the amortization of the intangible assets under the declining balance method resulting in amortization expense of $38 million and $66 million for the nine months ended September 30, 2025 and the year ended December 31, 2024, respectively.</w:t>
      </w:r>
    </w:p>
    <w:p>
      <w:pPr>
        <w:spacing w:after="0" w:line="161" w:lineRule="exact"/>
        <w:rPr>
          <w:rFonts w:ascii="Times New Roman" w:cs="Times New Roman" w:eastAsia="Times New Roman" w:hAnsi="Times New Roman"/>
          <w:sz w:val="14"/>
          <w:szCs w:val="14"/>
          <w:color w:val="auto"/>
        </w:rPr>
      </w:pPr>
    </w:p>
    <w:p>
      <w:pPr>
        <w:ind w:left="520" w:right="80" w:hanging="260"/>
        <w:spacing w:after="0" w:line="264" w:lineRule="auto"/>
        <w:tabs>
          <w:tab w:leader="none" w:pos="51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interest expense on the $1,901 million of financing as if such financing was obtained on or prior to January 1, 2024, and was outstanding for the entire year ended December 31, 2024 and nine months ended September 30, 2025. The interest rate assumed for purposes of preparing this unaudited pro forma condensed combined financial information was based off the one-month SOFR plus 1.125% as of the Closing Date. The amortization of debt issuance costs is not considered material to the unaudited pro forma condensed combined financial information.</w:t>
      </w:r>
    </w:p>
    <w:p>
      <w:pPr>
        <w:spacing w:after="0" w:line="161"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on PAGP’s Deferred income tax expense as a result of EPIC Crude Holdings’ historical operations and the transaction accounting adjustments. The income tax expense was calculated based on PAGP’s statutory rate in effect during the nine months ended September 30, 2025 and the year ended December 31, 2024, respectively. The acquisition did not have a material effect on PAGP’s historical effective tax rate or Deferred tax asset balance as of September 30, 2025.</w:t>
      </w:r>
    </w:p>
    <w:p>
      <w:pPr>
        <w:spacing w:after="0" w:line="156"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allocation of Net income attributable to noncontrolling interests for the nine months ended September 30, 2025 and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324"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color w:val="auto"/>
        </w:rPr>
        <w:t>PLAINS GP HOLDINGS,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PRO FORMA CONDENSED COMBINED FINANCIAL INFORMATION</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Canadian NGL Business Adjustments</w:t>
      </w:r>
    </w:p>
    <w:p>
      <w:pPr>
        <w:spacing w:after="0" w:line="2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On June 17, 2025, we entered into a definitive Share Purchase Agreement (“SPA”) with Keyera Corp. (“Keyera”), an Alberta corporation, pursuant to which Keyera agreed to acquire all of the issued and outstanding shares of Plains Midstream Canada ULC, our wholly-owned subsidiary that owns substantially all of the Canadian NGL Business, for cash consideration of approximately CAD$5.15 billion (approximately $3.75 billion), subject to certain post-closing adjustments, as defined in the SPA. As of the date of filing of this Current Report on Form 8-K/A, the sale of the Canadian NGL Business has not yet closed. Beginning with the Company’s Quarterly Report on Form 10-Q for the quarterly period ended June 30, 2025 the Canadian NGL business was presented as discontinued operations for all periods presented in accordance with Financial Accounting Standards Board Accounting Standard Codification (“ASC”) 205, Presentation of Financial Statements.</w:t>
      </w:r>
    </w:p>
    <w:p>
      <w:pPr>
        <w:spacing w:after="0" w:line="164"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The Company’s historical results of operations for the year ended December 31, 2024 do not reflect the Canadian NGL Business as discontinued operations, whereas the statements of operations for the nine months ended September 30, 2025 already reflects the Canadian NGL Business as discontinued operations. Certain adjustments have been reflected in the unaudited pro forma condensed statement of combined continuing operations for the year ended December 31, 2024 to give effect to the removal of the results of the Canadian NGL Business, which is presented as discontinued operations. Accordingly, these adjustments have been included to provide consistent presentation and enhance comparability between periods.</w:t>
      </w:r>
    </w:p>
    <w:p>
      <w:pPr>
        <w:spacing w:after="0" w:line="162" w:lineRule="exact"/>
        <w:rPr>
          <w:sz w:val="20"/>
          <w:szCs w:val="20"/>
          <w:color w:val="auto"/>
        </w:rPr>
      </w:pPr>
    </w:p>
    <w:p>
      <w:pPr>
        <w:ind w:right="380" w:firstLine="509"/>
        <w:spacing w:after="0" w:line="287" w:lineRule="auto"/>
        <w:rPr>
          <w:sz w:val="20"/>
          <w:szCs w:val="20"/>
          <w:color w:val="auto"/>
        </w:rPr>
      </w:pPr>
      <w:r>
        <w:rPr>
          <w:rFonts w:ascii="Times New Roman" w:cs="Times New Roman" w:eastAsia="Times New Roman" w:hAnsi="Times New Roman"/>
          <w:sz w:val="14"/>
          <w:szCs w:val="14"/>
          <w:color w:val="auto"/>
        </w:rPr>
        <w:t>The table below presents the Company’s historical results of operations for the year ended December 31, 2024, the adjustments to remove the results of the Canadian NGL Business as discontinued operations, and the resulting amounts as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60"/>
          </w:cols>
          <w:pgMar w:left="300" w:top="32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PLAINS GP HOLDINGS,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PRO FORMA CONDENSED COMBINED FINANCIAL INFORMATION</w:t>
      </w:r>
    </w:p>
    <w:p>
      <w:pPr>
        <w:spacing w:after="0" w:line="200" w:lineRule="exact"/>
        <w:rPr>
          <w:sz w:val="20"/>
          <w:szCs w:val="20"/>
          <w:color w:val="auto"/>
        </w:rPr>
      </w:pPr>
    </w:p>
    <w:p>
      <w:pPr>
        <w:spacing w:after="0" w:line="33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PLAINS GP HOLDINGS, L.P. AND SUBSIDIARIES</w:t>
      </w:r>
    </w:p>
    <w:p>
      <w:pPr>
        <w:spacing w:after="0" w:line="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 OF CONTINUING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PAGP Historical</w:t>
            </w:r>
          </w:p>
        </w:tc>
        <w:tc>
          <w:tcPr>
            <w:tcW w:w="0" w:type="dxa"/>
            <w:vAlign w:val="bottom"/>
          </w:tcPr>
          <w:p>
            <w:pPr>
              <w:spacing w:after="0"/>
              <w:rPr>
                <w:sz w:val="1"/>
                <w:szCs w:val="1"/>
                <w:color w:val="auto"/>
              </w:rPr>
            </w:pPr>
          </w:p>
        </w:tc>
      </w:tr>
      <w:tr>
        <w:trPr>
          <w:trHeight w:val="138"/>
        </w:trPr>
        <w:tc>
          <w:tcPr>
            <w:tcW w:w="7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PAGP Historical</w:t>
            </w:r>
          </w:p>
        </w:tc>
        <w:tc>
          <w:tcPr>
            <w:tcW w:w="200" w:type="dxa"/>
            <w:vAlign w:val="bottom"/>
          </w:tcPr>
          <w:p>
            <w:pPr>
              <w:spacing w:after="0"/>
              <w:rPr>
                <w:sz w:val="11"/>
                <w:szCs w:val="11"/>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Canadian NGL Business</w:t>
            </w:r>
          </w:p>
        </w:tc>
        <w:tc>
          <w:tcPr>
            <w:tcW w:w="2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As Adjusted for</w:t>
            </w:r>
          </w:p>
        </w:tc>
        <w:tc>
          <w:tcPr>
            <w:tcW w:w="0" w:type="dxa"/>
            <w:vAlign w:val="bottom"/>
          </w:tcPr>
          <w:p>
            <w:pPr>
              <w:spacing w:after="0"/>
              <w:rPr>
                <w:sz w:val="1"/>
                <w:szCs w:val="1"/>
                <w:color w:val="auto"/>
              </w:rPr>
            </w:pPr>
          </w:p>
        </w:tc>
      </w:tr>
      <w:tr>
        <w:trPr>
          <w:trHeight w:val="158"/>
        </w:trPr>
        <w:tc>
          <w:tcPr>
            <w:tcW w:w="70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CCEEFF"/>
            </w:tcBorders>
            <w:vMerge w:val="continue"/>
          </w:tcPr>
          <w:p>
            <w:pPr>
              <w:spacing w:after="0"/>
              <w:rPr>
                <w:sz w:val="13"/>
                <w:szCs w:val="13"/>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Continuing Operations</w:t>
            </w:r>
          </w:p>
        </w:tc>
        <w:tc>
          <w:tcPr>
            <w:tcW w:w="0" w:type="dxa"/>
            <w:vAlign w:val="bottom"/>
          </w:tcPr>
          <w:p>
            <w:pPr>
              <w:spacing w:after="0"/>
              <w:rPr>
                <w:sz w:val="1"/>
                <w:szCs w:val="1"/>
                <w:color w:val="auto"/>
              </w:rPr>
            </w:pPr>
          </w:p>
        </w:tc>
      </w:tr>
      <w:tr>
        <w:trPr>
          <w:trHeight w:val="21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50,073</w:t>
            </w:r>
          </w:p>
        </w:tc>
        <w:tc>
          <w:tcPr>
            <w:tcW w:w="660" w:type="dxa"/>
            <w:vAlign w:val="bottom"/>
            <w:tcBorders>
              <w:bottom w:val="single" w:sz="8" w:color="CCEEFF"/>
            </w:tcBorders>
            <w:gridSpan w:val="2"/>
            <w:shd w:val="clear" w:color="auto" w:fill="CCEEFF"/>
          </w:tcPr>
          <w:p>
            <w:pPr>
              <w:jc w:val="right"/>
              <w:ind w:right="32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48,889</w:t>
            </w:r>
          </w:p>
        </w:tc>
        <w:tc>
          <w:tcPr>
            <w:tcW w:w="0" w:type="dxa"/>
            <w:vAlign w:val="bottom"/>
          </w:tcPr>
          <w:p>
            <w:pPr>
              <w:spacing w:after="0"/>
              <w:rPr>
                <w:sz w:val="1"/>
                <w:szCs w:val="1"/>
                <w:color w:val="auto"/>
              </w:rPr>
            </w:pPr>
          </w:p>
        </w:tc>
      </w:tr>
      <w:tr>
        <w:trPr>
          <w:trHeight w:val="182"/>
        </w:trPr>
        <w:tc>
          <w:tcPr>
            <w:tcW w:w="70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and related costs</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45,560</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45,162</w:t>
            </w:r>
          </w:p>
        </w:tc>
        <w:tc>
          <w:tcPr>
            <w:tcW w:w="0" w:type="dxa"/>
            <w:vAlign w:val="bottom"/>
          </w:tcPr>
          <w:p>
            <w:pPr>
              <w:spacing w:after="0"/>
              <w:rPr>
                <w:sz w:val="1"/>
                <w:szCs w:val="1"/>
                <w:color w:val="auto"/>
              </w:rPr>
            </w:pPr>
          </w:p>
        </w:tc>
      </w:tr>
      <w:tr>
        <w:trPr>
          <w:trHeight w:val="22"/>
        </w:trPr>
        <w:tc>
          <w:tcPr>
            <w:tcW w:w="7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Field operating costs</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w:t>
            </w: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0" w:type="dxa"/>
            <w:vAlign w:val="bottom"/>
          </w:tcPr>
          <w:p>
            <w:pPr>
              <w:spacing w:after="0"/>
              <w:rPr>
                <w:sz w:val="1"/>
                <w:szCs w:val="1"/>
                <w:color w:val="auto"/>
              </w:rPr>
            </w:pP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22"/>
        </w:trPr>
        <w:tc>
          <w:tcPr>
            <w:tcW w:w="7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0" w:type="dxa"/>
            <w:vAlign w:val="bottom"/>
          </w:tcPr>
          <w:p>
            <w:pPr>
              <w:spacing w:after="0"/>
              <w:rPr>
                <w:sz w:val="1"/>
                <w:szCs w:val="1"/>
                <w:color w:val="auto"/>
              </w:rPr>
            </w:pP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asset sales, net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48,901</w:t>
            </w: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48,027</w:t>
            </w:r>
          </w:p>
        </w:tc>
        <w:tc>
          <w:tcPr>
            <w:tcW w:w="0" w:type="dxa"/>
            <w:vAlign w:val="bottom"/>
          </w:tcPr>
          <w:p>
            <w:pPr>
              <w:spacing w:after="0"/>
              <w:rPr>
                <w:sz w:val="1"/>
                <w:szCs w:val="1"/>
                <w:color w:val="auto"/>
              </w:rPr>
            </w:pPr>
          </w:p>
        </w:tc>
      </w:tr>
      <w:tr>
        <w:trPr>
          <w:trHeight w:val="202"/>
        </w:trPr>
        <w:tc>
          <w:tcPr>
            <w:tcW w:w="7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0" w:type="dxa"/>
            <w:vAlign w:val="bottom"/>
          </w:tcPr>
          <w:p>
            <w:pPr>
              <w:spacing w:after="0"/>
              <w:rPr>
                <w:sz w:val="1"/>
                <w:szCs w:val="1"/>
                <w:color w:val="auto"/>
              </w:rPr>
            </w:pPr>
          </w:p>
        </w:tc>
      </w:tr>
      <w:tr>
        <w:trPr>
          <w:trHeight w:val="202"/>
        </w:trPr>
        <w:tc>
          <w:tcPr>
            <w:tcW w:w="7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INCOME/(EXPENSE)</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earnings in unconsolidated entities</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22"/>
        </w:trPr>
        <w:tc>
          <w:tcPr>
            <w:tcW w:w="7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investments in unconsolidated entities, net</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22"/>
        </w:trPr>
        <w:tc>
          <w:tcPr>
            <w:tcW w:w="7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CONTINUING OPERATIONS BEFORE TAX</w:t>
            </w: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2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0" w:type="dxa"/>
            <w:vAlign w:val="bottom"/>
          </w:tcPr>
          <w:p>
            <w:pPr>
              <w:spacing w:after="0"/>
              <w:rPr>
                <w:sz w:val="1"/>
                <w:szCs w:val="1"/>
                <w:color w:val="auto"/>
              </w:rPr>
            </w:pPr>
          </w:p>
        </w:tc>
      </w:tr>
      <w:tr>
        <w:trPr>
          <w:trHeight w:val="22"/>
        </w:trPr>
        <w:tc>
          <w:tcPr>
            <w:tcW w:w="7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income tax expense from continuing operations</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expense from continuing operations</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CONTINUING OPERATIONS, NET OF TAX</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0" w:type="dxa"/>
            <w:vAlign w:val="bottom"/>
          </w:tcPr>
          <w:p>
            <w:pPr>
              <w:spacing w:after="0"/>
              <w:rPr>
                <w:sz w:val="1"/>
                <w:szCs w:val="1"/>
                <w:color w:val="auto"/>
              </w:rPr>
            </w:pPr>
          </w:p>
        </w:tc>
      </w:tr>
      <w:tr>
        <w:trPr>
          <w:trHeight w:val="191"/>
        </w:trPr>
        <w:tc>
          <w:tcPr>
            <w:tcW w:w="7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attributable to noncontrolling interests from continuing operations</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PAGP FROM CONTINUING OPERATIONS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660" w:type="dxa"/>
            <w:vAlign w:val="bottom"/>
            <w:gridSpan w:val="2"/>
            <w:shd w:val="clear" w:color="auto" w:fill="CCEEFF"/>
          </w:tcPr>
          <w:p>
            <w:pPr>
              <w:jc w:val="right"/>
              <w:ind w:right="32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weighted average Class A shares outstanding</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212"/>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net income per Class A share from continuing operations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5600"/>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7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324"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PLAINS GP HOLDINGS,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PRO FORMA CONDENSED COMBINED FINANCIAL INFORMATION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Pro Forma Net Income Per Common Share</w:t>
      </w:r>
    </w:p>
    <w:p>
      <w:pPr>
        <w:spacing w:after="0" w:line="181" w:lineRule="exact"/>
        <w:rPr>
          <w:sz w:val="20"/>
          <w:szCs w:val="20"/>
          <w:color w:val="auto"/>
        </w:rPr>
      </w:pPr>
    </w:p>
    <w:p>
      <w:pPr>
        <w:ind w:right="40" w:firstLine="318"/>
        <w:spacing w:after="0" w:line="287" w:lineRule="auto"/>
        <w:rPr>
          <w:sz w:val="20"/>
          <w:szCs w:val="20"/>
          <w:color w:val="auto"/>
        </w:rPr>
      </w:pPr>
      <w:r>
        <w:rPr>
          <w:rFonts w:ascii="Times New Roman" w:cs="Times New Roman" w:eastAsia="Times New Roman" w:hAnsi="Times New Roman"/>
          <w:sz w:val="14"/>
          <w:szCs w:val="14"/>
          <w:color w:val="auto"/>
        </w:rPr>
        <w:t>Pro forma basic and diluted net income per Class A share is determined by dividing the pro forma net income attributable to PAGP by the basic and diluted weighted average number of Class A shares outstanding during the applicable periods. The Transaction did not involve the issuance or redemption of securities.</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net income per Class A share for the nine months ended September 30, 2025 and for the year ended December 31, 2024.</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3"/>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3"/>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5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PAGP Historical As</w:t>
            </w: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PAGP Historical</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Adjusted for Continuing</w:t>
            </w:r>
          </w:p>
        </w:tc>
        <w:tc>
          <w:tcPr>
            <w:tcW w:w="380" w:type="dxa"/>
            <w:vAlign w:val="bottom"/>
          </w:tcPr>
          <w:p>
            <w:pPr>
              <w:spacing w:after="0"/>
              <w:rPr>
                <w:sz w:val="11"/>
                <w:szCs w:val="11"/>
                <w:color w:val="auto"/>
              </w:rPr>
            </w:pPr>
          </w:p>
        </w:tc>
        <w:tc>
          <w:tcPr>
            <w:tcW w:w="900" w:type="dxa"/>
            <w:vAlign w:val="bottom"/>
            <w:vMerge w:val="restart"/>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58"/>
        </w:trPr>
        <w:tc>
          <w:tcPr>
            <w:tcW w:w="5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Operations (Note 4)</w:t>
            </w:r>
          </w:p>
        </w:tc>
        <w:tc>
          <w:tcPr>
            <w:tcW w:w="3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and Diluted Net Income (Loss) from Continuing Operations per Class A Share</w:t>
            </w: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from continuing operations attributable to Class A shareholders - Basic and</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2"/>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weighted average Class A shares outstanding</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202"/>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net income (loss) from continuing operations per Class A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Reclassification of EPIC Crude Holdings’ Historical Financial Statements</w:t>
      </w:r>
    </w:p>
    <w:p>
      <w:pPr>
        <w:spacing w:after="0" w:line="202"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Reclassification adjustments were made to EPIC Crude Holdings’ historical balance sheet as of September 30, 2025, and the statements of operations for the nine months ended September 30, 2025 and the year ended December 31, 2024. Certain balance sheet and income statement line items presented by EPIC Crude Holdings under GAAP have been reclassified to align with the presentation used by PAGP under GAAP. In addition, EPIC Crude Holdings’ historical presentation of margin related to inventory exchanges has been conformed to PAGP’s accounting policy, which results in a reclassification from Revenue to Purchases and related costs. The amount of reclassification was $114 million for the nine months ended September 30, 2025 and $148 million for the year ended December 31, 2024. These reclassification adjustments are shown in the tables below:</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324"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PLAINS GP HOLDINGS,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EPIC CRUDE HOLDINGS, LP AND SUBSIDIARIES</w:t>
      </w:r>
    </w:p>
    <w:p>
      <w:pPr>
        <w:spacing w:after="0" w:line="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EPIC</w:t>
            </w:r>
          </w:p>
        </w:tc>
        <w:tc>
          <w:tcPr>
            <w:tcW w:w="220" w:type="dxa"/>
            <w:vAlign w:val="bottom"/>
          </w:tcPr>
          <w:p>
            <w:pPr>
              <w:spacing w:after="0"/>
              <w:rPr>
                <w:sz w:val="11"/>
                <w:szCs w:val="11"/>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180" w:type="dxa"/>
            <w:vAlign w:val="bottom"/>
          </w:tcPr>
          <w:p>
            <w:pPr>
              <w:spacing w:after="0"/>
              <w:rPr>
                <w:sz w:val="11"/>
                <w:szCs w:val="11"/>
                <w:color w:val="auto"/>
              </w:rPr>
            </w:pPr>
          </w:p>
        </w:tc>
        <w:tc>
          <w:tcPr>
            <w:tcW w:w="122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EPIC Historical</w:t>
            </w:r>
          </w:p>
        </w:tc>
      </w:tr>
      <w:tr>
        <w:trPr>
          <w:trHeight w:val="149"/>
        </w:trPr>
        <w:tc>
          <w:tcPr>
            <w:tcW w:w="6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220" w:type="dxa"/>
            <w:vAlign w:val="bottom"/>
          </w:tcPr>
          <w:p>
            <w:pPr>
              <w:spacing w:after="0"/>
              <w:rPr>
                <w:sz w:val="12"/>
                <w:szCs w:val="12"/>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180" w:type="dxa"/>
            <w:vAlign w:val="bottom"/>
          </w:tcPr>
          <w:p>
            <w:pPr>
              <w:spacing w:after="0"/>
              <w:rPr>
                <w:sz w:val="12"/>
                <w:szCs w:val="12"/>
                <w:color w:val="auto"/>
              </w:rPr>
            </w:pPr>
          </w:p>
        </w:tc>
        <w:tc>
          <w:tcPr>
            <w:tcW w:w="122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As Adjusted</w:t>
            </w:r>
          </w:p>
        </w:tc>
      </w:tr>
      <w:tr>
        <w:trPr>
          <w:trHeight w:val="30"/>
        </w:trPr>
        <w:tc>
          <w:tcPr>
            <w:tcW w:w="6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41"/>
        </w:trPr>
        <w:tc>
          <w:tcPr>
            <w:tcW w:w="6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30"/>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0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20" w:type="dxa"/>
            <w:vAlign w:val="bottom"/>
          </w:tcPr>
          <w:p>
            <w:pPr>
              <w:spacing w:after="0"/>
              <w:rPr>
                <w:sz w:val="15"/>
                <w:szCs w:val="15"/>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receivable</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Inventory</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99"/>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current assets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91"/>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Trade accounts receivable and other receivables, net</w:t>
            </w: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82"/>
        </w:trPr>
        <w:tc>
          <w:tcPr>
            <w:tcW w:w="6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r>
      <w:tr>
        <w:trPr>
          <w:trHeight w:val="115"/>
        </w:trPr>
        <w:tc>
          <w:tcPr>
            <w:tcW w:w="664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220" w:type="dxa"/>
            <w:vAlign w:val="bottom"/>
            <w:tcBorders>
              <w:top w:val="single" w:sz="8" w:color="auto"/>
            </w:tcBorders>
            <w:shd w:val="clear" w:color="auto" w:fill="CCEEFF"/>
          </w:tcPr>
          <w:p>
            <w:pPr>
              <w:spacing w:after="0"/>
              <w:rPr>
                <w:sz w:val="9"/>
                <w:szCs w:val="9"/>
                <w:color w:val="auto"/>
              </w:rPr>
            </w:pP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Property and equipment - net</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1,824</w:t>
            </w:r>
          </w:p>
        </w:tc>
      </w:tr>
      <w:tr>
        <w:trPr>
          <w:trHeight w:val="199"/>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Right of use assets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Long-term deposits</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 term operating lease right of use asset, net</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83"/>
        </w:trPr>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long-term assets, net</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9"/>
        </w:trPr>
        <w:tc>
          <w:tcPr>
            <w:tcW w:w="6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19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5"/>
                <w:szCs w:val="15"/>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Right of use liabilities</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Short-term debt</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4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91"/>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Trade accounts payable</w:t>
            </w: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82"/>
        </w:trPr>
        <w:tc>
          <w:tcPr>
            <w:tcW w:w="6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35"/>
        </w:trPr>
        <w:tc>
          <w:tcPr>
            <w:tcW w:w="6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83"/>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LIABILITIES</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9"/>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Long-term debt, net of debt issuance cost</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Right of use liabilities</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Long-term derivative liability</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long-term debt, net</w:t>
            </w:r>
          </w:p>
        </w:tc>
        <w:tc>
          <w:tcPr>
            <w:tcW w:w="24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w:t>
            </w:r>
          </w:p>
        </w:tc>
      </w:tr>
      <w:tr>
        <w:trPr>
          <w:trHeight w:val="199"/>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83"/>
        </w:trPr>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long-term liabilities and deferred credits</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w:t>
            </w:r>
          </w:p>
        </w:tc>
      </w:tr>
      <w:tr>
        <w:trPr>
          <w:trHeight w:val="127"/>
        </w:trPr>
        <w:tc>
          <w:tcPr>
            <w:tcW w:w="6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9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w:t>
            </w:r>
          </w:p>
        </w:tc>
      </w:tr>
      <w:tr>
        <w:trPr>
          <w:trHeight w:val="170"/>
        </w:trPr>
        <w:tc>
          <w:tcPr>
            <w:tcW w:w="66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20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324"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PLAINS GP HOLDINGS,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EPIC CRUDE HOLDINGS, LP AND SUBSIDIARIES</w:t>
      </w:r>
    </w:p>
    <w:p>
      <w:pPr>
        <w:spacing w:after="0" w:line="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8"/>
              </w:rPr>
              <w:t>EPIC</w:t>
            </w:r>
          </w:p>
        </w:tc>
        <w:tc>
          <w:tcPr>
            <w:tcW w:w="220" w:type="dxa"/>
            <w:vAlign w:val="bottom"/>
          </w:tcPr>
          <w:p>
            <w:pPr>
              <w:spacing w:after="0"/>
              <w:rPr>
                <w:sz w:val="12"/>
                <w:szCs w:val="12"/>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200" w:type="dxa"/>
            <w:vAlign w:val="bottom"/>
          </w:tcPr>
          <w:p>
            <w:pPr>
              <w:spacing w:after="0"/>
              <w:rPr>
                <w:sz w:val="12"/>
                <w:szCs w:val="12"/>
                <w:color w:val="auto"/>
              </w:rPr>
            </w:pPr>
          </w:p>
        </w:tc>
        <w:tc>
          <w:tcPr>
            <w:tcW w:w="1200" w:type="dxa"/>
            <w:vAlign w:val="bottom"/>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EPIC Historical</w:t>
            </w:r>
          </w:p>
        </w:tc>
      </w:tr>
      <w:tr>
        <w:trPr>
          <w:trHeight w:val="180"/>
        </w:trPr>
        <w:tc>
          <w:tcPr>
            <w:tcW w:w="6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8"/>
              </w:rPr>
              <w:t>Historical</w:t>
            </w:r>
          </w:p>
        </w:tc>
        <w:tc>
          <w:tcPr>
            <w:tcW w:w="220" w:type="dxa"/>
            <w:vAlign w:val="bottom"/>
          </w:tcPr>
          <w:p>
            <w:pPr>
              <w:spacing w:after="0"/>
              <w:rPr>
                <w:sz w:val="15"/>
                <w:szCs w:val="15"/>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200" w:type="dxa"/>
            <w:vAlign w:val="bottom"/>
          </w:tcPr>
          <w:p>
            <w:pPr>
              <w:spacing w:after="0"/>
              <w:rPr>
                <w:sz w:val="15"/>
                <w:szCs w:val="15"/>
                <w:color w:val="auto"/>
              </w:rPr>
            </w:pPr>
          </w:p>
        </w:tc>
        <w:tc>
          <w:tcPr>
            <w:tcW w:w="1200" w:type="dxa"/>
            <w:vAlign w:val="bottom"/>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As Adjusted</w:t>
            </w:r>
          </w:p>
        </w:tc>
      </w:tr>
      <w:tr>
        <w:trPr>
          <w:trHeight w:val="30"/>
        </w:trPr>
        <w:tc>
          <w:tcPr>
            <w:tcW w:w="6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1"/>
        </w:trPr>
        <w:tc>
          <w:tcPr>
            <w:tcW w:w="6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30"/>
        </w:trPr>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212"/>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191"/>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22"/>
        </w:trPr>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and related costs</w:t>
            </w:r>
          </w:p>
        </w:tc>
        <w:tc>
          <w:tcPr>
            <w:tcW w:w="26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0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Field operating costs</w:t>
            </w: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0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6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9"/>
        </w:trPr>
        <w:tc>
          <w:tcPr>
            <w:tcW w:w="66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212"/>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OPERATIONS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200"/>
        </w:trPr>
        <w:tc>
          <w:tcPr>
            <w:tcW w:w="66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19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3"/>
        </w:trPr>
        <w:tc>
          <w:tcPr>
            <w:tcW w:w="6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220"/>
        </w:trPr>
        <w:tc>
          <w:tcPr>
            <w:tcW w:w="6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3"/>
        </w:trPr>
        <w:tc>
          <w:tcPr>
            <w:tcW w:w="6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TAXES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200"/>
        </w:trPr>
        <w:tc>
          <w:tcPr>
            <w:tcW w:w="66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spacing w:after="0"/>
              <w:rPr>
                <w:sz w:val="17"/>
                <w:szCs w:val="17"/>
                <w:color w:val="auto"/>
              </w:rPr>
            </w:pPr>
          </w:p>
        </w:tc>
      </w:tr>
      <w:tr>
        <w:trPr>
          <w:trHeight w:val="182"/>
        </w:trPr>
        <w:tc>
          <w:tcPr>
            <w:tcW w:w="6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20"/>
        </w:trPr>
        <w:tc>
          <w:tcPr>
            <w:tcW w:w="6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300" w:top="324"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PLAINS GP HOLDINGS,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EPIC CRUDE HOLDINGS, LP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60" w:type="dxa"/>
            <w:vAlign w:val="bottom"/>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w w:val="98"/>
              </w:rPr>
              <w:t>EPIC</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left="278"/>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EPIC Historical</w:t>
            </w:r>
          </w:p>
        </w:tc>
        <w:tc>
          <w:tcPr>
            <w:tcW w:w="0" w:type="dxa"/>
            <w:vAlign w:val="bottom"/>
          </w:tcPr>
          <w:p>
            <w:pPr>
              <w:spacing w:after="0"/>
              <w:rPr>
                <w:sz w:val="1"/>
                <w:szCs w:val="1"/>
                <w:color w:val="auto"/>
              </w:rPr>
            </w:pPr>
          </w:p>
        </w:tc>
      </w:tr>
      <w:tr>
        <w:trPr>
          <w:trHeight w:val="180"/>
        </w:trPr>
        <w:tc>
          <w:tcPr>
            <w:tcW w:w="38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60" w:type="dxa"/>
            <w:vAlign w:val="bottom"/>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w w:val="98"/>
              </w:rPr>
              <w:t>Historical</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left="258"/>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0" w:type="dxa"/>
            <w:vAlign w:val="bottom"/>
          </w:tcPr>
          <w:p>
            <w:pPr>
              <w:spacing w:after="0"/>
              <w:rPr>
                <w:sz w:val="1"/>
                <w:szCs w:val="1"/>
                <w:color w:val="auto"/>
              </w:rPr>
            </w:pPr>
          </w:p>
        </w:tc>
      </w:tr>
      <w:tr>
        <w:trPr>
          <w:trHeight w:val="30"/>
        </w:trPr>
        <w:tc>
          <w:tcPr>
            <w:tcW w:w="38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60" w:type="dxa"/>
            <w:vAlign w:val="bottom"/>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38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840" w:type="dxa"/>
            <w:vAlign w:val="bottom"/>
            <w:tcBorders>
              <w:bottom w:val="single" w:sz="8" w:color="CCEEFF"/>
            </w:tcBorders>
            <w:gridSpan w:val="2"/>
            <w:shd w:val="clear" w:color="auto" w:fill="CCEEFF"/>
          </w:tcPr>
          <w:p>
            <w:pPr>
              <w:ind w:left="28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(148)</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12"/>
        </w:trPr>
        <w:tc>
          <w:tcPr>
            <w:tcW w:w="3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7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2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3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27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2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3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27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(111)</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3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and related costs</w:t>
            </w:r>
          </w:p>
        </w:tc>
        <w:tc>
          <w:tcPr>
            <w:tcW w:w="27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Field operating costs</w:t>
            </w:r>
          </w:p>
        </w:tc>
        <w:tc>
          <w:tcPr>
            <w:tcW w:w="2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2"/>
        </w:trPr>
        <w:tc>
          <w:tcPr>
            <w:tcW w:w="3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asset sales, net</w:t>
            </w:r>
          </w:p>
        </w:tc>
        <w:tc>
          <w:tcPr>
            <w:tcW w:w="27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2"/>
        </w:trPr>
        <w:tc>
          <w:tcPr>
            <w:tcW w:w="3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7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5"/>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7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2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(148)</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OPERATIONS</w:t>
            </w:r>
          </w:p>
        </w:tc>
        <w:tc>
          <w:tcPr>
            <w:tcW w:w="2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200"/>
        </w:trPr>
        <w:tc>
          <w:tcPr>
            <w:tcW w:w="384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2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27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212"/>
        </w:trPr>
        <w:tc>
          <w:tcPr>
            <w:tcW w:w="3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BEFORE TAXES</w:t>
            </w:r>
          </w:p>
        </w:tc>
        <w:tc>
          <w:tcPr>
            <w:tcW w:w="27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200"/>
        </w:trPr>
        <w:tc>
          <w:tcPr>
            <w:tcW w:w="3840" w:type="dxa"/>
            <w:vAlign w:val="bottom"/>
            <w:tcBorders>
              <w:bottom w:val="single" w:sz="8" w:color="CCEEFF"/>
            </w:tcBorders>
          </w:tcPr>
          <w:p>
            <w:pPr>
              <w:spacing w:after="0"/>
              <w:rPr>
                <w:sz w:val="17"/>
                <w:szCs w:val="17"/>
                <w:color w:val="auto"/>
              </w:rPr>
            </w:pPr>
          </w:p>
        </w:tc>
        <w:tc>
          <w:tcPr>
            <w:tcW w:w="278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3840" w:type="dxa"/>
            <w:vAlign w:val="bottom"/>
            <w:gridSpan w:val="2"/>
            <w:shd w:val="clear" w:color="auto" w:fill="CCEEFF"/>
          </w:tcPr>
          <w:p>
            <w:pPr>
              <w:ind w:left="28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vMerge w:val="restart"/>
          </w:tcPr>
          <w:p>
            <w:pPr>
              <w:jc w:val="right"/>
              <w:ind w:right="832"/>
              <w:spacing w:after="0"/>
              <w:rPr>
                <w:sz w:val="20"/>
                <w:szCs w:val="20"/>
                <w:color w:val="auto"/>
              </w:rPr>
            </w:pPr>
            <w:r>
              <w:rPr>
                <w:rFonts w:ascii="Times New Roman" w:cs="Times New Roman" w:eastAsia="Times New Roman" w:hAnsi="Times New Roman"/>
                <w:sz w:val="14"/>
                <w:szCs w:val="14"/>
                <w:color w:val="auto"/>
              </w:rPr>
              <w:t>13</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38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32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decimal"/>
      <w:start w:val="10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2026-01-16T05:13:05Z</dcterms:created>
  <dcterms:modified xsi:type="dcterms:W3CDTF">2026-01-16T05:13:05Z</dcterms:modified>
</cp:coreProperties>
</file>