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PAA GP Holdings LLC</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7"/>
                <w:szCs w:val="17"/>
                <w:color w:val="0000FF"/>
                <w:w w:val="97"/>
              </w:rPr>
              <w:t>333 CLAY STREET, STE. 1600</w:t>
            </w:r>
          </w:p>
        </w:tc>
        <w:tc>
          <w:tcPr>
            <w:tcW w:w="12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340" w:type="dxa"/>
            <w:vAlign w:val="bottom"/>
          </w:tcPr>
          <w:p>
            <w:pPr>
              <w:ind w:left="200"/>
              <w:spacing w:after="0"/>
              <w:rPr>
                <w:sz w:val="20"/>
                <w:szCs w:val="20"/>
                <w:color w:val="auto"/>
              </w:rPr>
            </w:pPr>
            <w:r>
              <w:rPr>
                <w:rFonts w:ascii="Arial" w:cs="Arial" w:eastAsia="Arial" w:hAnsi="Arial"/>
                <w:sz w:val="17"/>
                <w:szCs w:val="17"/>
                <w:color w:val="0000FF"/>
              </w:rPr>
              <w:t>TX</w:t>
            </w:r>
          </w:p>
        </w:tc>
        <w:tc>
          <w:tcPr>
            <w:tcW w:w="1280" w:type="dxa"/>
            <w:vAlign w:val="bottom"/>
          </w:tcPr>
          <w:p>
            <w:pPr>
              <w:ind w:left="8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128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5520" w:type="dxa"/>
            <w:vAlign w:val="bottom"/>
            <w:gridSpan w:val="5"/>
          </w:tcPr>
          <w:p>
            <w:pPr>
              <w:ind w:left="80"/>
              <w:spacing w:after="0" w:line="207" w:lineRule="exact"/>
              <w:rPr>
                <w:rFonts w:ascii="Arial" w:cs="Arial" w:eastAsia="Arial" w:hAnsi="Arial"/>
                <w:sz w:val="20"/>
                <w:szCs w:val="20"/>
                <w:color w:val="0000EE"/>
              </w:rPr>
            </w:pPr>
            <w:hyperlink r:id="rId14">
              <w:r>
                <w:rPr>
                  <w:rFonts w:ascii="Arial" w:cs="Arial" w:eastAsia="Arial" w:hAnsi="Arial"/>
                  <w:sz w:val="20"/>
                  <w:szCs w:val="20"/>
                  <w:u w:val="single" w:color="auto"/>
                  <w:color w:val="0000EE"/>
                </w:rPr>
                <w:t>PLAINS ALL AMERICAN PIPELINE LP</w:t>
              </w:r>
              <w:r>
                <w:rPr>
                  <w:rFonts w:ascii="Arial" w:cs="Arial" w:eastAsia="Arial" w:hAnsi="Arial"/>
                  <w:sz w:val="20"/>
                  <w:szCs w:val="20"/>
                  <w:color w:val="0000EE"/>
                </w:rPr>
                <w:t xml:space="preserve">  </w:t>
              </w:r>
            </w:hyperlink>
            <w:r>
              <w:rPr>
                <w:rFonts w:ascii="Arial" w:cs="Arial" w:eastAsia="Arial" w:hAnsi="Arial"/>
                <w:sz w:val="24"/>
                <w:szCs w:val="24"/>
                <w:color w:val="000000"/>
                <w:vertAlign w:val="superscript"/>
              </w:rPr>
              <w:t>(Check</w:t>
            </w:r>
            <w:r>
              <w:rPr>
                <w:rFonts w:ascii="Arial" w:cs="Arial" w:eastAsia="Arial" w:hAnsi="Arial"/>
                <w:sz w:val="20"/>
                <w:szCs w:val="20"/>
                <w:color w:val="0000EE"/>
              </w:rPr>
              <w:t xml:space="preserve"> </w:t>
            </w:r>
            <w:r>
              <w:rPr>
                <w:rFonts w:ascii="Arial" w:cs="Arial" w:eastAsia="Arial" w:hAnsi="Arial"/>
                <w:sz w:val="24"/>
                <w:szCs w:val="24"/>
                <w:color w:val="000000"/>
                <w:vertAlign w:val="superscript"/>
              </w:rPr>
              <w:t>all applicable)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820" w:type="dxa"/>
            <w:vAlign w:val="bottom"/>
            <w:gridSpan w:val="2"/>
          </w:tcPr>
          <w:p>
            <w:pPr>
              <w:ind w:left="80"/>
              <w:spacing w:after="0" w:line="147" w:lineRule="exact"/>
              <w:rPr>
                <w:sz w:val="20"/>
                <w:szCs w:val="20"/>
                <w:color w:val="auto"/>
              </w:rPr>
            </w:pPr>
            <w:r>
              <w:rPr>
                <w:rFonts w:ascii="Arial" w:cs="Arial" w:eastAsia="Arial" w:hAnsi="Arial"/>
                <w:sz w:val="16"/>
                <w:szCs w:val="16"/>
                <w:color w:val="auto"/>
              </w:rPr>
              <w:t>[</w:t>
            </w:r>
            <w:r>
              <w:rPr>
                <w:rFonts w:ascii="Arial" w:cs="Arial" w:eastAsia="Arial" w:hAnsi="Arial"/>
                <w:sz w:val="13"/>
                <w:szCs w:val="13"/>
                <w:color w:val="0000FF"/>
              </w:rPr>
              <w:t>PAA</w:t>
            </w: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300" w:type="dxa"/>
            <w:vAlign w:val="bottom"/>
          </w:tcPr>
          <w:p>
            <w:pPr>
              <w:ind w:left="80"/>
              <w:spacing w:after="0" w:line="147" w:lineRule="exact"/>
              <w:rPr>
                <w:sz w:val="20"/>
                <w:szCs w:val="20"/>
                <w:color w:val="auto"/>
              </w:rPr>
            </w:pPr>
            <w:r>
              <w:rPr>
                <w:rFonts w:ascii="Arial" w:cs="Arial" w:eastAsia="Arial" w:hAnsi="Arial"/>
                <w:sz w:val="16"/>
                <w:szCs w:val="16"/>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vMerge w:val="continue"/>
          </w:tcPr>
          <w:p>
            <w:pPr>
              <w:spacing w:after="0"/>
              <w:rPr>
                <w:sz w:val="12"/>
                <w:szCs w:val="12"/>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4"/>
                <w:szCs w:val="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3"/>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0" w:type="dxa"/>
            <w:vAlign w:val="bottom"/>
            <w:vMerge w:val="continue"/>
          </w:tcPr>
          <w:p>
            <w:pPr>
              <w:spacing w:after="0"/>
              <w:rPr>
                <w:sz w:val="8"/>
                <w:szCs w:val="8"/>
                <w:color w:val="auto"/>
              </w:rPr>
            </w:pPr>
          </w:p>
        </w:tc>
        <w:tc>
          <w:tcPr>
            <w:tcW w:w="3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12/31/2020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168910</wp:posOffset>
            </wp:positionV>
            <wp:extent cx="6964045" cy="1531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531620"/>
                    </a:xfrm>
                    <a:prstGeom prst="rect">
                      <a:avLst/>
                    </a:prstGeom>
                    <a:noFill/>
                  </pic:spPr>
                </pic:pic>
              </a:graphicData>
            </a:graphic>
          </wp:anchor>
        </w:drawing>
      </w:r>
    </w:p>
    <w:p>
      <w:pPr>
        <w:spacing w:after="0" w:line="327"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3"/>
                <w:szCs w:val="13"/>
                <w:color w:val="auto"/>
              </w:rPr>
            </w:pP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0" w:type="dxa"/>
            <w:vAlign w:val="bottom"/>
            <w:gridSpan w:val="6"/>
            <w:vMerge w:val="restart"/>
          </w:tcPr>
          <w:p>
            <w:pPr>
              <w:ind w:left="60"/>
              <w:spacing w:after="0"/>
              <w:rPr>
                <w:sz w:val="20"/>
                <w:szCs w:val="20"/>
                <w:color w:val="auto"/>
              </w:rPr>
            </w:pPr>
            <w:r>
              <w:rPr>
                <w:rFonts w:ascii="Arial" w:cs="Arial" w:eastAsia="Arial" w:hAnsi="Arial"/>
                <w:sz w:val="17"/>
                <w:szCs w:val="17"/>
                <w:color w:val="0000FF"/>
                <w:w w:val="99"/>
              </w:rPr>
              <w:t>Common Units (Limited Partner Interests)   12/31/2020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(1)(2)</w:t>
            </w: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w w:val="99"/>
              </w:rPr>
              <w:t>21,566</w:t>
            </w:r>
          </w:p>
        </w:tc>
        <w:tc>
          <w:tcPr>
            <w:tcW w:w="440" w:type="dxa"/>
            <w:vAlign w:val="bottom"/>
            <w:vMerge w:val="restart"/>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18"/>
                <w:szCs w:val="18"/>
                <w:color w:val="auto"/>
              </w:rPr>
            </w:pPr>
          </w:p>
        </w:tc>
        <w:tc>
          <w:tcPr>
            <w:tcW w:w="580" w:type="dxa"/>
            <w:vAlign w:val="bottom"/>
            <w:gridSpan w:val="3"/>
            <w:vMerge w:val="restart"/>
          </w:tcPr>
          <w:p>
            <w:pPr>
              <w:jc w:val="right"/>
              <w:ind w:right="40"/>
              <w:spacing w:after="0" w:line="382" w:lineRule="exact"/>
              <w:rPr>
                <w:sz w:val="20"/>
                <w:szCs w:val="20"/>
                <w:color w:val="auto"/>
              </w:rPr>
            </w:pPr>
            <w:r>
              <w:rPr>
                <w:rFonts w:ascii="Arial" w:cs="Arial" w:eastAsia="Arial" w:hAnsi="Arial"/>
                <w:sz w:val="34"/>
                <w:szCs w:val="34"/>
                <w:color w:val="000000"/>
                <w:w w:val="88"/>
                <w:vertAlign w:val="subscript"/>
              </w:rPr>
              <w:t>$</w:t>
            </w:r>
            <w:r>
              <w:rPr>
                <w:rFonts w:ascii="Arial" w:cs="Arial" w:eastAsia="Arial" w:hAnsi="Arial"/>
                <w:sz w:val="34"/>
                <w:szCs w:val="34"/>
                <w:color w:val="0000FF"/>
                <w:w w:val="88"/>
                <w:vertAlign w:val="subscript"/>
              </w:rPr>
              <w:t>0</w:t>
            </w:r>
            <w:r>
              <w:rPr>
                <w:rFonts w:ascii="Arial" w:cs="Arial" w:eastAsia="Arial" w:hAnsi="Arial"/>
                <w:sz w:val="11"/>
                <w:szCs w:val="11"/>
                <w:color w:val="008000"/>
                <w:w w:val="88"/>
              </w:rPr>
              <w:t>(1)(2)</w:t>
            </w:r>
          </w:p>
        </w:tc>
        <w:tc>
          <w:tcPr>
            <w:tcW w:w="1220" w:type="dxa"/>
            <w:vAlign w:val="bottom"/>
            <w:gridSpan w:val="2"/>
            <w:vMerge w:val="restart"/>
          </w:tcPr>
          <w:p>
            <w:pPr>
              <w:ind w:left="160"/>
              <w:spacing w:after="0"/>
              <w:rPr>
                <w:sz w:val="20"/>
                <w:szCs w:val="20"/>
                <w:color w:val="auto"/>
              </w:rPr>
            </w:pPr>
            <w:r>
              <w:rPr>
                <w:rFonts w:ascii="Arial" w:cs="Arial" w:eastAsia="Arial" w:hAnsi="Arial"/>
                <w:sz w:val="17"/>
                <w:szCs w:val="17"/>
                <w:color w:val="0000FF"/>
              </w:rPr>
              <w:t>245,753,122</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Plains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0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AAP,</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20" w:type="dxa"/>
            <w:vAlign w:val="bottom"/>
            <w:tcBorders>
              <w:top w:val="single" w:sz="8" w:color="2C2C2C"/>
            </w:tcBorders>
            <w:gridSpan w:val="17"/>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PAA GP Holdings LLC</w:t>
              </w:r>
            </w:hyperlink>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333 CLAY STREET, STE. 1600</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77002</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Plains AAP, L.P.</w:t>
              </w:r>
            </w:hyperlink>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333 CLAY STREET, SUITE 1600</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77002</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tcBorders>
              <w:bottom w:val="single" w:sz="8" w:color="2C2C2C"/>
            </w:tcBorders>
            <w:gridSpan w:val="4"/>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rFonts w:ascii="Arial" w:cs="Arial" w:eastAsia="Arial" w:hAnsi="Arial"/>
                <w:sz w:val="21"/>
                <w:szCs w:val="21"/>
                <w:u w:val="single" w:color="auto"/>
                <w:color w:val="0000EE"/>
                <w:w w:val="97"/>
              </w:rPr>
            </w:pPr>
            <w:hyperlink r:id="rId17">
              <w:r>
                <w:rPr>
                  <w:rFonts w:ascii="Arial" w:cs="Arial" w:eastAsia="Arial" w:hAnsi="Arial"/>
                  <w:sz w:val="21"/>
                  <w:szCs w:val="21"/>
                  <w:u w:val="single" w:color="auto"/>
                  <w:color w:val="0000EE"/>
                  <w:w w:val="97"/>
                </w:rPr>
                <w:t>Plains All American GP LLC</w:t>
              </w:r>
            </w:hyperlink>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-5744845</wp:posOffset>
            </wp:positionV>
            <wp:extent cx="7031355" cy="6151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031355" cy="615188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333 CLAY STREET, SUITE 1600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151130</wp:posOffset>
            </wp:positionV>
            <wp:extent cx="26485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40" w:type="dxa"/>
            <w:vAlign w:val="bottom"/>
          </w:tcPr>
          <w:p>
            <w:pPr>
              <w:ind w:left="28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PLAINS GP HOLDINGS LP</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tcPr>
          <w:p>
            <w:pPr>
              <w:ind w:left="2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333 CLAY ST., SUITE 1600</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540" w:type="dxa"/>
            <w:vAlign w:val="bottom"/>
          </w:tcPr>
          <w:p>
            <w:pPr>
              <w:ind w:left="280"/>
              <w:spacing w:after="0"/>
              <w:rPr>
                <w:sz w:val="20"/>
                <w:szCs w:val="20"/>
                <w:color w:val="auto"/>
              </w:rPr>
            </w:pPr>
            <w:r>
              <w:rPr>
                <w:rFonts w:ascii="Arial" w:cs="Arial" w:eastAsia="Arial" w:hAnsi="Arial"/>
                <w:sz w:val="17"/>
                <w:szCs w:val="17"/>
                <w:color w:val="0000FF"/>
              </w:rPr>
              <w:t>TX</w:t>
            </w:r>
          </w:p>
        </w:tc>
        <w:tc>
          <w:tcPr>
            <w:tcW w:w="1500" w:type="dxa"/>
            <w:vAlign w:val="bottom"/>
          </w:tcPr>
          <w:p>
            <w:pPr>
              <w:ind w:left="14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2276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783840" cy="22764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29" w:lineRule="exact"/>
        <w:rPr>
          <w:rFonts w:ascii="Arial" w:cs="Arial" w:eastAsia="Arial" w:hAnsi="Arial"/>
          <w:sz w:val="13"/>
          <w:szCs w:val="13"/>
          <w:color w:val="008000"/>
        </w:rPr>
      </w:pPr>
    </w:p>
    <w:p>
      <w:pPr>
        <w:ind w:left="20" w:right="1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Effective December 31, 2020, KAFU Holdings (QP), L.P. exercised the Redemption Right with respect to 21,566 AAP Class A units, resulting in the cancellation of such AAP Class A units and the distribution of 21,566 Common Units from AAP to the redeeming partner.</w:t>
      </w:r>
    </w:p>
    <w:p>
      <w:pPr>
        <w:spacing w:after="0" w:line="15" w:lineRule="exact"/>
        <w:rPr>
          <w:rFonts w:ascii="Arial" w:cs="Arial" w:eastAsia="Arial" w:hAnsi="Arial"/>
          <w:sz w:val="13"/>
          <w:szCs w:val="13"/>
          <w:color w:val="008000"/>
        </w:rPr>
      </w:pPr>
    </w:p>
    <w:p>
      <w:pPr>
        <w:ind w:left="20" w:right="420" w:firstLine="7"/>
        <w:spacing w:after="0" w:line="292"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 F. Gullion, Assistant</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01/04/2021</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Secretary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1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1" Type="http://schemas.openxmlformats.org/officeDocument/2006/relationships/image" Target="media/image9.png"/><Relationship Id="rId13" Type="http://schemas.openxmlformats.org/officeDocument/2006/relationships/hyperlink" Target="http://www.sec.gov/cgi-bin/browse-edgar?action=getcompany&amp;CIK=0001581928" TargetMode="External"/><Relationship Id="rId14" Type="http://schemas.openxmlformats.org/officeDocument/2006/relationships/hyperlink" Target="http://www.sec.gov/cgi-bin/browse-edgar?action=getcompany&amp;CIK=0001070423" TargetMode="External"/><Relationship Id="rId16" Type="http://schemas.openxmlformats.org/officeDocument/2006/relationships/hyperlink" Target="http://www.sec.gov/cgi-bin/browse-edgar?action=getcompany&amp;CIK=0001490401" TargetMode="External"/><Relationship Id="rId17" Type="http://schemas.openxmlformats.org/officeDocument/2006/relationships/hyperlink" Target="http://www.sec.gov/cgi-bin/browse-edgar?action=getcompany&amp;CIK=0001490402" TargetMode="External"/><Relationship Id="rId20"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2021-01-04T17:02:53Z</dcterms:created>
  <dcterms:modified xsi:type="dcterms:W3CDTF">2021-01-04T17:02:53Z</dcterms:modified>
</cp:coreProperties>
</file>