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54" w:lineRule="exact"/>
        <w:rPr>
          <w:sz w:val="24"/>
          <w:szCs w:val="24"/>
          <w:color w:val="auto"/>
        </w:rPr>
      </w:pPr>
    </w:p>
    <w:p>
      <w:pPr>
        <w:sectPr>
          <w:pgSz w:w="11900" w:h="16902" w:orient="portrait"/>
          <w:cols w:equalWidth="0" w:num="2">
            <w:col w:w="2360" w:space="300"/>
            <w:col w:w="8860"/>
          </w:cols>
          <w:pgMar w:left="240" w:top="219"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KAFU Holdings (QP), L.P.</w:t>
              </w:r>
            </w:hyperlink>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gridSpan w:val="11"/>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GP HOLDINGS LP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PAGP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880" w:type="dxa"/>
            <w:vAlign w:val="bottom"/>
            <w:tcBorders>
              <w:top w:val="single" w:sz="8" w:color="0000EE"/>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gridSpan w:val="4"/>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36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0"/>
                <w:szCs w:val="10"/>
                <w:color w:val="auto"/>
              </w:rPr>
            </w:pPr>
          </w:p>
        </w:tc>
        <w:tc>
          <w:tcPr>
            <w:tcW w:w="300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gridSpan w:val="10"/>
            <w:vMerge w:val="continue"/>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1800 AVENUE OF THE STARS, SUITE 300</w:t>
            </w:r>
          </w:p>
        </w:tc>
        <w:tc>
          <w:tcPr>
            <w:tcW w:w="13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03/28/2018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gridSpan w:val="4"/>
          </w:tcPr>
          <w:p>
            <w:pPr>
              <w:jc w:val="center"/>
              <w:ind w:left="198"/>
              <w:spacing w:after="0"/>
              <w:rPr>
                <w:sz w:val="20"/>
                <w:szCs w:val="20"/>
                <w:color w:val="auto"/>
              </w:rPr>
            </w:pPr>
            <w:r>
              <w:rPr>
                <w:rFonts w:ascii="Times New Roman" w:cs="Times New Roman" w:eastAsia="Times New Roman" w:hAnsi="Times New Roman"/>
                <w:sz w:val="17"/>
                <w:szCs w:val="17"/>
                <w:color w:val="0000FF"/>
              </w:rPr>
              <w:t>See Remaks</w:t>
            </w: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4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gridSpan w:val="2"/>
          </w:tcPr>
          <w:p>
            <w:pPr>
              <w:spacing w:after="0"/>
              <w:rPr>
                <w:sz w:val="17"/>
                <w:szCs w:val="17"/>
                <w:color w:val="auto"/>
              </w:rPr>
            </w:pPr>
          </w:p>
        </w:tc>
        <w:tc>
          <w:tcPr>
            <w:tcW w:w="1260" w:type="dxa"/>
            <w:vAlign w:val="bottom"/>
            <w:tcBorders>
              <w:bottom w:val="single" w:sz="8" w:color="2C2C2C"/>
            </w:tcBorders>
            <w:gridSpan w:val="4"/>
          </w:tcPr>
          <w:p>
            <w:pPr>
              <w:spacing w:after="0"/>
              <w:rPr>
                <w:sz w:val="17"/>
                <w:szCs w:val="17"/>
                <w:color w:val="auto"/>
              </w:rPr>
            </w:pPr>
          </w:p>
        </w:tc>
        <w:tc>
          <w:tcPr>
            <w:tcW w:w="900" w:type="dxa"/>
            <w:vAlign w:val="bottom"/>
            <w:tcBorders>
              <w:bottom w:val="single" w:sz="8" w:color="2C2C2C"/>
            </w:tcBorders>
            <w:gridSpan w:val="2"/>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11"/>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LOS ANGELES CA</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90067</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X</w:t>
            </w:r>
          </w:p>
        </w:tc>
        <w:tc>
          <w:tcPr>
            <w:tcW w:w="3100" w:type="dxa"/>
            <w:vAlign w:val="bottom"/>
            <w:gridSpan w:val="9"/>
          </w:tcPr>
          <w:p>
            <w:pPr>
              <w:ind w:left="18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560"/>
              <w:spacing w:after="0"/>
              <w:rPr>
                <w:sz w:val="20"/>
                <w:szCs w:val="20"/>
                <w:color w:val="auto"/>
              </w:rPr>
            </w:pPr>
            <w:r>
              <w:rPr>
                <w:rFonts w:ascii="Arial" w:cs="Arial" w:eastAsia="Arial" w:hAnsi="Arial"/>
                <w:sz w:val="13"/>
                <w:szCs w:val="13"/>
                <w:color w:val="auto"/>
              </w:rPr>
              <w:t>(State)</w:t>
            </w: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20" w:type="dxa"/>
            <w:vAlign w:val="bottom"/>
            <w:tcBorders>
              <w:top w:val="single" w:sz="8" w:color="2C2C2C"/>
            </w:tcBorders>
            <w:gridSpan w:val="22"/>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2"/>
          </w:tcPr>
          <w:p>
            <w:pPr>
              <w:ind w:left="480"/>
              <w:spacing w:after="0"/>
              <w:rPr>
                <w:sz w:val="20"/>
                <w:szCs w:val="20"/>
                <w:color w:val="auto"/>
              </w:rPr>
            </w:pPr>
            <w:r>
              <w:rPr>
                <w:rFonts w:ascii="Arial" w:cs="Arial" w:eastAsia="Arial" w:hAnsi="Arial"/>
                <w:sz w:val="12"/>
                <w:szCs w:val="12"/>
                <w:b w:val="1"/>
                <w:bCs w:val="1"/>
                <w:color w:val="auto"/>
                <w:w w:val="98"/>
              </w:rPr>
              <w:t>2. Transaction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4"/>
          </w:tcPr>
          <w:p>
            <w:pPr>
              <w:jc w:val="center"/>
              <w:ind w:left="178"/>
              <w:spacing w:after="0"/>
              <w:rPr>
                <w:sz w:val="20"/>
                <w:szCs w:val="20"/>
                <w:color w:val="auto"/>
              </w:rPr>
            </w:pPr>
            <w:r>
              <w:rPr>
                <w:rFonts w:ascii="Arial" w:cs="Arial" w:eastAsia="Arial" w:hAnsi="Arial"/>
                <w:sz w:val="12"/>
                <w:szCs w:val="12"/>
                <w:b w:val="1"/>
                <w:bCs w:val="1"/>
                <w:color w:val="auto"/>
              </w:rPr>
              <w:t>6. Ownership</w:t>
            </w:r>
          </w:p>
        </w:tc>
        <w:tc>
          <w:tcPr>
            <w:tcW w:w="13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tcPr>
          <w:p>
            <w:pPr>
              <w:ind w:left="20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4"/>
          </w:tcPr>
          <w:p>
            <w:pPr>
              <w:jc w:val="right"/>
              <w:ind w:right="80"/>
              <w:spacing w:after="0" w:line="130" w:lineRule="exact"/>
              <w:rPr>
                <w:sz w:val="20"/>
                <w:szCs w:val="20"/>
                <w:color w:val="auto"/>
              </w:rPr>
            </w:pPr>
            <w:r>
              <w:rPr>
                <w:rFonts w:ascii="Arial" w:cs="Arial" w:eastAsia="Arial" w:hAnsi="Arial"/>
                <w:sz w:val="12"/>
                <w:szCs w:val="12"/>
                <w:b w:val="1"/>
                <w:bCs w:val="1"/>
                <w:color w:val="auto"/>
              </w:rPr>
              <w:t>Form: Direct</w:t>
            </w:r>
          </w:p>
        </w:tc>
        <w:tc>
          <w:tcPr>
            <w:tcW w:w="13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7"/>
          </w:tcPr>
          <w:p>
            <w:pPr>
              <w:ind w:left="480"/>
              <w:spacing w:after="0" w:line="134"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200" w:type="dxa"/>
            <w:vAlign w:val="bottom"/>
            <w:gridSpan w:val="4"/>
          </w:tcPr>
          <w:p>
            <w:pPr>
              <w:jc w:val="center"/>
              <w:ind w:left="218"/>
              <w:spacing w:after="0" w:line="134" w:lineRule="exact"/>
              <w:rPr>
                <w:sz w:val="20"/>
                <w:szCs w:val="20"/>
                <w:color w:val="auto"/>
              </w:rPr>
            </w:pPr>
            <w:r>
              <w:rPr>
                <w:rFonts w:ascii="Arial" w:cs="Arial" w:eastAsia="Arial" w:hAnsi="Arial"/>
                <w:sz w:val="12"/>
                <w:szCs w:val="12"/>
                <w:b w:val="1"/>
                <w:bCs w:val="1"/>
                <w:color w:val="auto"/>
              </w:rPr>
              <w:t>(D) or Indirect</w:t>
            </w:r>
          </w:p>
        </w:tc>
        <w:tc>
          <w:tcPr>
            <w:tcW w:w="136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4"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240" w:type="dxa"/>
            <w:vAlign w:val="bottom"/>
          </w:tcPr>
          <w:p>
            <w:pPr>
              <w:spacing w:after="0"/>
              <w:rPr>
                <w:sz w:val="11"/>
                <w:szCs w:val="11"/>
                <w:color w:val="auto"/>
              </w:rPr>
            </w:pPr>
          </w:p>
        </w:tc>
        <w:tc>
          <w:tcPr>
            <w:tcW w:w="5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7"/>
              </w:rPr>
              <w:t>(Instr. 3 and 4)</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03/28/2018</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7,899</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7,899</w:t>
            </w:r>
          </w:p>
        </w:tc>
        <w:tc>
          <w:tcPr>
            <w:tcW w:w="640" w:type="dxa"/>
            <w:vAlign w:val="bottom"/>
          </w:tcPr>
          <w:p>
            <w:pPr>
              <w:spacing w:after="0"/>
              <w:rPr>
                <w:sz w:val="22"/>
                <w:szCs w:val="2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8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03/28/2018</w:t>
            </w: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3"/>
                <w:szCs w:val="13"/>
                <w:color w:val="0000FF"/>
              </w:rPr>
              <w:t>J</w:t>
            </w:r>
          </w:p>
        </w:tc>
        <w:tc>
          <w:tcPr>
            <w:tcW w:w="860" w:type="dxa"/>
            <w:vAlign w:val="bottom"/>
            <w:tcBorders>
              <w:top w:val="single" w:sz="8" w:color="2C2C2C"/>
            </w:tcBorders>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7,899</w:t>
            </w:r>
          </w:p>
        </w:tc>
        <w:tc>
          <w:tcPr>
            <w:tcW w:w="5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4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8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gridSpan w:val="3"/>
          </w:tcPr>
          <w:p>
            <w:pPr>
              <w:jc w:val="center"/>
              <w:ind w:left="215"/>
              <w:spacing w:after="0"/>
              <w:rPr>
                <w:sz w:val="20"/>
                <w:szCs w:val="20"/>
                <w:color w:val="auto"/>
              </w:rPr>
            </w:pPr>
            <w:r>
              <w:rPr>
                <w:rFonts w:ascii="Times New Roman" w:cs="Times New Roman" w:eastAsia="Times New Roman" w:hAnsi="Times New Roman"/>
                <w:sz w:val="17"/>
                <w:szCs w:val="17"/>
                <w:color w:val="0000FF"/>
              </w:rPr>
              <w:t>257,624</w:t>
            </w:r>
          </w:p>
        </w:tc>
        <w:tc>
          <w:tcPr>
            <w:tcW w:w="900" w:type="dxa"/>
            <w:vAlign w:val="bottom"/>
            <w:tcBorders>
              <w:top w:val="single" w:sz="8" w:color="2C2C2C"/>
              <w:bottom w:val="single" w:sz="8" w:color="2C2C2C"/>
            </w:tcBorders>
            <w:gridSpan w:val="2"/>
          </w:tcPr>
          <w:p>
            <w:pPr>
              <w:jc w:val="center"/>
              <w:ind w:left="538"/>
              <w:spacing w:after="0" w:line="321"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(4)</w:t>
            </w:r>
          </w:p>
        </w:tc>
        <w:tc>
          <w:tcPr>
            <w:tcW w:w="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20"/>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760" w:type="dxa"/>
            <w:vAlign w:val="bottom"/>
            <w:gridSpan w:val="1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2"/>
          </w:tcPr>
          <w:p>
            <w:pPr>
              <w:ind w:left="2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  Date</w:t>
            </w:r>
          </w:p>
        </w:tc>
        <w:tc>
          <w:tcPr>
            <w:tcW w:w="13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5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or Exercise</w:t>
            </w:r>
          </w:p>
        </w:tc>
        <w:tc>
          <w:tcPr>
            <w:tcW w:w="238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15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jc w:val="right"/>
              <w:ind w:right="318"/>
              <w:spacing w:after="0" w:line="134"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5"/>
          </w:tcPr>
          <w:p>
            <w:pPr>
              <w:ind w:left="120"/>
              <w:spacing w:after="0" w:line="134"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(Instr. 3,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92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Class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gridSpan w:val="2"/>
            <w:vMerge w:val="restart"/>
          </w:tcPr>
          <w:p>
            <w:pPr>
              <w:ind w:left="60"/>
              <w:spacing w:after="0" w:line="134" w:lineRule="exact"/>
              <w:rPr>
                <w:sz w:val="20"/>
                <w:szCs w:val="20"/>
                <w:color w:val="auto"/>
              </w:rPr>
            </w:pPr>
            <w:r>
              <w:rPr>
                <w:rFonts w:ascii="Times New Roman" w:cs="Times New Roman" w:eastAsia="Times New Roman" w:hAnsi="Times New Roman"/>
                <w:sz w:val="13"/>
                <w:szCs w:val="13"/>
                <w:color w:val="0000FF"/>
              </w:rPr>
              <w:t>Shares/Class</w:t>
            </w: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8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008000"/>
              </w:rPr>
              <w:t>(1)(2)</w:t>
            </w:r>
          </w:p>
        </w:tc>
        <w:tc>
          <w:tcPr>
            <w:tcW w:w="500" w:type="dxa"/>
            <w:vAlign w:val="bottom"/>
            <w:vMerge w:val="continue"/>
          </w:tcPr>
          <w:p>
            <w:pPr>
              <w:spacing w:after="0"/>
              <w:rPr>
                <w:sz w:val="5"/>
                <w:szCs w:val="5"/>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9"/>
              </w:rPr>
              <w:t>7,899</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restart"/>
          </w:tcPr>
          <w:p>
            <w:pPr>
              <w:ind w:left="3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080" w:type="dxa"/>
            <w:vAlign w:val="bottom"/>
            <w:gridSpan w:val="2"/>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03/28/2018</w:t>
            </w: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3"/>
            <w:vMerge w:val="restart"/>
          </w:tcPr>
          <w:p>
            <w:pPr>
              <w:ind w:left="400"/>
              <w:spacing w:after="0" w:line="147" w:lineRule="exact"/>
              <w:rPr>
                <w:sz w:val="20"/>
                <w:szCs w:val="20"/>
                <w:color w:val="auto"/>
              </w:rPr>
            </w:pPr>
            <w:r>
              <w:rPr>
                <w:rFonts w:ascii="Times New Roman" w:cs="Times New Roman" w:eastAsia="Times New Roman" w:hAnsi="Times New Roman"/>
                <w:sz w:val="13"/>
                <w:szCs w:val="13"/>
                <w:color w:val="0000FF"/>
              </w:rPr>
              <w:t>7,899</w:t>
            </w: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restart"/>
          </w:tcPr>
          <w:p>
            <w:pPr>
              <w:ind w:left="26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vMerge w:val="restart"/>
          </w:tcPr>
          <w:p>
            <w:pPr>
              <w:ind w:left="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18,319,052</w:t>
            </w:r>
          </w:p>
        </w:tc>
        <w:tc>
          <w:tcPr>
            <w:tcW w:w="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 Units/GP</w:t>
            </w:r>
          </w:p>
        </w:tc>
        <w:tc>
          <w:tcPr>
            <w:tcW w:w="7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(1)(2)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97"/>
              </w:rPr>
              <w:t>Shares</w:t>
            </w:r>
          </w:p>
        </w:tc>
        <w:tc>
          <w:tcPr>
            <w:tcW w:w="5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4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KAFU Holdings (QP), L.P.</w:t>
              </w:r>
            </w:hyperlink>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0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1800 AVENUE OF THE STARS, SUITE 300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90067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0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-3888105</wp:posOffset>
            </wp:positionV>
            <wp:extent cx="24765" cy="2291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291080"/>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KAYNE ANDERSON CAPITAL ADVISORS</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3RD FLOOR</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234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r>
      <w:tr>
        <w:trPr>
          <w:trHeight w:val="238"/>
        </w:trPr>
        <w:tc>
          <w:tcPr>
            <w:tcW w:w="2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 ANGELES   CA</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90067</w:t>
            </w:r>
          </w:p>
        </w:tc>
      </w:tr>
    </w:tbl>
    <w:p>
      <w:pPr>
        <w:spacing w:after="0" w:line="200" w:lineRule="exact"/>
        <w:rPr>
          <w:sz w:val="20"/>
          <w:szCs w:val="20"/>
          <w:color w:val="auto"/>
        </w:rPr>
      </w:pPr>
    </w:p>
    <w:p>
      <w:pPr>
        <w:sectPr>
          <w:pgSz w:w="11900" w:h="16902" w:orient="portrait"/>
          <w:cols w:equalWidth="0" w:num="1">
            <w:col w:w="11520"/>
          </w:cols>
          <w:pgMar w:left="240" w:top="219" w:right="139" w:bottom="0" w:gutter="0" w:footer="0" w:header="0"/>
          <w:type w:val="continuous"/>
        </w:sectPr>
      </w:pPr>
    </w:p>
    <w:p>
      <w:pPr>
        <w:spacing w:after="0" w:line="10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02" w:orient="portrait"/>
          <w:cols w:equalWidth="0" w:num="1">
            <w:col w:w="11520"/>
          </w:cols>
          <w:pgMar w:left="240" w:top="219"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21000" cy="89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00" cy="89535"/>
                    </a:xfrm>
                    <a:prstGeom prst="rect">
                      <a:avLst/>
                    </a:prstGeom>
                    <a:noFill/>
                  </pic:spPr>
                </pic:pic>
              </a:graphicData>
            </a:graphic>
          </wp:anchor>
        </w:drawing>
        <w:t>Explanation of Responses:</w:t>
      </w:r>
    </w:p>
    <w:p>
      <w:pPr>
        <w:spacing w:after="0" w:line="58" w:lineRule="exact"/>
        <w:rPr>
          <w:sz w:val="20"/>
          <w:szCs w:val="20"/>
          <w:color w:val="auto"/>
        </w:rPr>
      </w:pPr>
    </w:p>
    <w:p>
      <w:pPr>
        <w:ind w:firstLine="8"/>
        <w:spacing w:after="0" w:line="246" w:lineRule="auto"/>
        <w:tabs>
          <w:tab w:leader="none" w:pos="1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March 28, 2018, KAFU Holdings (QP), L.P. exercised the Exchange Right with respect to 7,899 Class A Units.</w:t>
      </w:r>
    </w:p>
    <w:p>
      <w:pPr>
        <w:spacing w:after="0" w:line="25" w:lineRule="exact"/>
        <w:rPr>
          <w:rFonts w:ascii="Times New Roman" w:cs="Times New Roman" w:eastAsia="Times New Roman" w:hAnsi="Times New Roman"/>
          <w:sz w:val="13"/>
          <w:szCs w:val="13"/>
          <w:color w:val="008000"/>
        </w:rPr>
      </w:pPr>
    </w:p>
    <w:p>
      <w:pPr>
        <w:ind w:right="100" w:firstLine="8"/>
        <w:spacing w:after="0" w:line="275" w:lineRule="auto"/>
        <w:tabs>
          <w:tab w:leader="none" w:pos="1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spacing w:after="0" w:line="6"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an in-kind distribution to redeeming limited partners of KAFU Holdings (QP), L.P.</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KACALP.</w:t>
      </w:r>
    </w:p>
    <w:p>
      <w:pPr>
        <w:spacing w:after="0" w:line="51" w:lineRule="exact"/>
        <w:rPr>
          <w:rFonts w:ascii="Times New Roman" w:cs="Times New Roman" w:eastAsia="Times New Roman" w:hAnsi="Times New Roman"/>
          <w:sz w:val="13"/>
          <w:szCs w:val="13"/>
          <w:color w:val="008000"/>
        </w:rPr>
      </w:pPr>
    </w:p>
    <w:p>
      <w:pPr>
        <w:ind w:right="120" w:firstLine="8"/>
        <w:spacing w:after="0" w:line="256" w:lineRule="auto"/>
        <w:tabs>
          <w:tab w:leader="none" w:pos="1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 simultaneous transaction, KAFU exercised the redemption right provided for in the limited partnership agreement of AAP with respect to 39,224 Class A units. As a result, such Class A units were cancelled and 39,224 Common Units of Plains All American Pipeline, L.P. were distributed by AAP to KAFU. The number of derivative securities owned reflects both the exchange transaction reported herein and the simultaneous redemption transaction.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3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David Shladovsky</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03/29/2018</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8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2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2019-12-24T06:39:34Z</dcterms:created>
  <dcterms:modified xsi:type="dcterms:W3CDTF">2019-12-24T06:39:34Z</dcterms:modified>
</cp:coreProperties>
</file>