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16" w:space="1" w:color="000000"/>
        </w:pBdr>
        <w:spacing w:lineRule="atLeast" w:line="141" w:before="0" w:after="0"/>
        <w:rPr/>
      </w:pPr>
      <w:bookmarkStart w:id="0" w:name="d359590d8k.htm"/>
      <w:bookmarkStart w:id="1" w:name="ksd359590d8k"/>
      <w:bookmarkEnd w:id="0"/>
      <w:bookmarkEnd w:id="1"/>
      <w:r>
        <w:rPr/>
        <w:t> </w:t>
      </w:r>
    </w:p>
    <w:p>
      <w:pPr>
        <w:pStyle w:val="TextBody"/>
        <w:pBdr>
          <w:bottom w:val="single" w:sz="4" w:space="1" w:color="000000"/>
        </w:pBdr>
        <w:spacing w:lineRule="atLeast" w:line="141" w:before="0" w:after="30"/>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 May 29, 2012</w:t>
      </w:r>
      <w:r>
        <w:rPr>
          <w:rFonts w:ascii="Times New Roman" w:hAnsi="Times New Roman"/>
          <w:sz w:val="20"/>
        </w:rPr>
        <w:t xml:space="preserv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0"/>
              <w:jc w:val="center"/>
              <w:rPr>
                <w:rFonts w:ascii="Times New Roman" w:hAnsi="Times New Roman"/>
                <w:sz w:val="20"/>
              </w:rPr>
            </w:pPr>
            <w:r>
              <w:rPr>
                <w:rFonts w:ascii="Times New Roman" w:hAnsi="Times New Roman"/>
                <w:sz w:val="20"/>
              </w:rPr>
              <w:t>(State or other jurisdiction</w:t>
            </w:r>
          </w:p>
          <w:p>
            <w:pPr>
              <w:pStyle w:val="TableContents"/>
              <w:spacing w:before="0" w:after="15"/>
              <w:jc w:val="center"/>
              <w:rPr>
                <w:rFonts w:ascii="Times New Roman" w:hAnsi="Times New Roman"/>
                <w:sz w:val="20"/>
              </w:rPr>
            </w:pPr>
            <w:r>
              <w:rPr>
                <w:rFonts w:ascii="Times New Roman" w:hAnsi="Times New Roman"/>
                <w:sz w:val="20"/>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1-14569</w:t>
            </w:r>
          </w:p>
          <w:p>
            <w:pPr>
              <w:pStyle w:val="TableContents"/>
              <w:spacing w:before="0" w:after="15"/>
              <w:jc w:val="center"/>
              <w:rPr>
                <w:rFonts w:ascii="Times New Roman" w:hAnsi="Times New Roman"/>
                <w:sz w:val="20"/>
              </w:rPr>
            </w:pPr>
            <w:r>
              <w:rPr>
                <w:rFonts w:ascii="Times New Roman" w:hAnsi="Times New Roman"/>
                <w:sz w:val="20"/>
              </w:rPr>
              <w:t>(Commission File Number)</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0"/>
              <w:jc w:val="center"/>
              <w:rPr>
                <w:rFonts w:ascii="Times New Roman" w:hAnsi="Times New Roman"/>
                <w:sz w:val="20"/>
              </w:rPr>
            </w:pPr>
            <w:r>
              <w:rPr>
                <w:rFonts w:ascii="Times New Roman" w:hAnsi="Times New Roman"/>
                <w:sz w:val="20"/>
              </w:rPr>
              <w:t>(IRS Employer</w:t>
            </w:r>
          </w:p>
          <w:p>
            <w:pPr>
              <w:pStyle w:val="TableContents"/>
              <w:spacing w:before="0" w:after="15"/>
              <w:jc w:val="center"/>
              <w:rPr>
                <w:rFonts w:ascii="Times New Roman" w:hAnsi="Times New Roman"/>
                <w:sz w:val="20"/>
              </w:rPr>
            </w:pPr>
            <w:r>
              <w:rPr>
                <w:rFonts w:ascii="Times New Roman" w:hAnsi="Times New Roman"/>
                <w:sz w:val="20"/>
              </w:rPr>
              <w:t>Identification No.)</w:t>
            </w:r>
          </w:p>
        </w:tc>
      </w:tr>
      <w:tr>
        <w:trPr>
          <w:trHeight w:val="24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333 Clay Street, Suite 1600, Houston, Texas 77002</w:t>
            </w:r>
          </w:p>
          <w:p>
            <w:pPr>
              <w:pStyle w:val="TableContents"/>
              <w:spacing w:before="0" w:after="15"/>
              <w:jc w:val="center"/>
              <w:rPr>
                <w:rFonts w:ascii="Times New Roman" w:hAnsi="Times New Roman"/>
                <w:sz w:val="20"/>
              </w:rPr>
            </w:pPr>
            <w:r>
              <w:rPr>
                <w:rFonts w:ascii="Times New Roman" w:hAnsi="Times New Roman"/>
                <w:sz w:val="20"/>
              </w:rPr>
              <w:t>(Address of principal executive offices) (Zip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sz w:val="20"/>
        </w:rPr>
      </w:pPr>
      <w:r>
        <w:rPr>
          <w:rFonts w:ascii="Times New Roman" w:hAnsi="Times New Roman"/>
          <w:sz w:val="20"/>
        </w:rPr>
        <w:t xml:space="preserve">(Registrants telephone number, including area code) </w:t>
      </w:r>
    </w:p>
    <w:p>
      <w:pPr>
        <w:pStyle w:val="TextBody"/>
        <w:spacing w:before="0" w:after="0"/>
        <w:rPr/>
      </w:pPr>
      <w:r>
        <w:rPr/>
        <w:t> </w:t>
      </w:r>
    </w:p>
    <w:p>
      <w:pPr>
        <w:pStyle w:val="TextBody"/>
        <w:spacing w:before="90" w:after="0"/>
        <w:jc w:val="center"/>
        <w:rPr>
          <w:rFonts w:ascii="Times New Roman" w:hAnsi="Times New Roman"/>
          <w:sz w:val="20"/>
        </w:rPr>
      </w:pPr>
      <w:r>
        <w:rPr>
          <w:rFonts w:ascii="Times New Roman" w:hAnsi="Times New Roman"/>
          <w:sz w:val="20"/>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16"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18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Securities Exchange Act of 1934,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and PAA Natural Gas Storage, L.P. (PNG and, together with PAA, the Partnerships) intend to make presentations at its 2012 Analyst Day to be held on May 30, 2012 in Houston, Texas. During the meeting, the Partnerships will review their strategic positioning, expansion capital projects, financial strategy, forward outlook and related matters. Prior to the meeting on May 30, 2012, the prepared presentation materials will be made available for viewing on the Partnerships website at </w:t>
      </w:r>
      <w:r>
        <w:rPr>
          <w:rFonts w:ascii="Times New Roman" w:hAnsi="Times New Roman"/>
          <w:sz w:val="20"/>
          <w:u w:val="single"/>
        </w:rPr>
        <w:t>www.paalp.com</w:t>
      </w:r>
      <w:r>
        <w:rPr>
          <w:rFonts w:ascii="Times New Roman" w:hAnsi="Times New Roman"/>
          <w:sz w:val="20"/>
        </w:rPr>
        <w:t xml:space="preserve"> as well as on PNGs website at </w:t>
      </w:r>
      <w:r>
        <w:rPr>
          <w:rFonts w:ascii="Times New Roman" w:hAnsi="Times New Roman"/>
          <w:sz w:val="20"/>
          <w:u w:val="single"/>
        </w:rPr>
        <w:t>www.pnglp.com</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The Analyst Day presentation will also be webcast live beginning at approximately 12:45 p.m. EDT and will be available for replay for a period of 30 days thereafter at the following weblink: </w:t>
      </w:r>
      <w:r>
        <w:rPr>
          <w:rFonts w:ascii="Times New Roman" w:hAnsi="Times New Roman"/>
          <w:sz w:val="20"/>
          <w:u w:val="single"/>
        </w:rPr>
        <w:t>http://www.videonewswire.com/event.asp?id=86806</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03"/>
        <w:gridCol w:w="114"/>
        <w:gridCol w:w="268"/>
        <w:gridCol w:w="114"/>
        <w:gridCol w:w="4906"/>
      </w:tblGrid>
      <w:tr>
        <w:trPr/>
        <w:tc>
          <w:tcPr>
            <w:tcW w:w="480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906" w:type="dxa"/>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528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29, 2012</w:t>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360" w:hRule="atLeast"/>
        </w:trPr>
        <w:tc>
          <w:tcPr>
            <w:tcW w:w="4803"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20" w:type="dxa"/>
            <w:gridSpan w:val="2"/>
            <w:tcBorders/>
            <w:shd w:fill="auto" w:val="clear"/>
            <w:vAlign w:val="center"/>
          </w:tcPr>
          <w:p>
            <w:pPr>
              <w:pStyle w:val="TableContents"/>
              <w:spacing w:before="0" w:after="283"/>
              <w:rPr>
                <w:sz w:val="4"/>
                <w:szCs w:val="4"/>
              </w:rPr>
            </w:pPr>
            <w:r>
              <w:rPr>
                <w:sz w:val="4"/>
                <w:szCs w:val="4"/>
              </w:rPr>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803"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pBdr>
                <w:top w:val="single" w:sz="2" w:space="1" w:color="000000"/>
              </w:pBdr>
              <w:spacing w:before="0" w:after="283"/>
              <w:rPr/>
            </w:pPr>
            <w:r>
              <w:rPr/>
              <w:t> </w:t>
            </w:r>
          </w:p>
        </w:tc>
      </w:tr>
      <w:tr>
        <w:trPr/>
        <w:tc>
          <w:tcPr>
            <w:tcW w:w="4803"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0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515</Words>
  <CharactersWithSpaces>3240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