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25,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2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83"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2022 annual meeting of common unitholders and Series A Convertible Preferred unitholders (collectively, the “Unitholders”) of Plains All American Pipeline, L.P. (“PAA” or the “Partnership”) was held on May 25, 2022.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14, 2022 (the “Proxy Statement”):</w:t>
      </w:r>
    </w:p>
    <w:p>
      <w:pPr>
        <w:spacing w:after="0" w:line="1" w:lineRule="exact"/>
        <w:rPr>
          <w:sz w:val="20"/>
          <w:szCs w:val="20"/>
          <w:color w:val="auto"/>
        </w:rPr>
      </w:pPr>
    </w:p>
    <w:p>
      <w:pPr>
        <w:ind w:right="200"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election of four Class II directors to serve on the board of directors of PAA GP Holdings LLC until the 2025 annual meeting; (ii) the ratification of the appointment of PricewaterhouseCoopers LLP as PAGP’s and PAA’s independent registered public accounting firm for the fiscal year ending December 31, 2022; and (iii) the approval, on a non-binding advisory basis, of our 2021 named executive officer compensation.</w:t>
      </w:r>
    </w:p>
    <w:p>
      <w:pPr>
        <w:spacing w:after="0" w:line="173"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The voting results for each matter presented at the PAA annual meeting were as follows (Note, for Items 1 and 3 below, which are considered non-routine matters, broker non-votes are not considered votes cast and have no impact on the outcome. Out of the 532,273,469 common units and Series A Preferred units eligible to vote on Items 1, 2 and 3, approximately 81%, or 433,360,410 units, were represented in person or by proxy at the PAA annual meeting):</w:t>
      </w:r>
    </w:p>
    <w:p>
      <w:pPr>
        <w:spacing w:after="0" w:line="187" w:lineRule="exact"/>
        <w:rPr>
          <w:sz w:val="20"/>
          <w:szCs w:val="20"/>
          <w:color w:val="auto"/>
        </w:rPr>
      </w:pPr>
    </w:p>
    <w:p>
      <w:pPr>
        <w:ind w:left="1020" w:right="60" w:hanging="337"/>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Unitholders (other than Plains AAP, L.P.) voted to instruct PAA to vote the PAGP Class C shares that it owns at the PAGP annual meeting on the election of four Class II directors to serve on the board of directors of PAA GP Holdings LLC until the 2025 annual meeting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 Votes Cast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Nominees</w:t>
            </w:r>
          </w:p>
        </w:tc>
        <w:tc>
          <w:tcPr>
            <w:tcW w:w="160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w:t>
            </w:r>
          </w:p>
        </w:tc>
        <w:tc>
          <w:tcPr>
            <w:tcW w:w="1580" w:type="dxa"/>
            <w:vAlign w:val="bottom"/>
            <w:gridSpan w:val="2"/>
          </w:tcPr>
          <w:p>
            <w:pPr>
              <w:ind w:left="280"/>
              <w:spacing w:after="0"/>
              <w:rPr>
                <w:sz w:val="20"/>
                <w:szCs w:val="20"/>
                <w:color w:val="auto"/>
              </w:rPr>
            </w:pPr>
            <w:r>
              <w:rPr>
                <w:rFonts w:ascii="Arial" w:cs="Arial" w:eastAsia="Arial" w:hAnsi="Arial"/>
                <w:sz w:val="18"/>
                <w:szCs w:val="18"/>
                <w:b w:val="1"/>
                <w:bCs w:val="1"/>
                <w:color w:val="auto"/>
              </w:rPr>
              <w:t>Withheld</w:t>
            </w: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FOR*</w:t>
            </w: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Broker Non-Votes</w:t>
            </w:r>
          </w:p>
        </w:tc>
      </w:tr>
      <w:tr>
        <w:trPr>
          <w:trHeight w:val="209"/>
        </w:trPr>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Victor Burk</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320,054,093</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2,556,771</w:t>
            </w:r>
          </w:p>
        </w:tc>
        <w:tc>
          <w:tcPr>
            <w:tcW w:w="3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99.2%</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110,749,546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Kevin S. McCarthy</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319,738,327</w:t>
            </w:r>
          </w:p>
        </w:tc>
        <w:tc>
          <w:tcPr>
            <w:tcW w:w="340" w:type="dxa"/>
            <w:vAlign w:val="bottom"/>
          </w:tcPr>
          <w:p>
            <w:pPr>
              <w:spacing w:after="0"/>
              <w:rPr>
                <w:sz w:val="18"/>
                <w:szCs w:val="18"/>
                <w:color w:val="auto"/>
              </w:rPr>
            </w:pPr>
          </w:p>
        </w:tc>
        <w:tc>
          <w:tcPr>
            <w:tcW w:w="1260" w:type="dxa"/>
            <w:vAlign w:val="bottom"/>
          </w:tcPr>
          <w:p>
            <w:pPr>
              <w:jc w:val="center"/>
              <w:ind w:left="50"/>
              <w:spacing w:after="0"/>
              <w:rPr>
                <w:sz w:val="20"/>
                <w:szCs w:val="20"/>
                <w:color w:val="auto"/>
              </w:rPr>
            </w:pPr>
            <w:r>
              <w:rPr>
                <w:rFonts w:ascii="Arial" w:cs="Arial" w:eastAsia="Arial" w:hAnsi="Arial"/>
                <w:sz w:val="18"/>
                <w:szCs w:val="18"/>
                <w:color w:val="auto"/>
                <w:w w:val="89"/>
              </w:rPr>
              <w:t>2,872,537</w:t>
            </w:r>
          </w:p>
        </w:tc>
        <w:tc>
          <w:tcPr>
            <w:tcW w:w="320" w:type="dxa"/>
            <w:vAlign w:val="bottom"/>
          </w:tcPr>
          <w:p>
            <w:pPr>
              <w:spacing w:after="0"/>
              <w:rPr>
                <w:sz w:val="18"/>
                <w:szCs w:val="18"/>
                <w:color w:val="auto"/>
              </w:rPr>
            </w:pPr>
          </w:p>
        </w:tc>
        <w:tc>
          <w:tcPr>
            <w:tcW w:w="2120" w:type="dxa"/>
            <w:vAlign w:val="bottom"/>
          </w:tcPr>
          <w:p>
            <w:pPr>
              <w:jc w:val="right"/>
              <w:ind w:right="67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110,749,546</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3.</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Harry N. Pefanis</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320,148,444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2,462,420</w:t>
            </w: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110,749,546</w:t>
            </w:r>
          </w:p>
        </w:tc>
        <w:tc>
          <w:tcPr>
            <w:tcW w:w="100" w:type="dxa"/>
            <w:vAlign w:val="bottom"/>
            <w:shd w:val="clear" w:color="auto" w:fill="CCEEFF"/>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Gary R. Petersen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299,691,755</w:t>
            </w:r>
          </w:p>
        </w:tc>
        <w:tc>
          <w:tcPr>
            <w:tcW w:w="340" w:type="dxa"/>
            <w:vAlign w:val="bottom"/>
          </w:tcPr>
          <w:p>
            <w:pPr>
              <w:spacing w:after="0"/>
              <w:rPr>
                <w:sz w:val="20"/>
                <w:szCs w:val="20"/>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22,919,109</w:t>
            </w:r>
          </w:p>
        </w:tc>
        <w:tc>
          <w:tcPr>
            <w:tcW w:w="320" w:type="dxa"/>
            <w:vAlign w:val="bottom"/>
          </w:tcPr>
          <w:p>
            <w:pPr>
              <w:spacing w:after="0"/>
              <w:rPr>
                <w:sz w:val="20"/>
                <w:szCs w:val="20"/>
                <w:color w:val="auto"/>
              </w:rPr>
            </w:pPr>
          </w:p>
        </w:tc>
        <w:tc>
          <w:tcPr>
            <w:tcW w:w="2120" w:type="dxa"/>
            <w:vAlign w:val="bottom"/>
          </w:tcPr>
          <w:p>
            <w:pPr>
              <w:jc w:val="right"/>
              <w:ind w:right="670"/>
              <w:spacing w:after="0"/>
              <w:rPr>
                <w:sz w:val="20"/>
                <w:szCs w:val="20"/>
                <w:color w:val="auto"/>
              </w:rPr>
            </w:pPr>
            <w:r>
              <w:rPr>
                <w:rFonts w:ascii="Arial" w:cs="Arial" w:eastAsia="Arial" w:hAnsi="Arial"/>
                <w:sz w:val="18"/>
                <w:szCs w:val="18"/>
                <w:color w:val="auto"/>
              </w:rPr>
              <w:t>92.9%</w:t>
            </w:r>
          </w:p>
        </w:tc>
        <w:tc>
          <w:tcPr>
            <w:tcW w:w="32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110,749,546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1020" w:right="60" w:hanging="337"/>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2022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Percentage of Votes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rPr>
              <w:t>Against</w:t>
            </w:r>
          </w:p>
        </w:tc>
        <w:tc>
          <w:tcPr>
            <w:tcW w:w="2340" w:type="dxa"/>
            <w:vAlign w:val="bottom"/>
            <w:gridSpan w:val="2"/>
          </w:tcPr>
          <w:p>
            <w:pPr>
              <w:ind w:left="620"/>
              <w:spacing w:after="0"/>
              <w:rPr>
                <w:sz w:val="20"/>
                <w:szCs w:val="20"/>
                <w:color w:val="auto"/>
              </w:rPr>
            </w:pPr>
            <w:r>
              <w:rPr>
                <w:rFonts w:ascii="Arial" w:cs="Arial" w:eastAsia="Arial" w:hAnsi="Arial"/>
                <w:sz w:val="18"/>
                <w:szCs w:val="18"/>
                <w:b w:val="1"/>
                <w:bCs w:val="1"/>
                <w:color w:val="auto"/>
              </w:rPr>
              <w:t>Abstained</w:t>
            </w: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3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18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406,228,351</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26,507,149</w:t>
            </w:r>
          </w:p>
        </w:tc>
        <w:tc>
          <w:tcPr>
            <w:tcW w:w="3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624,910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93.7%</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20" w:right="60" w:hanging="337"/>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Unitholders (other than Plains AAP, L.P.) voted to instruct PAA to vote the PAGP Class C shares that it owns at the PAGP annual meeting on the approval, on a non-binding advisory basis, of our 2021 named executive officer compensation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Percentage of Votes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rPr>
              <w:t>Against</w:t>
            </w:r>
          </w:p>
        </w:tc>
        <w:tc>
          <w:tcPr>
            <w:tcW w:w="2340" w:type="dxa"/>
            <w:vAlign w:val="bottom"/>
            <w:gridSpan w:val="2"/>
          </w:tcPr>
          <w:p>
            <w:pPr>
              <w:ind w:left="620"/>
              <w:spacing w:after="0"/>
              <w:rPr>
                <w:sz w:val="20"/>
                <w:szCs w:val="20"/>
                <w:color w:val="auto"/>
              </w:rPr>
            </w:pPr>
            <w:r>
              <w:rPr>
                <w:rFonts w:ascii="Arial" w:cs="Arial" w:eastAsia="Arial" w:hAnsi="Arial"/>
                <w:sz w:val="18"/>
                <w:szCs w:val="18"/>
                <w:b w:val="1"/>
                <w:bCs w:val="1"/>
                <w:color w:val="auto"/>
              </w:rPr>
              <w:t>Abstained</w:t>
            </w:r>
          </w:p>
        </w:tc>
        <w:tc>
          <w:tcPr>
            <w:tcW w:w="2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FOR*</w:t>
            </w:r>
          </w:p>
        </w:tc>
        <w:tc>
          <w:tcPr>
            <w:tcW w:w="2120" w:type="dxa"/>
            <w:vAlign w:val="bottom"/>
            <w:gridSpan w:val="2"/>
          </w:tcPr>
          <w:p>
            <w:pPr>
              <w:ind w:left="3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18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317,201,345</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3,643,496</w:t>
            </w:r>
          </w:p>
        </w:tc>
        <w:tc>
          <w:tcPr>
            <w:tcW w:w="3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1,766,023</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98.3%</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110,749,546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Items 1, 2 and 3, PAA Unitholders (other than Plains AAP, L.P.) voted on a “pass-through” basis by instructing PAA how to vote the PAGP Class C shares that it owns on Items 1, 2 and 3 at the PAGP annual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27, 2022</w:t>
      </w:r>
      <w:r>
        <w:rPr>
          <w:sz w:val="20"/>
          <w:szCs w:val="20"/>
          <w:color w:val="auto"/>
        </w:rPr>
        <w:tab/>
      </w:r>
      <w:r>
        <w:rPr>
          <w:rFonts w:ascii="Arial" w:cs="Arial" w:eastAsia="Arial" w:hAnsi="Arial"/>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2022-05-27T23:13:09Z</dcterms:created>
  <dcterms:modified xsi:type="dcterms:W3CDTF">2022-05-27T23:13:09Z</dcterms:modified>
</cp:coreProperties>
</file>