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1 )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PLAINS GP HOLDINGS,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72651A207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72651A207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100"/>
              <w:spacing w:after="0"/>
              <w:rPr>
                <w:sz w:val="20"/>
                <w:szCs w:val="20"/>
                <w:color w:val="auto"/>
              </w:rPr>
            </w:pPr>
            <w:r>
              <w:rPr>
                <w:rFonts w:ascii="Arial" w:cs="Arial" w:eastAsia="Arial" w:hAnsi="Arial"/>
                <w:sz w:val="22"/>
                <w:szCs w:val="22"/>
                <w:color w:val="auto"/>
                <w:w w:val="99"/>
              </w:rPr>
              <w:t>NAMES OF REPORTING PERSONS</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Massachusetts Financial Services Company ("MFS")</w:t>
            </w: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04-2747644</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3760" w:type="dxa"/>
            <w:vAlign w:val="bottom"/>
          </w:tcPr>
          <w:p>
            <w:pPr>
              <w:ind w:left="100"/>
              <w:spacing w:after="0" w:line="243" w:lineRule="exact"/>
              <w:rPr>
                <w:sz w:val="20"/>
                <w:szCs w:val="20"/>
                <w:color w:val="auto"/>
              </w:rPr>
            </w:pPr>
            <w:r>
              <w:rPr>
                <w:rFonts w:ascii="Arial" w:cs="Arial" w:eastAsia="Arial" w:hAnsi="Arial"/>
                <w:sz w:val="22"/>
                <w:szCs w:val="22"/>
                <w:color w:val="auto"/>
              </w:rPr>
              <w:t>(b) [ ]</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Not Applicable</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60"/>
              <w:spacing w:after="0"/>
              <w:rPr>
                <w:sz w:val="20"/>
                <w:szCs w:val="20"/>
                <w:color w:val="auto"/>
              </w:rPr>
            </w:pPr>
            <w:r>
              <w:rPr>
                <w:rFonts w:ascii="Arial" w:cs="Arial" w:eastAsia="Arial" w:hAnsi="Arial"/>
                <w:sz w:val="22"/>
                <w:szCs w:val="22"/>
                <w:color w:val="auto"/>
              </w:rPr>
              <w:t>5. SOLE VOTING POWER</w:t>
            </w:r>
          </w:p>
        </w:tc>
        <w:tc>
          <w:tcPr>
            <w:tcW w:w="5760" w:type="dxa"/>
            <w:vAlign w:val="bottom"/>
          </w:tcPr>
          <w:p>
            <w:pPr>
              <w:ind w:left="320"/>
              <w:spacing w:after="0"/>
              <w:rPr>
                <w:sz w:val="20"/>
                <w:szCs w:val="20"/>
                <w:color w:val="auto"/>
              </w:rPr>
            </w:pPr>
            <w:r>
              <w:rPr>
                <w:rFonts w:ascii="Arial" w:cs="Arial" w:eastAsia="Arial" w:hAnsi="Arial"/>
                <w:sz w:val="22"/>
                <w:szCs w:val="22"/>
                <w:color w:val="auto"/>
              </w:rPr>
              <w:t>13,481,488</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60"/>
              <w:spacing w:after="0" w:line="243" w:lineRule="exact"/>
              <w:rPr>
                <w:sz w:val="20"/>
                <w:szCs w:val="20"/>
                <w:color w:val="auto"/>
              </w:rPr>
            </w:pPr>
            <w:r>
              <w:rPr>
                <w:rFonts w:ascii="Arial" w:cs="Arial" w:eastAsia="Arial" w:hAnsi="Arial"/>
                <w:sz w:val="22"/>
                <w:szCs w:val="22"/>
                <w:color w:val="auto"/>
              </w:rPr>
              <w:t>6. SHARED VOTING POWER</w:t>
            </w:r>
          </w:p>
        </w:tc>
        <w:tc>
          <w:tcPr>
            <w:tcW w:w="5760" w:type="dxa"/>
            <w:vAlign w:val="bottom"/>
          </w:tcPr>
          <w:p>
            <w:pPr>
              <w:ind w:left="32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7. SOLE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13,516,001</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8. SHARED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w w:val="91"/>
              </w:rPr>
              <w:t>13,516,001 shares of Common Stock consisting of shares beneficially owned by MFS and/or certain other</w:t>
            </w: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non-reporting entities</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Not Applicable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7.0%</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580" w:hanging="667"/>
        <w:spacing w:after="0"/>
        <w:tabs>
          <w:tab w:leader="none" w:pos="15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580"/>
        <w:spacing w:after="0"/>
        <w:rPr>
          <w:rFonts w:ascii="Arial" w:cs="Arial" w:eastAsia="Arial" w:hAnsi="Arial"/>
          <w:sz w:val="22"/>
          <w:szCs w:val="22"/>
          <w:b w:val="1"/>
          <w:bCs w:val="1"/>
          <w:color w:val="auto"/>
        </w:rPr>
      </w:pPr>
      <w:r>
        <w:rPr>
          <w:rFonts w:ascii="Arial" w:cs="Arial" w:eastAsia="Arial" w:hAnsi="Arial"/>
          <w:sz w:val="22"/>
          <w:szCs w:val="22"/>
          <w:color w:val="auto"/>
        </w:rPr>
        <w:t>PLAINS GP HOLDINGS, L.P.</w:t>
      </w:r>
    </w:p>
    <w:p>
      <w:pPr>
        <w:spacing w:after="0" w:line="101" w:lineRule="exact"/>
        <w:rPr>
          <w:rFonts w:ascii="Arial" w:cs="Arial" w:eastAsia="Arial" w:hAnsi="Arial"/>
          <w:sz w:val="22"/>
          <w:szCs w:val="22"/>
          <w:b w:val="1"/>
          <w:bCs w:val="1"/>
          <w:color w:val="auto"/>
        </w:rPr>
      </w:pPr>
    </w:p>
    <w:p>
      <w:pPr>
        <w:ind w:left="1580" w:right="5140" w:hanging="667"/>
        <w:spacing w:after="0" w:line="334" w:lineRule="auto"/>
        <w:tabs>
          <w:tab w:leader="none" w:pos="15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Issuer's Principal Executive Offices </w:t>
      </w:r>
      <w:r>
        <w:rPr>
          <w:rFonts w:ascii="Arial" w:cs="Arial" w:eastAsia="Arial" w:hAnsi="Arial"/>
          <w:sz w:val="19"/>
          <w:szCs w:val="19"/>
          <w:color w:val="auto"/>
        </w:rPr>
        <w:t>333 Clay Street, Suite 1600, Houston, TX 77002</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580" w:hanging="667"/>
        <w:spacing w:after="0"/>
        <w:tabs>
          <w:tab w:leader="none" w:pos="15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580"/>
        <w:spacing w:after="0"/>
        <w:rPr>
          <w:rFonts w:ascii="Arial" w:cs="Arial" w:eastAsia="Arial" w:hAnsi="Arial"/>
          <w:sz w:val="22"/>
          <w:szCs w:val="22"/>
          <w:b w:val="1"/>
          <w:bCs w:val="1"/>
          <w:color w:val="auto"/>
        </w:rPr>
      </w:pPr>
      <w:r>
        <w:rPr>
          <w:rFonts w:ascii="Arial" w:cs="Arial" w:eastAsia="Arial" w:hAnsi="Arial"/>
          <w:sz w:val="22"/>
          <w:szCs w:val="22"/>
          <w:color w:val="auto"/>
        </w:rPr>
        <w:t>Massachusetts Financial Services Company</w:t>
      </w:r>
    </w:p>
    <w:p>
      <w:pPr>
        <w:spacing w:after="0" w:line="101" w:lineRule="exact"/>
        <w:rPr>
          <w:rFonts w:ascii="Arial" w:cs="Arial" w:eastAsia="Arial" w:hAnsi="Arial"/>
          <w:sz w:val="22"/>
          <w:szCs w:val="22"/>
          <w:b w:val="1"/>
          <w:bCs w:val="1"/>
          <w:color w:val="auto"/>
        </w:rPr>
      </w:pPr>
    </w:p>
    <w:p>
      <w:pPr>
        <w:ind w:left="1580" w:right="4040" w:hanging="667"/>
        <w:spacing w:after="0" w:line="256" w:lineRule="auto"/>
        <w:tabs>
          <w:tab w:leader="none" w:pos="15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111 Huntington Avenue, Boston, MA 02199</w:t>
      </w:r>
    </w:p>
    <w:p>
      <w:pPr>
        <w:spacing w:after="0" w:line="81" w:lineRule="exact"/>
        <w:rPr>
          <w:rFonts w:ascii="Arial" w:cs="Arial" w:eastAsia="Arial" w:hAnsi="Arial"/>
          <w:sz w:val="22"/>
          <w:szCs w:val="22"/>
          <w:b w:val="1"/>
          <w:bCs w:val="1"/>
          <w:color w:val="auto"/>
        </w:rPr>
      </w:pPr>
    </w:p>
    <w:p>
      <w:pPr>
        <w:ind w:left="1580" w:right="8400" w:hanging="667"/>
        <w:spacing w:after="0" w:line="334" w:lineRule="auto"/>
        <w:tabs>
          <w:tab w:leader="none" w:pos="15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Delaware</w:t>
      </w:r>
    </w:p>
    <w:p>
      <w:pPr>
        <w:spacing w:after="0" w:line="12" w:lineRule="exact"/>
        <w:rPr>
          <w:rFonts w:ascii="Arial" w:cs="Arial" w:eastAsia="Arial" w:hAnsi="Arial"/>
          <w:sz w:val="19"/>
          <w:szCs w:val="19"/>
          <w:b w:val="1"/>
          <w:bCs w:val="1"/>
          <w:color w:val="auto"/>
        </w:rPr>
      </w:pPr>
    </w:p>
    <w:p>
      <w:pPr>
        <w:ind w:left="1580" w:right="7040" w:hanging="667"/>
        <w:spacing w:after="0" w:line="334" w:lineRule="auto"/>
        <w:tabs>
          <w:tab w:leader="none" w:pos="15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580" w:right="7980" w:hanging="667"/>
        <w:spacing w:after="0" w:line="334" w:lineRule="auto"/>
        <w:tabs>
          <w:tab w:leader="none" w:pos="15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72651A207</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ectPr>
          <w:pgSz w:w="11900" w:h="16838" w:orient="portrait"/>
          <w:cols w:equalWidth="0" w:num="1">
            <w:col w:w="11020"/>
          </w:cols>
          <w:pgMar w:left="400" w:top="423" w:right="479" w:bottom="0" w:gutter="0" w:footer="0" w:header="0"/>
        </w:sectPr>
      </w:pPr>
    </w:p>
    <w:p>
      <w:pPr>
        <w:spacing w:after="0" w:line="131"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[X]</w:t>
      </w:r>
    </w:p>
    <w:p>
      <w:pPr>
        <w:spacing w:after="0" w:line="125"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22"/>
          <w:szCs w:val="22"/>
          <w:color w:val="auto"/>
        </w:rPr>
        <w:t>[ ]</w:t>
      </w:r>
    </w:p>
    <w:p>
      <w:pPr>
        <w:spacing w:after="0" w:line="368"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(j)</w:t>
      </w:r>
      <w:r>
        <w:rPr>
          <w:sz w:val="20"/>
          <w:szCs w:val="20"/>
          <w:color w:val="auto"/>
        </w:rPr>
        <w:tab/>
      </w:r>
      <w:r>
        <w:rPr>
          <w:rFonts w:ascii="Arial" w:cs="Arial" w:eastAsia="Arial" w:hAnsi="Arial"/>
          <w:sz w:val="22"/>
          <w:szCs w:val="22"/>
          <w:color w:val="auto"/>
        </w:rPr>
        <w:t>[ ]</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Investment Company registered under Section 8 of the Investment Company Act of 1940 (15 U.S.C.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80a-8).</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54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ind w:right="320"/>
        <w:spacing w:after="0" w:line="250" w:lineRule="auto"/>
        <w:rPr>
          <w:sz w:val="20"/>
          <w:szCs w:val="20"/>
          <w:color w:val="auto"/>
        </w:rPr>
      </w:pPr>
      <w:r>
        <w:rPr>
          <w:rFonts w:ascii="Arial" w:cs="Arial" w:eastAsia="Arial" w:hAnsi="Arial"/>
          <w:sz w:val="22"/>
          <w:szCs w:val="22"/>
          <w:color w:val="auto"/>
        </w:rPr>
        <w:t>A savings association as defined in Section 3(b) of the Federal Deposit Insurance Act (12 U.S.C. 1813);</w:t>
      </w:r>
    </w:p>
    <w:p>
      <w:pPr>
        <w:spacing w:after="0" w:line="94"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Group, in accordance with Rule 240.13d-1(b)(1)(ii)(J).</w:t>
      </w:r>
    </w:p>
    <w:p>
      <w:pPr>
        <w:spacing w:after="0" w:line="502" w:lineRule="exact"/>
        <w:rPr>
          <w:sz w:val="20"/>
          <w:szCs w:val="20"/>
          <w:color w:val="auto"/>
        </w:rPr>
      </w:pPr>
    </w:p>
    <w:p>
      <w:pPr>
        <w:sectPr>
          <w:pgSz w:w="11900" w:h="16838" w:orient="portrait"/>
          <w:cols w:equalWidth="0" w:num="2">
            <w:col w:w="1980" w:space="360"/>
            <w:col w:w="8680"/>
          </w:cols>
          <w:pgMar w:left="400" w:top="423" w:right="479" w:bottom="0" w:gutter="0" w:footer="0" w:header="0"/>
          <w:type w:val="continuous"/>
        </w:sectPr>
      </w:pPr>
    </w:p>
    <w:p>
      <w:pPr>
        <w:ind w:right="66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4" w:lineRule="exact"/>
        <w:rPr>
          <w:sz w:val="20"/>
          <w:szCs w:val="20"/>
          <w:color w:val="auto"/>
        </w:rPr>
      </w:pPr>
    </w:p>
    <w:p>
      <w:pPr>
        <w:ind w:left="1580" w:hanging="667"/>
        <w:spacing w:after="0"/>
        <w:tabs>
          <w:tab w:leader="none" w:pos="1580" w:val="left"/>
        </w:tabs>
        <w:numPr>
          <w:ilvl w:val="0"/>
          <w:numId w:val="4"/>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580" w:right="280"/>
        <w:spacing w:after="0" w:line="250" w:lineRule="auto"/>
        <w:rPr>
          <w:rFonts w:ascii="Arial" w:cs="Arial" w:eastAsia="Arial" w:hAnsi="Arial"/>
          <w:sz w:val="22"/>
          <w:szCs w:val="22"/>
          <w:color w:val="auto"/>
        </w:rPr>
      </w:pPr>
      <w:r>
        <w:rPr>
          <w:rFonts w:ascii="Arial" w:cs="Arial" w:eastAsia="Arial" w:hAnsi="Arial"/>
          <w:sz w:val="22"/>
          <w:szCs w:val="22"/>
          <w:color w:val="auto"/>
        </w:rPr>
        <w:t>13,516,001 shares of Common Stock consisting of shares beneficially owned by MFS and/or certain other non-reporting entities</w:t>
      </w:r>
    </w:p>
    <w:p>
      <w:pPr>
        <w:sectPr>
          <w:pgSz w:w="11900" w:h="16838" w:orient="portrait"/>
          <w:cols w:equalWidth="0" w:num="1">
            <w:col w:w="11020"/>
          </w:cols>
          <w:pgMar w:left="400" w:top="423" w:right="479" w:bottom="0" w:gutter="0" w:footer="0" w:header="0"/>
          <w:type w:val="continuous"/>
        </w:sectPr>
      </w:pPr>
    </w:p>
    <w:p>
      <w:pPr>
        <w:spacing w:after="0" w:line="94" w:lineRule="exact"/>
        <w:rPr>
          <w:sz w:val="20"/>
          <w:szCs w:val="20"/>
          <w:color w:val="auto"/>
        </w:rPr>
      </w:pPr>
    </w:p>
    <w:p>
      <w:pPr>
        <w:ind w:left="1580" w:hanging="667"/>
        <w:spacing w:after="0"/>
        <w:tabs>
          <w:tab w:leader="none" w:pos="15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580"/>
        <w:spacing w:after="0"/>
        <w:rPr>
          <w:rFonts w:ascii="Arial" w:cs="Arial" w:eastAsia="Arial" w:hAnsi="Arial"/>
          <w:sz w:val="22"/>
          <w:szCs w:val="22"/>
          <w:color w:val="auto"/>
        </w:rPr>
      </w:pPr>
      <w:r>
        <w:rPr>
          <w:rFonts w:ascii="Arial" w:cs="Arial" w:eastAsia="Arial" w:hAnsi="Arial"/>
          <w:sz w:val="22"/>
          <w:szCs w:val="22"/>
          <w:color w:val="auto"/>
        </w:rPr>
        <w:t>7.0%</w:t>
      </w:r>
    </w:p>
    <w:p>
      <w:pPr>
        <w:spacing w:after="0" w:line="125" w:lineRule="exact"/>
        <w:rPr>
          <w:rFonts w:ascii="Arial" w:cs="Arial" w:eastAsia="Arial" w:hAnsi="Arial"/>
          <w:sz w:val="22"/>
          <w:szCs w:val="22"/>
          <w:color w:val="auto"/>
        </w:rPr>
      </w:pPr>
    </w:p>
    <w:p>
      <w:pPr>
        <w:ind w:left="1580" w:hanging="667"/>
        <w:spacing w:after="0"/>
        <w:tabs>
          <w:tab w:leader="none" w:pos="15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2340" w:hanging="765"/>
        <w:spacing w:after="0"/>
        <w:tabs>
          <w:tab w:leader="none" w:pos="2340" w:val="left"/>
        </w:tabs>
        <w:numPr>
          <w:ilvl w:val="1"/>
          <w:numId w:val="5"/>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2340" w:hanging="765"/>
        <w:spacing w:after="0"/>
        <w:tabs>
          <w:tab w:leader="none" w:pos="2340" w:val="left"/>
        </w:tabs>
        <w:numPr>
          <w:ilvl w:val="1"/>
          <w:numId w:val="5"/>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125" w:lineRule="exact"/>
        <w:rPr>
          <w:rFonts w:ascii="Arial" w:cs="Arial" w:eastAsia="Arial" w:hAnsi="Arial"/>
          <w:sz w:val="22"/>
          <w:szCs w:val="22"/>
          <w:color w:val="auto"/>
        </w:rPr>
      </w:pPr>
    </w:p>
    <w:p>
      <w:pPr>
        <w:ind w:left="2340" w:hanging="765"/>
        <w:spacing w:after="0" w:line="183" w:lineRule="auto"/>
        <w:tabs>
          <w:tab w:leader="none" w:pos="234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sole power to dispose or to direct the disposition of</w:t>
      </w:r>
    </w:p>
    <w:p>
      <w:pPr>
        <w:spacing w:after="0" w:line="103" w:lineRule="exact"/>
        <w:rPr>
          <w:rFonts w:ascii="Arial" w:cs="Arial" w:eastAsia="Arial" w:hAnsi="Arial"/>
          <w:sz w:val="39"/>
          <w:szCs w:val="39"/>
          <w:color w:val="auto"/>
          <w:vertAlign w:val="subscript"/>
        </w:rPr>
      </w:pPr>
    </w:p>
    <w:p>
      <w:pPr>
        <w:ind w:left="2340" w:right="780" w:hanging="765"/>
        <w:spacing w:after="0" w:line="183" w:lineRule="auto"/>
        <w:tabs>
          <w:tab w:leader="none" w:pos="234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98"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13,481,488</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13,516,001</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624" w:lineRule="exact"/>
        <w:rPr>
          <w:sz w:val="20"/>
          <w:szCs w:val="20"/>
          <w:color w:val="auto"/>
        </w:rPr>
      </w:pPr>
    </w:p>
    <w:p>
      <w:pPr>
        <w:sectPr>
          <w:pgSz w:w="11900" w:h="16838" w:orient="portrait"/>
          <w:cols w:equalWidth="0" w:num="2">
            <w:col w:w="6520" w:space="260"/>
            <w:col w:w="4240"/>
          </w:cols>
          <w:pgMar w:left="400" w:top="423" w:right="479" w:bottom="0" w:gutter="0" w:footer="0" w:header="0"/>
          <w:type w:val="continuous"/>
        </w:sectPr>
      </w:pPr>
    </w:p>
    <w:p>
      <w:pPr>
        <w:ind w:left="920" w:right="30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1020"/>
          </w:cols>
          <w:pgMar w:left="400" w:top="423" w:right="479" w:bottom="0" w:gutter="0" w:footer="0" w:header="0"/>
          <w:type w:val="continuous"/>
        </w:sectPr>
      </w:pPr>
    </w:p>
    <w:bookmarkStart w:id="3" w:name="page4"/>
    <w:bookmarkEnd w:id="3"/>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ind w:left="920" w:right="360" w:hanging="903"/>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12" w:right="49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4" w:lineRule="exact"/>
        <w:rPr>
          <w:sz w:val="20"/>
          <w:szCs w:val="20"/>
          <w:color w:val="auto"/>
        </w:rPr>
      </w:pPr>
    </w:p>
    <w:p>
      <w:pPr>
        <w:ind w:left="60" w:right="199"/>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Massachusetts Financial Services Company</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Laurie J. Russell</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Date: February 02, 2022</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Name: Laurie J. Russell</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Title: Investment Compliance Senior Manager - Assistant Vice President</w:t>
      </w:r>
    </w:p>
    <w:sectPr>
      <w:pgSz w:w="11900" w:h="16838" w:orient="portrait"/>
      <w:cols w:equalWidth="0" w:num="1">
        <w:col w:w="9019"/>
      </w:cols>
      <w:pgMar w:left="1440" w:top="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2022-02-02T11:49:07Z</dcterms:created>
  <dcterms:modified xsi:type="dcterms:W3CDTF">2022-02-02T11:49:07Z</dcterms:modified>
</cp:coreProperties>
</file>