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b/>
          <w:sz w:val="20"/>
        </w:rPr>
      </w:pPr>
      <w:bookmarkStart w:id="0" w:name="d577220dfwp.htm"/>
      <w:bookmarkStart w:id="1" w:name="ksd577220dfwp"/>
      <w:bookmarkEnd w:id="0"/>
      <w:bookmarkEnd w:id="1"/>
      <w:r>
        <w:rPr>
          <w:rFonts w:ascii="Times New Roman" w:hAnsi="Times New Roman"/>
          <w:b/>
          <w:sz w:val="20"/>
        </w:rPr>
        <w:t xml:space="preserve">Filed Pursuant to Rule 433 </w:t>
      </w:r>
    </w:p>
    <w:p>
      <w:pPr>
        <w:pStyle w:val="TextBody"/>
        <w:spacing w:before="0" w:after="0"/>
        <w:jc w:val="right"/>
        <w:rPr>
          <w:rFonts w:ascii="Times New Roman" w:hAnsi="Times New Roman"/>
          <w:b/>
          <w:sz w:val="20"/>
        </w:rPr>
      </w:pPr>
      <w:r>
        <w:rPr>
          <w:rFonts w:ascii="Times New Roman" w:hAnsi="Times New Roman"/>
          <w:b/>
          <w:sz w:val="20"/>
        </w:rPr>
        <w:t xml:space="preserve">Registration No. 333-184137 </w:t>
      </w:r>
    </w:p>
    <w:p>
      <w:pPr>
        <w:pStyle w:val="TextBody"/>
        <w:spacing w:before="0" w:after="0"/>
        <w:jc w:val="right"/>
        <w:rPr>
          <w:rFonts w:ascii="Times New Roman" w:hAnsi="Times New Roman"/>
          <w:b/>
          <w:sz w:val="20"/>
        </w:rPr>
      </w:pPr>
      <w:r>
        <w:rPr>
          <w:rFonts w:ascii="Times New Roman" w:hAnsi="Times New Roman"/>
          <w:b/>
          <w:sz w:val="20"/>
        </w:rPr>
        <w:t xml:space="preserve">August 8, 2013 </w:t>
      </w:r>
    </w:p>
    <w:p>
      <w:pPr>
        <w:pStyle w:val="TextBody"/>
        <w:spacing w:before="180" w:after="0"/>
        <w:jc w:val="center"/>
        <w:rPr>
          <w:rFonts w:ascii="Times New Roman" w:hAnsi="Times New Roman"/>
          <w:b/>
          <w:sz w:val="20"/>
        </w:rPr>
      </w:pPr>
      <w:r>
        <w:rPr>
          <w:rFonts w:ascii="Times New Roman" w:hAnsi="Times New Roman"/>
          <w:b/>
          <w:sz w:val="20"/>
        </w:rPr>
        <w:t xml:space="preserve">Final Term Sheet </w:t>
      </w:r>
    </w:p>
    <w:p>
      <w:pPr>
        <w:pStyle w:val="TextBody"/>
        <w:spacing w:before="0" w:after="0"/>
        <w:jc w:val="center"/>
        <w:rPr>
          <w:rFonts w:ascii="Times New Roman" w:hAnsi="Times New Roman"/>
          <w:b/>
          <w:sz w:val="20"/>
        </w:rPr>
      </w:pPr>
      <w:r>
        <w:rPr>
          <w:rFonts w:ascii="Times New Roman" w:hAnsi="Times New Roman"/>
          <w:b/>
          <w:sz w:val="20"/>
        </w:rPr>
        <w:t xml:space="preserve">$700,000,000 3.850% Senior Notes due 2023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86"/>
        <w:gridCol w:w="204"/>
        <w:gridCol w:w="5715"/>
      </w:tblGrid>
      <w:tr>
        <w:trPr/>
        <w:tc>
          <w:tcPr>
            <w:tcW w:w="428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5715" w:type="dxa"/>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Issuers:</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 and PAA Finance Corp.</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Security Type:</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Unsecured Notes</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Legal Format:</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Registered</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Ratings (Moodys / S&amp;P)*:</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Baa2/BBB</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Pricing Date:</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8, 2013</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Settlement Date (T+5):</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15, 2013</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Maturity Date:</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October 15, 2023</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Amount:</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$700,000,000</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Benchmark:</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UST 1.750% due May 15, 2023</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Benchmark Yield:</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2.574%</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Spread to Benchmark:</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+130 bps</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Yield to Maturity:</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3.874%</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Coupon:</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3.850%</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Public Offering Price:</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99.792%</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(after estimated expenses) to the Partnership:</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$693.0 million</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Make-Whole Call:</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T+20 bps</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Call at Par:</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On or after July 15, 2023</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Payment Dates:</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April 15 and October 15, beginning on April 15, 2014</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CUSIP / ISIN:</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72650RBD3 / US72650RBD35</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Joint Book-Running Managers:</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0"/>
              <w:rPr>
                <w:rFonts w:ascii="Times New Roman" w:hAnsi="Times New Roman"/>
                <w:sz w:val="20"/>
              </w:rPr>
            </w:pPr>
            <w:r>
              <w:rPr>
                <w:rFonts w:ascii="Times New Roman" w:hAnsi="Times New Roman"/>
                <w:sz w:val="20"/>
              </w:rPr>
              <w:t>Incorporated</w:t>
            </w:r>
          </w:p>
          <w:p>
            <w:pPr>
              <w:pStyle w:val="TableContents"/>
              <w:spacing w:before="0" w:after="0"/>
              <w:rPr>
                <w:rFonts w:ascii="Times New Roman" w:hAnsi="Times New Roman"/>
                <w:sz w:val="20"/>
              </w:rPr>
            </w:pPr>
            <w:r>
              <w:rPr>
                <w:rFonts w:ascii="Times New Roman" w:hAnsi="Times New Roman"/>
                <w:sz w:val="20"/>
              </w:rPr>
              <w:t>DNB Markets, Inc.</w:t>
            </w:r>
          </w:p>
          <w:p>
            <w:pPr>
              <w:pStyle w:val="TableContents"/>
              <w:spacing w:before="0" w:after="15"/>
              <w:rPr>
                <w:rFonts w:ascii="Times New Roman" w:hAnsi="Times New Roman"/>
                <w:sz w:val="20"/>
              </w:rPr>
            </w:pPr>
            <w:r>
              <w:rPr>
                <w:rFonts w:ascii="Times New Roman" w:hAnsi="Times New Roman"/>
                <w:sz w:val="20"/>
              </w:rPr>
              <w:t>Mizuho Securities USA Inc.</w:t>
            </w:r>
          </w:p>
        </w:tc>
      </w:tr>
      <w:tr>
        <w:trPr>
          <w:trHeight w:val="120" w:hRule="atLeast"/>
        </w:trPr>
        <w:tc>
          <w:tcPr>
            <w:tcW w:w="4286" w:type="dxa"/>
            <w:tcBorders/>
            <w:shd w:fill="auto" w:val="clear"/>
            <w:vAlign w:val="center"/>
          </w:tcPr>
          <w:p>
            <w:pPr>
              <w:pStyle w:val="TableContents"/>
              <w:spacing w:before="0" w:after="283"/>
              <w:rPr>
                <w:sz w:val="4"/>
                <w:szCs w:val="4"/>
              </w:rPr>
            </w:pPr>
            <w:r>
              <w:rPr>
                <w:sz w:val="4"/>
                <w:szCs w:val="4"/>
              </w:rPr>
            </w:r>
          </w:p>
        </w:tc>
        <w:tc>
          <w:tcPr>
            <w:tcW w:w="5919" w:type="dxa"/>
            <w:gridSpan w:val="2"/>
            <w:tcBorders/>
            <w:shd w:fill="auto" w:val="clear"/>
            <w:vAlign w:val="center"/>
          </w:tcPr>
          <w:p>
            <w:pPr>
              <w:pStyle w:val="TableContents"/>
              <w:spacing w:before="0" w:after="283"/>
              <w:rPr>
                <w:sz w:val="4"/>
                <w:szCs w:val="4"/>
              </w:rPr>
            </w:pPr>
            <w:r>
              <w:rPr>
                <w:sz w:val="4"/>
                <w:szCs w:val="4"/>
              </w:rPr>
            </w:r>
          </w:p>
        </w:tc>
      </w:tr>
      <w:tr>
        <w:trPr/>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Co-Managers:</w:t>
            </w:r>
          </w:p>
        </w:tc>
        <w:tc>
          <w:tcPr>
            <w:tcW w:w="204" w:type="dxa"/>
            <w:tcBorders/>
            <w:shd w:fill="auto" w:val="clear"/>
            <w:vAlign w:val="bottom"/>
          </w:tcPr>
          <w:p>
            <w:pPr>
              <w:pStyle w:val="TableContents"/>
              <w:spacing w:before="0" w:after="283"/>
              <w:rPr/>
            </w:pPr>
            <w:r>
              <w:rPr/>
              <w:t>  </w:t>
            </w:r>
          </w:p>
        </w:tc>
        <w:tc>
          <w:tcPr>
            <w:tcW w:w="571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Scotia Capital (USA) Inc.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BBVA Securities Inc.</w:t>
            </w:r>
          </w:p>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SMBC Nikko Securities America, Inc.</w:t>
            </w:r>
          </w:p>
          <w:p>
            <w:pPr>
              <w:pStyle w:val="TableContents"/>
              <w:spacing w:before="0" w:after="0"/>
              <w:rPr>
                <w:rFonts w:ascii="Times New Roman" w:hAnsi="Times New Roman"/>
                <w:sz w:val="20"/>
              </w:rPr>
            </w:pPr>
            <w:r>
              <w:rPr>
                <w:rFonts w:ascii="Times New Roman" w:hAnsi="Times New Roman"/>
                <w:sz w:val="20"/>
              </w:rPr>
              <w:t>BB&amp;T Capital Markets, a division of BB&amp;T Securities, LLC</w:t>
            </w:r>
          </w:p>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CIBC World Markets Corp.</w:t>
            </w:r>
          </w:p>
          <w:p>
            <w:pPr>
              <w:pStyle w:val="TableContents"/>
              <w:spacing w:before="0" w:after="0"/>
              <w:rPr>
                <w:rFonts w:ascii="Times New Roman" w:hAnsi="Times New Roman"/>
                <w:sz w:val="20"/>
              </w:rPr>
            </w:pPr>
            <w:r>
              <w:rPr>
                <w:rFonts w:ascii="Times New Roman" w:hAnsi="Times New Roman"/>
                <w:sz w:val="20"/>
              </w:rPr>
              <w:t>Fifth Third Securities, Inc.</w:t>
            </w:r>
          </w:p>
          <w:p>
            <w:pPr>
              <w:pStyle w:val="TableContents"/>
              <w:spacing w:before="0" w:after="0"/>
              <w:rPr>
                <w:rFonts w:ascii="Times New Roman" w:hAnsi="Times New Roman"/>
                <w:sz w:val="20"/>
              </w:rPr>
            </w:pPr>
            <w:r>
              <w:rPr>
                <w:rFonts w:ascii="Times New Roman" w:hAnsi="Times New Roman"/>
                <w:sz w:val="20"/>
              </w:rPr>
              <w:t>ING Financial Markets LLC</w:t>
            </w:r>
          </w:p>
          <w:p>
            <w:pPr>
              <w:pStyle w:val="TableContents"/>
              <w:spacing w:before="0" w:after="0"/>
              <w:rPr>
                <w:rFonts w:ascii="Times New Roman" w:hAnsi="Times New Roman"/>
                <w:sz w:val="20"/>
              </w:rPr>
            </w:pPr>
            <w:r>
              <w:rPr>
                <w:rFonts w:ascii="Times New Roman" w:hAnsi="Times New Roman"/>
                <w:sz w:val="20"/>
              </w:rPr>
              <w:t>PNC Capital Markets LLC</w:t>
            </w:r>
          </w:p>
          <w:p>
            <w:pPr>
              <w:pStyle w:val="TableContents"/>
              <w:spacing w:before="0" w:after="0"/>
              <w:rPr>
                <w:rFonts w:ascii="Times New Roman" w:hAnsi="Times New Roman"/>
                <w:sz w:val="20"/>
              </w:rPr>
            </w:pPr>
            <w:r>
              <w:rPr>
                <w:rFonts w:ascii="Times New Roman" w:hAnsi="Times New Roman"/>
                <w:sz w:val="20"/>
              </w:rPr>
              <w:t>Regions Securities LLC</w:t>
            </w:r>
          </w:p>
          <w:p>
            <w:pPr>
              <w:pStyle w:val="TableContents"/>
              <w:spacing w:before="0" w:after="15"/>
              <w:rPr>
                <w:rFonts w:ascii="Times New Roman" w:hAnsi="Times New Roman"/>
                <w:sz w:val="20"/>
              </w:rPr>
            </w:pPr>
            <w:r>
              <w:rPr>
                <w:rFonts w:ascii="Times New Roman" w:hAnsi="Times New Roman"/>
                <w:sz w:val="20"/>
              </w:rPr>
              <w:t>U.S. Bancorp Investments, Inc.</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Note: A securities rating is not a recommendation to buy, sell or hold securities and may be revised or withdrawn at any time. </w:t>
            </w:r>
          </w:p>
        </w:tc>
      </w:tr>
    </w:tbl>
    <w:p>
      <w:pPr>
        <w:pStyle w:val="TextBody"/>
        <w:spacing w:before="180" w:after="0"/>
        <w:rPr>
          <w:rFonts w:ascii="Times New Roman" w:hAnsi="Times New Roman"/>
          <w:sz w:val="20"/>
        </w:rPr>
      </w:pPr>
      <w:r>
        <w:rPr>
          <w:rFonts w:ascii="Times New Roman" w:hAnsi="Times New Roman"/>
          <w:sz w:val="20"/>
        </w:rPr>
        <w:t xml:space="preserve">Delivery of the notes is expected to be made against payment therefor on or about August 15, 2013,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180" w:after="0"/>
        <w:rPr>
          <w:rFonts w:ascii="Times New Roman" w:hAnsi="Times New Roman"/>
          <w:sz w:val="20"/>
        </w:rPr>
      </w:pPr>
      <w:r>
        <w:rPr>
          <w:rFonts w:ascii="Times New Roman" w:hAnsi="Times New Roman"/>
          <w:sz w:val="20"/>
        </w:rPr>
        <w:t xml:space="preserve">Supplementing the information presented under Use of Proceeds and Capitalization at pages S-8 and S-10 in the preliminary prospectus supplement, we expect to use part of the net proceeds from this offering to repay all indebtedness outstanding under the PAA senior unsecured revolving credit facility and the PAA senior secured hedged inventory facility. The remaining net proceeds after repayment of such indebtedness will be used for general partnership purposes. </w:t>
      </w:r>
    </w:p>
    <w:p>
      <w:pPr>
        <w:pStyle w:val="TextBody"/>
        <w:spacing w:before="180" w:after="0"/>
        <w:rPr>
          <w:rFonts w:ascii="Times New Roman" w:hAnsi="Times New Roman"/>
          <w:sz w:val="20"/>
        </w:rPr>
      </w:pPr>
      <w:r>
        <w:rPr>
          <w:rFonts w:ascii="Times New Roman" w:hAnsi="Times New Roman"/>
          <w:sz w:val="20"/>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1-212-834-4533, Merrill Lynch, Pierce, Fenner &amp; Smith Incorporated at 1-800-294-1322, DNB Markets, Inc. at 1-212- 681-3800 or Mizuho Securities USA Inc. at 1-866-271-7403.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610</Words>
  <CharactersWithSpaces>3805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Free Writing Prospectus</dc:title>
</cp:coreProperties>
</file>