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sz w:val="20"/>
        </w:rPr>
      </w:pPr>
      <w:bookmarkStart w:id="0" w:name="d314176dfwp.htm"/>
      <w:bookmarkStart w:id="1" w:name="ksd314176dfwp"/>
      <w:bookmarkEnd w:id="0"/>
      <w:bookmarkEnd w:id="1"/>
      <w:r>
        <w:rPr>
          <w:rFonts w:ascii="Times New Roman" w:hAnsi="Times New Roman"/>
          <w:sz w:val="20"/>
        </w:rPr>
        <w:t xml:space="preserve">Filed Pursuant to Rule 433 </w:t>
      </w:r>
    </w:p>
    <w:p>
      <w:pPr>
        <w:pStyle w:val="TextBody"/>
        <w:spacing w:before="0" w:after="0"/>
        <w:jc w:val="right"/>
        <w:rPr>
          <w:rFonts w:ascii="Times New Roman" w:hAnsi="Times New Roman"/>
          <w:sz w:val="20"/>
        </w:rPr>
      </w:pPr>
      <w:r>
        <w:rPr>
          <w:rFonts w:ascii="Times New Roman" w:hAnsi="Times New Roman"/>
          <w:sz w:val="20"/>
        </w:rPr>
        <w:t xml:space="preserve">Registration No. 333-162475 </w:t>
      </w:r>
    </w:p>
    <w:p>
      <w:pPr>
        <w:pStyle w:val="TextBody"/>
        <w:spacing w:before="0" w:after="0"/>
        <w:jc w:val="right"/>
        <w:rPr>
          <w:rFonts w:ascii="Times New Roman" w:hAnsi="Times New Roman"/>
          <w:sz w:val="20"/>
        </w:rPr>
      </w:pPr>
      <w:r>
        <w:rPr>
          <w:rFonts w:ascii="Times New Roman" w:hAnsi="Times New Roman"/>
          <w:sz w:val="20"/>
        </w:rPr>
        <w:t xml:space="preserve">March 13, 2012 </w:t>
      </w:r>
    </w:p>
    <w:p>
      <w:pPr>
        <w:pStyle w:val="TextBody"/>
        <w:spacing w:before="180" w:after="0"/>
        <w:jc w:val="center"/>
        <w:rPr>
          <w:rFonts w:ascii="Times New Roman" w:hAnsi="Times New Roman"/>
          <w:b/>
          <w:sz w:val="20"/>
        </w:rPr>
      </w:pPr>
      <w:r>
        <w:rPr>
          <w:rFonts w:ascii="Times New Roman" w:hAnsi="Times New Roman"/>
          <w:b/>
          <w:sz w:val="20"/>
        </w:rPr>
        <w:t xml:space="preserve">Final Term Sheet </w:t>
      </w:r>
    </w:p>
    <w:p>
      <w:pPr>
        <w:pStyle w:val="TextBody"/>
        <w:spacing w:before="0" w:after="0"/>
        <w:jc w:val="center"/>
        <w:rPr>
          <w:rFonts w:ascii="Times New Roman" w:hAnsi="Times New Roman"/>
          <w:b/>
          <w:sz w:val="20"/>
        </w:rPr>
      </w:pPr>
      <w:r>
        <w:rPr>
          <w:rFonts w:ascii="Times New Roman" w:hAnsi="Times New Roman"/>
          <w:b/>
          <w:sz w:val="20"/>
        </w:rPr>
        <w:t xml:space="preserve">$750,000,000 3.65% Senior Notes due 2022 </w:t>
      </w:r>
    </w:p>
    <w:p>
      <w:pPr>
        <w:pStyle w:val="TextBody"/>
        <w:spacing w:before="0" w:after="0"/>
        <w:jc w:val="center"/>
        <w:rPr>
          <w:rFonts w:ascii="Times New Roman" w:hAnsi="Times New Roman"/>
          <w:b/>
          <w:sz w:val="20"/>
        </w:rPr>
      </w:pPr>
      <w:r>
        <w:rPr>
          <w:rFonts w:ascii="Times New Roman" w:hAnsi="Times New Roman"/>
          <w:b/>
          <w:sz w:val="20"/>
        </w:rPr>
        <w:t xml:space="preserve">$500,000,000 5.15% Senior Notes due 2042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571"/>
        <w:gridCol w:w="204"/>
        <w:gridCol w:w="6430"/>
      </w:tblGrid>
      <w:tr>
        <w:trPr/>
        <w:tc>
          <w:tcPr>
            <w:tcW w:w="357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6430" w:type="dxa"/>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Issuers:</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 and PAA Finance Corp.</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Security Type:</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Unsecured Notes</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Legal Format:</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 Registered Notes</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Ratings (Moodys / S&amp;P)*:</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15"/>
              <w:rPr>
                <w:rFonts w:ascii="Times New Roman" w:hAnsi="Times New Roman"/>
                <w:sz w:val="20"/>
              </w:rPr>
            </w:pPr>
            <w:r>
              <w:rPr>
                <w:rFonts w:ascii="Times New Roman" w:hAnsi="Times New Roman"/>
                <w:sz w:val="20"/>
              </w:rPr>
              <w:t>Baa2/BBB-</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Pricing Date:</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March 13, 2012</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Settlement Date (T+7):</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March 22, 2012</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Maturity Date:</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June 1, 2022</w:t>
            </w:r>
          </w:p>
          <w:p>
            <w:pPr>
              <w:pStyle w:val="TableContents"/>
              <w:spacing w:before="0" w:after="15"/>
              <w:rPr>
                <w:rFonts w:ascii="Times New Roman" w:hAnsi="Times New Roman"/>
                <w:sz w:val="20"/>
              </w:rPr>
            </w:pPr>
            <w:r>
              <w:rPr>
                <w:rFonts w:ascii="Times New Roman" w:hAnsi="Times New Roman"/>
                <w:sz w:val="20"/>
              </w:rPr>
              <w:t>2042 Notes: June 1, 2042</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Amount:</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$750,000,000</w:t>
            </w:r>
          </w:p>
          <w:p>
            <w:pPr>
              <w:pStyle w:val="TableContents"/>
              <w:spacing w:before="0" w:after="15"/>
              <w:rPr>
                <w:rFonts w:ascii="Times New Roman" w:hAnsi="Times New Roman"/>
                <w:sz w:val="20"/>
              </w:rPr>
            </w:pPr>
            <w:r>
              <w:rPr>
                <w:rFonts w:ascii="Times New Roman" w:hAnsi="Times New Roman"/>
                <w:sz w:val="20"/>
              </w:rPr>
              <w:t>2042 Notes: $500,000,000</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Benchmark:</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UST 2.000% due February 15, 2022</w:t>
            </w:r>
          </w:p>
          <w:p>
            <w:pPr>
              <w:pStyle w:val="TableContents"/>
              <w:spacing w:before="0" w:after="15"/>
              <w:rPr>
                <w:rFonts w:ascii="Times New Roman" w:hAnsi="Times New Roman"/>
                <w:sz w:val="20"/>
              </w:rPr>
            </w:pPr>
            <w:r>
              <w:rPr>
                <w:rFonts w:ascii="Times New Roman" w:hAnsi="Times New Roman"/>
                <w:sz w:val="20"/>
              </w:rPr>
              <w:t>2042 Notes: UST 3.125% due November 15, 2041</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Benchmark Yield:</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2.070%</w:t>
            </w:r>
          </w:p>
          <w:p>
            <w:pPr>
              <w:pStyle w:val="TableContents"/>
              <w:spacing w:before="0" w:after="15"/>
              <w:rPr>
                <w:rFonts w:ascii="Times New Roman" w:hAnsi="Times New Roman"/>
                <w:sz w:val="20"/>
              </w:rPr>
            </w:pPr>
            <w:r>
              <w:rPr>
                <w:rFonts w:ascii="Times New Roman" w:hAnsi="Times New Roman"/>
                <w:sz w:val="20"/>
              </w:rPr>
              <w:t>2042 Notes: 3.215%</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Spread to Benchmark:</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+160 bps</w:t>
            </w:r>
          </w:p>
          <w:p>
            <w:pPr>
              <w:pStyle w:val="TableContents"/>
              <w:spacing w:before="0" w:after="15"/>
              <w:rPr>
                <w:rFonts w:ascii="Times New Roman" w:hAnsi="Times New Roman"/>
                <w:sz w:val="20"/>
              </w:rPr>
            </w:pPr>
            <w:r>
              <w:rPr>
                <w:rFonts w:ascii="Times New Roman" w:hAnsi="Times New Roman"/>
                <w:sz w:val="20"/>
              </w:rPr>
              <w:t>2042 Notes: +195 bps</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Yield to Maturity:</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3.670%</w:t>
            </w:r>
          </w:p>
          <w:p>
            <w:pPr>
              <w:pStyle w:val="TableContents"/>
              <w:spacing w:before="0" w:after="15"/>
              <w:rPr>
                <w:rFonts w:ascii="Times New Roman" w:hAnsi="Times New Roman"/>
                <w:sz w:val="20"/>
              </w:rPr>
            </w:pPr>
            <w:r>
              <w:rPr>
                <w:rFonts w:ascii="Times New Roman" w:hAnsi="Times New Roman"/>
                <w:sz w:val="20"/>
              </w:rPr>
              <w:t>2042 Notes: 5.165%</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Coupon:</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3.65%</w:t>
            </w:r>
          </w:p>
          <w:p>
            <w:pPr>
              <w:pStyle w:val="TableContents"/>
              <w:spacing w:before="0" w:after="15"/>
              <w:rPr>
                <w:rFonts w:ascii="Times New Roman" w:hAnsi="Times New Roman"/>
                <w:sz w:val="20"/>
              </w:rPr>
            </w:pPr>
            <w:r>
              <w:rPr>
                <w:rFonts w:ascii="Times New Roman" w:hAnsi="Times New Roman"/>
                <w:sz w:val="20"/>
              </w:rPr>
              <w:t>2042 Notes: 5.15%</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Public Offering Price:</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99.823%</w:t>
            </w:r>
          </w:p>
          <w:p>
            <w:pPr>
              <w:pStyle w:val="TableContents"/>
              <w:spacing w:before="0" w:after="15"/>
              <w:rPr>
                <w:rFonts w:ascii="Times New Roman" w:hAnsi="Times New Roman"/>
                <w:sz w:val="20"/>
              </w:rPr>
            </w:pPr>
            <w:r>
              <w:rPr>
                <w:rFonts w:ascii="Times New Roman" w:hAnsi="Times New Roman"/>
                <w:sz w:val="20"/>
              </w:rPr>
              <w:t>2042 Notes: 99.755%</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Net Proceeds (after estimated expenses) to the Partnership:</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$1,236.5 million</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Make-Whole Call:</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T+25 bps</w:t>
            </w:r>
          </w:p>
          <w:p>
            <w:pPr>
              <w:pStyle w:val="TableContents"/>
              <w:spacing w:before="0" w:after="15"/>
              <w:rPr>
                <w:rFonts w:ascii="Times New Roman" w:hAnsi="Times New Roman"/>
                <w:sz w:val="20"/>
              </w:rPr>
            </w:pPr>
            <w:r>
              <w:rPr>
                <w:rFonts w:ascii="Times New Roman" w:hAnsi="Times New Roman"/>
                <w:sz w:val="20"/>
              </w:rPr>
              <w:t>2042 Notes: T+30 bps</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Call at Par:</w:t>
            </w:r>
          </w:p>
        </w:tc>
        <w:tc>
          <w:tcPr>
            <w:tcW w:w="204" w:type="dxa"/>
            <w:tcBorders/>
            <w:shd w:fill="auto" w:val="clear"/>
            <w:vAlign w:val="bottom"/>
          </w:tcPr>
          <w:p>
            <w:pPr>
              <w:pStyle w:val="TableContents"/>
              <w:spacing w:before="0" w:after="283"/>
              <w:rPr/>
            </w:pPr>
            <w:r>
              <w:rPr/>
              <w:t>  </w:t>
            </w:r>
          </w:p>
        </w:tc>
        <w:tc>
          <w:tcPr>
            <w:tcW w:w="643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On or after March 1, 2022</w:t>
            </w:r>
          </w:p>
          <w:p>
            <w:pPr>
              <w:pStyle w:val="TableContents"/>
              <w:spacing w:before="0" w:after="15"/>
              <w:rPr>
                <w:rFonts w:ascii="Times New Roman" w:hAnsi="Times New Roman"/>
                <w:sz w:val="20"/>
              </w:rPr>
            </w:pPr>
            <w:r>
              <w:rPr>
                <w:rFonts w:ascii="Times New Roman" w:hAnsi="Times New Roman"/>
                <w:sz w:val="20"/>
              </w:rPr>
              <w:t>2042 Notes: On or after December 1, 2041</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3571"/>
        <w:gridCol w:w="203"/>
        <w:gridCol w:w="6431"/>
      </w:tblGrid>
      <w:tr>
        <w:trPr/>
        <w:tc>
          <w:tcPr>
            <w:tcW w:w="357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6431" w:type="dxa"/>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Special Optional Redemption</w:t>
            </w:r>
          </w:p>
        </w:tc>
        <w:tc>
          <w:tcPr>
            <w:tcW w:w="203" w:type="dxa"/>
            <w:tcBorders/>
            <w:shd w:fill="auto" w:val="clear"/>
            <w:vAlign w:val="bottom"/>
          </w:tcPr>
          <w:p>
            <w:pPr>
              <w:pStyle w:val="TableContents"/>
              <w:spacing w:before="0" w:after="283"/>
              <w:rPr/>
            </w:pPr>
            <w:r>
              <w:rPr/>
              <w:t>  </w:t>
            </w:r>
          </w:p>
        </w:tc>
        <w:tc>
          <w:tcPr>
            <w:tcW w:w="64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If the BP NGL Acquisition (as defined in the prospectus supplement) is not closed on or prior to June 1, 2012 or the acquisition agreement relating to the acquisition is terminated earlier, the issuers may redeem all, but not less than all, of either or both series of Notes at a redemption price equal to 101% of the aggregate principal amount of such series of Notes, plus accrued and unpaid interest to the date of redemption.</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Interest Payment Dates:</w:t>
            </w:r>
          </w:p>
        </w:tc>
        <w:tc>
          <w:tcPr>
            <w:tcW w:w="203" w:type="dxa"/>
            <w:tcBorders/>
            <w:shd w:fill="auto" w:val="clear"/>
            <w:vAlign w:val="bottom"/>
          </w:tcPr>
          <w:p>
            <w:pPr>
              <w:pStyle w:val="TableContents"/>
              <w:spacing w:before="0" w:after="283"/>
              <w:rPr/>
            </w:pPr>
            <w:r>
              <w:rPr/>
              <w:t>  </w:t>
            </w:r>
          </w:p>
        </w:tc>
        <w:tc>
          <w:tcPr>
            <w:tcW w:w="643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June 1 and December 1, beginning December 1, 2012</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CUSIP / ISIN:</w:t>
            </w:r>
          </w:p>
        </w:tc>
        <w:tc>
          <w:tcPr>
            <w:tcW w:w="203" w:type="dxa"/>
            <w:tcBorders/>
            <w:shd w:fill="auto" w:val="clear"/>
            <w:vAlign w:val="bottom"/>
          </w:tcPr>
          <w:p>
            <w:pPr>
              <w:pStyle w:val="TableContents"/>
              <w:spacing w:before="0" w:after="283"/>
              <w:rPr/>
            </w:pPr>
            <w:r>
              <w:rPr/>
              <w:t>  </w:t>
            </w:r>
          </w:p>
        </w:tc>
        <w:tc>
          <w:tcPr>
            <w:tcW w:w="643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2022 Notes: 72650RAZ5 / US72650RAZ55</w:t>
            </w:r>
          </w:p>
          <w:p>
            <w:pPr>
              <w:pStyle w:val="TableContents"/>
              <w:spacing w:before="0" w:after="15"/>
              <w:rPr>
                <w:rFonts w:ascii="Times New Roman" w:hAnsi="Times New Roman"/>
                <w:sz w:val="20"/>
              </w:rPr>
            </w:pPr>
            <w:r>
              <w:rPr>
                <w:rFonts w:ascii="Times New Roman" w:hAnsi="Times New Roman"/>
                <w:sz w:val="20"/>
              </w:rPr>
              <w:t>2042 Notes: 72650RBA9 / US72650RBA95</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Joint Book-Running Managers:</w:t>
            </w:r>
          </w:p>
        </w:tc>
        <w:tc>
          <w:tcPr>
            <w:tcW w:w="203" w:type="dxa"/>
            <w:tcBorders/>
            <w:shd w:fill="auto" w:val="clear"/>
            <w:vAlign w:val="bottom"/>
          </w:tcPr>
          <w:p>
            <w:pPr>
              <w:pStyle w:val="TableContents"/>
              <w:spacing w:before="0" w:after="283"/>
              <w:rPr/>
            </w:pPr>
            <w:r>
              <w:rPr/>
              <w:t>  </w:t>
            </w:r>
          </w:p>
        </w:tc>
        <w:tc>
          <w:tcPr>
            <w:tcW w:w="643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Merrill Lynch, Pierce, Fenner &amp; Smith</w:t>
            </w:r>
          </w:p>
          <w:p>
            <w:pPr>
              <w:pStyle w:val="TableContents"/>
              <w:spacing w:before="0" w:after="0"/>
              <w:rPr>
                <w:rFonts w:ascii="Times New Roman" w:hAnsi="Times New Roman"/>
                <w:sz w:val="20"/>
              </w:rPr>
            </w:pPr>
            <w:r>
              <w:rPr>
                <w:rFonts w:ascii="Times New Roman" w:hAnsi="Times New Roman"/>
                <w:sz w:val="20"/>
              </w:rPr>
              <w:t>Incorporated</w:t>
            </w:r>
          </w:p>
          <w:p>
            <w:pPr>
              <w:pStyle w:val="TableContents"/>
              <w:spacing w:before="0" w:after="0"/>
              <w:rPr>
                <w:rFonts w:ascii="Times New Roman" w:hAnsi="Times New Roman"/>
                <w:sz w:val="20"/>
              </w:rPr>
            </w:pPr>
            <w:r>
              <w:rPr>
                <w:rFonts w:ascii="Times New Roman" w:hAnsi="Times New Roman"/>
                <w:sz w:val="20"/>
              </w:rPr>
              <w:t>UBS Securities LLC</w:t>
            </w:r>
          </w:p>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DNB Markets, Inc.</w:t>
            </w:r>
          </w:p>
          <w:p>
            <w:pPr>
              <w:pStyle w:val="TableContents"/>
              <w:spacing w:before="0" w:after="15"/>
              <w:rPr>
                <w:rFonts w:ascii="Times New Roman" w:hAnsi="Times New Roman"/>
                <w:sz w:val="20"/>
              </w:rPr>
            </w:pPr>
            <w:r>
              <w:rPr>
                <w:rFonts w:ascii="Times New Roman" w:hAnsi="Times New Roman"/>
                <w:sz w:val="20"/>
              </w:rPr>
              <w:t>Mizuho Securities USA Inc.</w:t>
            </w:r>
          </w:p>
        </w:tc>
      </w:tr>
      <w:tr>
        <w:trPr>
          <w:trHeight w:val="120" w:hRule="atLeast"/>
        </w:trPr>
        <w:tc>
          <w:tcPr>
            <w:tcW w:w="3571" w:type="dxa"/>
            <w:tcBorders/>
            <w:shd w:fill="auto" w:val="clear"/>
            <w:vAlign w:val="center"/>
          </w:tcPr>
          <w:p>
            <w:pPr>
              <w:pStyle w:val="TableContents"/>
              <w:spacing w:before="0" w:after="283"/>
              <w:rPr>
                <w:sz w:val="4"/>
                <w:szCs w:val="4"/>
              </w:rPr>
            </w:pPr>
            <w:r>
              <w:rPr>
                <w:sz w:val="4"/>
                <w:szCs w:val="4"/>
              </w:rPr>
            </w:r>
          </w:p>
        </w:tc>
        <w:tc>
          <w:tcPr>
            <w:tcW w:w="6634" w:type="dxa"/>
            <w:gridSpan w:val="2"/>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tcPr>
          <w:p>
            <w:pPr>
              <w:pStyle w:val="TableContents"/>
              <w:spacing w:before="0" w:after="283"/>
              <w:rPr>
                <w:rFonts w:ascii="Times New Roman" w:hAnsi="Times New Roman"/>
                <w:sz w:val="20"/>
              </w:rPr>
            </w:pPr>
            <w:r>
              <w:rPr>
                <w:rFonts w:ascii="Times New Roman" w:hAnsi="Times New Roman"/>
                <w:sz w:val="20"/>
              </w:rPr>
              <w:t>Co-Managers:</w:t>
            </w:r>
          </w:p>
        </w:tc>
        <w:tc>
          <w:tcPr>
            <w:tcW w:w="203" w:type="dxa"/>
            <w:tcBorders/>
            <w:shd w:fill="auto" w:val="clear"/>
            <w:vAlign w:val="bottom"/>
          </w:tcPr>
          <w:p>
            <w:pPr>
              <w:pStyle w:val="TableContents"/>
              <w:spacing w:before="0" w:after="283"/>
              <w:rPr/>
            </w:pPr>
            <w:r>
              <w:rPr/>
              <w:t>  </w:t>
            </w:r>
          </w:p>
        </w:tc>
        <w:tc>
          <w:tcPr>
            <w:tcW w:w="643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BMO Capital Markets Corp.</w:t>
            </w:r>
          </w:p>
          <w:p>
            <w:pPr>
              <w:pStyle w:val="TableContents"/>
              <w:spacing w:before="0" w:after="0"/>
              <w:rPr>
                <w:rFonts w:ascii="Times New Roman" w:hAnsi="Times New Roman"/>
                <w:sz w:val="20"/>
              </w:rPr>
            </w:pPr>
            <w:r>
              <w:rPr>
                <w:rFonts w:ascii="Times New Roman" w:hAnsi="Times New Roman"/>
                <w:sz w:val="20"/>
              </w:rPr>
              <w:t>Comerica Securities, Inc.</w:t>
            </w:r>
          </w:p>
          <w:p>
            <w:pPr>
              <w:pStyle w:val="TableContents"/>
              <w:spacing w:before="0" w:after="0"/>
              <w:rPr>
                <w:rFonts w:ascii="Times New Roman" w:hAnsi="Times New Roman"/>
                <w:sz w:val="20"/>
              </w:rPr>
            </w:pPr>
            <w:r>
              <w:rPr>
                <w:rFonts w:ascii="Times New Roman" w:hAnsi="Times New Roman"/>
                <w:sz w:val="20"/>
              </w:rPr>
              <w:t>Fifth Third Securities, Inc.</w:t>
            </w:r>
          </w:p>
          <w:p>
            <w:pPr>
              <w:pStyle w:val="TableContents"/>
              <w:spacing w:before="0" w:after="0"/>
              <w:rPr>
                <w:rFonts w:ascii="Times New Roman" w:hAnsi="Times New Roman"/>
                <w:sz w:val="20"/>
              </w:rPr>
            </w:pPr>
            <w:r>
              <w:rPr>
                <w:rFonts w:ascii="Times New Roman" w:hAnsi="Times New Roman"/>
                <w:sz w:val="20"/>
              </w:rPr>
              <w:t>ING Financial Markets LLC</w:t>
            </w:r>
          </w:p>
          <w:p>
            <w:pPr>
              <w:pStyle w:val="TableContents"/>
              <w:spacing w:before="0" w:after="0"/>
              <w:rPr>
                <w:rFonts w:ascii="Times New Roman" w:hAnsi="Times New Roman"/>
                <w:sz w:val="20"/>
              </w:rPr>
            </w:pPr>
            <w:r>
              <w:rPr>
                <w:rFonts w:ascii="Times New Roman" w:hAnsi="Times New Roman"/>
                <w:sz w:val="20"/>
              </w:rPr>
              <w:t>Mitsubishi UFJ Securities (USA), Inc.</w:t>
            </w:r>
          </w:p>
          <w:p>
            <w:pPr>
              <w:pStyle w:val="TableContents"/>
              <w:spacing w:before="0" w:after="0"/>
              <w:rPr>
                <w:rFonts w:ascii="Times New Roman" w:hAnsi="Times New Roman"/>
                <w:sz w:val="20"/>
              </w:rPr>
            </w:pPr>
            <w:r>
              <w:rPr>
                <w:rFonts w:ascii="Times New Roman" w:hAnsi="Times New Roman"/>
                <w:sz w:val="20"/>
              </w:rPr>
              <w:t>Morgan Keegan &amp; Company, Inc.</w:t>
            </w:r>
          </w:p>
          <w:p>
            <w:pPr>
              <w:pStyle w:val="TableContents"/>
              <w:spacing w:before="0" w:after="0"/>
              <w:rPr>
                <w:rFonts w:ascii="Times New Roman" w:hAnsi="Times New Roman"/>
                <w:sz w:val="20"/>
              </w:rPr>
            </w:pPr>
            <w:r>
              <w:rPr>
                <w:rFonts w:ascii="Times New Roman" w:hAnsi="Times New Roman"/>
                <w:sz w:val="20"/>
              </w:rPr>
              <w:t>PNC Capital Markets LLC</w:t>
            </w:r>
          </w:p>
          <w:p>
            <w:pPr>
              <w:pStyle w:val="TableContents"/>
              <w:spacing w:before="0" w:after="0"/>
              <w:rPr>
                <w:rFonts w:ascii="Times New Roman" w:hAnsi="Times New Roman"/>
                <w:sz w:val="20"/>
              </w:rPr>
            </w:pPr>
            <w:r>
              <w:rPr>
                <w:rFonts w:ascii="Times New Roman" w:hAnsi="Times New Roman"/>
                <w:sz w:val="20"/>
              </w:rPr>
              <w:t>Scotia Capital (USA) Inc.</w:t>
            </w:r>
          </w:p>
          <w:p>
            <w:pPr>
              <w:pStyle w:val="TableContents"/>
              <w:spacing w:before="0" w:after="0"/>
              <w:rPr>
                <w:rFonts w:ascii="Times New Roman" w:hAnsi="Times New Roman"/>
                <w:sz w:val="20"/>
              </w:rPr>
            </w:pPr>
            <w:r>
              <w:rPr>
                <w:rFonts w:ascii="Times New Roman" w:hAnsi="Times New Roman"/>
                <w:sz w:val="20"/>
              </w:rPr>
              <w:t>SG Americas Securities, LLC</w:t>
            </w:r>
          </w:p>
          <w:p>
            <w:pPr>
              <w:pStyle w:val="TableContents"/>
              <w:spacing w:before="0" w:after="15"/>
              <w:rPr>
                <w:rFonts w:ascii="Times New Roman" w:hAnsi="Times New Roman"/>
                <w:sz w:val="20"/>
              </w:rPr>
            </w:pPr>
            <w:r>
              <w:rPr>
                <w:rFonts w:ascii="Times New Roman" w:hAnsi="Times New Roman"/>
                <w:sz w:val="20"/>
              </w:rPr>
              <w:t>U.S. Bancorp Investments, Inc.</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80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Note: A securities rating is not a recommendation to buy, sell or hold securities and may be revised or withdrawn at any time. </w:t>
            </w:r>
          </w:p>
        </w:tc>
      </w:tr>
    </w:tbl>
    <w:p>
      <w:pPr>
        <w:pStyle w:val="TextBody"/>
        <w:spacing w:before="180" w:after="0"/>
        <w:rPr>
          <w:rFonts w:ascii="Times New Roman" w:hAnsi="Times New Roman"/>
          <w:sz w:val="20"/>
        </w:rPr>
      </w:pPr>
      <w:r>
        <w:rPr>
          <w:rFonts w:ascii="Times New Roman" w:hAnsi="Times New Roman"/>
          <w:sz w:val="20"/>
        </w:rPr>
        <w:t xml:space="preserve">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J.P. Morgan Securities LLC at (212) 834-4533, Merrill Lynch, Pierce, Fenner &amp; Smith Incorporated toll free at (800) 294-1322, UBS Securities LLC at 877-827-6444, ext. 561 3884 or Wells Fargo Securities, LLC at 1-800-326-5897.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537</Words>
  <CharactersWithSpaces>3358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Free Writing Prospectus</dc:title>
</cp:coreProperties>
</file>