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PAA GP Holdings LLC</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0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7"/>
                <w:szCs w:val="17"/>
                <w:color w:val="0000FF"/>
                <w:w w:val="97"/>
              </w:rPr>
              <w:t>333 CLAY STREET, STE. 1600</w:t>
            </w:r>
          </w:p>
        </w:tc>
        <w:tc>
          <w:tcPr>
            <w:tcW w:w="12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340" w:type="dxa"/>
            <w:vAlign w:val="bottom"/>
          </w:tcPr>
          <w:p>
            <w:pPr>
              <w:ind w:left="200"/>
              <w:spacing w:after="0"/>
              <w:rPr>
                <w:sz w:val="20"/>
                <w:szCs w:val="20"/>
                <w:color w:val="auto"/>
              </w:rPr>
            </w:pPr>
            <w:r>
              <w:rPr>
                <w:rFonts w:ascii="Arial" w:cs="Arial" w:eastAsia="Arial" w:hAnsi="Arial"/>
                <w:sz w:val="17"/>
                <w:szCs w:val="17"/>
                <w:color w:val="0000FF"/>
              </w:rPr>
              <w:t>TX</w:t>
            </w:r>
          </w:p>
        </w:tc>
        <w:tc>
          <w:tcPr>
            <w:tcW w:w="1280" w:type="dxa"/>
            <w:vAlign w:val="bottom"/>
          </w:tcPr>
          <w:p>
            <w:pPr>
              <w:ind w:left="8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00"/>
              <w:spacing w:after="0"/>
              <w:rPr>
                <w:sz w:val="20"/>
                <w:szCs w:val="20"/>
                <w:color w:val="auto"/>
              </w:rPr>
            </w:pPr>
            <w:r>
              <w:rPr>
                <w:rFonts w:ascii="Arial" w:cs="Arial" w:eastAsia="Arial" w:hAnsi="Arial"/>
                <w:sz w:val="13"/>
                <w:szCs w:val="13"/>
                <w:color w:val="auto"/>
              </w:rPr>
              <w:t>(State)</w:t>
            </w:r>
          </w:p>
        </w:tc>
        <w:tc>
          <w:tcPr>
            <w:tcW w:w="128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jc w:val="right"/>
              <w:spacing w:after="0"/>
              <w:rPr>
                <w:sz w:val="20"/>
                <w:szCs w:val="20"/>
                <w:color w:val="auto"/>
              </w:rPr>
            </w:pPr>
            <w:r>
              <w:rPr>
                <w:rFonts w:ascii="Arial" w:cs="Arial" w:eastAsia="Arial" w:hAnsi="Arial"/>
                <w:sz w:val="13"/>
                <w:szCs w:val="13"/>
                <w:color w:val="auto"/>
              </w:rPr>
              <w:t>5.</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5520" w:type="dxa"/>
            <w:vAlign w:val="bottom"/>
            <w:gridSpan w:val="5"/>
          </w:tcPr>
          <w:p>
            <w:pPr>
              <w:ind w:left="80"/>
              <w:spacing w:after="0" w:line="207" w:lineRule="exact"/>
              <w:rPr>
                <w:rFonts w:ascii="Arial" w:cs="Arial" w:eastAsia="Arial" w:hAnsi="Arial"/>
                <w:sz w:val="20"/>
                <w:szCs w:val="20"/>
                <w:color w:val="0000EE"/>
              </w:rPr>
            </w:pPr>
            <w:hyperlink r:id="rId14">
              <w:r>
                <w:rPr>
                  <w:rFonts w:ascii="Arial" w:cs="Arial" w:eastAsia="Arial" w:hAnsi="Arial"/>
                  <w:sz w:val="20"/>
                  <w:szCs w:val="20"/>
                  <w:u w:val="single" w:color="auto"/>
                  <w:color w:val="0000EE"/>
                </w:rPr>
                <w:t>PLAINS ALL AMERICAN PIPELINE LP</w:t>
              </w:r>
              <w:r>
                <w:rPr>
                  <w:rFonts w:ascii="Arial" w:cs="Arial" w:eastAsia="Arial" w:hAnsi="Arial"/>
                  <w:sz w:val="20"/>
                  <w:szCs w:val="20"/>
                  <w:color w:val="0000EE"/>
                </w:rPr>
                <w:t xml:space="preserve">  </w:t>
              </w:r>
            </w:hyperlink>
            <w:r>
              <w:rPr>
                <w:rFonts w:ascii="Arial" w:cs="Arial" w:eastAsia="Arial" w:hAnsi="Arial"/>
                <w:sz w:val="24"/>
                <w:szCs w:val="24"/>
                <w:color w:val="000000"/>
                <w:vertAlign w:val="superscript"/>
              </w:rPr>
              <w:t>(Check</w:t>
            </w:r>
            <w:r>
              <w:rPr>
                <w:rFonts w:ascii="Arial" w:cs="Arial" w:eastAsia="Arial" w:hAnsi="Arial"/>
                <w:sz w:val="20"/>
                <w:szCs w:val="20"/>
                <w:color w:val="0000EE"/>
              </w:rPr>
              <w:t xml:space="preserve"> </w:t>
            </w:r>
            <w:r>
              <w:rPr>
                <w:rFonts w:ascii="Arial" w:cs="Arial" w:eastAsia="Arial" w:hAnsi="Arial"/>
                <w:sz w:val="24"/>
                <w:szCs w:val="24"/>
                <w:color w:val="000000"/>
                <w:vertAlign w:val="superscript"/>
              </w:rPr>
              <w:t>all applicable)</w:t>
            </w:r>
          </w:p>
        </w:tc>
        <w:tc>
          <w:tcPr>
            <w:tcW w:w="36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820" w:type="dxa"/>
            <w:vAlign w:val="bottom"/>
            <w:gridSpan w:val="2"/>
          </w:tcPr>
          <w:p>
            <w:pPr>
              <w:ind w:left="80"/>
              <w:spacing w:after="0" w:line="147" w:lineRule="exact"/>
              <w:rPr>
                <w:sz w:val="20"/>
                <w:szCs w:val="20"/>
                <w:color w:val="auto"/>
              </w:rPr>
            </w:pPr>
            <w:r>
              <w:rPr>
                <w:rFonts w:ascii="Arial" w:cs="Arial" w:eastAsia="Arial" w:hAnsi="Arial"/>
                <w:sz w:val="16"/>
                <w:szCs w:val="16"/>
                <w:color w:val="auto"/>
              </w:rPr>
              <w:t>[</w:t>
            </w:r>
            <w:r>
              <w:rPr>
                <w:rFonts w:ascii="Arial" w:cs="Arial" w:eastAsia="Arial" w:hAnsi="Arial"/>
                <w:sz w:val="13"/>
                <w:szCs w:val="13"/>
                <w:color w:val="0000FF"/>
              </w:rPr>
              <w:t>PAA</w:t>
            </w: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300" w:type="dxa"/>
            <w:vAlign w:val="bottom"/>
          </w:tcPr>
          <w:p>
            <w:pPr>
              <w:ind w:left="80"/>
              <w:spacing w:after="0" w:line="147" w:lineRule="exact"/>
              <w:rPr>
                <w:sz w:val="20"/>
                <w:szCs w:val="20"/>
                <w:color w:val="auto"/>
              </w:rPr>
            </w:pPr>
            <w:r>
              <w:rPr>
                <w:rFonts w:ascii="Arial" w:cs="Arial" w:eastAsia="Arial" w:hAnsi="Arial"/>
                <w:sz w:val="16"/>
                <w:szCs w:val="16"/>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vMerge w:val="continue"/>
          </w:tcPr>
          <w:p>
            <w:pPr>
              <w:spacing w:after="0"/>
              <w:rPr>
                <w:sz w:val="12"/>
                <w:szCs w:val="12"/>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4"/>
                <w:szCs w:val="4"/>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3"/>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0" w:type="dxa"/>
            <w:vAlign w:val="bottom"/>
            <w:vMerge w:val="continue"/>
          </w:tcPr>
          <w:p>
            <w:pPr>
              <w:spacing w:after="0"/>
              <w:rPr>
                <w:sz w:val="8"/>
                <w:szCs w:val="8"/>
                <w:color w:val="auto"/>
              </w:rPr>
            </w:pPr>
          </w:p>
        </w:tc>
        <w:tc>
          <w:tcPr>
            <w:tcW w:w="3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06/30/2020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jc w:val="right"/>
              <w:spacing w:after="0"/>
              <w:rPr>
                <w:sz w:val="20"/>
                <w:szCs w:val="20"/>
                <w:color w:val="auto"/>
              </w:rPr>
            </w:pPr>
            <w:r>
              <w:rPr>
                <w:rFonts w:ascii="Arial" w:cs="Arial" w:eastAsia="Arial" w:hAnsi="Arial"/>
                <w:sz w:val="13"/>
                <w:szCs w:val="13"/>
                <w:color w:val="auto"/>
              </w:rPr>
              <w:t>6.</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168910</wp:posOffset>
            </wp:positionV>
            <wp:extent cx="6964045" cy="1531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531620"/>
                    </a:xfrm>
                    <a:prstGeom prst="rect">
                      <a:avLst/>
                    </a:prstGeom>
                    <a:noFill/>
                  </pic:spPr>
                </pic:pic>
              </a:graphicData>
            </a:graphic>
          </wp:anchor>
        </w:drawing>
      </w:r>
    </w:p>
    <w:p>
      <w:pPr>
        <w:spacing w:after="0" w:line="327"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3"/>
                <w:szCs w:val="13"/>
                <w:color w:val="auto"/>
              </w:rPr>
            </w:pPr>
          </w:p>
        </w:tc>
        <w:tc>
          <w:tcPr>
            <w:tcW w:w="10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9"/>
              </w:rPr>
              <w:t>Common Units (Limited Partner Interests)   06/30/2020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(1)(2)</w:t>
            </w:r>
          </w:p>
        </w:tc>
        <w:tc>
          <w:tcPr>
            <w:tcW w:w="720" w:type="dxa"/>
            <w:vAlign w:val="bottom"/>
            <w:vMerge w:val="restart"/>
          </w:tcPr>
          <w:p>
            <w:pPr>
              <w:ind w:left="180"/>
              <w:spacing w:after="0"/>
              <w:rPr>
                <w:sz w:val="20"/>
                <w:szCs w:val="20"/>
                <w:color w:val="auto"/>
              </w:rPr>
            </w:pPr>
            <w:r>
              <w:rPr>
                <w:rFonts w:ascii="Arial" w:cs="Arial" w:eastAsia="Arial" w:hAnsi="Arial"/>
                <w:sz w:val="17"/>
                <w:szCs w:val="17"/>
                <w:color w:val="0000FF"/>
                <w:w w:val="99"/>
              </w:rPr>
              <w:t>40,679</w:t>
            </w:r>
          </w:p>
        </w:tc>
        <w:tc>
          <w:tcPr>
            <w:tcW w:w="440" w:type="dxa"/>
            <w:vAlign w:val="bottom"/>
            <w:vMerge w:val="restart"/>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18"/>
                <w:szCs w:val="18"/>
                <w:color w:val="auto"/>
              </w:rPr>
            </w:pPr>
          </w:p>
        </w:tc>
        <w:tc>
          <w:tcPr>
            <w:tcW w:w="580" w:type="dxa"/>
            <w:vAlign w:val="bottom"/>
            <w:gridSpan w:val="3"/>
            <w:vMerge w:val="restart"/>
          </w:tcPr>
          <w:p>
            <w:pPr>
              <w:jc w:val="right"/>
              <w:ind w:right="40"/>
              <w:spacing w:after="0" w:line="382" w:lineRule="exact"/>
              <w:rPr>
                <w:sz w:val="20"/>
                <w:szCs w:val="20"/>
                <w:color w:val="auto"/>
              </w:rPr>
            </w:pPr>
            <w:r>
              <w:rPr>
                <w:rFonts w:ascii="Arial" w:cs="Arial" w:eastAsia="Arial" w:hAnsi="Arial"/>
                <w:sz w:val="34"/>
                <w:szCs w:val="34"/>
                <w:color w:val="000000"/>
                <w:w w:val="88"/>
                <w:vertAlign w:val="subscript"/>
              </w:rPr>
              <w:t>$</w:t>
            </w:r>
            <w:r>
              <w:rPr>
                <w:rFonts w:ascii="Arial" w:cs="Arial" w:eastAsia="Arial" w:hAnsi="Arial"/>
                <w:sz w:val="34"/>
                <w:szCs w:val="34"/>
                <w:color w:val="0000FF"/>
                <w:w w:val="88"/>
                <w:vertAlign w:val="subscript"/>
              </w:rPr>
              <w:t>0</w:t>
            </w:r>
            <w:r>
              <w:rPr>
                <w:rFonts w:ascii="Arial" w:cs="Arial" w:eastAsia="Arial" w:hAnsi="Arial"/>
                <w:sz w:val="11"/>
                <w:szCs w:val="11"/>
                <w:color w:val="008000"/>
                <w:w w:val="88"/>
              </w:rPr>
              <w:t>(1)(2)</w:t>
            </w:r>
          </w:p>
        </w:tc>
        <w:tc>
          <w:tcPr>
            <w:tcW w:w="1220" w:type="dxa"/>
            <w:vAlign w:val="bottom"/>
            <w:gridSpan w:val="2"/>
            <w:vMerge w:val="restart"/>
          </w:tcPr>
          <w:p>
            <w:pPr>
              <w:ind w:left="160"/>
              <w:spacing w:after="0"/>
              <w:rPr>
                <w:sz w:val="20"/>
                <w:szCs w:val="20"/>
                <w:color w:val="auto"/>
              </w:rPr>
            </w:pPr>
            <w:r>
              <w:rPr>
                <w:rFonts w:ascii="Arial" w:cs="Arial" w:eastAsia="Arial" w:hAnsi="Arial"/>
                <w:sz w:val="17"/>
                <w:szCs w:val="17"/>
                <w:color w:val="0000FF"/>
              </w:rPr>
              <w:t>248,353,726</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Plains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0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AAP,</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20" w:type="dxa"/>
            <w:vAlign w:val="bottom"/>
            <w:tcBorders>
              <w:top w:val="single" w:sz="8" w:color="2C2C2C"/>
            </w:tcBorders>
            <w:gridSpan w:val="17"/>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PAA GP Holdings LLC</w:t>
              </w:r>
            </w:hyperlink>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333 CLAY STREET, STE. 1600</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tcPr>
          <w:p>
            <w:pPr>
              <w:ind w:left="20"/>
              <w:spacing w:after="0"/>
              <w:rPr>
                <w:sz w:val="20"/>
                <w:szCs w:val="20"/>
                <w:color w:val="auto"/>
              </w:rPr>
            </w:pPr>
            <w:r>
              <w:rPr>
                <w:rFonts w:ascii="Arial" w:cs="Arial" w:eastAsia="Arial" w:hAnsi="Arial"/>
                <w:sz w:val="17"/>
                <w:szCs w:val="17"/>
                <w:color w:val="0000FF"/>
              </w:rPr>
              <w:t>TX</w:t>
            </w:r>
          </w:p>
        </w:tc>
        <w:tc>
          <w:tcPr>
            <w:tcW w:w="1100" w:type="dxa"/>
            <w:vAlign w:val="bottom"/>
          </w:tcPr>
          <w:p>
            <w:pPr>
              <w:ind w:left="240"/>
              <w:spacing w:after="0"/>
              <w:rPr>
                <w:sz w:val="20"/>
                <w:szCs w:val="20"/>
                <w:color w:val="auto"/>
              </w:rPr>
            </w:pPr>
            <w:r>
              <w:rPr>
                <w:rFonts w:ascii="Arial" w:cs="Arial" w:eastAsia="Arial" w:hAnsi="Arial"/>
                <w:sz w:val="17"/>
                <w:szCs w:val="17"/>
                <w:color w:val="0000FF"/>
              </w:rPr>
              <w:t>77002</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Plains AAP, L.P.</w:t>
              </w:r>
            </w:hyperlink>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333 CLAY STREET, STE. 1600</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tcPr>
          <w:p>
            <w:pPr>
              <w:ind w:left="20"/>
              <w:spacing w:after="0"/>
              <w:rPr>
                <w:sz w:val="20"/>
                <w:szCs w:val="20"/>
                <w:color w:val="auto"/>
              </w:rPr>
            </w:pPr>
            <w:r>
              <w:rPr>
                <w:rFonts w:ascii="Arial" w:cs="Arial" w:eastAsia="Arial" w:hAnsi="Arial"/>
                <w:sz w:val="17"/>
                <w:szCs w:val="17"/>
                <w:color w:val="0000FF"/>
              </w:rPr>
              <w:t>TX</w:t>
            </w:r>
          </w:p>
        </w:tc>
        <w:tc>
          <w:tcPr>
            <w:tcW w:w="1100" w:type="dxa"/>
            <w:vAlign w:val="bottom"/>
          </w:tcPr>
          <w:p>
            <w:pPr>
              <w:ind w:left="240"/>
              <w:spacing w:after="0"/>
              <w:rPr>
                <w:sz w:val="20"/>
                <w:szCs w:val="20"/>
                <w:color w:val="auto"/>
              </w:rPr>
            </w:pPr>
            <w:r>
              <w:rPr>
                <w:rFonts w:ascii="Arial" w:cs="Arial" w:eastAsia="Arial" w:hAnsi="Arial"/>
                <w:sz w:val="17"/>
                <w:szCs w:val="17"/>
                <w:color w:val="0000FF"/>
              </w:rPr>
              <w:t>77002</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60" w:type="dxa"/>
            <w:vAlign w:val="bottom"/>
            <w:tcBorders>
              <w:bottom w:val="single" w:sz="8" w:color="2C2C2C"/>
            </w:tcBorders>
            <w:gridSpan w:val="4"/>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w w:val="97"/>
              </w:rPr>
            </w:pPr>
            <w:hyperlink r:id="rId17">
              <w:r>
                <w:rPr>
                  <w:rFonts w:ascii="Arial" w:cs="Arial" w:eastAsia="Arial" w:hAnsi="Arial"/>
                  <w:sz w:val="21"/>
                  <w:szCs w:val="21"/>
                  <w:u w:val="single" w:color="auto"/>
                  <w:color w:val="0000EE"/>
                  <w:w w:val="97"/>
                </w:rPr>
                <w:t>Plains All American GP LLC</w:t>
              </w:r>
            </w:hyperlink>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-5744845</wp:posOffset>
            </wp:positionV>
            <wp:extent cx="7031355" cy="6151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031355" cy="615188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333 CLAY STREET, STE. 1600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151130</wp:posOffset>
            </wp:positionV>
            <wp:extent cx="26485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540" w:type="dxa"/>
            <w:vAlign w:val="bottom"/>
          </w:tcPr>
          <w:p>
            <w:pPr>
              <w:ind w:left="280"/>
              <w:spacing w:after="0"/>
              <w:rPr>
                <w:sz w:val="20"/>
                <w:szCs w:val="20"/>
                <w:color w:val="auto"/>
              </w:rPr>
            </w:pPr>
            <w:r>
              <w:rPr>
                <w:rFonts w:ascii="Arial" w:cs="Arial" w:eastAsia="Arial" w:hAnsi="Arial"/>
                <w:sz w:val="17"/>
                <w:szCs w:val="17"/>
                <w:color w:val="0000FF"/>
              </w:rPr>
              <w:t>TX</w:t>
            </w:r>
          </w:p>
        </w:tc>
        <w:tc>
          <w:tcPr>
            <w:tcW w:w="1500" w:type="dxa"/>
            <w:vAlign w:val="bottom"/>
          </w:tcPr>
          <w:p>
            <w:pPr>
              <w:ind w:left="14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PLAINS GP HOLDINGS LP</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tcPr>
          <w:p>
            <w:pPr>
              <w:ind w:left="2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333 CLAY STREET, STE. 1600</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540" w:type="dxa"/>
            <w:vAlign w:val="bottom"/>
          </w:tcPr>
          <w:p>
            <w:pPr>
              <w:ind w:left="280"/>
              <w:spacing w:after="0"/>
              <w:rPr>
                <w:sz w:val="20"/>
                <w:szCs w:val="20"/>
                <w:color w:val="auto"/>
              </w:rPr>
            </w:pPr>
            <w:r>
              <w:rPr>
                <w:rFonts w:ascii="Arial" w:cs="Arial" w:eastAsia="Arial" w:hAnsi="Arial"/>
                <w:sz w:val="17"/>
                <w:szCs w:val="17"/>
                <w:color w:val="0000FF"/>
              </w:rPr>
              <w:t>TX</w:t>
            </w:r>
          </w:p>
        </w:tc>
        <w:tc>
          <w:tcPr>
            <w:tcW w:w="1500" w:type="dxa"/>
            <w:vAlign w:val="bottom"/>
          </w:tcPr>
          <w:p>
            <w:pPr>
              <w:ind w:left="14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2276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783840" cy="22764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29" w:lineRule="exact"/>
        <w:rPr>
          <w:rFonts w:ascii="Arial" w:cs="Arial" w:eastAsia="Arial" w:hAnsi="Arial"/>
          <w:sz w:val="13"/>
          <w:szCs w:val="13"/>
          <w:color w:val="008000"/>
        </w:rPr>
      </w:pPr>
    </w:p>
    <w:p>
      <w:pPr>
        <w:ind w:left="20" w:right="4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Effective June 30, 2020, KAFU Holdings (QP), L.P. exercised the Redemption Right with respect to 40,679 AAP Class A units, resulting in the cancellation of such AAP Class A units and the distribution of 40,679 Common Units from AAP to the redeeming partner.</w:t>
      </w:r>
    </w:p>
    <w:p>
      <w:pPr>
        <w:spacing w:after="0" w:line="15" w:lineRule="exact"/>
        <w:rPr>
          <w:rFonts w:ascii="Arial" w:cs="Arial" w:eastAsia="Arial" w:hAnsi="Arial"/>
          <w:sz w:val="13"/>
          <w:szCs w:val="13"/>
          <w:color w:val="008000"/>
        </w:rPr>
      </w:pPr>
    </w:p>
    <w:p>
      <w:pPr>
        <w:ind w:left="20" w:right="420" w:firstLine="7"/>
        <w:spacing w:after="0" w:line="308"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spacing w:after="0" w:line="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By: /s/ Ann F. Gullion,</w:t>
            </w:r>
          </w:p>
        </w:tc>
        <w:tc>
          <w:tcPr>
            <w:tcW w:w="4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07/02/2020</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Assistant Secretary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480" w:top="14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1" Type="http://schemas.openxmlformats.org/officeDocument/2006/relationships/image" Target="media/image9.png"/><Relationship Id="rId13" Type="http://schemas.openxmlformats.org/officeDocument/2006/relationships/hyperlink" Target="http://www.sec.gov/cgi-bin/browse-edgar?action=getcompany&amp;CIK=0001581928" TargetMode="External"/><Relationship Id="rId14" Type="http://schemas.openxmlformats.org/officeDocument/2006/relationships/hyperlink" Target="http://www.sec.gov/cgi-bin/browse-edgar?action=getcompany&amp;CIK=0001070423" TargetMode="External"/><Relationship Id="rId16" Type="http://schemas.openxmlformats.org/officeDocument/2006/relationships/hyperlink" Target="http://www.sec.gov/cgi-bin/browse-edgar?action=getcompany&amp;CIK=0001490401" TargetMode="External"/><Relationship Id="rId17" Type="http://schemas.openxmlformats.org/officeDocument/2006/relationships/hyperlink" Target="http://www.sec.gov/cgi-bin/browse-edgar?action=getcompany&amp;CIK=0001490402" TargetMode="External"/><Relationship Id="rId20"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2020-07-02T15:18:17Z</dcterms:created>
  <dcterms:modified xsi:type="dcterms:W3CDTF">2020-07-02T15:18:17Z</dcterms:modified>
</cp:coreProperties>
</file>