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January 18, 2007</w:t>
      </w:r>
    </w:p>
    <w:p>
      <w:pPr>
        <w:spacing w:after="0" w:line="238" w:lineRule="auto"/>
        <w:rPr>
          <w:sz w:val="20"/>
          <w:szCs w:val="20"/>
          <w:color w:val="auto"/>
        </w:rPr>
      </w:pPr>
      <w:r>
        <w:rPr>
          <w:rFonts w:ascii="Courier New" w:cs="Courier New" w:eastAsia="Courier New" w:hAnsi="Courier New"/>
          <w:sz w:val="18"/>
          <w:szCs w:val="18"/>
          <w:color w:val="auto"/>
        </w:rPr>
        <w:t>via U.S. mail and facsimile</w:t>
      </w:r>
    </w:p>
    <w:p>
      <w:pPr>
        <w:spacing w:after="0"/>
        <w:rPr>
          <w:sz w:val="20"/>
          <w:szCs w:val="20"/>
          <w:color w:val="auto"/>
        </w:rPr>
      </w:pPr>
      <w:r>
        <w:rPr>
          <w:rFonts w:ascii="Courier New" w:cs="Courier New" w:eastAsia="Courier New" w:hAnsi="Courier New"/>
          <w:sz w:val="18"/>
          <w:szCs w:val="18"/>
          <w:color w:val="auto"/>
        </w:rPr>
        <w:t>Mr. Greg L. Armstrong</w:t>
      </w:r>
    </w:p>
    <w:p>
      <w:pPr>
        <w:spacing w:after="0" w:line="237" w:lineRule="auto"/>
        <w:rPr>
          <w:sz w:val="20"/>
          <w:szCs w:val="20"/>
          <w:color w:val="auto"/>
        </w:rPr>
      </w:pPr>
      <w:r>
        <w:rPr>
          <w:rFonts w:ascii="Courier New" w:cs="Courier New" w:eastAsia="Courier New" w:hAnsi="Courier New"/>
          <w:sz w:val="18"/>
          <w:szCs w:val="18"/>
          <w:color w:val="auto"/>
        </w:rPr>
        <w:t>c/o Mr. Tim Moore</w:t>
      </w:r>
    </w:p>
    <w:p>
      <w:pPr>
        <w:spacing w:after="0" w:line="238" w:lineRule="auto"/>
        <w:rPr>
          <w:sz w:val="20"/>
          <w:szCs w:val="20"/>
          <w:color w:val="auto"/>
        </w:rPr>
      </w:pPr>
      <w:r>
        <w:rPr>
          <w:rFonts w:ascii="Courier New" w:cs="Courier New" w:eastAsia="Courier New" w:hAnsi="Courier New"/>
          <w:sz w:val="18"/>
          <w:szCs w:val="18"/>
          <w:color w:val="auto"/>
        </w:rPr>
        <w:t>333 Clay Street, Suite 1600</w:t>
      </w:r>
    </w:p>
    <w:p>
      <w:pPr>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4"/>
          <w:szCs w:val="24"/>
          <w:color w:val="auto"/>
        </w:rPr>
      </w:pPr>
    </w:p>
    <w:p>
      <w:pPr>
        <w:spacing w:after="0" w:line="203"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Plains All American Pipeline, L.P.</w:t>
      </w:r>
    </w:p>
    <w:p>
      <w:pPr>
        <w:spacing w:after="0" w:line="4" w:lineRule="exact"/>
        <w:rPr>
          <w:sz w:val="24"/>
          <w:szCs w:val="24"/>
          <w:color w:val="auto"/>
        </w:rPr>
      </w:pPr>
    </w:p>
    <w:p>
      <w:pPr>
        <w:ind w:left="860" w:right="3999" w:hanging="210"/>
        <w:spacing w:after="0" w:line="235" w:lineRule="auto"/>
        <w:rPr>
          <w:sz w:val="20"/>
          <w:szCs w:val="20"/>
          <w:color w:val="auto"/>
        </w:rPr>
      </w:pPr>
      <w:r>
        <w:rPr>
          <w:rFonts w:ascii="Courier New" w:cs="Courier New" w:eastAsia="Courier New" w:hAnsi="Courier New"/>
          <w:sz w:val="18"/>
          <w:szCs w:val="18"/>
          <w:color w:val="auto"/>
        </w:rPr>
        <w:t>Amendment No. 1 to Registration Statement on Form S-3 Filed December 21, 2006</w:t>
      </w:r>
    </w:p>
    <w:p>
      <w:pPr>
        <w:ind w:left="860"/>
        <w:spacing w:after="0"/>
        <w:rPr>
          <w:sz w:val="20"/>
          <w:szCs w:val="20"/>
          <w:color w:val="auto"/>
        </w:rPr>
      </w:pPr>
      <w:r>
        <w:rPr>
          <w:rFonts w:ascii="Courier New" w:cs="Courier New" w:eastAsia="Courier New" w:hAnsi="Courier New"/>
          <w:sz w:val="18"/>
          <w:szCs w:val="18"/>
          <w:color w:val="auto"/>
        </w:rPr>
        <w:t>File No. 333-138888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Armstrong:</w:t>
      </w:r>
    </w:p>
    <w:p>
      <w:pPr>
        <w:spacing w:after="0" w:line="207" w:lineRule="exact"/>
        <w:rPr>
          <w:sz w:val="24"/>
          <w:szCs w:val="24"/>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have limited the review of your amended filing to those issues identified in our comments. Where indicated, we think you should revise your document in response to these comments. If you disagree, we will consider your explanation as to why our comment is</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tabs>
          <w:tab w:leader="none" w:pos="1360" w:val="left"/>
        </w:tabs>
        <w:rPr>
          <w:sz w:val="20"/>
          <w:szCs w:val="20"/>
          <w:color w:val="auto"/>
        </w:rPr>
      </w:pPr>
      <w:r>
        <w:rPr>
          <w:rFonts w:ascii="Courier New" w:cs="Courier New" w:eastAsia="Courier New" w:hAnsi="Courier New"/>
          <w:sz w:val="18"/>
          <w:szCs w:val="18"/>
          <w:color w:val="auto"/>
        </w:rPr>
        <w:t>disclosure.</w:t>
      </w:r>
      <w:r>
        <w:rPr>
          <w:sz w:val="20"/>
          <w:szCs w:val="20"/>
          <w:color w:val="auto"/>
        </w:rPr>
        <w:tab/>
      </w:r>
      <w:r>
        <w:rPr>
          <w:rFonts w:ascii="Courier New" w:cs="Courier New" w:eastAsia="Courier New" w:hAnsi="Courier New"/>
          <w:sz w:val="16"/>
          <w:szCs w:val="16"/>
          <w:color w:val="auto"/>
        </w:rPr>
        <w:t>After reviewing this information, we may raise</w:t>
      </w:r>
    </w:p>
    <w:p>
      <w:pPr>
        <w:spacing w:after="0" w:line="238" w:lineRule="auto"/>
        <w:rPr>
          <w:sz w:val="20"/>
          <w:szCs w:val="20"/>
          <w:color w:val="auto"/>
        </w:rPr>
      </w:pPr>
      <w:r>
        <w:rPr>
          <w:rFonts w:ascii="Courier New" w:cs="Courier New" w:eastAsia="Courier New" w:hAnsi="Courier New"/>
          <w:sz w:val="18"/>
          <w:szCs w:val="18"/>
          <w:color w:val="auto"/>
        </w:rPr>
        <w:t>additional</w:t>
      </w:r>
    </w:p>
    <w:p>
      <w:pPr>
        <w:spacing w:after="0"/>
        <w:rPr>
          <w:sz w:val="20"/>
          <w:szCs w:val="20"/>
          <w:color w:val="auto"/>
        </w:rPr>
      </w:pPr>
      <w:r>
        <w:rPr>
          <w:rFonts w:ascii="Courier New" w:cs="Courier New" w:eastAsia="Courier New" w:hAnsi="Courier New"/>
          <w:sz w:val="18"/>
          <w:szCs w:val="18"/>
          <w:color w:val="auto"/>
        </w:rPr>
        <w:t>comments.</w:t>
      </w: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look forward to working with you in these respects. We welcome any</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questions you may have about our comments or any other aspect of our</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review. Feel free to call us at the telephone numbers listed at the</w:t>
      </w:r>
    </w:p>
    <w:p>
      <w:pPr>
        <w:spacing w:after="0"/>
        <w:rPr>
          <w:sz w:val="20"/>
          <w:szCs w:val="20"/>
          <w:color w:val="auto"/>
        </w:rPr>
      </w:pPr>
      <w:r>
        <w:rPr>
          <w:rFonts w:ascii="Courier New" w:cs="Courier New" w:eastAsia="Courier New" w:hAnsi="Courier New"/>
          <w:sz w:val="18"/>
          <w:szCs w:val="18"/>
          <w:color w:val="auto"/>
        </w:rPr>
        <w:t>end of this letter.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Selling Unitholders, page 24</w:t>
      </w:r>
    </w:p>
    <w:p>
      <w:pPr>
        <w:spacing w:after="0" w:line="207"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revise this section to disclose the transactions whereby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selling unitholders purchased the units that are registered for resale</w:t>
      </w:r>
    </w:p>
    <w:p>
      <w:pPr>
        <w:spacing w:after="0" w:line="5" w:lineRule="exact"/>
        <w:rPr>
          <w:rFonts w:ascii="Courier New" w:cs="Courier New" w:eastAsia="Courier New" w:hAnsi="Courier New"/>
          <w:sz w:val="16"/>
          <w:szCs w:val="16"/>
          <w:color w:val="auto"/>
        </w:rPr>
      </w:pPr>
    </w:p>
    <w:p>
      <w:pPr>
        <w:ind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this registration statement. For each of these transactions, please disclose the registration statement or exemption from registration upon which you relied.</w:t>
      </w:r>
    </w:p>
    <w:p>
      <w:pPr>
        <w:spacing w:after="0" w:line="208" w:lineRule="exact"/>
        <w:rPr>
          <w:rFonts w:ascii="Courier New" w:cs="Courier New" w:eastAsia="Courier New" w:hAnsi="Courier New"/>
          <w:sz w:val="16"/>
          <w:szCs w:val="16"/>
          <w:color w:val="auto"/>
        </w:rPr>
      </w:pPr>
    </w:p>
    <w:p>
      <w:pPr>
        <w:ind w:right="41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disclose if any of the selling unitholders is a registered</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broker-dealer or affiliate of a registered broker-dealer. If you determine that a selling unitholder is a registered broker-dealer, please revise your disclosure to indicate that such selling unitholder</w:t>
      </w:r>
    </w:p>
    <w:p>
      <w:pPr>
        <w:spacing w:after="0" w:line="4"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 an underwriter, unless such selling unitholder received its securities as compensation for investment banking services. If the</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selling unitholder is an affiliate of a registered broker-dealer, please disclose, if true, that such selling unitholder acquired its</w:t>
      </w:r>
    </w:p>
    <w:p>
      <w:pPr>
        <w:spacing w:after="0" w:line="6" w:lineRule="exact"/>
        <w:rPr>
          <w:rFonts w:ascii="Courier New" w:cs="Courier New" w:eastAsia="Courier New" w:hAnsi="Courier New"/>
          <w:sz w:val="18"/>
          <w:szCs w:val="18"/>
          <w:color w:val="auto"/>
        </w:rPr>
      </w:pPr>
    </w:p>
    <w:p>
      <w:pPr>
        <w:jc w:val="both"/>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in the ordinary course of business and at the time of the acquisition did not have any arrangements or understandings with any</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to distribute the securities. If not, you must indicate that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unitholder is an underwriter.</w:t>
      </w:r>
    </w:p>
    <w:p>
      <w:pPr>
        <w:spacing w:after="0" w:line="207" w:lineRule="exact"/>
        <w:rPr>
          <w:rFonts w:ascii="Courier New" w:cs="Courier New" w:eastAsia="Courier New" w:hAnsi="Courier New"/>
          <w:sz w:val="18"/>
          <w:szCs w:val="18"/>
          <w:color w:val="auto"/>
        </w:rPr>
      </w:pPr>
    </w:p>
    <w:p>
      <w:pPr>
        <w:ind w:right="40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you to Section 7.1 of the Common Unit Purchase Agreement</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December 13, 2006 and page S-4 of the prospectus supplement (File 333-126447) filed on December 14, 2006 with respect to a primary</w:t>
      </w:r>
    </w:p>
    <w:p>
      <w:pPr>
        <w:spacing w:after="0" w:line="6"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of securities to the investors identified in such documents.</w:t>
      </w:r>
    </w:p>
    <w:p>
      <w:pPr>
        <w:sectPr>
          <w:pgSz w:w="11900" w:h="16853" w:orient="portrait"/>
          <w:cols w:equalWidth="0" w:num="1">
            <w:col w:w="10219"/>
          </w:cols>
          <w:pgMar w:left="240" w:top="447" w:right="1440" w:bottom="0" w:gutter="0" w:footer="0" w:header="0"/>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Specifically, we note that the purchasers in the primary offering agreed "not to offer, sell, contract to sell, pledge or otherwise dispose of (or enter into any transaction which is designed to, or might reasonably be expected to, result in the disposition (whether by</w:t>
      </w:r>
    </w:p>
    <w:p>
      <w:pPr>
        <w:spacing w:after="0" w:line="6"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actual disposition or effective economic disposition due to cash settlement or otherwise)), directly or indirectly, including the filing (or participation in the filing) of a registration statement</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with the Securities and Exchange Commission (the "SEC") in respect of,</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or establish or increase a put equivalent position or liquidate or decrease a call equivalent position within the meaning of Section 16</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of the Securities Exchange Act of 1934, as amended, with respect to</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the purchased common units for a period of 90 days after the closing</w:t>
      </w:r>
    </w:p>
    <w:p>
      <w:pPr>
        <w:spacing w:after="0"/>
        <w:rPr>
          <w:sz w:val="20"/>
          <w:szCs w:val="20"/>
          <w:color w:val="auto"/>
        </w:rPr>
      </w:pPr>
      <w:r>
        <w:rPr>
          <w:rFonts w:ascii="Courier New" w:cs="Courier New" w:eastAsia="Courier New" w:hAnsi="Courier New"/>
          <w:sz w:val="18"/>
          <w:szCs w:val="18"/>
          <w:color w:val="auto"/>
        </w:rPr>
        <w:t>date of th[e] transaction without [y]our prior written consent".</w:t>
      </w:r>
    </w:p>
    <w:p>
      <w:pPr>
        <w:spacing w:after="0" w:line="207"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Despite this representation, an additional 2,002,792 units are being</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offered in the current registration statement by additional selling</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unitholders who appear to have been amongst the purchasers who bought</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units in the recent primary offering. Given that the 90 day lock-up</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period had not yet passed prior to such unitholders offering their securities in the current registration statement, provide us with your</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analysis as to why such unitholders are not underwriters as defined in</w:t>
      </w:r>
    </w:p>
    <w:p>
      <w:pPr>
        <w:spacing w:after="0"/>
        <w:tabs>
          <w:tab w:leader="none" w:pos="5140" w:val="left"/>
        </w:tabs>
        <w:rPr>
          <w:sz w:val="20"/>
          <w:szCs w:val="20"/>
          <w:color w:val="auto"/>
        </w:rPr>
      </w:pPr>
      <w:r>
        <w:rPr>
          <w:rFonts w:ascii="Courier New" w:cs="Courier New" w:eastAsia="Courier New" w:hAnsi="Courier New"/>
          <w:sz w:val="18"/>
          <w:szCs w:val="18"/>
          <w:color w:val="auto"/>
        </w:rPr>
        <w:t>Section 2(a)(11) of the Securities Act of 1933.</w:t>
      </w:r>
      <w:r>
        <w:rPr>
          <w:sz w:val="20"/>
          <w:szCs w:val="20"/>
          <w:color w:val="auto"/>
        </w:rPr>
        <w:tab/>
      </w:r>
      <w:r>
        <w:rPr>
          <w:rFonts w:ascii="Courier New" w:cs="Courier New" w:eastAsia="Courier New" w:hAnsi="Courier New"/>
          <w:sz w:val="16"/>
          <w:szCs w:val="16"/>
          <w:color w:val="auto"/>
        </w:rPr>
        <w:t>We may have</w:t>
      </w:r>
    </w:p>
    <w:p>
      <w:pPr>
        <w:spacing w:after="0" w:line="238" w:lineRule="auto"/>
        <w:rPr>
          <w:sz w:val="20"/>
          <w:szCs w:val="20"/>
          <w:color w:val="auto"/>
        </w:rPr>
      </w:pPr>
      <w:r>
        <w:rPr>
          <w:rFonts w:ascii="Courier New" w:cs="Courier New" w:eastAsia="Courier New" w:hAnsi="Courier New"/>
          <w:sz w:val="18"/>
          <w:szCs w:val="18"/>
          <w:color w:val="auto"/>
        </w:rPr>
        <w:t>further</w:t>
      </w:r>
    </w:p>
    <w:p>
      <w:pPr>
        <w:spacing w:after="0"/>
        <w:rPr>
          <w:sz w:val="20"/>
          <w:szCs w:val="20"/>
          <w:color w:val="auto"/>
        </w:rPr>
      </w:pPr>
      <w:r>
        <w:rPr>
          <w:rFonts w:ascii="Courier New" w:cs="Courier New" w:eastAsia="Courier New" w:hAnsi="Courier New"/>
          <w:sz w:val="18"/>
          <w:szCs w:val="18"/>
          <w:color w:val="auto"/>
        </w:rPr>
        <w:t>comment.</w:t>
      </w:r>
    </w:p>
    <w:p>
      <w:pPr>
        <w:spacing w:after="0" w:line="206" w:lineRule="exact"/>
        <w:rPr>
          <w:sz w:val="20"/>
          <w:szCs w:val="20"/>
          <w:color w:val="auto"/>
        </w:rPr>
      </w:pPr>
    </w:p>
    <w:p>
      <w:pPr>
        <w:ind w:right="45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why you are including in this resale registration</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units that apparently have been registered already pursuant</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your primary shelf registration statement (File 333-126447). We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have further comment.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Comments</w:t>
      </w:r>
    </w:p>
    <w:p>
      <w:pPr>
        <w:spacing w:after="0" w:line="207" w:lineRule="exact"/>
        <w:rPr>
          <w:sz w:val="20"/>
          <w:szCs w:val="20"/>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As appropriate, please amend the above filing in response to these comments. You may wish to provide us with a marked copy of the</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amendment to expedite our review. Please furnish a cover letter with</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your amendment that keys your responses to our comments and provides</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any requested information. Detailed cover letters greatly facilitate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our review. Please understand that we may have additional comments</w:t>
      </w:r>
    </w:p>
    <w:p>
      <w:pPr>
        <w:spacing w:after="0"/>
        <w:rPr>
          <w:sz w:val="20"/>
          <w:szCs w:val="20"/>
          <w:color w:val="auto"/>
        </w:rPr>
      </w:pPr>
      <w:r>
        <w:rPr>
          <w:rFonts w:ascii="Courier New" w:cs="Courier New" w:eastAsia="Courier New" w:hAnsi="Courier New"/>
          <w:sz w:val="18"/>
          <w:szCs w:val="18"/>
          <w:color w:val="auto"/>
        </w:rPr>
        <w:t>after reviewing your amendment and responses to our comments.</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includes all information required under the Securities Act of 1933 and</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that they have provided all information investors require for an informed investment decision. Since the company and its management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 in possession of all facts relating to a company`s disclosure,</w:t>
      </w:r>
    </w:p>
    <w:p>
      <w:pPr>
        <w:spacing w:after="0" w:line="238" w:lineRule="auto"/>
        <w:rPr>
          <w:sz w:val="20"/>
          <w:szCs w:val="20"/>
          <w:color w:val="auto"/>
        </w:rPr>
      </w:pPr>
      <w:r>
        <w:rPr>
          <w:rFonts w:ascii="Courier New" w:cs="Courier New" w:eastAsia="Courier New" w:hAnsi="Courier New"/>
          <w:sz w:val="18"/>
          <w:szCs w:val="18"/>
          <w:color w:val="auto"/>
        </w:rPr>
        <w:t>they are responsible for the accuracy and adequacy of the</w:t>
      </w:r>
    </w:p>
    <w:p>
      <w:pPr>
        <w:spacing w:after="0"/>
        <w:rPr>
          <w:sz w:val="20"/>
          <w:szCs w:val="20"/>
          <w:color w:val="auto"/>
        </w:rPr>
      </w:pPr>
      <w:r>
        <w:rPr>
          <w:rFonts w:ascii="Courier New" w:cs="Courier New" w:eastAsia="Courier New" w:hAnsi="Courier New"/>
          <w:sz w:val="18"/>
          <w:szCs w:val="18"/>
          <w:color w:val="auto"/>
        </w:rPr>
        <w:t>disclosures</w:t>
      </w:r>
    </w:p>
    <w:p>
      <w:pPr>
        <w:spacing w:after="0" w:line="237" w:lineRule="auto"/>
        <w:rPr>
          <w:sz w:val="20"/>
          <w:szCs w:val="20"/>
          <w:color w:val="auto"/>
        </w:rPr>
      </w:pPr>
      <w:r>
        <w:rPr>
          <w:rFonts w:ascii="Courier New" w:cs="Courier New" w:eastAsia="Courier New" w:hAnsi="Courier New"/>
          <w:sz w:val="18"/>
          <w:szCs w:val="18"/>
          <w:color w:val="auto"/>
        </w:rPr>
        <w:t>they have made.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Notwithstanding our comments, in the event the company</w:t>
      </w:r>
    </w:p>
    <w:p>
      <w:pPr>
        <w:spacing w:after="0" w:line="238" w:lineRule="auto"/>
        <w:rPr>
          <w:sz w:val="20"/>
          <w:szCs w:val="20"/>
          <w:color w:val="auto"/>
        </w:rPr>
      </w:pPr>
      <w:r>
        <w:rPr>
          <w:rFonts w:ascii="Courier New" w:cs="Courier New" w:eastAsia="Courier New" w:hAnsi="Courier New"/>
          <w:sz w:val="18"/>
          <w:szCs w:val="18"/>
          <w:color w:val="auto"/>
        </w:rPr>
        <w:t>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pacing w:after="0" w:line="237" w:lineRule="auto"/>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line="238" w:lineRule="auto"/>
        <w:rPr>
          <w:sz w:val="20"/>
          <w:szCs w:val="20"/>
          <w:color w:val="auto"/>
        </w:rPr>
      </w:pPr>
      <w:r>
        <w:rPr>
          <w:rFonts w:ascii="Courier New" w:cs="Courier New" w:eastAsia="Courier New" w:hAnsi="Courier New"/>
          <w:sz w:val="18"/>
          <w:szCs w:val="18"/>
          <w:color w:val="auto"/>
        </w:rPr>
        <w:t>request,</w:t>
      </w:r>
    </w:p>
    <w:p>
      <w:pPr>
        <w:spacing w:after="0"/>
        <w:rPr>
          <w:sz w:val="20"/>
          <w:szCs w:val="20"/>
          <w:color w:val="auto"/>
        </w:rPr>
      </w:pPr>
      <w:r>
        <w:rPr>
          <w:rFonts w:ascii="Courier New" w:cs="Courier New" w:eastAsia="Courier New" w:hAnsi="Courier New"/>
          <w:sz w:val="18"/>
          <w:szCs w:val="18"/>
          <w:color w:val="auto"/>
        </w:rPr>
        <w:t>acknowledging that:</w:t>
      </w:r>
    </w:p>
    <w:p>
      <w:pPr>
        <w:sectPr>
          <w:pgSz w:w="11900" w:h="16838" w:orient="portrait"/>
          <w:cols w:equalWidth="0" w:num="1">
            <w:col w:w="10219"/>
          </w:cols>
          <w:pgMar w:left="240" w:top="142" w:right="1440" w:bottom="0" w:gutter="0" w:footer="0" w:header="0"/>
        </w:sectPr>
      </w:pPr>
    </w:p>
    <w:bookmarkStart w:id="2" w:name="page3"/>
    <w:bookmarkEnd w:id="2"/>
    <w:p>
      <w:pPr>
        <w:jc w:val="both"/>
        <w:ind w:right="3259" w:firstLine="8"/>
        <w:spacing w:after="0" w:line="279"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335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7" w:lineRule="exact"/>
        <w:rPr>
          <w:rFonts w:ascii="Courier New" w:cs="Courier New" w:eastAsia="Courier New" w:hAnsi="Courier New"/>
          <w:sz w:val="18"/>
          <w:szCs w:val="18"/>
          <w:color w:val="auto"/>
        </w:rPr>
      </w:pPr>
    </w:p>
    <w:p>
      <w:pPr>
        <w:ind w:right="325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7" w:lineRule="exact"/>
        <w:rPr>
          <w:sz w:val="20"/>
          <w:szCs w:val="20"/>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has access to all information you provide to the staff of the Division</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of Corporation Finance in connection with our review of your filing or</w:t>
      </w:r>
    </w:p>
    <w:p>
      <w:pPr>
        <w:spacing w:after="0"/>
        <w:rPr>
          <w:sz w:val="20"/>
          <w:szCs w:val="20"/>
          <w:color w:val="auto"/>
        </w:rPr>
      </w:pPr>
      <w:r>
        <w:rPr>
          <w:rFonts w:ascii="Courier New" w:cs="Courier New" w:eastAsia="Courier New" w:hAnsi="Courier New"/>
          <w:sz w:val="18"/>
          <w:szCs w:val="18"/>
          <w:color w:val="auto"/>
        </w:rPr>
        <w:t>in response to our comments on your filing.</w:t>
      </w:r>
    </w:p>
    <w:p>
      <w:pPr>
        <w:spacing w:after="0" w:line="207" w:lineRule="exact"/>
        <w:rPr>
          <w:sz w:val="20"/>
          <w:szCs w:val="20"/>
          <w:color w:val="auto"/>
        </w:rPr>
      </w:pPr>
    </w:p>
    <w:p>
      <w:pPr>
        <w:jc w:val="both"/>
        <w:ind w:right="3479" w:firstLine="632"/>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confirmation of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Exchange Act of 1934 as they relate to the proposed public offering of</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securities specified in the above registration statement. We will</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act on the request and, pursuant to delegated authority, grant acceleration of the effective date.</w:t>
      </w:r>
    </w:p>
    <w:p>
      <w:pPr>
        <w:spacing w:after="0" w:line="208" w:lineRule="exact"/>
        <w:rPr>
          <w:sz w:val="20"/>
          <w:szCs w:val="20"/>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direct your attention to Rules 460 and 461 regarding requesting acceleration of a registration statement. Please allow adequate time after the filing of any amendment for further review before submitting a request for acceleration. Please provide this request at least two business days in advance of the requested effective date.</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Please contact Mellissa Campbell Duru at (202) 551-3757 or</w:t>
      </w:r>
    </w:p>
    <w:p>
      <w:pPr>
        <w:spacing w:after="0" w:line="238" w:lineRule="auto"/>
        <w:rPr>
          <w:sz w:val="20"/>
          <w:szCs w:val="20"/>
          <w:color w:val="auto"/>
        </w:rPr>
      </w:pPr>
      <w:r>
        <w:rPr>
          <w:rFonts w:ascii="Courier New" w:cs="Courier New" w:eastAsia="Courier New" w:hAnsi="Courier New"/>
          <w:sz w:val="18"/>
          <w:szCs w:val="18"/>
          <w:color w:val="auto"/>
        </w:rPr>
        <w:t>me at</w:t>
      </w: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551-3611 with any questions.  Direct all correspondence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ZIP code:  20549-7010.</w:t>
      </w:r>
    </w:p>
    <w:p>
      <w:pPr>
        <w:spacing w:after="0" w:line="200" w:lineRule="exact"/>
        <w:rPr>
          <w:sz w:val="20"/>
          <w:szCs w:val="20"/>
          <w:color w:val="auto"/>
        </w:rPr>
      </w:pPr>
    </w:p>
    <w:p>
      <w:pPr>
        <w:spacing w:after="0" w:line="204"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9"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Anne Nguyen Parker</w:t>
      </w:r>
    </w:p>
    <w:p>
      <w:pPr>
        <w:spacing w:after="0" w:line="1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Branch Chief</w:t>
      </w:r>
    </w:p>
    <w:p>
      <w:pPr>
        <w:spacing w:after="0" w:line="200" w:lineRule="exact"/>
        <w:rPr>
          <w:sz w:val="20"/>
          <w:szCs w:val="20"/>
          <w:color w:val="auto"/>
        </w:rPr>
      </w:pPr>
    </w:p>
    <w:p>
      <w:pPr>
        <w:spacing w:after="0" w:line="204" w:lineRule="exact"/>
        <w:rPr>
          <w:sz w:val="20"/>
          <w:szCs w:val="20"/>
          <w:color w:val="auto"/>
        </w:rPr>
      </w:pPr>
    </w:p>
    <w:p>
      <w:pPr>
        <w:ind w:left="1580" w:hanging="72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facsimile</w:t>
      </w:r>
    </w:p>
    <w:p>
      <w:pPr>
        <w:ind w:left="1700"/>
        <w:spacing w:after="0" w:line="238" w:lineRule="auto"/>
        <w:rPr>
          <w:sz w:val="20"/>
          <w:szCs w:val="20"/>
          <w:color w:val="auto"/>
        </w:rPr>
      </w:pPr>
      <w:r>
        <w:rPr>
          <w:rFonts w:ascii="Courier New" w:cs="Courier New" w:eastAsia="Courier New" w:hAnsi="Courier New"/>
          <w:sz w:val="18"/>
          <w:szCs w:val="18"/>
          <w:color w:val="auto"/>
        </w:rPr>
        <w:t>David P. Oleman</w:t>
      </w:r>
    </w:p>
    <w:p>
      <w:pPr>
        <w:ind w:left="860"/>
        <w:spacing w:after="0"/>
        <w:rPr>
          <w:sz w:val="20"/>
          <w:szCs w:val="20"/>
          <w:color w:val="auto"/>
        </w:rPr>
      </w:pPr>
      <w:r>
        <w:rPr>
          <w:rFonts w:ascii="Courier New" w:cs="Courier New" w:eastAsia="Courier New" w:hAnsi="Courier New"/>
          <w:sz w:val="18"/>
          <w:szCs w:val="18"/>
          <w:color w:val="auto"/>
        </w:rPr>
        <w:t>Vinson &amp; Elkins L.L.P.</w:t>
      </w:r>
    </w:p>
    <w:p>
      <w:pPr>
        <w:ind w:left="860"/>
        <w:spacing w:after="0" w:line="237" w:lineRule="auto"/>
        <w:rPr>
          <w:sz w:val="20"/>
          <w:szCs w:val="20"/>
          <w:color w:val="auto"/>
        </w:rPr>
      </w:pPr>
      <w:r>
        <w:rPr>
          <w:rFonts w:ascii="Courier New" w:cs="Courier New" w:eastAsia="Courier New" w:hAnsi="Courier New"/>
          <w:sz w:val="18"/>
          <w:szCs w:val="18"/>
          <w:color w:val="auto"/>
        </w:rPr>
        <w:t>(713) 758-2346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Greg Armstrong</w:t>
      </w:r>
    </w:p>
    <w:p>
      <w:pPr>
        <w:spacing w:after="0" w:line="238" w:lineRule="auto"/>
        <w:rPr>
          <w:sz w:val="20"/>
          <w:szCs w:val="20"/>
          <w:color w:val="auto"/>
        </w:rPr>
      </w:pPr>
      <w:r>
        <w:rPr>
          <w:rFonts w:ascii="Courier New" w:cs="Courier New" w:eastAsia="Courier New" w:hAnsi="Courier New"/>
          <w:sz w:val="18"/>
          <w:szCs w:val="18"/>
          <w:color w:val="auto"/>
        </w:rPr>
        <w:t>Plains All American Pipeline L.P.</w:t>
      </w:r>
    </w:p>
    <w:p>
      <w:pPr>
        <w:spacing w:after="0"/>
        <w:rPr>
          <w:sz w:val="20"/>
          <w:szCs w:val="20"/>
          <w:color w:val="auto"/>
        </w:rPr>
      </w:pPr>
      <w:r>
        <w:rPr>
          <w:rFonts w:ascii="Courier New" w:cs="Courier New" w:eastAsia="Courier New" w:hAnsi="Courier New"/>
          <w:sz w:val="18"/>
          <w:szCs w:val="18"/>
          <w:color w:val="auto"/>
        </w:rPr>
        <w:t>January 18, 2007</w:t>
      </w:r>
    </w:p>
    <w:p>
      <w:pPr>
        <w:spacing w:after="0" w:line="237" w:lineRule="auto"/>
        <w:rPr>
          <w:sz w:val="20"/>
          <w:szCs w:val="20"/>
          <w:color w:val="auto"/>
        </w:rPr>
      </w:pPr>
      <w:r>
        <w:rPr>
          <w:rFonts w:ascii="Courier New" w:cs="Courier New" w:eastAsia="Courier New" w:hAnsi="Courier New"/>
          <w:sz w:val="18"/>
          <w:szCs w:val="18"/>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20549-7010</w:t>
      </w:r>
    </w:p>
    <w:p>
      <w:pPr>
        <w:spacing w:after="0" w:line="2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p>
      <w:pPr>
        <w:ind w:left="960"/>
        <w:spacing w:after="0"/>
        <w:rPr>
          <w:sz w:val="20"/>
          <w:szCs w:val="20"/>
          <w:color w:val="auto"/>
        </w:rPr>
      </w:pPr>
      <w:r>
        <w:rPr>
          <w:rFonts w:ascii="Courier New" w:cs="Courier New" w:eastAsia="Courier New" w:hAnsi="Courier New"/>
          <w:sz w:val="18"/>
          <w:szCs w:val="18"/>
          <w:color w:val="auto"/>
        </w:rPr>
        <w:t>MAIL STOP 7010</w:t>
      </w:r>
    </w:p>
    <w:sectPr>
      <w:pgSz w:w="11900" w:h="16838" w:orient="portrait"/>
      <w:cols w:equalWidth="0" w:num="1">
        <w:col w:w="10219"/>
      </w:cols>
      <w:pgMar w:left="240" w:top="142" w:right="1440"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0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2020-02-03T07:12:40Z</dcterms:created>
  <dcterms:modified xsi:type="dcterms:W3CDTF">2020-02-03T07:12:40Z</dcterms:modified>
</cp:coreProperties>
</file>