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6, 2017 (October 4,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0"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40"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40"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324"/>
        <w:spacing w:after="0" w:line="276" w:lineRule="auto"/>
        <w:rPr>
          <w:sz w:val="20"/>
          <w:szCs w:val="20"/>
          <w:color w:val="auto"/>
        </w:rPr>
      </w:pPr>
      <w:r>
        <w:rPr>
          <w:rFonts w:ascii="Arial" w:cs="Arial" w:eastAsia="Arial" w:hAnsi="Arial"/>
          <w:sz w:val="17"/>
          <w:szCs w:val="17"/>
          <w:color w:val="auto"/>
        </w:rPr>
        <w:t>On October 4, 2017, Plains All American Pipeline, L.P. (the “Partnership”) entered into an underwriting agreement (the “Underwriting Agreement”) with J.P. Morgan Securities LLC, Merrill Lynch, Pierce, Fenner &amp; Smith Incorporated, Morgan Stanley &amp; Co. LLC and Wells Fargo Securities, LLC, as representatives of the several underwriters named therein (the “Underwriters”), relating to the issuance and sale by the Partnership, and purchase by the Underwriters, of 800,000 of the Partnership’s 6.125% Series B Fixed-to-Floating Rate Cumulative Redeemable Perpetual Preferred Units (the “Series B Preferred Units”) at a price to the public of $1,000 per Series B Preferred Unit (the “Offering”).</w:t>
      </w:r>
    </w:p>
    <w:p>
      <w:pPr>
        <w:spacing w:after="0" w:line="173"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The Series B Preferred Units are being offered and sold under the Partnership’s shelf registration statement on Form S-3 (Registration No. 333-207139), as amended by Post-Effective Amendment No. 1 thereto filed with the Securities and Exchange Commission on October 2, 2017. The Partnership does not intend to apply for the listing of the Series B Preferred Units on any securities exchange.</w:t>
      </w:r>
    </w:p>
    <w:p>
      <w:pPr>
        <w:spacing w:after="0" w:line="18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closing of the Offering, PAA GP LLC, the general partner of the Partnership (the “General Partner”), will execute the Seventh Amended and Restated Agreement of Limited Partnership of the Partnership (the “Seventh A&amp;R Partnership Agreement”) to, among other things, authorize and establish the rights and preferences of the Series B Preferred Units.</w:t>
      </w:r>
    </w:p>
    <w:p>
      <w:pPr>
        <w:spacing w:after="0" w:line="181" w:lineRule="exact"/>
        <w:rPr>
          <w:sz w:val="24"/>
          <w:szCs w:val="24"/>
          <w:color w:val="auto"/>
        </w:rPr>
      </w:pPr>
    </w:p>
    <w:p>
      <w:pPr>
        <w:ind w:right="320" w:firstLine="324"/>
        <w:spacing w:after="0" w:line="342" w:lineRule="auto"/>
        <w:rPr>
          <w:sz w:val="20"/>
          <w:szCs w:val="20"/>
          <w:color w:val="auto"/>
        </w:rPr>
      </w:pPr>
      <w:r>
        <w:rPr>
          <w:rFonts w:ascii="Arial" w:cs="Arial" w:eastAsia="Arial" w:hAnsi="Arial"/>
          <w:sz w:val="16"/>
          <w:szCs w:val="16"/>
          <w:color w:val="auto"/>
        </w:rPr>
        <w:t>The Series B Preferred Units will rank senior to (i) common units representing limited partner interests in the Partnership and (ii) each other class or series of limited partner interests or other equity securities in the Partnership that may be established after the original issue date of the Series B Preferred</w:t>
      </w:r>
    </w:p>
    <w:p>
      <w:pPr>
        <w:sectPr>
          <w:pgSz w:w="11900" w:h="16840" w:orient="portrait"/>
          <w:cols w:equalWidth="0" w:num="1">
            <w:col w:w="11380"/>
          </w:cols>
          <w:pgMar w:left="240" w:top="544" w:right="279" w:bottom="0" w:gutter="0" w:footer="0" w:header="0"/>
          <w:type w:val="continuous"/>
        </w:sectPr>
      </w:pPr>
    </w:p>
    <w:bookmarkStart w:id="1" w:name="page2"/>
    <w:bookmarkEnd w:id="1"/>
    <w:p>
      <w:pPr>
        <w:ind w:right="80"/>
        <w:spacing w:after="0" w:line="285" w:lineRule="auto"/>
        <w:rPr>
          <w:sz w:val="20"/>
          <w:szCs w:val="20"/>
          <w:color w:val="auto"/>
        </w:rPr>
      </w:pPr>
      <w:r>
        <w:rPr>
          <w:rFonts w:ascii="Arial" w:cs="Arial" w:eastAsia="Arial" w:hAnsi="Arial"/>
          <w:sz w:val="16"/>
          <w:szCs w:val="16"/>
          <w:color w:val="auto"/>
        </w:rPr>
        <w:t xml:space="preserve">Units (the “Original Issue Date”) and that is not expressly made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Units as to the payment of distributions and amounts payable upon a liquidation event (the “Junior Securities”). The Series B Preferred Units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(i) the Partnership’s outstanding Series A Convertible Preferred Units (the “Series A Preferred Units”) and (ii) each other class or series of limited partner interests or other equity securities in the Partnership that may be established after the Original Issue Date that is not expressly made senior or subordinated to the Series B Preferred Units as to the payment of distributions and amounts payable on a liquidation event (the “Parity Securities”). The Series B Preferred Units will rank junior to</w:t>
      </w:r>
    </w:p>
    <w:p>
      <w:pPr>
        <w:spacing w:after="0" w:line="2"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of the Partnership’s existing and future indebtedness and other liabilities with respect to assets available to satisfy claims against the Partnership and</w:t>
      </w:r>
    </w:p>
    <w:p>
      <w:pPr>
        <w:spacing w:after="0" w:line="32" w:lineRule="exact"/>
        <w:rPr>
          <w:rFonts w:ascii="Arial" w:cs="Arial" w:eastAsia="Arial" w:hAnsi="Arial"/>
          <w:sz w:val="16"/>
          <w:szCs w:val="16"/>
          <w:color w:val="auto"/>
        </w:rPr>
      </w:pPr>
    </w:p>
    <w:p>
      <w:pPr>
        <w:ind w:right="140" w:firstLine="8"/>
        <w:spacing w:after="0" w:line="323"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other class or series of limited partner interests or other equity securities in the Partnership established after the Original Issue Date that is expressly made senior to the Series B Preferred Units as to the payment of distributions and amounts payable upon a liquidation event (the “Senior Securities”).</w:t>
      </w:r>
    </w:p>
    <w:p>
      <w:pPr>
        <w:spacing w:after="0" w:line="13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Distributions on the Series B Preferred Units will accrue and be cumulative from the Original Issue Date and will be payable semi-annually in arrears on the 15th day of May and November through and including November 15, 2022 commencing on November 15, 2017 and after November 15, 2022, quarterly in arrears on the 15th day of February, May, August, and November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 A pro-rated initial distribution on the Series B Preferred Units will be payable on November 15, 2017 in an amount equal to approximately $5.9549 per Series B Preferred Unit. If any Distribution Payment Date otherwise would fall on a day that is not a business day, declared distributions will be paid on the immediately succeeding business day without the accumulation of additional distributions.</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initial distribution rate for the Series B Preferred Units from and including the Original Issue Date to, but not including, November 15, 2022 will be 6.125% per annum of the $1,000.00 liquidation preference per Series B Preferred Unit (equal to $61.25 per Series B Preferred Unit per annum). On and after November 15, 2022, distributions on the Series B Preferred Units will accumulate for each distribution period at a percentage of the liquidation preference equal to the three-month LIBOR plus a spread of 4.11%.</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Partnership will not declare or pay or set aside for payment full distributions on the Series B Preferred Units or any Parity Securities (including the Series A Preferred Units) for any distribution period unless (i) full cumulative distributions have been paid or provided for on the Series B Preferred Units and any Parity Securities through the most recently completed distribution period for each such security and (ii) at the time of the declaration of distributions on the Series B Preferred Units or the Parity Securities, as applicable, the General Partner expects to have sufficient funds to pay the next distribution on the Series B Preferred Units and any Parity Securities in full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(regardless of the relative timing of such distributions). To the extent distributions will not be paid in full on the Series B Preferred Units, the General Partner will take appropriate action to ensure that all distributions declared and paid upon the Series B Preferred Units and any Parity Securities will be reduced, declared and paid on a pro rata basis on their respective payment dates.</w:t>
      </w:r>
    </w:p>
    <w:p>
      <w:pPr>
        <w:spacing w:after="0" w:line="1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Partnership will not declare or pay, or set aside for payment, distributions on any Junior Securities (other than a distribution payable solely in Junior Securities) unless full cumulative distributions have been or contemporaneously are being paid on all outstanding Series B Preferred Units and any Parity Securities (including the Series A Preferred Units) through the most recently completed respective distribution periods. To the extent a distribution period applicable to a class of Junior Securities or Parity Securities is shorter than the distribution period applicable to the Series B Preferred Units (e.g., quarterly rather than semi-annual), the General Partner may declare and pay regular distributions with respect to such Junior Securities or Parity Securities so long as, at the time of declaration of such distribution, the General Partner expects to have sufficient funds to pay the full distribution in respect of the Series B Preferred Units on the next successive Distribution Payment Date.</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Series B Preferred Units will not have a stated maturity and will not be subject to mandatory redemption or any sinking fund. The Series B Preferred Units will remain outstanding indefinitely unless repurchased or redeemed by the Partnership. The Series B Preferred Units may be redeemed by the Partnership at its option (i) following the occurrence of certain ratings agency events, in whole but not in part, at a redemption price in cash of $1,020.00 per Series B Preferred Unit (102% of the liquidation preference of $1,000.00) plus an amount equal to all accumulated and unpaid distributions thereon to, but not including, the date of redemption, whether or not declared, or (ii) at any time on or after November 15, 2022, in whole or in part, at a redemption price in cash of $1,000 per Series B Preferred Unit plus an amount equal to all accumulated and unpaid distributions thereon to, but not including, the date of redemption, whether or not declared. Any such redemption would be effected only out of funds legally available for such purposes and would be subject to compliance with the provisions of the Partnership’s outstanding indebtedness.</w:t>
      </w:r>
    </w:p>
    <w:p>
      <w:pPr>
        <w:spacing w:after="0" w:line="179"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Holders of Series B Preferred Units will generally have no voting rights, except for limited voting rights with respect to (i) potential amendments to the Seventh A&amp;R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the Partnership’s common unitholders out of capital surplus.</w:t>
      </w:r>
    </w:p>
    <w:p>
      <w:pPr>
        <w:spacing w:after="0" w:line="15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closing of the Offering is expected to occur on October 10, 2017, subject to customary closing conditions. The Partnership expects to receive net proceeds from the Offering of approximately $787.8 million (after deducting Underwriters’ discounts and the estimated expenses) and intends to use such net proceeds to repay amounts outstanding under its credit facilities and commercial paper program and for general partnership purposes, which may include, among other things, repayment of indebtedness, acquisitions, capital expenditures and additions to working capital.</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agreements by the Partnership, and customary termination provisions, and it provides that the obligations of the Underwriters to purchase the Class B Preferred Units are subject to customary closing conditions. The Underwriting Agreement also includes customary indemnification provisions pursuant to which the Partnership has agreed to indemnify the Underwriters against certain liabilities, including liabilities under the Securities Act of 1933, as amended, or to contribute to payments the Underwriters may be required to make because of any of those liabilities.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foregoing description of the Underwriting Agreement is qualified in its entirety by reference to the full text of the Underwriting Agreement, which is filed as Exhibit 1.1 to this Current Report on Form 8-K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80" w:type="dxa"/>
            <w:vAlign w:val="bottom"/>
            <w:tcBorders>
              <w:top w:val="single" w:sz="8" w:color="auto"/>
            </w:tcBorders>
          </w:tcPr>
          <w:p>
            <w:pPr>
              <w:ind w:left="340"/>
              <w:spacing w:after="0" w:line="170"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4"/>
                <w:szCs w:val="14"/>
                <w:color w:val="auto"/>
              </w:rPr>
            </w:pPr>
          </w:p>
        </w:tc>
        <w:tc>
          <w:tcPr>
            <w:tcW w:w="952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Underwriting Agreement, dated October 4, 2017, by and among Plains All American Pipeline, L.P. and J.P. Morgan Securities LLC,</w:t>
              </w:r>
            </w:hyperlink>
          </w:p>
        </w:tc>
        <w:tc>
          <w:tcPr>
            <w:tcW w:w="36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Merrill Lynch, Pierce, Fenner &amp; Smith Incorporated, Morgan Stanley &amp; Co. LLC and Wells Fargo Securities, LLC, as representatives of</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the several underwriters named therein.</w:t>
              </w:r>
            </w:hyperlink>
          </w:p>
        </w:tc>
        <w:tc>
          <w:tcPr>
            <w:tcW w:w="698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Opinion of Vinson &amp; Elkins L.L.P. relating to the legality of the securities.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8.1</w:t>
            </w:r>
          </w:p>
        </w:tc>
        <w:tc>
          <w:tcPr>
            <w:tcW w:w="240" w:type="dxa"/>
            <w:vAlign w:val="bottom"/>
          </w:tcPr>
          <w:p>
            <w:pPr>
              <w:spacing w:after="0"/>
              <w:rPr>
                <w:sz w:val="17"/>
                <w:szCs w:val="17"/>
                <w:color w:val="auto"/>
              </w:rPr>
            </w:pPr>
          </w:p>
        </w:tc>
        <w:tc>
          <w:tcPr>
            <w:tcW w:w="53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Opinion of Vinson &amp; Elkins L.L.P. relating to tax matters.</w:t>
              </w:r>
            </w:hyperlink>
          </w:p>
        </w:tc>
        <w:tc>
          <w:tcPr>
            <w:tcW w:w="45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Consent of Vinson &amp; Elkins L.L.P. (contained in Exhibits 5.1 and 8.1).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tcBorders>
              <w:top w:val="single" w:sz="8" w:color="0000EE"/>
            </w:tcBorders>
            <w:gridSpan w:val="3"/>
          </w:tcPr>
          <w:p>
            <w:pPr>
              <w:ind w:left="41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800,000 6.125% Series B Fixed-to-Floating Rate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Redeemable Perpetual Preferred Units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4,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Plains All American Pipeline, L.P., a Delaware limited partnership (the “</w:t>
      </w:r>
      <w:r>
        <w:rPr>
          <w:rFonts w:ascii="Arial" w:cs="Arial" w:eastAsia="Arial" w:hAnsi="Arial"/>
          <w:sz w:val="17"/>
          <w:szCs w:val="17"/>
          <w:b w:val="1"/>
          <w:bCs w:val="1"/>
          <w:color w:val="auto"/>
        </w:rPr>
        <w:t>Partnership</w:t>
      </w:r>
      <w:r>
        <w:rPr>
          <w:rFonts w:ascii="Arial" w:cs="Arial" w:eastAsia="Arial" w:hAnsi="Arial"/>
          <w:sz w:val="17"/>
          <w:szCs w:val="17"/>
          <w:color w:val="auto"/>
        </w:rPr>
        <w:t>”), proposes to issue and sell an aggregate of 800,000 of the Partnership’s 6.125% Series B Fixed-to-Floating Rate Cumulative Redeemable Perpetual Preferred Units (the “</w:t>
      </w:r>
      <w:r>
        <w:rPr>
          <w:rFonts w:ascii="Arial" w:cs="Arial" w:eastAsia="Arial" w:hAnsi="Arial"/>
          <w:sz w:val="17"/>
          <w:szCs w:val="17"/>
          <w:b w:val="1"/>
          <w:bCs w:val="1"/>
          <w:color w:val="auto"/>
        </w:rPr>
        <w:t>Units</w:t>
      </w:r>
      <w:r>
        <w:rPr>
          <w:rFonts w:ascii="Arial" w:cs="Arial" w:eastAsia="Arial" w:hAnsi="Arial"/>
          <w:sz w:val="17"/>
          <w:szCs w:val="17"/>
          <w:color w:val="auto"/>
        </w:rPr>
        <w:t>”) representing limited partner interests in the Partnership (“</w:t>
      </w:r>
      <w:r>
        <w:rPr>
          <w:rFonts w:ascii="Arial" w:cs="Arial" w:eastAsia="Arial" w:hAnsi="Arial"/>
          <w:sz w:val="17"/>
          <w:szCs w:val="17"/>
          <w:b w:val="1"/>
          <w:bCs w:val="1"/>
          <w:color w:val="auto"/>
        </w:rPr>
        <w:t>Series B Preferred Units</w:t>
      </w:r>
      <w:r>
        <w:rPr>
          <w:rFonts w:ascii="Arial" w:cs="Arial" w:eastAsia="Arial" w:hAnsi="Arial"/>
          <w:sz w:val="17"/>
          <w:szCs w:val="17"/>
          <w:color w:val="auto"/>
        </w:rPr>
        <w:t>”)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J.P. Morgan Securities LLC, Merrill Lynch, Pierce, Fenner &amp; Smith Incorporated, Morgan Stanley &amp; Co. LLC and Wells Fargo Securities, LLC are acting as the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upon the terms and conditions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68"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PAA GP LLC, a Delaware limited liability company (the “</w:t>
      </w:r>
      <w:r>
        <w:rPr>
          <w:rFonts w:ascii="Arial" w:cs="Arial" w:eastAsia="Arial" w:hAnsi="Arial"/>
          <w:sz w:val="18"/>
          <w:szCs w:val="18"/>
          <w:b w:val="1"/>
          <w:bCs w:val="1"/>
          <w:color w:val="auto"/>
        </w:rPr>
        <w:t>General Partner</w:t>
      </w:r>
      <w:r>
        <w:rPr>
          <w:rFonts w:ascii="Arial" w:cs="Arial" w:eastAsia="Arial" w:hAnsi="Arial"/>
          <w:sz w:val="18"/>
          <w:szCs w:val="18"/>
          <w:color w:val="auto"/>
        </w:rPr>
        <w:t>”), is the general partner of the Partnership. Plains AAP, L.P., a Delaware limited partnership (“</w:t>
      </w:r>
      <w:r>
        <w:rPr>
          <w:rFonts w:ascii="Arial" w:cs="Arial" w:eastAsia="Arial" w:hAnsi="Arial"/>
          <w:sz w:val="18"/>
          <w:szCs w:val="18"/>
          <w:b w:val="1"/>
          <w:bCs w:val="1"/>
          <w:color w:val="auto"/>
        </w:rPr>
        <w:t>Plains AAP</w:t>
      </w:r>
      <w:r>
        <w:rPr>
          <w:rFonts w:ascii="Arial" w:cs="Arial" w:eastAsia="Arial" w:hAnsi="Arial"/>
          <w:sz w:val="18"/>
          <w:szCs w:val="18"/>
          <w:color w:val="auto"/>
        </w:rPr>
        <w:t>”), owns a 100% membership interest in the General Partner. Plains All American GP LLC, a Delaware limited liability company (“</w:t>
      </w:r>
      <w:r>
        <w:rPr>
          <w:rFonts w:ascii="Arial" w:cs="Arial" w:eastAsia="Arial" w:hAnsi="Arial"/>
          <w:sz w:val="18"/>
          <w:szCs w:val="18"/>
          <w:b w:val="1"/>
          <w:bCs w:val="1"/>
          <w:color w:val="auto"/>
        </w:rPr>
        <w:t>GP LLC</w:t>
      </w:r>
      <w:r>
        <w:rPr>
          <w:rFonts w:ascii="Arial" w:cs="Arial" w:eastAsia="Arial" w:hAnsi="Arial"/>
          <w:sz w:val="18"/>
          <w:szCs w:val="18"/>
          <w:color w:val="auto"/>
        </w:rPr>
        <w:t>”), is the general partner of Plains AAP. Plains GP Holdings, L.P., a Delaware limited partnership (“</w:t>
      </w:r>
      <w:r>
        <w:rPr>
          <w:rFonts w:ascii="Arial" w:cs="Arial" w:eastAsia="Arial" w:hAnsi="Arial"/>
          <w:sz w:val="18"/>
          <w:szCs w:val="18"/>
          <w:b w:val="1"/>
          <w:bCs w:val="1"/>
          <w:color w:val="auto"/>
        </w:rPr>
        <w:t>PAGP</w:t>
      </w:r>
      <w:r>
        <w:rPr>
          <w:rFonts w:ascii="Arial" w:cs="Arial" w:eastAsia="Arial" w:hAnsi="Arial"/>
          <w:sz w:val="18"/>
          <w:szCs w:val="18"/>
          <w:color w:val="auto"/>
        </w:rPr>
        <w:t>”), owns a 100% membership interest in GP LLC. PAA GP Holdings LLC, a Delaware limited liability company (“</w:t>
      </w:r>
      <w:r>
        <w:rPr>
          <w:rFonts w:ascii="Arial" w:cs="Arial" w:eastAsia="Arial" w:hAnsi="Arial"/>
          <w:sz w:val="18"/>
          <w:szCs w:val="18"/>
          <w:b w:val="1"/>
          <w:bCs w:val="1"/>
          <w:color w:val="auto"/>
        </w:rPr>
        <w:t>PAGP GP</w:t>
      </w:r>
      <w:r>
        <w:rPr>
          <w:rFonts w:ascii="Arial" w:cs="Arial" w:eastAsia="Arial" w:hAnsi="Arial"/>
          <w:sz w:val="18"/>
          <w:szCs w:val="18"/>
          <w:color w:val="auto"/>
        </w:rPr>
        <w:t>” and, collectively with the General Partner, Plains AAP, GP LLC and PAGP, the “</w:t>
      </w:r>
      <w:r>
        <w:rPr>
          <w:rFonts w:ascii="Arial" w:cs="Arial" w:eastAsia="Arial" w:hAnsi="Arial"/>
          <w:sz w:val="18"/>
          <w:szCs w:val="18"/>
          <w:b w:val="1"/>
          <w:bCs w:val="1"/>
          <w:color w:val="auto"/>
        </w:rPr>
        <w:t>GP Entities</w:t>
      </w:r>
      <w:r>
        <w:rPr>
          <w:rFonts w:ascii="Arial" w:cs="Arial" w:eastAsia="Arial" w:hAnsi="Arial"/>
          <w:sz w:val="18"/>
          <w:szCs w:val="18"/>
          <w:color w:val="auto"/>
        </w:rPr>
        <w:t>”), is the general partner of PAGP.</w:t>
      </w:r>
    </w:p>
    <w:p>
      <w:pPr>
        <w:spacing w:after="0" w:line="184" w:lineRule="exact"/>
        <w:rPr>
          <w:sz w:val="20"/>
          <w:szCs w:val="20"/>
          <w:color w:val="auto"/>
        </w:rPr>
      </w:pPr>
    </w:p>
    <w:p>
      <w:pPr>
        <w:ind w:right="400" w:firstLine="1297"/>
        <w:spacing w:after="0" w:line="313" w:lineRule="auto"/>
        <w:rPr>
          <w:sz w:val="20"/>
          <w:szCs w:val="20"/>
          <w:color w:val="auto"/>
        </w:rPr>
      </w:pPr>
      <w:r>
        <w:rPr>
          <w:rFonts w:ascii="Arial" w:cs="Arial" w:eastAsia="Arial" w:hAnsi="Arial"/>
          <w:sz w:val="17"/>
          <w:szCs w:val="17"/>
          <w:color w:val="auto"/>
        </w:rPr>
        <w:t xml:space="preserve">The subsidiaries of the Partnership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attached hereto are referred to herein as the “</w:t>
      </w:r>
      <w:r>
        <w:rPr>
          <w:rFonts w:ascii="Arial" w:cs="Arial" w:eastAsia="Arial" w:hAnsi="Arial"/>
          <w:sz w:val="17"/>
          <w:szCs w:val="17"/>
          <w:b w:val="1"/>
          <w:bCs w:val="1"/>
          <w:color w:val="auto"/>
        </w:rPr>
        <w:t>Material Subsidiaries</w:t>
      </w:r>
      <w:r>
        <w:rPr>
          <w:rFonts w:ascii="Arial" w:cs="Arial" w:eastAsia="Arial" w:hAnsi="Arial"/>
          <w:sz w:val="17"/>
          <w:szCs w:val="17"/>
          <w:color w:val="auto"/>
        </w:rPr>
        <w:t xml:space="preserve">,” and the Material Subsidiaries listed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attached hereto are referred to herein as the “</w:t>
      </w:r>
      <w:r>
        <w:rPr>
          <w:rFonts w:ascii="Arial" w:cs="Arial" w:eastAsia="Arial" w:hAnsi="Arial"/>
          <w:sz w:val="17"/>
          <w:szCs w:val="17"/>
          <w:b w:val="1"/>
          <w:bCs w:val="1"/>
          <w:color w:val="auto"/>
        </w:rPr>
        <w:t>Domestic Subsidiaries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firstLine="1297"/>
        <w:spacing w:after="0" w:line="297" w:lineRule="auto"/>
        <w:rPr>
          <w:sz w:val="20"/>
          <w:szCs w:val="20"/>
          <w:color w:val="auto"/>
        </w:rPr>
      </w:pPr>
      <w:r>
        <w:rPr>
          <w:rFonts w:ascii="Arial" w:cs="Arial" w:eastAsia="Arial" w:hAnsi="Arial"/>
          <w:sz w:val="16"/>
          <w:szCs w:val="16"/>
          <w:color w:val="auto"/>
        </w:rPr>
        <w:t>On the Delivery Date (as defined herein), the Partnership will amend and restate its Sixth Amended and Restated Agreement of Limited Partnership of the Partnership, dated as of November 15, 2016 (the “</w:t>
      </w:r>
      <w:r>
        <w:rPr>
          <w:rFonts w:ascii="Arial" w:cs="Arial" w:eastAsia="Arial" w:hAnsi="Arial"/>
          <w:sz w:val="16"/>
          <w:szCs w:val="16"/>
          <w:b w:val="1"/>
          <w:bCs w:val="1"/>
          <w:color w:val="auto"/>
        </w:rPr>
        <w:t>Original Partnership Agreement</w:t>
      </w:r>
      <w:r>
        <w:rPr>
          <w:rFonts w:ascii="Arial" w:cs="Arial" w:eastAsia="Arial" w:hAnsi="Arial"/>
          <w:sz w:val="16"/>
          <w:szCs w:val="16"/>
          <w:color w:val="auto"/>
        </w:rPr>
        <w:t>”) to become the Seventh Amended and Restated Agreement of Limited Partnership of the Partnership (the “</w:t>
      </w:r>
      <w:r>
        <w:rPr>
          <w:rFonts w:ascii="Arial" w:cs="Arial" w:eastAsia="Arial" w:hAnsi="Arial"/>
          <w:sz w:val="16"/>
          <w:szCs w:val="16"/>
          <w:b w:val="1"/>
          <w:bCs w:val="1"/>
          <w:color w:val="auto"/>
        </w:rPr>
        <w:t>Amended and Restated Partnership Agreement</w:t>
      </w:r>
      <w:r>
        <w:rPr>
          <w:rFonts w:ascii="Arial" w:cs="Arial" w:eastAsia="Arial" w:hAnsi="Arial"/>
          <w:sz w:val="16"/>
          <w:szCs w:val="16"/>
          <w:color w:val="auto"/>
        </w:rPr>
        <w:t>”) in order to authorize and establish the terms of the Series B Preferred Units. References herein to the “Partnership Agreement” for periods prior to the Delivery Date refer to the Original Partnership Agreement and references to the “Partnership Agreement” for periods after the Delivery Date refer to the Amended and Restated Partnership Agreement.</w:t>
      </w:r>
    </w:p>
    <w:p>
      <w:pPr>
        <w:spacing w:after="0" w:line="15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This is to confirm the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among the Partnership and the Underwriters concerning the several purchases of the Units by the Underwriters.</w:t>
      </w:r>
    </w:p>
    <w:p>
      <w:pPr>
        <w:spacing w:after="0" w:line="170" w:lineRule="exact"/>
        <w:rPr>
          <w:sz w:val="20"/>
          <w:szCs w:val="20"/>
          <w:color w:val="auto"/>
        </w:rPr>
      </w:pPr>
    </w:p>
    <w:p>
      <w:pPr>
        <w:ind w:left="2020" w:hanging="715"/>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Partnership</w:t>
      </w:r>
      <w:r>
        <w:rPr>
          <w:rFonts w:ascii="Arial" w:cs="Arial" w:eastAsia="Arial" w:hAnsi="Arial"/>
          <w:sz w:val="18"/>
          <w:szCs w:val="18"/>
          <w:color w:val="auto"/>
        </w:rPr>
        <w:t>. The Partnership represents and warrants to the Underwriters that:</w:t>
      </w:r>
    </w:p>
    <w:p>
      <w:pPr>
        <w:spacing w:after="0" w:line="225" w:lineRule="exact"/>
        <w:rPr>
          <w:sz w:val="20"/>
          <w:szCs w:val="20"/>
          <w:color w:val="auto"/>
        </w:rPr>
      </w:pPr>
    </w:p>
    <w:p>
      <w:pPr>
        <w:ind w:right="520" w:firstLine="1305"/>
        <w:spacing w:after="0" w:line="291" w:lineRule="auto"/>
        <w:tabs>
          <w:tab w:leader="none" w:pos="1991"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w:t>
      </w:r>
      <w:r>
        <w:rPr>
          <w:rFonts w:ascii="Arial" w:cs="Arial" w:eastAsia="Arial" w:hAnsi="Arial"/>
          <w:sz w:val="16"/>
          <w:szCs w:val="16"/>
          <w:color w:val="auto"/>
        </w:rPr>
        <w:t>A registration statement on Form S-3 relating to the Units (File No. 333-207139) (i) has been prepared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 conformity with the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rules and regulations</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Rules and 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has been filed with the Commission under the Securities Act; and (iii) is effective under the Securities Act. Copies of such registration statement and any amendment thereto have been delivered by the Partnership to the Representatives. As used in this Agreement:</w:t>
      </w:r>
    </w:p>
    <w:p>
      <w:pPr>
        <w:spacing w:after="0" w:line="186" w:lineRule="exact"/>
        <w:rPr>
          <w:rFonts w:ascii="Arial" w:cs="Arial" w:eastAsia="Arial" w:hAnsi="Arial"/>
          <w:sz w:val="16"/>
          <w:szCs w:val="16"/>
          <w:color w:val="auto"/>
        </w:rPr>
      </w:pPr>
    </w:p>
    <w:p>
      <w:pPr>
        <w:ind w:left="1300" w:right="180" w:firstLine="653"/>
        <w:spacing w:after="0" w:line="282" w:lineRule="auto"/>
        <w:tabs>
          <w:tab w:leader="none" w:pos="2658"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5:35 p.m., New York City time, on October 4, 2017, which the Underwriters have informed the Issuers and their counsel is a time prior to the first sale of the Units;</w:t>
      </w:r>
    </w:p>
    <w:p>
      <w:pPr>
        <w:spacing w:after="0" w:line="161" w:lineRule="exact"/>
        <w:rPr>
          <w:rFonts w:ascii="Arial" w:cs="Arial" w:eastAsia="Arial" w:hAnsi="Arial"/>
          <w:sz w:val="18"/>
          <w:szCs w:val="18"/>
          <w:color w:val="auto"/>
        </w:rPr>
      </w:pPr>
    </w:p>
    <w:p>
      <w:pPr>
        <w:ind w:left="2660" w:hanging="707"/>
        <w:spacing w:after="0"/>
        <w:tabs>
          <w:tab w:leader="none" w:pos="2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base prospectus included in the Registration Statement at the Applicable Time.</w:t>
      </w:r>
    </w:p>
    <w:p>
      <w:pPr>
        <w:spacing w:after="0" w:line="236" w:lineRule="exact"/>
        <w:rPr>
          <w:rFonts w:ascii="Arial" w:cs="Arial" w:eastAsia="Arial" w:hAnsi="Arial"/>
          <w:sz w:val="17"/>
          <w:szCs w:val="17"/>
          <w:color w:val="auto"/>
        </w:rPr>
      </w:pPr>
    </w:p>
    <w:p>
      <w:pPr>
        <w:ind w:left="1300" w:right="200" w:firstLine="653"/>
        <w:spacing w:after="0" w:line="282" w:lineRule="auto"/>
        <w:tabs>
          <w:tab w:leader="none" w:pos="2668"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any date as of which any part of such registration statement relating to the Units became, or is deemed to have become, effective under the Securities Act in accordance with the Rules and Regulations;</w:t>
      </w:r>
    </w:p>
    <w:p>
      <w:pPr>
        <w:spacing w:after="0" w:line="161" w:lineRule="exact"/>
        <w:rPr>
          <w:rFonts w:ascii="Arial" w:cs="Arial" w:eastAsia="Arial" w:hAnsi="Arial"/>
          <w:sz w:val="18"/>
          <w:szCs w:val="18"/>
          <w:color w:val="auto"/>
        </w:rPr>
      </w:pPr>
    </w:p>
    <w:p>
      <w:pPr>
        <w:jc w:val="both"/>
        <w:ind w:left="1300" w:right="480" w:firstLine="653"/>
        <w:spacing w:after="0" w:line="289" w:lineRule="auto"/>
        <w:tabs>
          <w:tab w:leader="none" w:pos="2658"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w:t>
      </w:r>
    </w:p>
    <w:p>
      <w:pPr>
        <w:sectPr>
          <w:pgSz w:w="11900" w:h="16838" w:orient="portrait"/>
          <w:cols w:equalWidth="0" w:num="1">
            <w:col w:w="11420"/>
          </w:cols>
          <w:pgMar w:left="240" w:top="121" w:right="239" w:bottom="37" w:gutter="0" w:footer="0" w:header="0"/>
        </w:sectPr>
      </w:pPr>
    </w:p>
    <w:bookmarkStart w:id="4" w:name="page5"/>
    <w:bookmarkEnd w:id="4"/>
    <w:p>
      <w:pPr>
        <w:ind w:left="1300" w:right="520" w:firstLine="653"/>
        <w:spacing w:after="0" w:line="266" w:lineRule="auto"/>
        <w:tabs>
          <w:tab w:leader="none" w:pos="265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Units included in such registration statement or filed with the Commission pursuant to Rule 424(b) of the Rules and Regulations, including the Base Prospectus and any preliminary prospectus supplement thereto relating to the Units;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60" w:hanging="707"/>
        <w:spacing w:after="0"/>
        <w:tabs>
          <w:tab w:leader="none" w:pos="2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Disclosure Package</w:t>
      </w:r>
      <w:r>
        <w:rPr>
          <w:rFonts w:ascii="Arial" w:cs="Arial" w:eastAsia="Arial" w:hAnsi="Arial"/>
          <w:sz w:val="16"/>
          <w:szCs w:val="16"/>
          <w:color w:val="auto"/>
        </w:rPr>
        <w:t>” means, as of the Applicable Time, the most recent Preliminary Prospectus together with</w:t>
      </w:r>
    </w:p>
    <w:p>
      <w:pPr>
        <w:spacing w:after="0" w:line="50" w:lineRule="exact"/>
        <w:rPr>
          <w:rFonts w:ascii="Arial" w:cs="Arial" w:eastAsia="Arial" w:hAnsi="Arial"/>
          <w:sz w:val="16"/>
          <w:szCs w:val="16"/>
          <w:color w:val="auto"/>
        </w:rPr>
      </w:pPr>
    </w:p>
    <w:p>
      <w:pPr>
        <w:ind w:left="1300" w:right="120" w:firstLine="5"/>
        <w:spacing w:after="0" w:line="255" w:lineRule="auto"/>
        <w:tabs>
          <w:tab w:leader="none" w:pos="1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pricing information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(B) each Issuer Free Writing Prospectus filed or used by the Partnership on or before the Applicable Time, other than a road show that is an Issuer Free Writing Prospectus under Rule 433 of the Rules and Regulations;</w:t>
      </w:r>
    </w:p>
    <w:p>
      <w:pPr>
        <w:spacing w:after="0" w:line="186" w:lineRule="exact"/>
        <w:rPr>
          <w:rFonts w:ascii="Arial" w:cs="Arial" w:eastAsia="Arial" w:hAnsi="Arial"/>
          <w:sz w:val="18"/>
          <w:szCs w:val="18"/>
          <w:color w:val="auto"/>
        </w:rPr>
      </w:pPr>
    </w:p>
    <w:p>
      <w:pPr>
        <w:ind w:left="1300" w:right="640" w:firstLine="653"/>
        <w:spacing w:after="0" w:line="347" w:lineRule="auto"/>
        <w:tabs>
          <w:tab w:leader="none" w:pos="2663"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final prospectus relating to the Units, including the Base Prospectus and any prospectus supplement thereto relating to the Units, as filed with the Commission pursuant to Rule 424(b) of the Rules and Regulations; and</w:t>
      </w:r>
    </w:p>
    <w:p>
      <w:pPr>
        <w:spacing w:after="0" w:line="116" w:lineRule="exact"/>
        <w:rPr>
          <w:rFonts w:ascii="Arial" w:cs="Arial" w:eastAsia="Arial" w:hAnsi="Arial"/>
          <w:sz w:val="16"/>
          <w:szCs w:val="16"/>
          <w:color w:val="auto"/>
        </w:rPr>
      </w:pPr>
    </w:p>
    <w:p>
      <w:pPr>
        <w:ind w:left="1300" w:right="220" w:firstLine="653"/>
        <w:spacing w:after="0" w:line="313" w:lineRule="auto"/>
        <w:tabs>
          <w:tab w:leader="none" w:pos="2668" w:val="left"/>
        </w:tabs>
        <w:numPr>
          <w:ilvl w:val="1"/>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S-3 (File No. 333-207139), as amended as of the Effective Date, including any Preliminary Prospectus or the Prospectus and all exhibits to such registration statement.</w:t>
      </w:r>
    </w:p>
    <w:p>
      <w:pPr>
        <w:spacing w:after="0" w:line="14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w:t>
      </w:r>
    </w:p>
    <w:p>
      <w:pPr>
        <w:spacing w:after="0" w:line="169" w:lineRule="exact"/>
        <w:rPr>
          <w:sz w:val="20"/>
          <w:szCs w:val="20"/>
          <w:color w:val="auto"/>
        </w:rPr>
      </w:pPr>
    </w:p>
    <w:p>
      <w:pPr>
        <w:ind w:right="80" w:firstLine="1305"/>
        <w:spacing w:after="0" w:line="312" w:lineRule="auto"/>
        <w:tabs>
          <w:tab w:leader="none" w:pos="200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Form of Documents</w:t>
      </w:r>
      <w:r>
        <w:rPr>
          <w:rFonts w:ascii="Arial" w:cs="Arial" w:eastAsia="Arial" w:hAnsi="Arial"/>
          <w:sz w:val="16"/>
          <w:szCs w:val="16"/>
          <w:color w:val="auto"/>
        </w:rPr>
        <w:t>. The Registration Statement conformed in all material respects on the Effective Date and on the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187" w:lineRule="exact"/>
        <w:rPr>
          <w:sz w:val="20"/>
          <w:szCs w:val="20"/>
          <w:color w:val="auto"/>
        </w:rPr>
      </w:pPr>
    </w:p>
    <w:p>
      <w:pPr>
        <w:ind w:right="140" w:firstLine="1305"/>
        <w:spacing w:after="0" w:line="257" w:lineRule="auto"/>
        <w:tabs>
          <w:tab w:leader="none" w:pos="199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The Registration Statement did not, as of its most recent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00" w:firstLine="1305"/>
        <w:spacing w:after="0" w:line="257" w:lineRule="auto"/>
        <w:tabs>
          <w:tab w:leader="none" w:pos="200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Prospectus</w:t>
      </w:r>
      <w:r>
        <w:rPr>
          <w:rFonts w:ascii="Arial" w:cs="Arial" w:eastAsia="Arial" w:hAnsi="Arial"/>
          <w:sz w:val="18"/>
          <w:szCs w:val="18"/>
          <w:color w:val="auto"/>
        </w:rPr>
        <w:t>. The Prospectus will not, as of its date and on the Delivery Date,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360" w:firstLine="1305"/>
        <w:spacing w:after="0" w:line="264" w:lineRule="auto"/>
        <w:tabs>
          <w:tab w:leader="none" w:pos="199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Documents Incorporated by Reference</w:t>
      </w:r>
      <w:r>
        <w:rPr>
          <w:rFonts w:ascii="Arial" w:cs="Arial" w:eastAsia="Arial" w:hAnsi="Arial"/>
          <w:sz w:val="18"/>
          <w:szCs w:val="18"/>
          <w:color w:val="auto"/>
        </w:rPr>
        <w:t>. The Incorporated Documents, when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firstLine="1305"/>
        <w:spacing w:after="0" w:line="276" w:lineRule="auto"/>
        <w:tabs>
          <w:tab w:leader="none" w:pos="20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160" w:firstLine="1305"/>
        <w:spacing w:after="0" w:line="257" w:lineRule="auto"/>
        <w:tabs>
          <w:tab w:leader="none" w:pos="200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 and Pricing Disclosure Package</w:t>
      </w:r>
      <w:r>
        <w:rPr>
          <w:rFonts w:ascii="Arial" w:cs="Arial" w:eastAsia="Arial" w:hAnsi="Arial"/>
          <w:sz w:val="18"/>
          <w:szCs w:val="18"/>
          <w:color w:val="auto"/>
        </w:rPr>
        <w:t>. Each Issuer Free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w:t>
      </w:r>
    </w:p>
    <w:p>
      <w:pPr>
        <w:sectPr>
          <w:pgSz w:w="11900" w:h="16838" w:orient="portrait"/>
          <w:cols w:equalWidth="0" w:num="1">
            <w:col w:w="11420"/>
          </w:cols>
          <w:pgMar w:left="240" w:top="121" w:right="2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24" w:lineRule="exact"/>
        <w:rPr>
          <w:sz w:val="20"/>
          <w:szCs w:val="20"/>
          <w:color w:val="auto"/>
        </w:rPr>
      </w:pPr>
    </w:p>
    <w:p>
      <w:pPr>
        <w:ind w:right="100" w:firstLine="1305"/>
        <w:spacing w:after="0" w:line="271" w:lineRule="auto"/>
        <w:tabs>
          <w:tab w:leader="none" w:pos="200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 Conform to the Requirements of the Securities Act</w:t>
      </w:r>
      <w:r>
        <w:rPr>
          <w:rFonts w:ascii="Arial" w:cs="Arial" w:eastAsia="Arial" w:hAnsi="Arial"/>
          <w:sz w:val="17"/>
          <w:szCs w:val="17"/>
          <w:color w:val="auto"/>
        </w:rPr>
        <w:t>. Each Issuer Free Writing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the final term sheet prepared and filed pursuant to </w:t>
      </w:r>
      <w:r>
        <w:rPr>
          <w:rFonts w:ascii="Arial" w:cs="Arial" w:eastAsia="Arial" w:hAnsi="Arial"/>
          <w:sz w:val="17"/>
          <w:szCs w:val="17"/>
          <w:u w:val="single" w:color="auto"/>
          <w:color w:val="auto"/>
        </w:rPr>
        <w:t>Section 5(r)</w:t>
      </w:r>
      <w:r>
        <w:rPr>
          <w:rFonts w:ascii="Arial" w:cs="Arial" w:eastAsia="Arial" w:hAnsi="Arial"/>
          <w:sz w:val="17"/>
          <w:szCs w:val="17"/>
          <w:color w:val="auto"/>
        </w:rPr>
        <w:t xml:space="preserve"> (the “</w:t>
      </w:r>
      <w:r>
        <w:rPr>
          <w:rFonts w:ascii="Arial" w:cs="Arial" w:eastAsia="Arial" w:hAnsi="Arial"/>
          <w:sz w:val="17"/>
          <w:szCs w:val="17"/>
          <w:b w:val="1"/>
          <w:bCs w:val="1"/>
          <w:color w:val="auto"/>
        </w:rPr>
        <w:t>Term Sheet</w:t>
      </w:r>
      <w:r>
        <w:rPr>
          <w:rFonts w:ascii="Arial" w:cs="Arial" w:eastAsia="Arial" w:hAnsi="Arial"/>
          <w:sz w:val="17"/>
          <w:szCs w:val="17"/>
          <w:color w:val="auto"/>
        </w:rPr>
        <w:t>”), 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w:t>
      </w:r>
    </w:p>
    <w:p>
      <w:pPr>
        <w:spacing w:after="0" w:line="178" w:lineRule="exact"/>
        <w:rPr>
          <w:rFonts w:ascii="Arial" w:cs="Arial" w:eastAsia="Arial" w:hAnsi="Arial"/>
          <w:sz w:val="17"/>
          <w:szCs w:val="17"/>
          <w:color w:val="auto"/>
        </w:rPr>
      </w:pPr>
    </w:p>
    <w:p>
      <w:pPr>
        <w:ind w:right="280" w:firstLine="1305"/>
        <w:spacing w:after="0" w:line="259" w:lineRule="auto"/>
        <w:tabs>
          <w:tab w:leader="none" w:pos="200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Rule 405 of the Rules and Regulations). At the earliest time after the initial filing of the Registration Statement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Units, the Partnership was not an “ineligible issuer,” as defined in Rule 405 of the Rules and Regulations.</w:t>
      </w:r>
    </w:p>
    <w:p>
      <w:pPr>
        <w:spacing w:after="0" w:line="186" w:lineRule="exact"/>
        <w:rPr>
          <w:rFonts w:ascii="Arial" w:cs="Arial" w:eastAsia="Arial" w:hAnsi="Arial"/>
          <w:sz w:val="18"/>
          <w:szCs w:val="18"/>
          <w:color w:val="auto"/>
        </w:rPr>
      </w:pPr>
    </w:p>
    <w:p>
      <w:pPr>
        <w:ind w:right="60" w:firstLine="1305"/>
        <w:spacing w:after="0" w:line="269" w:lineRule="auto"/>
        <w:tabs>
          <w:tab w:leader="none" w:pos="200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Formation and Qualification of Certain Entities</w:t>
      </w:r>
      <w:r>
        <w:rPr>
          <w:rFonts w:ascii="Arial" w:cs="Arial" w:eastAsia="Arial" w:hAnsi="Arial"/>
          <w:sz w:val="17"/>
          <w:szCs w:val="17"/>
          <w:color w:val="auto"/>
        </w:rPr>
        <w:t>. Each of the Partnership, the GP Entities and the Material Subsidiaries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duly formed and is validly existing in good standing as a limited partnership, limited liability company or unlimited liability company under the laws of its respective jurisdiction of formation with full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and the Partnership (collectively, the “</w:t>
      </w:r>
      <w:r>
        <w:rPr>
          <w:rFonts w:ascii="Arial" w:cs="Arial" w:eastAsia="Arial" w:hAnsi="Arial"/>
          <w:sz w:val="17"/>
          <w:szCs w:val="17"/>
          <w:b w:val="1"/>
          <w:bCs w:val="1"/>
          <w:color w:val="auto"/>
        </w:rPr>
        <w:t>Plains Entities</w:t>
      </w:r>
      <w:r>
        <w:rPr>
          <w:rFonts w:ascii="Arial" w:cs="Arial" w:eastAsia="Arial" w:hAnsi="Arial"/>
          <w:sz w:val="17"/>
          <w:szCs w:val="17"/>
          <w:color w:val="auto"/>
        </w:rPr>
        <w:t>”),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or (ii) subject the limited partners of the Partnership to any material liability or disability.</w:t>
      </w:r>
    </w:p>
    <w:p>
      <w:pPr>
        <w:spacing w:after="0" w:line="182" w:lineRule="exact"/>
        <w:rPr>
          <w:rFonts w:ascii="Arial" w:cs="Arial" w:eastAsia="Arial" w:hAnsi="Arial"/>
          <w:sz w:val="17"/>
          <w:szCs w:val="17"/>
          <w:color w:val="auto"/>
        </w:rPr>
      </w:pPr>
    </w:p>
    <w:p>
      <w:pPr>
        <w:ind w:right="180" w:firstLine="1305"/>
        <w:spacing w:after="0" w:line="308" w:lineRule="auto"/>
        <w:tabs>
          <w:tab w:leader="none" w:pos="200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General Partners</w:t>
      </w:r>
      <w:r>
        <w:rPr>
          <w:rFonts w:ascii="Arial" w:cs="Arial" w:eastAsia="Arial" w:hAnsi="Arial"/>
          <w:sz w:val="17"/>
          <w:szCs w:val="17"/>
          <w:color w:val="auto"/>
        </w:rPr>
        <w:t>. Each Plains Entity or GP Entity that serves as a general partner of another Plains Entity or GP Entity has full</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liability company power and authority, as the case may be, to serve as general partner of such Plains Entity or GP Entity,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each case in all material respects, as disclosed in the Registration Statement, the Pricing Disclosure Package and the Prospectus.</w:t>
      </w:r>
    </w:p>
    <w:p>
      <w:pPr>
        <w:spacing w:after="0" w:line="225" w:lineRule="exact"/>
        <w:rPr>
          <w:sz w:val="20"/>
          <w:szCs w:val="20"/>
          <w:color w:val="auto"/>
        </w:rPr>
      </w:pPr>
    </w:p>
    <w:p>
      <w:pPr>
        <w:ind w:firstLine="1305"/>
        <w:spacing w:after="0" w:line="286" w:lineRule="auto"/>
        <w:tabs>
          <w:tab w:leader="none" w:pos="200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Ownership of Interests in the Partnership, the General Partner, Plains AAP, GP LLC and PAGP</w:t>
      </w:r>
      <w:r>
        <w:rPr>
          <w:rFonts w:ascii="Arial" w:cs="Arial" w:eastAsia="Arial" w:hAnsi="Arial"/>
          <w:sz w:val="16"/>
          <w:szCs w:val="16"/>
          <w:color w:val="auto"/>
        </w:rPr>
        <w:t>. The respective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their respective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and such membership interests and limited partner interests are fully paid (to the extent required under their applicable Organizational Documents) and nonassessable (except as such nonassessability may be affected by Sections 17-303, 17-607 and 17-804 of the Delaware Revised Uniform Limited Partnership Act (the “</w:t>
      </w:r>
      <w:r>
        <w:rPr>
          <w:rFonts w:ascii="Arial" w:cs="Arial" w:eastAsia="Arial" w:hAnsi="Arial"/>
          <w:sz w:val="16"/>
          <w:szCs w:val="16"/>
          <w:b w:val="1"/>
          <w:bCs w:val="1"/>
          <w:color w:val="auto"/>
        </w:rPr>
        <w:t>Delaware LP Act</w:t>
      </w:r>
      <w:r>
        <w:rPr>
          <w:rFonts w:ascii="Arial" w:cs="Arial" w:eastAsia="Arial" w:hAnsi="Arial"/>
          <w:sz w:val="16"/>
          <w:szCs w:val="16"/>
          <w:color w:val="auto"/>
        </w:rPr>
        <w:t>”) or Sections 18-607 and 18-804 of the Delaware Limited Liability Company Act (the “</w:t>
      </w:r>
      <w:r>
        <w:rPr>
          <w:rFonts w:ascii="Arial" w:cs="Arial" w:eastAsia="Arial" w:hAnsi="Arial"/>
          <w:sz w:val="16"/>
          <w:szCs w:val="16"/>
          <w:b w:val="1"/>
          <w:bCs w:val="1"/>
          <w:color w:val="auto"/>
        </w:rPr>
        <w:t>Delaware LLC Act</w:t>
      </w:r>
      <w:r>
        <w:rPr>
          <w:rFonts w:ascii="Arial" w:cs="Arial" w:eastAsia="Arial" w:hAnsi="Arial"/>
          <w:sz w:val="16"/>
          <w:szCs w:val="16"/>
          <w:color w:val="auto"/>
        </w:rPr>
        <w:t>”), as applicable); and such general partner, limited partner and membership interests held by the GP Entities are owned by the applicable GP Entity free and clear of all liens, encumbrances, security interests, equities, charges or claims (“</w:t>
      </w:r>
      <w:r>
        <w:rPr>
          <w:rFonts w:ascii="Arial" w:cs="Arial" w:eastAsia="Arial" w:hAnsi="Arial"/>
          <w:sz w:val="16"/>
          <w:szCs w:val="16"/>
          <w:b w:val="1"/>
          <w:bCs w:val="1"/>
          <w:color w:val="auto"/>
        </w:rPr>
        <w:t>Liens</w:t>
      </w:r>
      <w:r>
        <w:rPr>
          <w:rFonts w:ascii="Arial" w:cs="Arial" w:eastAsia="Arial" w:hAnsi="Arial"/>
          <w:sz w:val="16"/>
          <w:szCs w:val="16"/>
          <w:color w:val="auto"/>
        </w:rPr>
        <w:t>”), except (i) as disclosed in the Registration Statement, the Pricing Disclosure Package and the Prospectus or (ii)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171" w:lineRule="exact"/>
        <w:rPr>
          <w:rFonts w:ascii="Arial" w:cs="Arial" w:eastAsia="Arial" w:hAnsi="Arial"/>
          <w:sz w:val="16"/>
          <w:szCs w:val="16"/>
          <w:color w:val="auto"/>
        </w:rPr>
      </w:pPr>
    </w:p>
    <w:p>
      <w:pPr>
        <w:ind w:right="20" w:firstLine="1305"/>
        <w:spacing w:after="0" w:line="269" w:lineRule="auto"/>
        <w:tabs>
          <w:tab w:leader="none" w:pos="200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Ownership of the Material Subsidiaries</w:t>
      </w:r>
      <w:r>
        <w:rPr>
          <w:rFonts w:ascii="Arial" w:cs="Arial" w:eastAsia="Arial" w:hAnsi="Arial"/>
          <w:sz w:val="17"/>
          <w:szCs w:val="17"/>
          <w:color w:val="auto"/>
        </w:rPr>
        <w:t>. All of the outstanding shares of capital stock or other equity interests of each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(a)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unlimited liability company statute or (iv) with respect to the general partner interest of any Material Subsidiary) and (b) are owned, directly or indirectly, by the Partnership, free and clear of all Liens.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6" w:name="page7"/>
    <w:bookmarkEnd w:id="6"/>
    <w:p>
      <w:pPr>
        <w:spacing w:after="0" w:line="27" w:lineRule="exact"/>
        <w:rPr>
          <w:sz w:val="20"/>
          <w:szCs w:val="20"/>
          <w:color w:val="auto"/>
        </w:rPr>
      </w:pPr>
    </w:p>
    <w:p>
      <w:pPr>
        <w:ind w:left="-8" w:firstLine="1305"/>
        <w:spacing w:after="0" w:line="272" w:lineRule="auto"/>
        <w:tabs>
          <w:tab w:leader="none" w:pos="199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As of the date hereof, the issued and outstanding limited partner interests of the Partnership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725,189,138 common units representing limited partner interests in the Partnership (the “</w:t>
      </w:r>
      <w:r>
        <w:rPr>
          <w:rFonts w:ascii="Arial" w:cs="Arial" w:eastAsia="Arial" w:hAnsi="Arial"/>
          <w:sz w:val="17"/>
          <w:szCs w:val="17"/>
          <w:b w:val="1"/>
          <w:bCs w:val="1"/>
          <w:color w:val="auto"/>
        </w:rPr>
        <w:t>Common Units</w:t>
      </w:r>
      <w:r>
        <w:rPr>
          <w:rFonts w:ascii="Arial" w:cs="Arial" w:eastAsia="Arial" w:hAnsi="Arial"/>
          <w:sz w:val="17"/>
          <w:szCs w:val="17"/>
          <w:color w:val="auto"/>
        </w:rPr>
        <w:t>”) and 68,329,949 Series A Preferred Units representing limited partner interests in the Partnership (“</w:t>
      </w:r>
      <w:r>
        <w:rPr>
          <w:rFonts w:ascii="Arial" w:cs="Arial" w:eastAsia="Arial" w:hAnsi="Arial"/>
          <w:sz w:val="17"/>
          <w:szCs w:val="17"/>
          <w:b w:val="1"/>
          <w:bCs w:val="1"/>
          <w:color w:val="auto"/>
        </w:rPr>
        <w:t>Series A Preferred Units</w:t>
      </w:r>
      <w:r>
        <w:rPr>
          <w:rFonts w:ascii="Arial" w:cs="Arial" w:eastAsia="Arial" w:hAnsi="Arial"/>
          <w:sz w:val="17"/>
          <w:szCs w:val="17"/>
          <w:color w:val="auto"/>
        </w:rPr>
        <w:t>”). All outstanding Common Units and Series A Preferred Units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17-303, 17-607 and 17-804 of the Delaware LP Act). The limited partner interests of the Partnership conform, in all material respects, as to legal matters to the descriptions thereof contained in the Registration Statement, the Pricing Disclosure Package and the Prospectus.</w:t>
      </w:r>
    </w:p>
    <w:p>
      <w:pPr>
        <w:spacing w:after="0" w:line="177" w:lineRule="exact"/>
        <w:rPr>
          <w:rFonts w:ascii="Arial" w:cs="Arial" w:eastAsia="Arial" w:hAnsi="Arial"/>
          <w:sz w:val="17"/>
          <w:szCs w:val="17"/>
          <w:color w:val="auto"/>
        </w:rPr>
      </w:pPr>
    </w:p>
    <w:p>
      <w:pPr>
        <w:ind w:left="-8" w:right="40" w:firstLine="1305"/>
        <w:spacing w:after="0" w:line="257" w:lineRule="auto"/>
        <w:tabs>
          <w:tab w:leader="none" w:pos="199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Duly Authorized and Validly Issued Units</w:t>
      </w:r>
      <w:r>
        <w:rPr>
          <w:rFonts w:ascii="Arial" w:cs="Arial" w:eastAsia="Arial" w:hAnsi="Arial"/>
          <w:sz w:val="18"/>
          <w:szCs w:val="18"/>
          <w:color w:val="auto"/>
        </w:rPr>
        <w:t>. At the Delivery Date, the Units to be sold by the Partnership and the limited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represented thereby will be duly authorized in accordance with the Amended and Restated Partnership Agreement and, when issued and delivered to the Underwriters against payment therefor in accordance with the terms hereof, will be validly issued, fully paid (to the extent required under the Amended and Restated Partnership Agreement) and nonassessable (except as such nonassessability may be affected by Sections 17-303, 17-607 and 17-804 of the Delaware LP Act).</w:t>
      </w:r>
    </w:p>
    <w:p>
      <w:pPr>
        <w:spacing w:after="0" w:line="188" w:lineRule="exact"/>
        <w:rPr>
          <w:rFonts w:ascii="Arial" w:cs="Arial" w:eastAsia="Arial" w:hAnsi="Arial"/>
          <w:sz w:val="18"/>
          <w:szCs w:val="18"/>
          <w:color w:val="auto"/>
        </w:rPr>
      </w:pPr>
    </w:p>
    <w:p>
      <w:pPr>
        <w:ind w:left="-8" w:firstLine="1305"/>
        <w:spacing w:after="0" w:line="270" w:lineRule="auto"/>
        <w:tabs>
          <w:tab w:leader="none" w:pos="199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No Preemptive or Other Rights</w:t>
      </w:r>
      <w:r>
        <w:rPr>
          <w:rFonts w:ascii="Arial" w:cs="Arial" w:eastAsia="Arial" w:hAnsi="Arial"/>
          <w:sz w:val="17"/>
          <w:szCs w:val="17"/>
          <w:color w:val="auto"/>
        </w:rPr>
        <w:t>. Except as described in the Registration Statement, the Pricing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or as provided in the Organizational Documents of the Partnership or that certain Omnibus Agreement, dated as of November 15, 2016, by and among the Partnership, PAGP GP, PAGP, GP LLC, Plains AAP and the General Partner (the “</w:t>
      </w:r>
      <w:r>
        <w:rPr>
          <w:rFonts w:ascii="Arial" w:cs="Arial" w:eastAsia="Arial" w:hAnsi="Arial"/>
          <w:sz w:val="17"/>
          <w:szCs w:val="17"/>
          <w:b w:val="1"/>
          <w:bCs w:val="1"/>
          <w:color w:val="auto"/>
        </w:rPr>
        <w:t>Omnibus Agreement</w:t>
      </w:r>
      <w:r>
        <w:rPr>
          <w:rFonts w:ascii="Arial" w:cs="Arial" w:eastAsia="Arial" w:hAnsi="Arial"/>
          <w:sz w:val="17"/>
          <w:szCs w:val="17"/>
          <w:color w:val="auto"/>
        </w:rPr>
        <w:t>”),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Registration Statement, the Pricing Disclosure Package and the Prospectus and (ii) for awards issued pursuant to the Partnership’s long-term incentive plans, there are no outstanding rights to purchase any Series B Preferred Units or other equity interests in the Partnership.</w:t>
      </w:r>
    </w:p>
    <w:p>
      <w:pPr>
        <w:spacing w:after="0" w:line="181" w:lineRule="exact"/>
        <w:rPr>
          <w:rFonts w:ascii="Arial" w:cs="Arial" w:eastAsia="Arial" w:hAnsi="Arial"/>
          <w:sz w:val="17"/>
          <w:szCs w:val="17"/>
          <w:color w:val="auto"/>
        </w:rPr>
      </w:pPr>
    </w:p>
    <w:p>
      <w:pPr>
        <w:ind w:left="-8" w:right="140" w:firstLine="1305"/>
        <w:spacing w:after="0" w:line="257" w:lineRule="auto"/>
        <w:tabs>
          <w:tab w:leader="none" w:pos="199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partnership power and authority to issue, sell and deliver the Units,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and upon the terms and conditions set forth in this Agreement, the Partnership Agreement, the Registration Statement, the Pricing Disclosure Package and the Prospectus. At the Delivery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has been duly and validly taken.</w:t>
      </w:r>
    </w:p>
    <w:p>
      <w:pPr>
        <w:spacing w:after="0" w:line="188" w:lineRule="exact"/>
        <w:rPr>
          <w:rFonts w:ascii="Arial" w:cs="Arial" w:eastAsia="Arial" w:hAnsi="Arial"/>
          <w:sz w:val="18"/>
          <w:szCs w:val="18"/>
          <w:color w:val="auto"/>
        </w:rPr>
      </w:pPr>
    </w:p>
    <w:p>
      <w:pPr>
        <w:ind w:left="-8" w:right="260" w:firstLine="1305"/>
        <w:spacing w:after="0" w:line="277" w:lineRule="auto"/>
        <w:tabs>
          <w:tab w:leader="none" w:pos="200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or on behalf of the Partnership.</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 w:right="80" w:firstLine="1305"/>
        <w:spacing w:after="0" w:line="272" w:lineRule="auto"/>
        <w:tabs>
          <w:tab w:leader="none" w:pos="2018"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Organizational Documents</w:t>
      </w:r>
      <w:r>
        <w:rPr>
          <w:rFonts w:ascii="Arial" w:cs="Arial" w:eastAsia="Arial" w:hAnsi="Arial"/>
          <w:sz w:val="17"/>
          <w:szCs w:val="17"/>
          <w:color w:val="auto"/>
        </w:rPr>
        <w:t>. The Organizational Documents of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Partnership, the GP Entities and the Material Subsidiaries has been (or, in the case of the Amended and Restated Partnership Agreement, will be on the Closing Date) duly authorized, executed and delivered by the parties thereto and is (or, in the case of the Amended and Restated Partnership Agreement, will be on the Closing Date) a valid and legally binding agreement of such parties thereto, enforceable against the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7" w:lineRule="exact"/>
        <w:rPr>
          <w:rFonts w:ascii="Arial" w:cs="Arial" w:eastAsia="Arial" w:hAnsi="Arial"/>
          <w:sz w:val="17"/>
          <w:szCs w:val="17"/>
          <w:color w:val="auto"/>
        </w:rPr>
      </w:pPr>
    </w:p>
    <w:p>
      <w:pPr>
        <w:ind w:left="-8" w:right="100" w:firstLine="1305"/>
        <w:spacing w:after="0" w:line="283" w:lineRule="auto"/>
        <w:tabs>
          <w:tab w:leader="none" w:pos="1998"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r>
        <w:rPr>
          <w:rFonts w:ascii="Arial" w:cs="Arial" w:eastAsia="Arial" w:hAnsi="Arial"/>
          <w:sz w:val="16"/>
          <w:szCs w:val="16"/>
          <w:color w:val="auto"/>
        </w:rPr>
        <w:t>. None of (i) the offering, issuance and sale by the Partnership of the Units, (ii) the execution,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of this Agreement by the Partnership, (iii) the consummation of the transactions contemplated by this Agreement or (iv) the execution, delivery and performance of the Amended and Restated Partnership Agreement (A) conflicts or will conflict with or constitutes or will constitute a violation of the Organizational Documents of the Partnership,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w:t>
      </w:r>
    </w:p>
    <w:p>
      <w:pPr>
        <w:spacing w:after="0" w:line="6" w:lineRule="exact"/>
        <w:rPr>
          <w:rFonts w:ascii="Arial" w:cs="Arial" w:eastAsia="Arial" w:hAnsi="Arial"/>
          <w:sz w:val="16"/>
          <w:szCs w:val="16"/>
          <w:color w:val="auto"/>
        </w:rPr>
      </w:pPr>
    </w:p>
    <w:p>
      <w:pPr>
        <w:ind w:left="-8" w:right="60" w:firstLine="8"/>
        <w:spacing w:after="0" w:line="277" w:lineRule="auto"/>
        <w:tabs>
          <w:tab w:leader="none" w:pos="2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results or will result in the creation or imposition of any Lien upon any property or assets of the Partnership, any of the GP Entities or any of the Material Subsidiaries, which conflicts, breaches, violations, defaults or Liens, in the case of clauses (B), (C) or (D), would reasonably be expected to have a Material Adverse Effect or materially impair the ability of the Partnership to consummate the transactions contemplated by this Agreement.</w:t>
      </w:r>
    </w:p>
    <w:p>
      <w:pPr>
        <w:spacing w:after="0" w:line="173" w:lineRule="exact"/>
        <w:rPr>
          <w:rFonts w:ascii="Arial" w:cs="Arial" w:eastAsia="Arial" w:hAnsi="Arial"/>
          <w:sz w:val="17"/>
          <w:szCs w:val="17"/>
          <w:color w:val="auto"/>
        </w:rPr>
      </w:pPr>
    </w:p>
    <w:p>
      <w:pPr>
        <w:ind w:left="-8" w:right="20" w:firstLine="1305"/>
        <w:spacing w:after="0" w:line="253" w:lineRule="auto"/>
        <w:tabs>
          <w:tab w:leader="none" w:pos="1993"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No Consents</w:t>
      </w:r>
      <w:r>
        <w:rPr>
          <w:rFonts w:ascii="Arial" w:cs="Arial" w:eastAsia="Arial" w:hAnsi="Arial"/>
          <w:sz w:val="18"/>
          <w:szCs w:val="18"/>
          <w:color w:val="auto"/>
        </w:rPr>
        <w:t>. No consent, approval, authorization, filing with or order of any court, governmental agency or body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over any of the Plains Entities or any of the GP Entities or any of their respective properties is required in connection with (i) the offering, issuance and sale by the Partnership of the Units, (ii) the execution, delivery and performance of, or the consummation by the Partnership of the transactions contemplated by, this Agreement or (iii) the execution, delivery and performance of the Amended and Restated Partnership Agreement,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purchase and distribution by the Underwriters of the Units in the manner contemplated herein and in the Registration Statement, the Pricing Disclosure Package and the Prospectus and (C) such that the failure to obtain or make would not reasonably be expected to have a Material Adverse Effect or materially impair the ability of the Partnership to consummate the transactions contemplated by this Agreement.</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 w:firstLine="1305"/>
        <w:spacing w:after="0" w:line="288" w:lineRule="auto"/>
        <w:tabs>
          <w:tab w:leader="none" w:pos="1993"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No Default</w:t>
      </w:r>
      <w:r>
        <w:rPr>
          <w:rFonts w:ascii="Arial" w:cs="Arial" w:eastAsia="Arial" w:hAnsi="Arial"/>
          <w:sz w:val="16"/>
          <w:szCs w:val="16"/>
          <w:color w:val="auto"/>
        </w:rPr>
        <w:t>. (i) None of the Partnership, the GP Entities or the Material Subsidiaries is in violation of its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w:t>
      </w:r>
    </w:p>
    <w:p>
      <w:pPr>
        <w:ind w:left="312" w:hanging="312"/>
        <w:spacing w:after="0"/>
        <w:tabs>
          <w:tab w:leader="none" w:pos="3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the Partnership, the GP Entities or the Material Subsidiaries is in breach, default (or an event that, with notice or lapse of time or both, would</w:t>
      </w:r>
    </w:p>
    <w:p>
      <w:pPr>
        <w:sectPr>
          <w:pgSz w:w="11900" w:h="16865" w:orient="portrait"/>
          <w:cols w:equalWidth="0" w:num="1">
            <w:col w:w="11392"/>
          </w:cols>
          <w:pgMar w:left="248" w:top="125" w:right="259" w:bottom="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t>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clause (ii) or clause (iii) would, if continued, reasonably be expected to have a Material Adverse Effect or materially impair the ability of the Partnership to perform its obligations under this Agreement.</w:t>
      </w:r>
    </w:p>
    <w:p>
      <w:pPr>
        <w:spacing w:after="0" w:line="187" w:lineRule="exact"/>
        <w:rPr>
          <w:sz w:val="20"/>
          <w:szCs w:val="20"/>
          <w:color w:val="auto"/>
        </w:rPr>
      </w:pPr>
    </w:p>
    <w:p>
      <w:pPr>
        <w:ind w:firstLine="1305"/>
        <w:spacing w:after="0" w:line="279" w:lineRule="auto"/>
        <w:tabs>
          <w:tab w:leader="none" w:pos="199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Independent Registered Public Accounting Firm</w:t>
      </w:r>
      <w:r>
        <w:rPr>
          <w:rFonts w:ascii="Arial" w:cs="Arial" w:eastAsia="Arial" w:hAnsi="Arial"/>
          <w:sz w:val="17"/>
          <w:szCs w:val="17"/>
          <w:color w:val="auto"/>
        </w:rPr>
        <w:t>. PricewaterhouseCoopers LLP, which has certified the audited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or incorporated by reference in the Registration Statement, the Pricing Disclosure Package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71" w:lineRule="exact"/>
        <w:rPr>
          <w:rFonts w:ascii="Arial" w:cs="Arial" w:eastAsia="Arial" w:hAnsi="Arial"/>
          <w:sz w:val="17"/>
          <w:szCs w:val="17"/>
          <w:color w:val="auto"/>
        </w:rPr>
      </w:pPr>
    </w:p>
    <w:p>
      <w:pPr>
        <w:ind w:right="80" w:firstLine="1305"/>
        <w:spacing w:after="0" w:line="269" w:lineRule="auto"/>
        <w:tabs>
          <w:tab w:leader="none" w:pos="200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At June 30, 2017, the Partnership had, on a historical and an as adjusted basis as indicated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Partnership are required by the Securities Act or the Exchange Act to be included in the Registration Statement, the most recent Preliminary Prospectus or the Prospectus.</w:t>
      </w:r>
    </w:p>
    <w:p>
      <w:pPr>
        <w:spacing w:after="0" w:line="182" w:lineRule="exact"/>
        <w:rPr>
          <w:rFonts w:ascii="Arial" w:cs="Arial" w:eastAsia="Arial" w:hAnsi="Arial"/>
          <w:sz w:val="17"/>
          <w:szCs w:val="17"/>
          <w:color w:val="auto"/>
        </w:rPr>
      </w:pPr>
    </w:p>
    <w:p>
      <w:pPr>
        <w:ind w:right="280" w:firstLine="1305"/>
        <w:spacing w:after="0" w:line="257" w:lineRule="auto"/>
        <w:tabs>
          <w:tab w:leader="none" w:pos="200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None of the Plains Entities or the GP Entities has sustained, since the date of the latest audited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w:t>
      </w:r>
    </w:p>
    <w:p>
      <w:pPr>
        <w:spacing w:after="0" w:line="178" w:lineRule="exact"/>
        <w:rPr>
          <w:sz w:val="20"/>
          <w:szCs w:val="20"/>
          <w:color w:val="auto"/>
        </w:rPr>
      </w:pPr>
    </w:p>
    <w:p>
      <w:pPr>
        <w:ind w:right="160" w:firstLine="1305"/>
        <w:spacing w:after="0" w:line="255" w:lineRule="auto"/>
        <w:tabs>
          <w:tab w:leader="none" w:pos="199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Required Disclosures and Descriptions</w:t>
      </w:r>
      <w:r>
        <w:rPr>
          <w:rFonts w:ascii="Arial" w:cs="Arial" w:eastAsia="Arial" w:hAnsi="Arial"/>
          <w:sz w:val="18"/>
          <w:szCs w:val="18"/>
          <w:color w:val="auto"/>
        </w:rPr>
        <w:t>. There are no legal or governmental proceedings pending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93" w:lineRule="exact"/>
        <w:rPr>
          <w:sz w:val="20"/>
          <w:szCs w:val="20"/>
          <w:color w:val="auto"/>
        </w:rPr>
      </w:pPr>
    </w:p>
    <w:p>
      <w:pPr>
        <w:ind w:right="40" w:firstLine="1305"/>
        <w:spacing w:after="0" w:line="284" w:lineRule="auto"/>
        <w:tabs>
          <w:tab w:leader="none" w:pos="198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Plains Entities, directly or indirectly, have good and indefeasible title to all real property and good title to</w:t>
      </w:r>
      <w:r>
        <w:rPr>
          <w:rFonts w:ascii="Arial" w:cs="Arial" w:eastAsia="Arial" w:hAnsi="Arial"/>
          <w:sz w:val="16"/>
          <w:szCs w:val="16"/>
          <w:i w:val="1"/>
          <w:iCs w:val="1"/>
          <w:color w:val="auto"/>
        </w:rPr>
        <w:t xml:space="preserve"> </w:t>
      </w:r>
      <w:r>
        <w:rPr>
          <w:rFonts w:ascii="Arial" w:cs="Arial" w:eastAsia="Arial" w:hAnsi="Arial"/>
          <w:sz w:val="16"/>
          <w:szCs w:val="16"/>
          <w:color w:val="auto"/>
        </w:rPr>
        <w:t>all personal property described in the Registration Statement, the Pricing Disclosure Package and the Prospectus as being owned by them, free and clear of all Liens except (i) as provided in the Third Amended and Restated Credit Agreement dated as of August 19, 2011, as amended (the “</w:t>
      </w:r>
      <w:r>
        <w:rPr>
          <w:rFonts w:ascii="Arial" w:cs="Arial" w:eastAsia="Arial" w:hAnsi="Arial"/>
          <w:sz w:val="16"/>
          <w:szCs w:val="16"/>
          <w:b w:val="1"/>
          <w:bCs w:val="1"/>
          <w:color w:val="auto"/>
        </w:rPr>
        <w:t>Hedged Inventory</w:t>
      </w:r>
      <w:r>
        <w:rPr>
          <w:rFonts w:ascii="Arial" w:cs="Arial" w:eastAsia="Arial" w:hAnsi="Arial"/>
          <w:sz w:val="16"/>
          <w:szCs w:val="16"/>
          <w:color w:val="auto"/>
        </w:rPr>
        <w:t xml:space="preserve"> </w:t>
      </w:r>
      <w:r>
        <w:rPr>
          <w:rFonts w:ascii="Arial" w:cs="Arial" w:eastAsia="Arial" w:hAnsi="Arial"/>
          <w:sz w:val="16"/>
          <w:szCs w:val="16"/>
          <w:b w:val="1"/>
          <w:bCs w:val="1"/>
          <w:color w:val="auto"/>
        </w:rPr>
        <w:t>Facility</w:t>
      </w:r>
      <w:r>
        <w:rPr>
          <w:rFonts w:ascii="Arial" w:cs="Arial" w:eastAsia="Arial" w:hAnsi="Arial"/>
          <w:sz w:val="16"/>
          <w:szCs w:val="16"/>
          <w:color w:val="auto"/>
        </w:rPr>
        <w:t>”), among Plains Marketing, L.P., a Texas limited partnership (“</w:t>
      </w:r>
      <w:r>
        <w:rPr>
          <w:rFonts w:ascii="Arial" w:cs="Arial" w:eastAsia="Arial" w:hAnsi="Arial"/>
          <w:sz w:val="16"/>
          <w:szCs w:val="16"/>
          <w:b w:val="1"/>
          <w:bCs w:val="1"/>
          <w:color w:val="auto"/>
        </w:rPr>
        <w:t>Plains Marketing</w:t>
      </w:r>
      <w:r>
        <w:rPr>
          <w:rFonts w:ascii="Arial" w:cs="Arial" w:eastAsia="Arial" w:hAnsi="Arial"/>
          <w:sz w:val="16"/>
          <w:szCs w:val="16"/>
          <w:color w:val="auto"/>
        </w:rPr>
        <w:t>”), and Plains Midstream Canada ULC, a British Columbia</w:t>
      </w:r>
      <w:r>
        <w:rPr>
          <w:rFonts w:ascii="Arial" w:cs="Arial" w:eastAsia="Arial" w:hAnsi="Arial"/>
          <w:sz w:val="16"/>
          <w:szCs w:val="16"/>
          <w:b w:val="1"/>
          <w:bCs w:val="1"/>
          <w:color w:val="auto"/>
        </w:rPr>
        <w:t xml:space="preserve"> </w:t>
      </w:r>
      <w:r>
        <w:rPr>
          <w:rFonts w:ascii="Arial" w:cs="Arial" w:eastAsia="Arial" w:hAnsi="Arial"/>
          <w:sz w:val="16"/>
          <w:szCs w:val="16"/>
          <w:color w:val="auto"/>
        </w:rPr>
        <w:t>unlimited liability company (“</w:t>
      </w:r>
      <w:r>
        <w:rPr>
          <w:rFonts w:ascii="Arial" w:cs="Arial" w:eastAsia="Arial" w:hAnsi="Arial"/>
          <w:sz w:val="16"/>
          <w:szCs w:val="16"/>
          <w:b w:val="1"/>
          <w:bCs w:val="1"/>
          <w:color w:val="auto"/>
        </w:rPr>
        <w:t>Plains Midstream Canada</w:t>
      </w:r>
      <w:r>
        <w:rPr>
          <w:rFonts w:ascii="Arial" w:cs="Arial" w:eastAsia="Arial" w:hAnsi="Arial"/>
          <w:sz w:val="16"/>
          <w:szCs w:val="16"/>
          <w:color w:val="auto"/>
        </w:rPr>
        <w:t>”), as borrowers, and the Partnership, as guarantor, Bank of America, N.A., as administrative agent thereunder, and the lenders from time to time party thereto, described in the Registration Statement, the Pricing Disclosure Package and the Prospectus and</w:t>
      </w:r>
    </w:p>
    <w:p>
      <w:pPr>
        <w:spacing w:after="0" w:line="4" w:lineRule="exact"/>
        <w:rPr>
          <w:rFonts w:ascii="Arial" w:cs="Arial" w:eastAsia="Arial" w:hAnsi="Arial"/>
          <w:sz w:val="16"/>
          <w:szCs w:val="16"/>
          <w:color w:val="auto"/>
        </w:rPr>
      </w:pPr>
    </w:p>
    <w:p>
      <w:pPr>
        <w:ind w:right="340" w:firstLine="8"/>
        <w:spacing w:after="0" w:line="254"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may be described in the Registration Statement, the Pricing Disclosure Package and the Prospectus.</w:t>
      </w:r>
    </w:p>
    <w:p>
      <w:pPr>
        <w:spacing w:after="0" w:line="189" w:lineRule="exact"/>
        <w:rPr>
          <w:rFonts w:ascii="Arial" w:cs="Arial" w:eastAsia="Arial" w:hAnsi="Arial"/>
          <w:sz w:val="18"/>
          <w:szCs w:val="18"/>
          <w:color w:val="auto"/>
        </w:rPr>
      </w:pPr>
    </w:p>
    <w:p>
      <w:pPr>
        <w:ind w:right="600" w:firstLine="1305"/>
        <w:spacing w:after="0" w:line="259" w:lineRule="auto"/>
        <w:tabs>
          <w:tab w:leader="none" w:pos="2001"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Each of the Plains Entities, directly or indirectly, has such permits, consents, licenses, franchises, certificates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of governmental or regulatory authorities (“</w:t>
      </w:r>
      <w:r>
        <w:rPr>
          <w:rFonts w:ascii="Arial" w:cs="Arial" w:eastAsia="Arial" w:hAnsi="Arial"/>
          <w:sz w:val="18"/>
          <w:szCs w:val="18"/>
          <w:b w:val="1"/>
          <w:bCs w:val="1"/>
          <w:color w:val="auto"/>
        </w:rPr>
        <w:t>Permits</w:t>
      </w:r>
      <w:r>
        <w:rPr>
          <w:rFonts w:ascii="Arial" w:cs="Arial" w:eastAsia="Arial" w:hAnsi="Arial"/>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ectPr>
          <w:pgSz w:w="11900" w:h="16838" w:orient="portrait"/>
          <w:cols w:equalWidth="0" w:num="1">
            <w:col w:w="11420"/>
          </w:cols>
          <w:pgMar w:left="240" w:top="125" w:right="239" w:bottom="0" w:gutter="0" w:footer="0" w:header="0"/>
        </w:sectPr>
      </w:pPr>
    </w:p>
    <w:bookmarkStart w:id="8" w:name="page9"/>
    <w:bookmarkEnd w:id="8"/>
    <w:p>
      <w:pPr>
        <w:ind w:right="20" w:firstLine="1305"/>
        <w:spacing w:after="0" w:line="270" w:lineRule="auto"/>
        <w:tabs>
          <w:tab w:leader="none" w:pos="198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Rights-of-Way</w:t>
      </w:r>
      <w:r>
        <w:rPr>
          <w:rFonts w:ascii="Arial" w:cs="Arial" w:eastAsia="Arial" w:hAnsi="Arial"/>
          <w:sz w:val="17"/>
          <w:szCs w:val="17"/>
          <w:color w:val="auto"/>
        </w:rPr>
        <w:t>. Each of the Plains Entities, directly or indirectly, has such consents, easements, rights-of-way or licenses from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w:t>
      </w:r>
      <w:r>
        <w:rPr>
          <w:rFonts w:ascii="Arial" w:cs="Arial" w:eastAsia="Arial" w:hAnsi="Arial"/>
          <w:sz w:val="17"/>
          <w:szCs w:val="17"/>
          <w:b w:val="1"/>
          <w:bCs w:val="1"/>
          <w:color w:val="auto"/>
        </w:rPr>
        <w:t>rights-of-way</w:t>
      </w:r>
      <w:r>
        <w:rPr>
          <w:rFonts w:ascii="Arial" w:cs="Arial" w:eastAsia="Arial" w:hAnsi="Arial"/>
          <w:sz w:val="17"/>
          <w:szCs w:val="17"/>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81" w:lineRule="exact"/>
        <w:rPr>
          <w:rFonts w:ascii="Arial" w:cs="Arial" w:eastAsia="Arial" w:hAnsi="Arial"/>
          <w:sz w:val="17"/>
          <w:szCs w:val="17"/>
          <w:color w:val="auto"/>
        </w:rPr>
      </w:pPr>
    </w:p>
    <w:p>
      <w:pPr>
        <w:ind w:firstLine="1305"/>
        <w:spacing w:after="0" w:line="272" w:lineRule="auto"/>
        <w:tabs>
          <w:tab w:leader="none" w:pos="200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Investment Company</w:t>
      </w:r>
      <w:r>
        <w:rPr>
          <w:rFonts w:ascii="Arial" w:cs="Arial" w:eastAsia="Arial" w:hAnsi="Arial"/>
          <w:sz w:val="17"/>
          <w:szCs w:val="17"/>
          <w:color w:val="auto"/>
        </w:rPr>
        <w:t>. None of the Plains Entities is now, and after sale of the Units to be sold by the Partnership hereunder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in each case (y) excluding any circumstances where any Plains Entity is a “common carrier” under any such laws and (z) other than in respect of any Plains Entity that is under the jurisdiction of the California Public Utility Commission.</w:t>
      </w:r>
    </w:p>
    <w:p>
      <w:pPr>
        <w:spacing w:after="0" w:line="177" w:lineRule="exact"/>
        <w:rPr>
          <w:rFonts w:ascii="Arial" w:cs="Arial" w:eastAsia="Arial" w:hAnsi="Arial"/>
          <w:sz w:val="17"/>
          <w:szCs w:val="17"/>
          <w:color w:val="auto"/>
        </w:rPr>
      </w:pPr>
    </w:p>
    <w:p>
      <w:pPr>
        <w:ind w:right="160" w:firstLine="1305"/>
        <w:spacing w:after="0" w:line="293" w:lineRule="auto"/>
        <w:tabs>
          <w:tab w:leader="none" w:pos="198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Environmental Compliance</w:t>
      </w:r>
      <w:r>
        <w:rPr>
          <w:rFonts w:ascii="Arial" w:cs="Arial" w:eastAsia="Arial" w:hAnsi="Arial"/>
          <w:sz w:val="16"/>
          <w:szCs w:val="16"/>
          <w:color w:val="auto"/>
        </w:rPr>
        <w:t>. Except as described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firstLine="1305"/>
        <w:spacing w:after="0" w:line="277" w:lineRule="auto"/>
        <w:tabs>
          <w:tab w:leader="none" w:pos="198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Partnership, is imminent, that would reasonably be expected to have a Material Adverse Effect.</w:t>
      </w:r>
    </w:p>
    <w:p>
      <w:pPr>
        <w:spacing w:after="0" w:line="170" w:lineRule="exact"/>
        <w:rPr>
          <w:rFonts w:ascii="Arial" w:cs="Arial" w:eastAsia="Arial" w:hAnsi="Arial"/>
          <w:sz w:val="18"/>
          <w:szCs w:val="18"/>
          <w:color w:val="auto"/>
        </w:rPr>
      </w:pPr>
    </w:p>
    <w:p>
      <w:pPr>
        <w:ind w:right="20" w:firstLine="1305"/>
        <w:spacing w:after="0" w:line="279" w:lineRule="auto"/>
        <w:tabs>
          <w:tab w:leader="none" w:pos="2001"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Insurance</w:t>
      </w:r>
      <w:r>
        <w:rPr>
          <w:rFonts w:ascii="Arial" w:cs="Arial" w:eastAsia="Arial" w:hAnsi="Arial"/>
          <w:sz w:val="17"/>
          <w:szCs w:val="17"/>
          <w:color w:val="auto"/>
        </w:rPr>
        <w:t>. The Partnership maintains or is entitled to the benefits of insurance covering its properties, operations, personnel and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71" w:lineRule="exact"/>
        <w:rPr>
          <w:rFonts w:ascii="Arial" w:cs="Arial" w:eastAsia="Arial" w:hAnsi="Arial"/>
          <w:sz w:val="17"/>
          <w:szCs w:val="17"/>
          <w:color w:val="auto"/>
        </w:rPr>
      </w:pPr>
    </w:p>
    <w:p>
      <w:pPr>
        <w:ind w:left="2000" w:hanging="695"/>
        <w:spacing w:after="0"/>
        <w:tabs>
          <w:tab w:leader="none" w:pos="2000"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Registration Statement, the Pricing Disclosure Package and the Prospectus, there is</w:t>
      </w:r>
    </w:p>
    <w:p>
      <w:pPr>
        <w:spacing w:after="0" w:line="46" w:lineRule="exact"/>
        <w:rPr>
          <w:rFonts w:ascii="Arial" w:cs="Arial" w:eastAsia="Arial" w:hAnsi="Arial"/>
          <w:sz w:val="16"/>
          <w:szCs w:val="16"/>
          <w:color w:val="auto"/>
        </w:rPr>
      </w:pPr>
    </w:p>
    <w:p>
      <w:pPr>
        <w:ind w:right="200" w:firstLine="8"/>
        <w:spacing w:after="0" w:line="281"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w:t>
      </w:r>
    </w:p>
    <w:p>
      <w:pPr>
        <w:spacing w:after="0" w:line="2" w:lineRule="exact"/>
        <w:rPr>
          <w:rFonts w:ascii="Arial" w:cs="Arial" w:eastAsia="Arial" w:hAnsi="Arial"/>
          <w:sz w:val="16"/>
          <w:szCs w:val="16"/>
          <w:color w:val="auto"/>
        </w:rPr>
      </w:pPr>
    </w:p>
    <w:p>
      <w:pPr>
        <w:ind w:right="42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above, would reasonably be expected to have, individually or in the aggregate, a Material Adverse Effect or prevent or result in the suspension of the offering and issuance of the Units.</w:t>
      </w:r>
    </w:p>
    <w:p>
      <w:pPr>
        <w:spacing w:after="0" w:line="183" w:lineRule="exact"/>
        <w:rPr>
          <w:rFonts w:ascii="Arial" w:cs="Arial" w:eastAsia="Arial" w:hAnsi="Arial"/>
          <w:sz w:val="18"/>
          <w:szCs w:val="18"/>
          <w:color w:val="auto"/>
        </w:rPr>
      </w:pPr>
    </w:p>
    <w:p>
      <w:pPr>
        <w:ind w:right="60" w:firstLine="1305"/>
        <w:spacing w:after="0" w:line="255" w:lineRule="auto"/>
        <w:tabs>
          <w:tab w:leader="none" w:pos="201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Distribution Restrictions</w:t>
      </w:r>
      <w:r>
        <w:rPr>
          <w:rFonts w:ascii="Arial" w:cs="Arial" w:eastAsia="Arial" w:hAnsi="Arial"/>
          <w:sz w:val="18"/>
          <w:szCs w:val="18"/>
          <w:color w:val="auto"/>
        </w:rPr>
        <w:t>. No Subsidiary is currently prohibited, directly or indirectly, from making any distributions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or (iii) where such prohibition would not reasonably be expected to have a Material Adverse Effect.</w:t>
      </w:r>
    </w:p>
    <w:p>
      <w:pPr>
        <w:spacing w:after="0" w:line="189" w:lineRule="exact"/>
        <w:rPr>
          <w:rFonts w:ascii="Arial" w:cs="Arial" w:eastAsia="Arial" w:hAnsi="Arial"/>
          <w:sz w:val="18"/>
          <w:szCs w:val="18"/>
          <w:color w:val="auto"/>
        </w:rPr>
      </w:pPr>
    </w:p>
    <w:p>
      <w:pPr>
        <w:ind w:right="160" w:firstLine="1305"/>
        <w:spacing w:after="0" w:line="257" w:lineRule="auto"/>
        <w:tabs>
          <w:tab w:leader="none" w:pos="201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or the GP Entities has distributed and, prior to the later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occur of (i) the Delivery Date and (ii) completion of the distribution of the Units, as the case may be, will not distribute, any prospectus (as defined under the Securities Act) in connection with the offering and sale of the Units other than any Preliminary Prospectus, the Prospectus, any Issuer Free Writing Prospectus, subject to the conditions in </w:t>
      </w:r>
      <w:r>
        <w:rPr>
          <w:rFonts w:ascii="Arial" w:cs="Arial" w:eastAsia="Arial" w:hAnsi="Arial"/>
          <w:sz w:val="18"/>
          <w:szCs w:val="18"/>
          <w:u w:val="single" w:color="auto"/>
          <w:color w:val="auto"/>
        </w:rPr>
        <w:t>Section 1(h)</w:t>
      </w:r>
      <w:r>
        <w:rPr>
          <w:rFonts w:ascii="Arial" w:cs="Arial" w:eastAsia="Arial" w:hAnsi="Arial"/>
          <w:sz w:val="18"/>
          <w:szCs w:val="18"/>
          <w:color w:val="auto"/>
        </w:rPr>
        <w:t xml:space="preserve"> of this Agreement, or other materials, if any, permitted by the Securities Act, including Rule 134 of the Rules and Regulations.</w:t>
      </w:r>
    </w:p>
    <w:p>
      <w:pPr>
        <w:spacing w:after="0" w:line="188" w:lineRule="exact"/>
        <w:rPr>
          <w:rFonts w:ascii="Arial" w:cs="Arial" w:eastAsia="Arial" w:hAnsi="Arial"/>
          <w:sz w:val="18"/>
          <w:szCs w:val="18"/>
          <w:color w:val="auto"/>
        </w:rPr>
      </w:pPr>
    </w:p>
    <w:p>
      <w:pPr>
        <w:jc w:val="both"/>
        <w:ind w:right="580" w:firstLine="1305"/>
        <w:spacing w:after="0" w:line="264" w:lineRule="auto"/>
        <w:tabs>
          <w:tab w:leader="none" w:pos="200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Books and Records; Accounting Controls</w:t>
      </w:r>
      <w:r>
        <w:rPr>
          <w:rFonts w:ascii="Arial" w:cs="Arial" w:eastAsia="Arial" w:hAnsi="Arial"/>
          <w:sz w:val="18"/>
          <w:szCs w:val="18"/>
          <w:color w:val="auto"/>
        </w:rPr>
        <w:t>. The Partnership maintains a system of internal accounting controls sufficient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reasonable assurance that (i) transactions are executed in accordance with management’s general or specific authorization; (ii) transactions are recorded as necessary to permit preparation of financial statements in conformity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1" w:lineRule="exact"/>
        <w:rPr>
          <w:sz w:val="20"/>
          <w:szCs w:val="20"/>
          <w:color w:val="auto"/>
        </w:rPr>
      </w:pPr>
    </w:p>
    <w:p>
      <w:pPr>
        <w:ind w:right="160" w:firstLine="1305"/>
        <w:spacing w:after="0" w:line="264" w:lineRule="auto"/>
        <w:tabs>
          <w:tab w:leader="none" w:pos="201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of PAGP GP and the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and GP LLC, in their capacities as such, are in compliance in all material respects with all applicable and effective provisions of the Sarbanes-Oxley Act of 2002 and the rules and regulations promulgated thereunder.</w:t>
      </w:r>
    </w:p>
    <w:p>
      <w:pPr>
        <w:sectPr>
          <w:pgSz w:w="11900" w:h="16838" w:orient="portrait"/>
          <w:cols w:equalWidth="0" w:num="1">
            <w:col w:w="11420"/>
          </w:cols>
          <w:pgMar w:left="240" w:top="125" w:right="239" w:bottom="0" w:gutter="0" w:footer="0" w:header="0"/>
        </w:sectPr>
      </w:pPr>
    </w:p>
    <w:bookmarkStart w:id="9" w:name="page10"/>
    <w:bookmarkEnd w:id="9"/>
    <w:p>
      <w:pPr>
        <w:spacing w:after="0" w:line="95" w:lineRule="exact"/>
        <w:rPr>
          <w:sz w:val="20"/>
          <w:szCs w:val="20"/>
          <w:color w:val="auto"/>
        </w:rPr>
      </w:pPr>
    </w:p>
    <w:p>
      <w:pPr>
        <w:ind w:right="20" w:firstLine="1305"/>
        <w:spacing w:after="0" w:line="293" w:lineRule="auto"/>
        <w:tabs>
          <w:tab w:leader="none" w:pos="196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Partnership maintains disclosure controls and procedures (to the extent required by and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64" w:lineRule="exact"/>
        <w:rPr>
          <w:rFonts w:ascii="Arial" w:cs="Arial" w:eastAsia="Arial" w:hAnsi="Arial"/>
          <w:sz w:val="16"/>
          <w:szCs w:val="16"/>
          <w:color w:val="auto"/>
        </w:rPr>
      </w:pPr>
    </w:p>
    <w:p>
      <w:pPr>
        <w:jc w:val="both"/>
        <w:ind w:right="120" w:firstLine="1305"/>
        <w:spacing w:after="0" w:line="276" w:lineRule="auto"/>
        <w:tabs>
          <w:tab w:leader="none" w:pos="2001"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No Deficiency in Internal Controls</w:t>
      </w:r>
      <w:r>
        <w:rPr>
          <w:rFonts w:ascii="Arial" w:cs="Arial" w:eastAsia="Arial" w:hAnsi="Arial"/>
          <w:sz w:val="17"/>
          <w:szCs w:val="17"/>
          <w:color w:val="auto"/>
        </w:rPr>
        <w:t>. Based on the evaluation of its disclosure controls and procedures conducted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72" w:lineRule="exact"/>
        <w:rPr>
          <w:rFonts w:ascii="Arial" w:cs="Arial" w:eastAsia="Arial" w:hAnsi="Arial"/>
          <w:sz w:val="17"/>
          <w:szCs w:val="17"/>
          <w:color w:val="auto"/>
        </w:rPr>
      </w:pPr>
    </w:p>
    <w:p>
      <w:pPr>
        <w:ind w:right="40" w:firstLine="1305"/>
        <w:spacing w:after="0" w:line="312" w:lineRule="auto"/>
        <w:tabs>
          <w:tab w:leader="none" w:pos="2001"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FCPA</w:t>
      </w:r>
      <w:r>
        <w:rPr>
          <w:rFonts w:ascii="Arial" w:cs="Arial" w:eastAsia="Arial" w:hAnsi="Arial"/>
          <w:sz w:val="16"/>
          <w:szCs w:val="16"/>
          <w:color w:val="auto"/>
        </w:rPr>
        <w:t>. None of the Plains Entities or the GP Entities nor, to the knowledge of the Partnership, any director, officer, agent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46" w:lineRule="exact"/>
        <w:rPr>
          <w:rFonts w:ascii="Arial" w:cs="Arial" w:eastAsia="Arial" w:hAnsi="Arial"/>
          <w:sz w:val="16"/>
          <w:szCs w:val="16"/>
          <w:color w:val="auto"/>
        </w:rPr>
      </w:pPr>
    </w:p>
    <w:p>
      <w:pPr>
        <w:ind w:right="120" w:firstLine="1305"/>
        <w:spacing w:after="0" w:line="264" w:lineRule="auto"/>
        <w:tabs>
          <w:tab w:leader="none" w:pos="2001"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 involving the Plains Entities or the GP Entities that involve allegations of money laundering is pending or, to the knowledge of the Partnership, threatened.</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2001"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Partnership, any director, officer or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Plains Entities or the GP Entities (in their capacity as director, officer or employee) has received notice that it is subject to any sanctions administered by the Office of Foreign Assets Control of the U.S. Treasury Department.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305"/>
        <w:spacing w:after="0" w:line="264" w:lineRule="auto"/>
        <w:tabs>
          <w:tab w:leader="none" w:pos="203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The applicable statements made in the certificates described in </w:t>
      </w:r>
      <w:r>
        <w:rPr>
          <w:rFonts w:ascii="Arial" w:cs="Arial" w:eastAsia="Arial" w:hAnsi="Arial"/>
          <w:sz w:val="18"/>
          <w:szCs w:val="18"/>
          <w:u w:val="single" w:color="auto"/>
          <w:color w:val="auto"/>
        </w:rPr>
        <w:t>Sections 7(i)</w:t>
      </w:r>
      <w:r>
        <w:rPr>
          <w:rFonts w:ascii="Arial" w:cs="Arial" w:eastAsia="Arial" w:hAnsi="Arial"/>
          <w:sz w:val="18"/>
          <w:szCs w:val="18"/>
          <w:color w:val="auto"/>
        </w:rPr>
        <w:t xml:space="preserve"> and 7(l) shall be deemed representations and warranties by the Partnership, as to matters covered thereby, to the Underwriters.</w:t>
      </w:r>
    </w:p>
    <w:p>
      <w:pPr>
        <w:spacing w:after="0" w:line="170" w:lineRule="exact"/>
        <w:rPr>
          <w:sz w:val="20"/>
          <w:szCs w:val="20"/>
          <w:color w:val="auto"/>
        </w:rPr>
      </w:pPr>
    </w:p>
    <w:p>
      <w:pPr>
        <w:ind w:right="20" w:firstLine="1305"/>
        <w:spacing w:after="0" w:line="259" w:lineRule="auto"/>
        <w:tabs>
          <w:tab w:leader="none" w:pos="201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Partnership agrees to sell to each Underwriter, and each Underwriter agrees, severally and not jointly, to purchase from the Partnership, at a purchase price of $987.50 per Unit, the number of Units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subject to adjustment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firstLine="1305"/>
        <w:spacing w:after="0" w:line="291" w:lineRule="auto"/>
        <w:tabs>
          <w:tab w:leader="none" w:pos="201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xml:space="preserve">. Delivery of and payment for the Units shall be made at the office of Vinson &amp; Elkins L.L.P., 1001 Fannin, Houston, Texas 77002 at 9:00 a.m., Houston time, on October 10, 2017, or at such time on such later date not more than three business days after the foregoing date as the Representatives shall designate, which date and time may be postponed by agreement between the Representatives and the Partnership or as provided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(such date and time of delivery and payment for the Units being herein called the “</w:t>
      </w:r>
      <w:r>
        <w:rPr>
          <w:rFonts w:ascii="Arial" w:cs="Arial" w:eastAsia="Arial" w:hAnsi="Arial"/>
          <w:sz w:val="16"/>
          <w:szCs w:val="16"/>
          <w:b w:val="1"/>
          <w:bCs w:val="1"/>
          <w:color w:val="auto"/>
        </w:rPr>
        <w:t>Delivery Date</w:t>
      </w:r>
      <w:r>
        <w:rPr>
          <w:rFonts w:ascii="Arial" w:cs="Arial" w:eastAsia="Arial" w:hAnsi="Arial"/>
          <w:sz w:val="16"/>
          <w:szCs w:val="16"/>
          <w:color w:val="auto"/>
        </w:rPr>
        <w:t>”). Delivery of the Units shall be made to the several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Units shall be made through the facilities of The Depository Trust Company (the “</w:t>
      </w:r>
      <w:r>
        <w:rPr>
          <w:rFonts w:ascii="Arial" w:cs="Arial" w:eastAsia="Arial" w:hAnsi="Arial"/>
          <w:sz w:val="16"/>
          <w:szCs w:val="16"/>
          <w:b w:val="1"/>
          <w:bCs w:val="1"/>
          <w:color w:val="auto"/>
        </w:rPr>
        <w:t>DTC</w:t>
      </w:r>
      <w:r>
        <w:rPr>
          <w:rFonts w:ascii="Arial" w:cs="Arial" w:eastAsia="Arial" w:hAnsi="Arial"/>
          <w:sz w:val="16"/>
          <w:szCs w:val="16"/>
          <w:color w:val="auto"/>
        </w:rPr>
        <w:t>”) unless the Representatives shall otherwise instruct.</w:t>
      </w:r>
    </w:p>
    <w:p>
      <w:pPr>
        <w:spacing w:after="0" w:line="167" w:lineRule="exact"/>
        <w:rPr>
          <w:rFonts w:ascii="Arial" w:cs="Arial" w:eastAsia="Arial" w:hAnsi="Arial"/>
          <w:sz w:val="16"/>
          <w:szCs w:val="16"/>
          <w:color w:val="auto"/>
        </w:rPr>
      </w:pPr>
    </w:p>
    <w:p>
      <w:pPr>
        <w:ind w:left="2020" w:hanging="715"/>
        <w:spacing w:after="0"/>
        <w:tabs>
          <w:tab w:leader="none" w:pos="20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Offering by the Underwriters</w:t>
      </w:r>
      <w:r>
        <w:rPr>
          <w:rFonts w:ascii="Arial" w:cs="Arial" w:eastAsia="Arial" w:hAnsi="Arial"/>
          <w:sz w:val="16"/>
          <w:szCs w:val="16"/>
          <w:color w:val="auto"/>
        </w:rPr>
        <w:t>. It is understood that the several Underwriters propose to offer the Units for sale to the public as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the Prospectus.</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acknowledges and agrees with the Underwriters that:</w:t>
      </w:r>
    </w:p>
    <w:p>
      <w:pPr>
        <w:spacing w:after="0" w:line="225" w:lineRule="exact"/>
        <w:rPr>
          <w:sz w:val="20"/>
          <w:szCs w:val="20"/>
          <w:color w:val="auto"/>
        </w:rPr>
      </w:pPr>
    </w:p>
    <w:p>
      <w:pPr>
        <w:ind w:right="200" w:firstLine="1305"/>
        <w:spacing w:after="0" w:line="259" w:lineRule="auto"/>
        <w:tabs>
          <w:tab w:leader="none" w:pos="199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declared effective before the offering of the Units may commence, the Partnership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186" w:lineRule="exact"/>
        <w:rPr>
          <w:rFonts w:ascii="Arial" w:cs="Arial" w:eastAsia="Arial" w:hAnsi="Arial"/>
          <w:sz w:val="18"/>
          <w:szCs w:val="18"/>
          <w:color w:val="auto"/>
        </w:rPr>
      </w:pPr>
    </w:p>
    <w:p>
      <w:pPr>
        <w:ind w:firstLine="1305"/>
        <w:spacing w:after="0" w:line="259" w:lineRule="auto"/>
        <w:tabs>
          <w:tab w:leader="none" w:pos="200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Preparation of Prospectus and Registration Statement</w:t>
      </w:r>
      <w:r>
        <w:rPr>
          <w:rFonts w:ascii="Arial" w:cs="Arial" w:eastAsia="Arial" w:hAnsi="Arial"/>
          <w:sz w:val="18"/>
          <w:szCs w:val="18"/>
          <w:color w:val="auto"/>
        </w:rPr>
        <w:t>. The Partnership will advise the Representatives promptly and, if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w:t>
      </w:r>
    </w:p>
    <w:p>
      <w:pPr>
        <w:sectPr>
          <w:pgSz w:w="11900" w:h="16933" w:orient="portrait"/>
          <w:cols w:equalWidth="0" w:num="1">
            <w:col w:w="11420"/>
          </w:cols>
          <w:pgMar w:left="240" w:top="125" w:right="239" w:bottom="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effectiveness of the Registration Statement, the Partnership will make every commercially reasonable effort to obtain the withdrawal of such order at the earliest possible time.</w:t>
      </w:r>
    </w:p>
    <w:p>
      <w:pPr>
        <w:spacing w:after="0" w:line="170" w:lineRule="exact"/>
        <w:rPr>
          <w:sz w:val="20"/>
          <w:szCs w:val="20"/>
          <w:color w:val="auto"/>
        </w:rPr>
      </w:pPr>
    </w:p>
    <w:p>
      <w:pPr>
        <w:ind w:right="20" w:firstLine="1305"/>
        <w:spacing w:after="0" w:line="276" w:lineRule="auto"/>
        <w:tabs>
          <w:tab w:leader="none" w:pos="199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Copies of Registration Statement</w:t>
      </w:r>
      <w:r>
        <w:rPr>
          <w:rFonts w:ascii="Arial" w:cs="Arial" w:eastAsia="Arial" w:hAnsi="Arial"/>
          <w:sz w:val="17"/>
          <w:szCs w:val="17"/>
          <w:color w:val="auto"/>
        </w:rPr>
        <w:t>. The Partnership will furnish to the Underwriters, without charge, (i) such number of conformed</w:t>
      </w:r>
      <w:r>
        <w:rPr>
          <w:rFonts w:ascii="Arial" w:cs="Arial" w:eastAsia="Arial" w:hAnsi="Arial"/>
          <w:sz w:val="17"/>
          <w:szCs w:val="17"/>
          <w:i w:val="1"/>
          <w:iCs w:val="1"/>
          <w:color w:val="auto"/>
        </w:rPr>
        <w:t xml:space="preserve"> </w:t>
      </w:r>
      <w:r>
        <w:rPr>
          <w:rFonts w:ascii="Arial" w:cs="Arial" w:eastAsia="Arial" w:hAnsi="Arial"/>
          <w:sz w:val="17"/>
          <w:szCs w:val="17"/>
          <w:color w:val="auto"/>
        </w:rPr>
        <w:t>copies of the registration statement corresponding to the Commission’s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version filed with the Commission and of each amendment thereto, including financial statements and all exhibits to the registration statement, as the Underwriters or the Underwriters’ counsel may reasonably request, (ii) such number of copies of the Incorporated Documents, without exhibits, as the Underwriters may request, and (iii) such number of copies of the exhibits to the Incorporated Documents as the Underwriters may request.</w:t>
      </w:r>
    </w:p>
    <w:p>
      <w:pPr>
        <w:spacing w:after="0" w:line="172" w:lineRule="exact"/>
        <w:rPr>
          <w:rFonts w:ascii="Arial" w:cs="Arial" w:eastAsia="Arial" w:hAnsi="Arial"/>
          <w:sz w:val="17"/>
          <w:szCs w:val="17"/>
          <w:color w:val="auto"/>
        </w:rPr>
      </w:pPr>
    </w:p>
    <w:p>
      <w:pPr>
        <w:ind w:firstLine="1305"/>
        <w:spacing w:after="0" w:line="271" w:lineRule="auto"/>
        <w:tabs>
          <w:tab w:leader="none" w:pos="200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Underwriters a prospectus is required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to be delivered in connection with sales by any Underwriter or any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 Representatives after it shall have received notice thereof of the time when any amendment to the Registration Statement becomes effective or when any supplement to the Prospectus has been filed.</w:t>
      </w:r>
    </w:p>
    <w:p>
      <w:pPr>
        <w:spacing w:after="0" w:line="178" w:lineRule="exact"/>
        <w:rPr>
          <w:rFonts w:ascii="Arial" w:cs="Arial" w:eastAsia="Arial" w:hAnsi="Arial"/>
          <w:sz w:val="17"/>
          <w:szCs w:val="17"/>
          <w:color w:val="auto"/>
        </w:rPr>
      </w:pPr>
    </w:p>
    <w:p>
      <w:pPr>
        <w:jc w:val="both"/>
        <w:ind w:right="120" w:firstLine="1305"/>
        <w:spacing w:after="0" w:line="257" w:lineRule="auto"/>
        <w:tabs>
          <w:tab w:leader="none" w:pos="199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Copies of Documents to the Underwriters</w:t>
      </w:r>
      <w:r>
        <w:rPr>
          <w:rFonts w:ascii="Arial" w:cs="Arial" w:eastAsia="Arial" w:hAnsi="Arial"/>
          <w:sz w:val="18"/>
          <w:szCs w:val="18"/>
          <w:color w:val="auto"/>
        </w:rPr>
        <w:t>. As soon after the Applicable Time as possible and thereafter from time to time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period as in the opinion of counsel for the Underwriters a prospectus is required by the Securities Act to be delivered in connection with sales by any Underwriter or any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Units by any Underwriter or any dealer. The Partnership consents to the use of the Prospectus (and of any amendment or supplement thereto) in accordance with the provisions of the Securities Act and with the securities or Blue Sky laws of the jurisdictions in which the Units are offered by the Underwriters and by all dealers to whom Units may be sold, both in connection with the offering and sale of the Units and for such period of time thereafter as the Prospectus is required by the Securities Act to be delivered in connection with sales by any Underwriter or any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 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193" w:lineRule="exact"/>
        <w:rPr>
          <w:sz w:val="20"/>
          <w:szCs w:val="20"/>
          <w:color w:val="auto"/>
        </w:rPr>
      </w:pPr>
    </w:p>
    <w:p>
      <w:pPr>
        <w:ind w:right="20" w:firstLine="1305"/>
        <w:spacing w:after="0" w:line="254" w:lineRule="auto"/>
        <w:tabs>
          <w:tab w:leader="none" w:pos="201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 The Partnership will cooperate with the Representatives and with counsel for the Underwriters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or qualification of the Units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Representatives of the receipt by the Partnership of any notification with respect to the suspension of the qualification of the Units for sale in any jurisdiction or the initiation or threatening of any proceeding for such purpose.</w:t>
      </w:r>
    </w:p>
    <w:p>
      <w:pPr>
        <w:spacing w:after="0" w:line="192" w:lineRule="exact"/>
        <w:rPr>
          <w:rFonts w:ascii="Arial" w:cs="Arial" w:eastAsia="Arial" w:hAnsi="Arial"/>
          <w:sz w:val="18"/>
          <w:szCs w:val="18"/>
          <w:color w:val="auto"/>
        </w:rPr>
      </w:pPr>
    </w:p>
    <w:p>
      <w:pPr>
        <w:jc w:val="both"/>
        <w:ind w:right="200" w:firstLine="1305"/>
        <w:spacing w:after="0" w:line="279" w:lineRule="auto"/>
        <w:tabs>
          <w:tab w:leader="none" w:pos="2001"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Reports to Security Holders</w:t>
      </w:r>
      <w:r>
        <w:rPr>
          <w:rFonts w:ascii="Arial" w:cs="Arial" w:eastAsia="Arial" w:hAnsi="Arial"/>
          <w:sz w:val="17"/>
          <w:szCs w:val="17"/>
          <w:color w:val="auto"/>
        </w:rPr>
        <w:t>. In accordance with Section 11(a) of the Securities Act and Rule 158 of the Rules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9" w:lineRule="auto"/>
        <w:tabs>
          <w:tab w:leader="none" w:pos="20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Copies of Reports</w:t>
      </w:r>
      <w:r>
        <w:rPr>
          <w:rFonts w:ascii="Arial" w:cs="Arial" w:eastAsia="Arial" w:hAnsi="Arial"/>
          <w:sz w:val="18"/>
          <w:szCs w:val="18"/>
          <w:color w:val="auto"/>
        </w:rPr>
        <w:t>. Unless otherwise available on EDGAR, during the period of two years hereafter, the Partnership will furnish</w:t>
      </w:r>
      <w:r>
        <w:rPr>
          <w:rFonts w:ascii="Arial" w:cs="Arial" w:eastAsia="Arial" w:hAnsi="Arial"/>
          <w:sz w:val="18"/>
          <w:szCs w:val="18"/>
          <w:i w:val="1"/>
          <w:iCs w:val="1"/>
          <w:color w:val="auto"/>
        </w:rPr>
        <w:t xml:space="preserve"> </w:t>
      </w:r>
      <w:r>
        <w:rPr>
          <w:rFonts w:ascii="Arial" w:cs="Arial" w:eastAsia="Arial" w:hAnsi="Arial"/>
          <w:sz w:val="18"/>
          <w:szCs w:val="18"/>
          <w:color w:val="auto"/>
        </w:rPr>
        <w:t>or make available to the Underwriters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Underwriters may reasonably request.</w:t>
      </w:r>
    </w:p>
    <w:p>
      <w:pPr>
        <w:spacing w:after="0" w:line="186" w:lineRule="exact"/>
        <w:rPr>
          <w:rFonts w:ascii="Arial" w:cs="Arial" w:eastAsia="Arial" w:hAnsi="Arial"/>
          <w:sz w:val="18"/>
          <w:szCs w:val="18"/>
          <w:color w:val="auto"/>
        </w:rPr>
      </w:pPr>
    </w:p>
    <w:p>
      <w:pPr>
        <w:jc w:val="both"/>
        <w:ind w:right="100" w:firstLine="1305"/>
        <w:spacing w:after="0" w:line="257" w:lineRule="auto"/>
        <w:tabs>
          <w:tab w:leader="none" w:pos="2006"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Termination Expenses</w:t>
      </w:r>
      <w:r>
        <w:rPr>
          <w:rFonts w:ascii="Arial" w:cs="Arial" w:eastAsia="Arial" w:hAnsi="Arial"/>
          <w:sz w:val="18"/>
          <w:szCs w:val="18"/>
          <w:color w:val="auto"/>
        </w:rPr>
        <w:t>. If this Agreement shall terminate or shall be terminated after execution pursuant to any provisions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or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(except pursuant to </w:t>
      </w:r>
      <w:r>
        <w:rPr>
          <w:rFonts w:ascii="Arial" w:cs="Arial" w:eastAsia="Arial" w:hAnsi="Arial"/>
          <w:sz w:val="18"/>
          <w:szCs w:val="18"/>
          <w:u w:val="single" w:color="auto"/>
          <w:color w:val="auto"/>
        </w:rPr>
        <w:t>Section 10(a)</w:t>
      </w:r>
      <w:r>
        <w:rPr>
          <w:rFonts w:ascii="Arial" w:cs="Arial" w:eastAsia="Arial" w:hAnsi="Arial"/>
          <w:sz w:val="18"/>
          <w:szCs w:val="18"/>
          <w:color w:val="auto"/>
        </w:rPr>
        <w:t>)) or if this Agreement shall be terminated by the Underwriters because of any failure or refusal on the part of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w:t>
      </w:r>
    </w:p>
    <w:p>
      <w:pPr>
        <w:sectPr>
          <w:pgSz w:w="11900" w:h="16838" w:orient="portrait"/>
          <w:cols w:equalWidth="0" w:num="1">
            <w:col w:w="11420"/>
          </w:cols>
          <w:pgMar w:left="240" w:top="125" w:right="239" w:bottom="0" w:gutter="0" w:footer="0" w:header="0"/>
        </w:sectPr>
      </w:pPr>
    </w:p>
    <w:bookmarkStart w:id="11" w:name="page12"/>
    <w:bookmarkEnd w:id="11"/>
    <w:p>
      <w:pPr>
        <w:spacing w:after="0" w:line="86" w:lineRule="exact"/>
        <w:rPr>
          <w:sz w:val="20"/>
          <w:szCs w:val="20"/>
          <w:color w:val="auto"/>
        </w:rPr>
      </w:pPr>
    </w:p>
    <w:p>
      <w:pPr>
        <w:ind w:firstLine="1305"/>
        <w:spacing w:after="0" w:line="277" w:lineRule="auto"/>
        <w:tabs>
          <w:tab w:leader="none" w:pos="200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Application of Proceeds</w:t>
      </w:r>
      <w:r>
        <w:rPr>
          <w:rFonts w:ascii="Arial" w:cs="Arial" w:eastAsia="Arial" w:hAnsi="Arial"/>
          <w:sz w:val="18"/>
          <w:szCs w:val="18"/>
          <w:color w:val="auto"/>
        </w:rPr>
        <w:t>. The Partnership will apply the net proceeds from the sale of the Units in accordance with the description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under the caption “Use of Proceeds” in the Pricing Disclosure Package and the Prospectus.</w:t>
      </w:r>
    </w:p>
    <w:p>
      <w:pPr>
        <w:spacing w:after="0" w:line="170" w:lineRule="exact"/>
        <w:rPr>
          <w:rFonts w:ascii="Arial" w:cs="Arial" w:eastAsia="Arial" w:hAnsi="Arial"/>
          <w:sz w:val="18"/>
          <w:szCs w:val="18"/>
          <w:color w:val="auto"/>
        </w:rPr>
      </w:pPr>
    </w:p>
    <w:p>
      <w:pPr>
        <w:ind w:right="400" w:firstLine="1305"/>
        <w:spacing w:after="0" w:line="277" w:lineRule="auto"/>
        <w:tabs>
          <w:tab w:leader="none" w:pos="20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Partnership will timely file the Prospectus, and any amendment or supplement thereto,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Rule 424(b) of the Rules and Regulations and will advise the Underwriters of the time and manner of such filing.</w:t>
      </w:r>
    </w:p>
    <w:p>
      <w:pPr>
        <w:spacing w:after="0" w:line="170" w:lineRule="exact"/>
        <w:rPr>
          <w:rFonts w:ascii="Arial" w:cs="Arial" w:eastAsia="Arial" w:hAnsi="Arial"/>
          <w:sz w:val="18"/>
          <w:szCs w:val="18"/>
          <w:color w:val="auto"/>
        </w:rPr>
      </w:pPr>
    </w:p>
    <w:p>
      <w:pPr>
        <w:ind w:right="20" w:firstLine="1305"/>
        <w:spacing w:after="0" w:line="269" w:lineRule="auto"/>
        <w:tabs>
          <w:tab w:leader="none" w:pos="200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Lock-Up Period</w:t>
      </w:r>
      <w:r>
        <w:rPr>
          <w:rFonts w:ascii="Arial" w:cs="Arial" w:eastAsia="Arial" w:hAnsi="Arial"/>
          <w:sz w:val="17"/>
          <w:szCs w:val="17"/>
          <w:color w:val="auto"/>
        </w:rPr>
        <w:t>. The Partnership agrees that it will not, for a period commencing on the date hereof and ending on the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Date, directly or indirectly, (1) issue, offer for sale, sell, pledge, or otherwise transfer or dispose of (or enter into any transaction or device that is designed to, or could be expected to, result in the transfer or disposition by any person at any time in the future of) any Series B Preferred Units or securities convertible into or exchangeable for Series B Preferred Units, or in either case, any securities that are substantially similar to the Series B Preferred Units (other than the Units to be sold hereunder), or sell or grant options, rights, or warrants with respect to any Series B Preferred Units or securities convertible into or exchangeable for Series B Preferred Units, or in either case, any securities that are substantially similar to the Series B Preferred Units; (2) enter into any swap or other derivatives transaction that transfers to another, in whole or in part, any of the economic benefits or risks of ownership of such Series B Preferred Units, whether any such transaction described in clause (1) or (2) above is to be settled by delivery of Series B Preferred Units or other securities, in cash or otherwise; (3) file or cause to be filed a registration statement, including any amendments, with respect to the registration of any Series B Preferred Units or other substantially similar securities or any securities convertible into or exercisable or exchangeable for Series B Preferred Units or other substantially similar securities of the Partnership; or (4) publicly disclose the intention to do any of the foregoing, in each case without the prior written consent of J.P. Morgan Securities LLC.</w:t>
      </w:r>
    </w:p>
    <w:p>
      <w:pPr>
        <w:spacing w:after="0" w:line="179" w:lineRule="exact"/>
        <w:rPr>
          <w:rFonts w:ascii="Arial" w:cs="Arial" w:eastAsia="Arial" w:hAnsi="Arial"/>
          <w:sz w:val="17"/>
          <w:szCs w:val="17"/>
          <w:color w:val="auto"/>
        </w:rPr>
      </w:pPr>
    </w:p>
    <w:p>
      <w:pPr>
        <w:ind w:right="100" w:firstLine="1305"/>
        <w:spacing w:after="0" w:line="277" w:lineRule="auto"/>
        <w:tabs>
          <w:tab w:leader="none" w:pos="200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none of the GP Entities or the Plains Entities has taken, nor</w:t>
      </w:r>
      <w:r>
        <w:rPr>
          <w:rFonts w:ascii="Arial" w:cs="Arial" w:eastAsia="Arial" w:hAnsi="Arial"/>
          <w:sz w:val="18"/>
          <w:szCs w:val="18"/>
          <w:i w:val="1"/>
          <w:iCs w:val="1"/>
          <w:color w:val="auto"/>
        </w:rPr>
        <w:t xml:space="preserve"> </w:t>
      </w:r>
      <w:r>
        <w:rPr>
          <w:rFonts w:ascii="Arial" w:cs="Arial" w:eastAsia="Arial" w:hAnsi="Arial"/>
          <w:sz w:val="18"/>
          <w:szCs w:val="18"/>
          <w:color w:val="auto"/>
        </w:rPr>
        <w:t>will any of them take, directly or indirectly, any action designed to or that might reasonably be expected to cause or result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stabilization or manipulation of the price of any security of the Partnership to facilitate the sale or resale of the Units.</w:t>
      </w:r>
    </w:p>
    <w:p>
      <w:pPr>
        <w:spacing w:after="0" w:line="225" w:lineRule="exact"/>
        <w:rPr>
          <w:sz w:val="20"/>
          <w:szCs w:val="20"/>
          <w:color w:val="auto"/>
        </w:rPr>
      </w:pPr>
    </w:p>
    <w:p>
      <w:pPr>
        <w:ind w:right="40" w:firstLine="1305"/>
        <w:spacing w:after="0" w:line="264" w:lineRule="auto"/>
        <w:tabs>
          <w:tab w:leader="none" w:pos="200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will take such steps as shall be necessary to ensure that none of the Plains Entities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GP Entities shall become an “investment company” within the meaning of such term under the Investment Company Act, and the rules and regulations of the Commission thereunder.</w:t>
      </w:r>
    </w:p>
    <w:p>
      <w:pPr>
        <w:spacing w:after="0" w:line="181" w:lineRule="exact"/>
        <w:rPr>
          <w:rFonts w:ascii="Arial" w:cs="Arial" w:eastAsia="Arial" w:hAnsi="Arial"/>
          <w:sz w:val="18"/>
          <w:szCs w:val="18"/>
          <w:color w:val="auto"/>
        </w:rPr>
      </w:pPr>
    </w:p>
    <w:p>
      <w:pPr>
        <w:jc w:val="both"/>
        <w:ind w:right="260" w:firstLine="1305"/>
        <w:spacing w:after="0" w:line="342" w:lineRule="auto"/>
        <w:tabs>
          <w:tab w:leader="none" w:pos="200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Exchange Act Reports</w:t>
      </w:r>
      <w:r>
        <w:rPr>
          <w:rFonts w:ascii="Arial" w:cs="Arial" w:eastAsia="Arial" w:hAnsi="Arial"/>
          <w:sz w:val="16"/>
          <w:szCs w:val="16"/>
          <w:color w:val="auto"/>
        </w:rPr>
        <w:t>. The Partnership, during the period when the Prospectus is required to be delivered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will file all documents required to be filed with the Commission pursuant to the Exchange Act within the time periods required by the Exchange Act.</w:t>
      </w:r>
    </w:p>
    <w:p>
      <w:pPr>
        <w:spacing w:after="0" w:line="123" w:lineRule="exact"/>
        <w:rPr>
          <w:rFonts w:ascii="Arial" w:cs="Arial" w:eastAsia="Arial" w:hAnsi="Arial"/>
          <w:sz w:val="16"/>
          <w:szCs w:val="16"/>
          <w:color w:val="auto"/>
        </w:rPr>
      </w:pPr>
    </w:p>
    <w:p>
      <w:pPr>
        <w:ind w:right="100" w:firstLine="1305"/>
        <w:spacing w:after="0" w:line="287" w:lineRule="auto"/>
        <w:tabs>
          <w:tab w:leader="none" w:pos="200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Free Writing Prospectuses</w:t>
      </w:r>
      <w:r>
        <w:rPr>
          <w:rFonts w:ascii="Arial" w:cs="Arial" w:eastAsia="Arial" w:hAnsi="Arial"/>
          <w:sz w:val="16"/>
          <w:szCs w:val="16"/>
          <w:color w:val="auto"/>
        </w:rPr>
        <w:t>. The Partnership has complied and will comply with the requirements of Rule 433 of the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Regulations applicable to any Issuer Free Writing Prospectus, including appropriate legending and timely filing with the Commission or retention where required. The Partnership represents that it has satisfied and agrees that it will satisfy the conditions under Rule 433 of the Rules and Regulations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20" w:firstLine="1305"/>
        <w:spacing w:after="0" w:line="255" w:lineRule="auto"/>
        <w:tabs>
          <w:tab w:leader="none" w:pos="200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Term Sheet</w:t>
      </w:r>
      <w:r>
        <w:rPr>
          <w:rFonts w:ascii="Arial" w:cs="Arial" w:eastAsia="Arial" w:hAnsi="Arial"/>
          <w:sz w:val="18"/>
          <w:szCs w:val="18"/>
          <w:color w:val="auto"/>
        </w:rPr>
        <w:t>. The Partnership agrees (i) to prepare a Term Sheet containing a description of the final terms of the Units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offering, in a form approved by the Representatives and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(ii) to file such Term Sheet pursuant to Rule 433 under the Securities Act within the time required by such rule and (iii) not to make any offer relating to the Units that would constitute an Issuer Free Writing Prospectus without the prior written consent of the Representatives. The Partnership acknowledges that the Term Sheet is an Issuer Free Writing Prospectus and will comply with its related obligations set forth in this Agreement. The Partnership agrees to furnish or make available to Underwriters, without charge, as many copies of the Term Sheet as they shall reasonably request.</w:t>
      </w:r>
    </w:p>
    <w:p>
      <w:pPr>
        <w:spacing w:after="0" w:line="193" w:lineRule="exact"/>
        <w:rPr>
          <w:rFonts w:ascii="Arial" w:cs="Arial" w:eastAsia="Arial" w:hAnsi="Arial"/>
          <w:sz w:val="18"/>
          <w:szCs w:val="18"/>
          <w:color w:val="auto"/>
        </w:rPr>
      </w:pPr>
    </w:p>
    <w:p>
      <w:pPr>
        <w:ind w:right="460" w:firstLine="1305"/>
        <w:spacing w:after="0" w:line="277" w:lineRule="auto"/>
        <w:tabs>
          <w:tab w:leader="none" w:pos="201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DTC Eligibility</w:t>
      </w:r>
      <w:r>
        <w:rPr>
          <w:rFonts w:ascii="Arial" w:cs="Arial" w:eastAsia="Arial" w:hAnsi="Arial"/>
          <w:sz w:val="18"/>
          <w:szCs w:val="18"/>
          <w:color w:val="auto"/>
        </w:rPr>
        <w:t>. The Partnership will use its commercially reasonable efforts to cause the Units to be eligible for clearance,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and trading through the facilities of the DTC.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6" w:lineRule="auto"/>
        <w:tabs>
          <w:tab w:leader="none" w:pos="19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Partnership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6"/>
          <w:szCs w:val="16"/>
          <w:b w:val="1"/>
          <w:bCs w:val="1"/>
          <w:color w:val="auto"/>
        </w:rPr>
        <w:t>Non-Prospectus Road Show</w:t>
      </w:r>
      <w:r>
        <w:rPr>
          <w:rFonts w:ascii="Arial" w:cs="Arial" w:eastAsia="Arial" w:hAnsi="Arial"/>
          <w:sz w:val="16"/>
          <w:szCs w:val="16"/>
          <w:color w:val="auto"/>
        </w:rPr>
        <w:t>”)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w:t>
      </w:r>
    </w:p>
    <w:p>
      <w:pPr>
        <w:sectPr>
          <w:pgSz w:w="11900" w:h="16924" w:orient="portrait"/>
          <w:cols w:equalWidth="0" w:num="1">
            <w:col w:w="11400"/>
          </w:cols>
          <w:pgMar w:left="240" w:top="125" w:right="259" w:bottom="0" w:gutter="0" w:footer="0" w:header="0"/>
        </w:sectPr>
      </w:pPr>
    </w:p>
    <w:bookmarkStart w:id="12" w:name="page13"/>
    <w:bookmarkEnd w:id="12"/>
    <w:p>
      <w:pPr>
        <w:ind w:right="140"/>
        <w:spacing w:after="0" w:line="271" w:lineRule="auto"/>
        <w:rPr>
          <w:sz w:val="20"/>
          <w:szCs w:val="20"/>
          <w:color w:val="auto"/>
        </w:rPr>
      </w:pPr>
      <w:r>
        <w:rPr>
          <w:rFonts w:ascii="Arial" w:cs="Arial" w:eastAsia="Arial" w:hAnsi="Arial"/>
          <w:sz w:val="17"/>
          <w:szCs w:val="17"/>
          <w:color w:val="auto"/>
        </w:rPr>
        <w:t xml:space="preserve">controlling person in connection with investigating or defending or preparing to defend against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Partnership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The foregoing indemnity agreement is in addition to any liability that the Partnership may otherwise have to any Underwriter or to any director, officer, employee or controlling person of that Underwriter.</w:t>
      </w:r>
    </w:p>
    <w:p>
      <w:pPr>
        <w:spacing w:after="0" w:line="179" w:lineRule="exact"/>
        <w:rPr>
          <w:sz w:val="20"/>
          <w:szCs w:val="20"/>
          <w:color w:val="auto"/>
        </w:rPr>
      </w:pPr>
    </w:p>
    <w:p>
      <w:pPr>
        <w:ind w:right="20" w:firstLine="1305"/>
        <w:spacing w:after="0" w:line="293" w:lineRule="auto"/>
        <w:tabs>
          <w:tab w:leader="none" w:pos="19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the Partnership, such Underwriter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67" w:lineRule="exact"/>
        <w:rPr>
          <w:sz w:val="20"/>
          <w:szCs w:val="20"/>
          <w:color w:val="auto"/>
        </w:rPr>
      </w:pPr>
    </w:p>
    <w:p>
      <w:pPr>
        <w:ind w:right="20" w:firstLine="1305"/>
        <w:spacing w:after="0" w:line="286" w:lineRule="auto"/>
        <w:tabs>
          <w:tab w:leader="none" w:pos="19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Each Underwriter agrees, severally and not jointly, to indemnify and hold harmless the Partnership, PAGP GP’s directors and officers who sign the Registration Statement, and any person who controls the Partnership within the meaning of Section 15 of the Securities Act or Section 20 of the Exchange Act, to the same extent as the foregoing indemnity from the Partnership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If any action, suit or proceeding shall be brought against the Partnership,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Partnership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any of such directors and officers and any such controlling person shall have the rights and duties given to the Underwriters by paragraph (b) above. The foregoing indemnity agreement shall be in addition to any liability that the Underwriters may otherwise have.</w:t>
      </w:r>
    </w:p>
    <w:p>
      <w:pPr>
        <w:spacing w:after="0" w:line="174" w:lineRule="exact"/>
        <w:rPr>
          <w:rFonts w:ascii="Arial" w:cs="Arial" w:eastAsia="Arial" w:hAnsi="Arial"/>
          <w:sz w:val="16"/>
          <w:szCs w:val="16"/>
          <w:color w:val="auto"/>
        </w:rPr>
      </w:pPr>
    </w:p>
    <w:p>
      <w:pPr>
        <w:ind w:right="100" w:firstLine="1305"/>
        <w:spacing w:after="0" w:line="273" w:lineRule="auto"/>
        <w:tabs>
          <w:tab w:leader="none" w:pos="19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Partnership on the one hand and the Underwriters on the other in connection with the statements or omissions that resulted in such losses, claims, damages, liabilities or expenses, as well as any other relevant equitable considerations. The relative benefits received by the Partnership on the one hand and the 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Prospectus. The relative fault of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Underwriters on the other hand, and the parties’ relative intent, knowledge, access to information and opportunity to correct or prevent such statement or omission.</w:t>
      </w:r>
    </w:p>
    <w:p>
      <w:pPr>
        <w:spacing w:after="0" w:line="179" w:lineRule="exact"/>
        <w:rPr>
          <w:sz w:val="20"/>
          <w:szCs w:val="20"/>
          <w:color w:val="auto"/>
        </w:rPr>
      </w:pPr>
    </w:p>
    <w:p>
      <w:pPr>
        <w:ind w:right="100" w:firstLine="1305"/>
        <w:spacing w:after="0" w:line="288" w:lineRule="auto"/>
        <w:tabs>
          <w:tab w:leader="none" w:pos="19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Partnership and the Underwriters agree that it would not be just and equitable if contribution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 Underwriter shall be required to contribute any amount in excess of the amount by which the total price of the Units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several and not joint.</w:t>
      </w:r>
    </w:p>
    <w:p>
      <w:pPr>
        <w:sectPr>
          <w:pgSz w:w="11900" w:h="16838" w:orient="portrait"/>
          <w:cols w:equalWidth="0" w:num="1">
            <w:col w:w="11420"/>
          </w:cols>
          <w:pgMar w:left="240" w:top="125" w:right="239" w:bottom="0" w:gutter="0" w:footer="0" w:header="0"/>
        </w:sectPr>
      </w:pPr>
    </w:p>
    <w:bookmarkStart w:id="13" w:name="page14"/>
    <w:bookmarkEnd w:id="13"/>
    <w:p>
      <w:pPr>
        <w:spacing w:after="0" w:line="114" w:lineRule="exact"/>
        <w:rPr>
          <w:sz w:val="20"/>
          <w:szCs w:val="20"/>
          <w:color w:val="auto"/>
        </w:rPr>
      </w:pPr>
    </w:p>
    <w:p>
      <w:pPr>
        <w:ind w:right="40" w:firstLine="1305"/>
        <w:spacing w:after="0" w:line="285" w:lineRule="auto"/>
        <w:tabs>
          <w:tab w:leader="none" w:pos="1949"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0" w:lineRule="exact"/>
        <w:rPr>
          <w:rFonts w:ascii="Arial" w:cs="Arial" w:eastAsia="Arial" w:hAnsi="Arial"/>
          <w:sz w:val="18"/>
          <w:szCs w:val="18"/>
          <w:color w:val="auto"/>
        </w:rPr>
      </w:pPr>
    </w:p>
    <w:p>
      <w:pPr>
        <w:ind w:right="200" w:firstLine="1305"/>
        <w:spacing w:after="0" w:line="277" w:lineRule="auto"/>
        <w:tabs>
          <w:tab w:leader="none" w:pos="19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Any losses, claims, damages, liabilities or expenses for which an indemnified party is entitled to indemnification or contribution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the covenants, representations and warranties of the Partnership set forth in this Agreement shall remain operative and in full force and effect, regardless of (i) any investigation made by or on behalf of any Underwriter or any person controlling any Underwriter, the Partnership, GP LLC, PAGP GP or any of their respective directors or officers, as applicable, or any person controlling the Partnership, (ii) acceptance of any Units and payment therefor in accordance with the terms of this Agreement, and (iii) any termination of this Agreement. A successor to any Underwriter or any person controlling any Underwriter, or to the Partnership, GP LLC, PAGP GP or any of their respective directors or officers, or any person controlling the Partnership shall be entitled to the benefits of the indemnity, contribution and reimbursement agreements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67" w:lineRule="exact"/>
        <w:rPr>
          <w:sz w:val="20"/>
          <w:szCs w:val="20"/>
          <w:color w:val="auto"/>
        </w:rPr>
      </w:pPr>
    </w:p>
    <w:p>
      <w:pPr>
        <w:ind w:right="20" w:firstLine="1305"/>
        <w:spacing w:after="0" w:line="277" w:lineRule="auto"/>
        <w:tabs>
          <w:tab w:leader="none" w:pos="194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Units hereunder are subject to the following conditions:</w:t>
      </w:r>
    </w:p>
    <w:p>
      <w:pPr>
        <w:spacing w:after="0" w:line="170" w:lineRule="exact"/>
        <w:rPr>
          <w:sz w:val="20"/>
          <w:szCs w:val="20"/>
          <w:color w:val="auto"/>
        </w:rPr>
      </w:pPr>
    </w:p>
    <w:p>
      <w:pPr>
        <w:jc w:val="both"/>
        <w:ind w:right="280" w:firstLine="1305"/>
        <w:spacing w:after="0" w:line="288" w:lineRule="auto"/>
        <w:tabs>
          <w:tab w:leader="none" w:pos="194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filings required by Rule 424 and Rule 430B of the Rules and Regulations shall have been made. All material required to be filed by the Partnership pursuant to Rule 433(d) of the Rules and Regulations shall have been filed with the Commission within the applicable time period prescribed for such filing by Rule 433 of the Rules and Regulations. No stop order (i) suspending the effectiveness of the Registration Statement or</w:t>
      </w:r>
    </w:p>
    <w:p>
      <w:pPr>
        <w:jc w:val="both"/>
        <w:ind w:right="140" w:firstLine="8"/>
        <w:spacing w:after="0" w:line="254"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89" w:lineRule="exact"/>
        <w:rPr>
          <w:rFonts w:ascii="Arial" w:cs="Arial" w:eastAsia="Arial" w:hAnsi="Arial"/>
          <w:sz w:val="18"/>
          <w:szCs w:val="18"/>
          <w:color w:val="auto"/>
        </w:rPr>
      </w:pPr>
    </w:p>
    <w:p>
      <w:pPr>
        <w:ind w:right="20" w:firstLine="1305"/>
        <w:spacing w:after="0" w:line="254" w:lineRule="auto"/>
        <w:tabs>
          <w:tab w:leader="none" w:pos="19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Units.</w:t>
      </w:r>
    </w:p>
    <w:p>
      <w:pPr>
        <w:spacing w:after="0" w:line="192" w:lineRule="exact"/>
        <w:rPr>
          <w:rFonts w:ascii="Arial" w:cs="Arial" w:eastAsia="Arial" w:hAnsi="Arial"/>
          <w:sz w:val="18"/>
          <w:szCs w:val="18"/>
          <w:color w:val="auto"/>
        </w:rPr>
      </w:pPr>
    </w:p>
    <w:p>
      <w:pPr>
        <w:ind w:right="180" w:firstLine="1305"/>
        <w:spacing w:after="0" w:line="277" w:lineRule="auto"/>
        <w:tabs>
          <w:tab w:leader="none" w:pos="19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Representatives shall have received on the Delivery Date, an opinion of Vinson &amp; Elkins L.L.P., counsel for the Partnership, dated the Delivery Date and addressed to the Underwriters, to the effect that:</w:t>
      </w:r>
    </w:p>
    <w:p>
      <w:pPr>
        <w:spacing w:after="0" w:line="170" w:lineRule="exact"/>
        <w:rPr>
          <w:rFonts w:ascii="Arial" w:cs="Arial" w:eastAsia="Arial" w:hAnsi="Arial"/>
          <w:sz w:val="18"/>
          <w:szCs w:val="18"/>
          <w:color w:val="auto"/>
        </w:rPr>
      </w:pPr>
    </w:p>
    <w:p>
      <w:pPr>
        <w:ind w:left="1300" w:right="280" w:firstLine="653"/>
        <w:spacing w:after="0" w:line="277" w:lineRule="auto"/>
        <w:tabs>
          <w:tab w:leader="none" w:pos="2618" w:val="left"/>
        </w:tabs>
        <w:numPr>
          <w:ilvl w:val="2"/>
          <w:numId w:val="43"/>
        </w:numPr>
        <w:rPr>
          <w:rFonts w:ascii="Arial" w:cs="Arial" w:eastAsia="Arial" w:hAnsi="Arial"/>
          <w:sz w:val="18"/>
          <w:szCs w:val="18"/>
          <w:color w:val="auto"/>
        </w:rPr>
      </w:pPr>
      <w:r>
        <w:rPr>
          <w:rFonts w:ascii="Arial" w:cs="Arial" w:eastAsia="Arial" w:hAnsi="Arial"/>
          <w:sz w:val="18"/>
          <w:szCs w:val="18"/>
          <w:color w:val="auto"/>
        </w:rPr>
        <w:t>Each of the Partnership, the GP Entities and the Domestic Subsidiaries has been duly formed and is validly existing in good standing as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20"/>
        <w:spacing w:after="0" w:line="264" w:lineRule="auto"/>
        <w:rPr>
          <w:sz w:val="20"/>
          <w:szCs w:val="20"/>
          <w:color w:val="auto"/>
        </w:rPr>
      </w:pPr>
      <w:r>
        <w:rPr>
          <w:rFonts w:ascii="Arial" w:cs="Arial" w:eastAsia="Arial" w:hAnsi="Arial"/>
          <w:sz w:val="18"/>
          <w:szCs w:val="18"/>
          <w:color w:val="auto"/>
        </w:rPr>
        <w:t>limited partnership or limited liability company under the laws of its jurisdiction of formation with full limited partnership or limited liability company power and authority, as the case may be, to own or lease its properties and to conduct its business, in each case in all material respects.</w:t>
      </w:r>
    </w:p>
    <w:p>
      <w:pPr>
        <w:spacing w:after="0" w:line="181" w:lineRule="exact"/>
        <w:rPr>
          <w:sz w:val="20"/>
          <w:szCs w:val="20"/>
          <w:color w:val="auto"/>
        </w:rPr>
      </w:pPr>
    </w:p>
    <w:p>
      <w:pPr>
        <w:ind w:left="1300" w:firstLine="653"/>
        <w:spacing w:after="0" w:line="264" w:lineRule="auto"/>
        <w:tabs>
          <w:tab w:leader="none" w:pos="2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or GP Entity has full limited liability company power and authority, as the case may be, to serve as general partner of such Domestic Subsidiary or GP Entity, in each case in all material respects.</w:t>
      </w:r>
    </w:p>
    <w:p>
      <w:pPr>
        <w:spacing w:after="0" w:line="181" w:lineRule="exact"/>
        <w:rPr>
          <w:rFonts w:ascii="Arial" w:cs="Arial" w:eastAsia="Arial" w:hAnsi="Arial"/>
          <w:sz w:val="18"/>
          <w:szCs w:val="18"/>
          <w:color w:val="auto"/>
        </w:rPr>
      </w:pPr>
    </w:p>
    <w:p>
      <w:pPr>
        <w:ind w:left="1300" w:firstLine="653"/>
        <w:spacing w:after="0" w:line="270" w:lineRule="auto"/>
        <w:tabs>
          <w:tab w:leader="none" w:pos="263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77" w:lineRule="exact"/>
        <w:rPr>
          <w:rFonts w:ascii="Arial" w:cs="Arial" w:eastAsia="Arial" w:hAnsi="Arial"/>
          <w:sz w:val="17"/>
          <w:szCs w:val="17"/>
          <w:color w:val="auto"/>
        </w:rPr>
      </w:pPr>
    </w:p>
    <w:p>
      <w:pPr>
        <w:ind w:left="1300" w:right="360" w:firstLine="653"/>
        <w:spacing w:after="0" w:line="312" w:lineRule="auto"/>
        <w:tabs>
          <w:tab w:leader="none" w:pos="261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of the outstanding membership or limited partner interests (other than general partner interests) of each Domestic Subsidiary (A) have been duly authorized and validly issued (in accordance with the Organizational Documents of such Domestic Subsidiary), are fully paid (to the extent required under the Organizational Documents of such Domestic Subsidiary) and nonassessable</w:t>
      </w:r>
    </w:p>
    <w:p>
      <w:pPr>
        <w:sectPr>
          <w:pgSz w:w="11900" w:h="16952" w:orient="portrait"/>
          <w:cols w:equalWidth="0" w:num="1">
            <w:col w:w="11420"/>
          </w:cols>
          <w:pgMar w:left="240" w:top="125" w:right="239" w:bottom="0" w:gutter="0" w:footer="0" w:header="0"/>
        </w:sectPr>
      </w:pPr>
    </w:p>
    <w:bookmarkStart w:id="14" w:name="page15"/>
    <w:bookmarkEnd w:id="14"/>
    <w:p>
      <w:pPr>
        <w:spacing w:after="0" w:line="106" w:lineRule="exact"/>
        <w:rPr>
          <w:sz w:val="20"/>
          <w:szCs w:val="20"/>
          <w:color w:val="auto"/>
        </w:rPr>
      </w:pPr>
    </w:p>
    <w:p>
      <w:pPr>
        <w:ind w:left="100" w:right="100"/>
        <w:spacing w:after="0" w:line="270" w:lineRule="auto"/>
        <w:rPr>
          <w:sz w:val="20"/>
          <w:szCs w:val="20"/>
          <w:color w:val="auto"/>
        </w:rPr>
      </w:pPr>
      <w:r>
        <w:rPr>
          <w:rFonts w:ascii="Arial" w:cs="Arial" w:eastAsia="Arial" w:hAnsi="Arial"/>
          <w:sz w:val="17"/>
          <w:szCs w:val="17"/>
          <w:color w:val="auto"/>
        </w:rPr>
        <w:t>(except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(1) in respect of which a financing statement under the Uniform Commercial Code of the State of Delaware naming the Partnership as debtor or, in the case of membership or limited partner interests of a Domestic Subsidiary owned directly by one or more other Domestic Subsidiary, naming any such other Domestic Subsidiary as debtor(s), is on file in the office of the Secretary of State of the States of Delaware or Texas, as applicable or (2) otherwise known to such counsel, without independent</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140"/>
        <w:spacing w:after="0" w:line="277" w:lineRule="auto"/>
        <w:rPr>
          <w:sz w:val="20"/>
          <w:szCs w:val="20"/>
          <w:color w:val="auto"/>
        </w:rPr>
      </w:pPr>
      <w:r>
        <w:rPr>
          <w:rFonts w:ascii="Arial" w:cs="Arial" w:eastAsia="Arial" w:hAnsi="Arial"/>
          <w:sz w:val="18"/>
          <w:szCs w:val="18"/>
          <w:color w:val="auto"/>
        </w:rPr>
        <w:t>investigation, other than those created by or arising under the limited liability company or partnership laws of the jurisdiction of formation of the respective Domestic Subsidiary, as the case may be.</w:t>
      </w:r>
    </w:p>
    <w:p>
      <w:pPr>
        <w:spacing w:after="0" w:line="170" w:lineRule="exact"/>
        <w:rPr>
          <w:sz w:val="20"/>
          <w:szCs w:val="20"/>
          <w:color w:val="auto"/>
        </w:rPr>
      </w:pPr>
    </w:p>
    <w:p>
      <w:pPr>
        <w:ind w:left="100" w:firstLine="653"/>
        <w:spacing w:after="0" w:line="254" w:lineRule="auto"/>
        <w:tabs>
          <w:tab w:leader="none" w:pos="14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 without independent investigation, other than those created by or arising under the partnership laws of the jurisdiction of formation of the respective Domestic Subsidiary, as the case may be.</w:t>
      </w:r>
    </w:p>
    <w:p>
      <w:pPr>
        <w:spacing w:after="0" w:line="192" w:lineRule="exact"/>
        <w:rPr>
          <w:rFonts w:ascii="Arial" w:cs="Arial" w:eastAsia="Arial" w:hAnsi="Arial"/>
          <w:sz w:val="18"/>
          <w:szCs w:val="18"/>
          <w:color w:val="auto"/>
        </w:rPr>
      </w:pPr>
    </w:p>
    <w:p>
      <w:pPr>
        <w:ind w:left="100" w:firstLine="653"/>
        <w:spacing w:after="0" w:line="257" w:lineRule="auto"/>
        <w:tabs>
          <w:tab w:leader="none" w:pos="14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Units to be issued and sold to the Underwriters by the Partnership pursuant to this Agreement and the limited partner interests represented thereby have been duly authorized by the Amended and Restated Partnership Agreement and, when issued and delivered against payment therefor as provided in this Agreement, will be validly issued, fully paid (to the extent required under the Amended and Restated Partnership Agreement) and nonassessable (except as such nonassessability may be affected by Sections 17-303, 17-607 and 17-804 of the Delaware LP Act).</w:t>
      </w:r>
    </w:p>
    <w:p>
      <w:pPr>
        <w:spacing w:after="0" w:line="188" w:lineRule="exact"/>
        <w:rPr>
          <w:rFonts w:ascii="Arial" w:cs="Arial" w:eastAsia="Arial" w:hAnsi="Arial"/>
          <w:sz w:val="18"/>
          <w:szCs w:val="18"/>
          <w:color w:val="auto"/>
        </w:rPr>
      </w:pPr>
    </w:p>
    <w:p>
      <w:pPr>
        <w:ind w:left="100" w:right="20" w:firstLine="653"/>
        <w:spacing w:after="0" w:line="272" w:lineRule="auto"/>
        <w:tabs>
          <w:tab w:leader="none" w:pos="1423"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Pricing Disclosure Package and the Prospectus or as provided in the Organizational Documents of the Partnership or the Omnibus Agreement, there are no preemptive rights or other rights to subscribe for or to purchase, nor any restriction upon the voting or transfer of, any interests in the Partnership pursuant to the Delaware LP Act, the Delaware LLC Act or any instrument known to us to which the Partnership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w:t>
      </w:r>
    </w:p>
    <w:p>
      <w:pPr>
        <w:spacing w:after="0" w:line="177" w:lineRule="exact"/>
        <w:rPr>
          <w:rFonts w:ascii="Arial" w:cs="Arial" w:eastAsia="Arial" w:hAnsi="Arial"/>
          <w:sz w:val="17"/>
          <w:szCs w:val="17"/>
          <w:color w:val="auto"/>
        </w:rPr>
      </w:pPr>
    </w:p>
    <w:p>
      <w:pPr>
        <w:ind w:left="100" w:right="60" w:firstLine="653"/>
        <w:spacing w:after="0" w:line="264" w:lineRule="auto"/>
        <w:tabs>
          <w:tab w:leader="none" w:pos="14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Partnership has all requisite power and authority to issue, sell and deliver the Units, in accordance with and upon the terms and conditions set forth in this Agreement, the Amended and Restated Partnership Agreement and the Registration Statement, the Pricing Disclosure Package and the Prospectus.</w:t>
      </w:r>
    </w:p>
    <w:p>
      <w:pPr>
        <w:spacing w:after="0" w:line="181" w:lineRule="exact"/>
        <w:rPr>
          <w:rFonts w:ascii="Arial" w:cs="Arial" w:eastAsia="Arial" w:hAnsi="Arial"/>
          <w:sz w:val="18"/>
          <w:szCs w:val="18"/>
          <w:color w:val="auto"/>
        </w:rPr>
      </w:pPr>
    </w:p>
    <w:p>
      <w:pPr>
        <w:ind w:left="1420" w:hanging="667"/>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has been duly authorized and validly executed and delivered by the Partnership.</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40" w:firstLine="653"/>
        <w:spacing w:after="0" w:line="254" w:lineRule="auto"/>
        <w:tabs>
          <w:tab w:leader="none" w:pos="14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or before the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92" w:lineRule="exact"/>
        <w:rPr>
          <w:rFonts w:ascii="Arial" w:cs="Arial" w:eastAsia="Arial" w:hAnsi="Arial"/>
          <w:sz w:val="18"/>
          <w:szCs w:val="18"/>
          <w:color w:val="auto"/>
        </w:rPr>
      </w:pPr>
    </w:p>
    <w:p>
      <w:pPr>
        <w:ind w:left="100" w:right="80" w:firstLine="653"/>
        <w:spacing w:after="0" w:line="269" w:lineRule="auto"/>
        <w:tabs>
          <w:tab w:leader="none" w:pos="14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None of (A) the offering, issuance and sale by the Partnership of the Units, (B) the execution, delivery and performance of this Agreement by the Partnership, (C) the consummation of the transactions contemplated by this Agreement or (D) the execution, delivery and performance of the Amended and Restated Partnership Agreement (1) constitutes or will constitute a violation of the Organizational Documents of the Partnership or any of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(3) results or will result in any violation of the Delaware LP Act, the Delaware LLC Act, the laws of the State of Texas or federal law, or (4) results or will result in the creation or imposition of any Lien upon any property or assets of any of the Partnership, the Domestic Subsidiaries or the GP Entities, which conflicts, breaches, violations or defaults in the case of clauses (2), (3) or (4) would reasonably be expected to have a Material Adverse Effect or materially impair the ability of the Partnership to consummate the transactions contemplated by this Agreement, it being understood that such counsel need not express an opinion in clause (3) of this paragraph (xi) with respect to any securities or other anti-fraud law.</w:t>
      </w:r>
    </w:p>
    <w:p>
      <w:pPr>
        <w:spacing w:after="0" w:line="179" w:lineRule="exact"/>
        <w:rPr>
          <w:rFonts w:ascii="Arial" w:cs="Arial" w:eastAsia="Arial" w:hAnsi="Arial"/>
          <w:sz w:val="17"/>
          <w:szCs w:val="17"/>
          <w:color w:val="auto"/>
        </w:rPr>
      </w:pPr>
    </w:p>
    <w:p>
      <w:pPr>
        <w:ind w:left="100" w:right="20" w:firstLine="653"/>
        <w:spacing w:after="0" w:line="302" w:lineRule="auto"/>
        <w:tabs>
          <w:tab w:leader="none" w:pos="14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federal, Delaware or Texas court, governmental agency or body having jurisdiction over the Partnership, the GP Entities, the Domestic Subsidiaries or any of their respective properties is required in connection with (A) the offering, issuance and sale by the Partnership of the Units, (B) the execution, delivery and performance of this Agreement by the Partnership, (C) the consummation of the transactions contemplated by this Agreement or (D) the execution, delivery and</w:t>
      </w:r>
    </w:p>
    <w:p>
      <w:pPr>
        <w:sectPr>
          <w:pgSz w:w="11900" w:h="16945" w:orient="portrait"/>
          <w:cols w:equalWidth="0" w:num="1">
            <w:col w:w="10220"/>
          </w:cols>
          <w:pgMar w:left="1440" w:top="125" w:right="239" w:bottom="0" w:gutter="0" w:footer="0" w:header="0"/>
        </w:sectPr>
      </w:pPr>
    </w:p>
    <w:bookmarkStart w:id="15" w:name="page16"/>
    <w:bookmarkEnd w:id="15"/>
    <w:p>
      <w:pPr>
        <w:jc w:val="both"/>
        <w:ind w:left="100" w:right="400"/>
        <w:spacing w:after="0" w:line="312" w:lineRule="auto"/>
        <w:rPr>
          <w:sz w:val="20"/>
          <w:szCs w:val="20"/>
          <w:color w:val="auto"/>
        </w:rPr>
      </w:pPr>
      <w:r>
        <w:rPr>
          <w:rFonts w:ascii="Arial" w:cs="Arial" w:eastAsia="Arial" w:hAnsi="Arial"/>
          <w:sz w:val="16"/>
          <w:szCs w:val="16"/>
          <w:color w:val="auto"/>
        </w:rPr>
        <w:t>performance of the Amended and Restated Partnership Agreement, except (1) such as may be required under the blue sky laws of any jurisdiction or the by-laws and rules of FINRA in connection with the purchase and distribution by the Underwriters of the Units in the manner contemplated herein and in the Registration Statement, the Pricing Disclosure Package and the Prospectus (as to</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00"/>
        <w:spacing w:after="0" w:line="291" w:lineRule="auto"/>
        <w:rPr>
          <w:sz w:val="20"/>
          <w:szCs w:val="20"/>
          <w:color w:val="auto"/>
        </w:rPr>
      </w:pPr>
      <w:r>
        <w:rPr>
          <w:rFonts w:ascii="Arial" w:cs="Arial" w:eastAsia="Arial" w:hAnsi="Arial"/>
          <w:sz w:val="16"/>
          <w:szCs w:val="16"/>
          <w:color w:val="auto"/>
        </w:rPr>
        <w:t>which such counsel need not express any opinion), (2) such that the failure to obtain would not reasonably be expected to have a Material Adverse Effect or materially impair the ability of the Partnership to consummate the transactions contemplated by this Agreement and</w:t>
      </w:r>
    </w:p>
    <w:p>
      <w:pPr>
        <w:ind w:left="360" w:hanging="255"/>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other that have been obtained or taken and are in full force and effect.</w:t>
      </w:r>
    </w:p>
    <w:p>
      <w:pPr>
        <w:spacing w:after="0" w:line="210" w:lineRule="exact"/>
        <w:rPr>
          <w:rFonts w:ascii="Arial" w:cs="Arial" w:eastAsia="Arial" w:hAnsi="Arial"/>
          <w:sz w:val="18"/>
          <w:szCs w:val="18"/>
          <w:color w:val="auto"/>
        </w:rPr>
      </w:pPr>
    </w:p>
    <w:p>
      <w:pPr>
        <w:ind w:left="100" w:right="380" w:firstLine="653"/>
        <w:spacing w:after="0" w:line="255" w:lineRule="auto"/>
        <w:tabs>
          <w:tab w:leader="none" w:pos="14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captions “Description of Series B Preferred Units,” “ Description of Our Preferred Units,” “Cash Distribution Policy” and “Description of Our Partnership Agreement,” insofar as such statements purport to summarize certain provisions of documents and legal matters referred to therein, fairly summarize such provisions and legal matters in all material respects, subject to the qualifications and assumptions stated therein; and the Units conform in all material respects to the descriptions thereof contained in the Registration Statement, the Pricing Disclosure Package and the Prospectus.</w:t>
      </w:r>
    </w:p>
    <w:p>
      <w:pPr>
        <w:spacing w:after="0" w:line="193" w:lineRule="exact"/>
        <w:rPr>
          <w:rFonts w:ascii="Arial" w:cs="Arial" w:eastAsia="Arial" w:hAnsi="Arial"/>
          <w:sz w:val="18"/>
          <w:szCs w:val="18"/>
          <w:color w:val="auto"/>
        </w:rPr>
      </w:pPr>
    </w:p>
    <w:p>
      <w:pPr>
        <w:ind w:left="100" w:right="160" w:firstLine="653"/>
        <w:spacing w:after="0" w:line="264" w:lineRule="auto"/>
        <w:tabs>
          <w:tab w:leader="none" w:pos="140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opinion of Vinson &amp; Elkins L.L.P. to be filed as Exhibit 8.1 to the Partnership’s Form 8-K with the Commission in connection with the offering and sale of the Units is confirmed and the Underwriters may rely upon such opinion as if it were addressed to them.</w:t>
      </w:r>
    </w:p>
    <w:p>
      <w:pPr>
        <w:spacing w:after="0" w:line="181" w:lineRule="exact"/>
        <w:rPr>
          <w:rFonts w:ascii="Arial" w:cs="Arial" w:eastAsia="Arial" w:hAnsi="Arial"/>
          <w:sz w:val="18"/>
          <w:szCs w:val="18"/>
          <w:color w:val="auto"/>
        </w:rPr>
      </w:pPr>
    </w:p>
    <w:p>
      <w:pPr>
        <w:ind w:left="100" w:right="100" w:firstLine="653"/>
        <w:spacing w:after="0" w:line="255" w:lineRule="auto"/>
        <w:tabs>
          <w:tab w:leader="none" w:pos="13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Registration Statement became effective under the Securities Act upon its filing on September 25, 2015 and Post-Effective Amendment No. 1 thereto became effective under the Securities Act upon its filing on October 2, 2017;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w:t>
      </w:r>
    </w:p>
    <w:p>
      <w:pPr>
        <w:spacing w:after="0" w:line="193" w:lineRule="exact"/>
        <w:rPr>
          <w:rFonts w:ascii="Arial" w:cs="Arial" w:eastAsia="Arial" w:hAnsi="Arial"/>
          <w:sz w:val="18"/>
          <w:szCs w:val="18"/>
          <w:color w:val="auto"/>
        </w:rPr>
      </w:pPr>
    </w:p>
    <w:p>
      <w:pPr>
        <w:ind w:left="100" w:right="120" w:firstLine="653"/>
        <w:spacing w:after="0" w:line="257" w:lineRule="auto"/>
        <w:tabs>
          <w:tab w:leader="none" w:pos="140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88" w:lineRule="exact"/>
        <w:rPr>
          <w:rFonts w:ascii="Arial" w:cs="Arial" w:eastAsia="Arial" w:hAnsi="Arial"/>
          <w:sz w:val="18"/>
          <w:szCs w:val="18"/>
          <w:color w:val="auto"/>
        </w:rPr>
      </w:pPr>
    </w:p>
    <w:p>
      <w:pPr>
        <w:ind w:left="100" w:right="140" w:firstLine="653"/>
        <w:spacing w:after="0" w:line="264" w:lineRule="auto"/>
        <w:tabs>
          <w:tab w:leader="none" w:pos="14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Partnership is not now, and after giving effect to the offering and sale of the Units and the application of the net proceeds therefrom as described in the Pricing Disclosure Package and the Prospectus under the caption “Use of Proceeds,” will not be, an “investment company” as such term is defined</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the Investment Company Act and the rules and regulations of the Commission thereunder.</w:t>
      </w:r>
    </w:p>
    <w:p>
      <w:pPr>
        <w:spacing w:after="0" w:line="225" w:lineRule="exact"/>
        <w:rPr>
          <w:sz w:val="20"/>
          <w:szCs w:val="20"/>
          <w:color w:val="auto"/>
        </w:rPr>
      </w:pPr>
    </w:p>
    <w:p>
      <w:pPr>
        <w:ind w:left="100" w:right="20" w:firstLine="648"/>
        <w:spacing w:after="0" w:line="272" w:lineRule="auto"/>
        <w:rPr>
          <w:sz w:val="20"/>
          <w:szCs w:val="20"/>
          <w:color w:val="auto"/>
        </w:rPr>
      </w:pPr>
      <w:r>
        <w:rPr>
          <w:rFonts w:ascii="Arial" w:cs="Arial" w:eastAsia="Arial" w:hAnsi="Arial"/>
          <w:sz w:val="17"/>
          <w:szCs w:val="17"/>
          <w:color w:val="auto"/>
        </w:rPr>
        <w:t>In addition, such counsel shall state that they have participated in conferences with officers and other representatives of GP LLC, PAGP GP and the Partnership,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(xiii) above), on the basis of the foregoing, no facts have come to the attention of such counsel that lead them to believe that:</w:t>
      </w:r>
    </w:p>
    <w:p>
      <w:pPr>
        <w:spacing w:after="0" w:line="178" w:lineRule="exact"/>
        <w:rPr>
          <w:sz w:val="20"/>
          <w:szCs w:val="20"/>
          <w:color w:val="auto"/>
        </w:rPr>
      </w:pPr>
    </w:p>
    <w:p>
      <w:pPr>
        <w:ind w:left="760" w:right="60" w:firstLine="641"/>
        <w:spacing w:after="0" w:line="342" w:lineRule="auto"/>
        <w:tabs>
          <w:tab w:leader="none" w:pos="207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ind w:left="760" w:firstLine="641"/>
        <w:spacing w:after="0" w:line="264" w:lineRule="auto"/>
        <w:tabs>
          <w:tab w:leader="none" w:pos="20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81" w:lineRule="exact"/>
        <w:rPr>
          <w:rFonts w:ascii="Arial" w:cs="Arial" w:eastAsia="Arial" w:hAnsi="Arial"/>
          <w:sz w:val="18"/>
          <w:szCs w:val="18"/>
          <w:color w:val="auto"/>
        </w:rPr>
      </w:pPr>
    </w:p>
    <w:p>
      <w:pPr>
        <w:jc w:val="both"/>
        <w:ind w:left="760" w:right="140" w:firstLine="641"/>
        <w:spacing w:after="0" w:line="264" w:lineRule="auto"/>
        <w:tabs>
          <w:tab w:leader="none" w:pos="20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left="100" w:right="180"/>
        <w:spacing w:after="0" w:line="279"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71" w:lineRule="exact"/>
        <w:rPr>
          <w:sz w:val="20"/>
          <w:szCs w:val="20"/>
          <w:color w:val="auto"/>
        </w:rPr>
      </w:pPr>
    </w:p>
    <w:p>
      <w:pPr>
        <w:ind w:left="100" w:right="40" w:firstLine="648"/>
        <w:spacing w:after="0" w:line="257"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PAGP GP and the Partnership,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w:t>
      </w:r>
    </w:p>
    <w:p>
      <w:pPr>
        <w:sectPr>
          <w:pgSz w:w="11900" w:h="16838" w:orient="portrait"/>
          <w:cols w:equalWidth="0" w:num="1">
            <w:col w:w="10220"/>
          </w:cols>
          <w:pgMar w:left="1440" w:top="125"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20"/>
        <w:spacing w:after="0" w:line="288" w:lineRule="auto"/>
        <w:rPr>
          <w:sz w:val="20"/>
          <w:szCs w:val="20"/>
          <w:color w:val="auto"/>
        </w:rPr>
      </w:pPr>
      <w:r>
        <w:rPr>
          <w:rFonts w:ascii="Arial" w:cs="Arial" w:eastAsia="Arial" w:hAnsi="Arial"/>
          <w:sz w:val="16"/>
          <w:szCs w:val="16"/>
          <w:color w:val="auto"/>
        </w:rPr>
        <w:t>such counsel is accurate, complete and authentic, and all official public records are accurate and complete, (D) with respect to opinions expressed in paragraphs (iii), (iv) and (v), relied on reports, dated as of recent drafts, prepared by Corporation Services Company, purporting to describe all financing statements on file as of the dates thereof in the office of the Secretary of State of the State of Delaware or the Secretary of State of the State of Texas, as applicable, name the Partnership or any of the Domestic Subsidiaries as debtors, (E) with respect to the opinion expressed in paragraph (xv) above, as to the absence of stop orders and proceedings instituted for that purpose, relied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and the laws of the State of Texas and (G) state that they express no opinion with respect to (i) any permits to own or operate any real or personal property or (ii) foreign, state or local taxes or tax statutes to which any of the limited partners of the Partnership or any of the Plains Entities may be subject.</w:t>
      </w:r>
    </w:p>
    <w:p>
      <w:pPr>
        <w:spacing w:after="0" w:line="169" w:lineRule="exact"/>
        <w:rPr>
          <w:sz w:val="20"/>
          <w:szCs w:val="20"/>
          <w:color w:val="auto"/>
        </w:rPr>
      </w:pPr>
    </w:p>
    <w:p>
      <w:pPr>
        <w:ind w:left="-20" w:right="240" w:firstLine="1305"/>
        <w:spacing w:after="0" w:line="277" w:lineRule="auto"/>
        <w:tabs>
          <w:tab w:leader="none" w:pos="19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Representatives shall have received on the Delivery Date an opinion of the general counsel for GP LLC, dated the Delivery Date and addressed to the Underwriters, to the effect that:</w:t>
      </w:r>
    </w:p>
    <w:p>
      <w:pPr>
        <w:spacing w:after="0" w:line="170" w:lineRule="exact"/>
        <w:rPr>
          <w:rFonts w:ascii="Arial" w:cs="Arial" w:eastAsia="Arial" w:hAnsi="Arial"/>
          <w:sz w:val="18"/>
          <w:szCs w:val="18"/>
          <w:color w:val="auto"/>
        </w:rPr>
      </w:pPr>
    </w:p>
    <w:p>
      <w:pPr>
        <w:ind w:left="1280" w:right="120" w:firstLine="653"/>
        <w:spacing w:after="0" w:line="284" w:lineRule="auto"/>
        <w:tabs>
          <w:tab w:leader="none" w:pos="2598"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None of the offering, issuance and sale by the Partnership of the Units, the execution, delivery and performance by the Partnership of this Agreement, the consummation of the transactions contemplated by this Agreement or the execution, delivery and performance of the Amended and Restated Partnership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the GP Entities or the Material Subsidiaries is a party or by which any one of them may be bound (excluding, for this purpose,</w:t>
      </w:r>
    </w:p>
    <w:p>
      <w:pPr>
        <w:spacing w:after="0" w:line="4" w:lineRule="exact"/>
        <w:rPr>
          <w:rFonts w:ascii="Arial" w:cs="Arial" w:eastAsia="Arial" w:hAnsi="Arial"/>
          <w:sz w:val="16"/>
          <w:szCs w:val="16"/>
          <w:color w:val="auto"/>
        </w:rPr>
      </w:pPr>
    </w:p>
    <w:p>
      <w:pPr>
        <w:ind w:left="1280" w:right="20" w:firstLine="5"/>
        <w:spacing w:after="0" w:line="287" w:lineRule="auto"/>
        <w:tabs>
          <w:tab w:leader="none" w:pos="14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document or agreement filed as an exhibit to the Registration Statement or an Incorporated Document, (ii) the Hedged Inventory Facility, (iii) the Credit Agreement dated as of August 19, 2011, as amended, by and among the Partnership, certain subsidiaries of the Partnership from time to time party thereto and Bank of America, N.A., as administrative agent, and the other lenders party thereto (the “</w:t>
      </w:r>
      <w:r>
        <w:rPr>
          <w:rFonts w:ascii="Arial" w:cs="Arial" w:eastAsia="Arial" w:hAnsi="Arial"/>
          <w:sz w:val="16"/>
          <w:szCs w:val="16"/>
          <w:b w:val="1"/>
          <w:bCs w:val="1"/>
          <w:color w:val="auto"/>
        </w:rPr>
        <w:t>PAA Facility</w:t>
      </w:r>
      <w:r>
        <w:rPr>
          <w:rFonts w:ascii="Arial" w:cs="Arial" w:eastAsia="Arial" w:hAnsi="Arial"/>
          <w:sz w:val="16"/>
          <w:szCs w:val="16"/>
          <w:color w:val="auto"/>
        </w:rPr>
        <w:t>”) and (iv) the 364-Day Credit Agreement dated January 16, 2015 (the “</w:t>
      </w:r>
      <w:r>
        <w:rPr>
          <w:rFonts w:ascii="Arial" w:cs="Arial" w:eastAsia="Arial" w:hAnsi="Arial"/>
          <w:sz w:val="16"/>
          <w:szCs w:val="16"/>
          <w:b w:val="1"/>
          <w:bCs w:val="1"/>
          <w:color w:val="auto"/>
        </w:rPr>
        <w:t>364-Day Facility</w:t>
      </w:r>
      <w:r>
        <w:rPr>
          <w:rFonts w:ascii="Arial" w:cs="Arial" w:eastAsia="Arial" w:hAnsi="Arial"/>
          <w:sz w:val="16"/>
          <w:szCs w:val="16"/>
          <w:color w:val="auto"/>
        </w:rPr>
        <w:t>”), by and among the Partnership, Bank of America, N.A., as administrative agent, and the lenders party thereto) or (B) violates or will violate any statute, law or regulation or any order, judgment, decree or injunction known to such counsel of any court or governmental agency or body directed to the Partnership, the GP Entities or the Material Subsidiaries or any of their respective properties in a proceeding to which any of them is a party, which would, in the case of either clause (A) or clause (B), reasonably be expected to have a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Adverse Effect or materially impair the ability of the Partnership to consummate the transactions contemplated by this Agreement.</w:t>
      </w:r>
    </w:p>
    <w:p>
      <w:pPr>
        <w:spacing w:after="0" w:line="237" w:lineRule="exact"/>
        <w:rPr>
          <w:sz w:val="20"/>
          <w:szCs w:val="20"/>
          <w:color w:val="auto"/>
        </w:rPr>
      </w:pPr>
    </w:p>
    <w:p>
      <w:pPr>
        <w:ind w:left="1280" w:right="20" w:firstLine="653"/>
        <w:spacing w:after="0" w:line="264" w:lineRule="auto"/>
        <w:tabs>
          <w:tab w:leader="none" w:pos="26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w:t>
      </w:r>
    </w:p>
    <w:p>
      <w:pPr>
        <w:spacing w:after="0" w:line="181" w:lineRule="exact"/>
        <w:rPr>
          <w:rFonts w:ascii="Arial" w:cs="Arial" w:eastAsia="Arial" w:hAnsi="Arial"/>
          <w:sz w:val="18"/>
          <w:szCs w:val="18"/>
          <w:color w:val="auto"/>
        </w:rPr>
      </w:pPr>
    </w:p>
    <w:p>
      <w:pPr>
        <w:ind w:left="1280" w:right="60" w:firstLine="653"/>
        <w:spacing w:after="0" w:line="312" w:lineRule="auto"/>
        <w:tabs>
          <w:tab w:leader="none" w:pos="261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the knowledge of such counsel, except as described in the Registration Statement, the Pricing Disclosure Package and the Prospectus or as have been issued pursuant to compensation plans adopted or administered by the General Partner, there are no outstanding options or warrants to purchase any Series B Preferred Units or other equity interests in the Partnership.</w:t>
      </w:r>
    </w:p>
    <w:p>
      <w:pPr>
        <w:spacing w:after="0" w:line="146" w:lineRule="exact"/>
        <w:rPr>
          <w:rFonts w:ascii="Arial" w:cs="Arial" w:eastAsia="Arial" w:hAnsi="Arial"/>
          <w:sz w:val="16"/>
          <w:szCs w:val="16"/>
          <w:color w:val="auto"/>
        </w:rPr>
      </w:pPr>
    </w:p>
    <w:p>
      <w:pPr>
        <w:jc w:val="both"/>
        <w:ind w:left="1280" w:right="80" w:firstLine="653"/>
        <w:spacing w:after="0" w:line="259" w:lineRule="auto"/>
        <w:tabs>
          <w:tab w:leader="none" w:pos="25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7" w:lineRule="exact"/>
        <w:rPr>
          <w:sz w:val="20"/>
          <w:szCs w:val="20"/>
          <w:color w:val="auto"/>
        </w:rPr>
      </w:pPr>
    </w:p>
    <w:p>
      <w:pPr>
        <w:ind w:left="1280" w:right="180" w:firstLine="648"/>
        <w:spacing w:after="0" w:line="255" w:lineRule="auto"/>
        <w:rPr>
          <w:sz w:val="20"/>
          <w:szCs w:val="20"/>
          <w:color w:val="auto"/>
        </w:rPr>
      </w:pPr>
      <w:r>
        <w:rPr>
          <w:rFonts w:ascii="Arial" w:cs="Arial" w:eastAsia="Arial" w:hAnsi="Arial"/>
          <w:sz w:val="18"/>
          <w:szCs w:val="18"/>
          <w:color w:val="auto"/>
        </w:rPr>
        <w:t>In addition, such counsel shall state that he has participated in conferences with officers and other representatives of GP LLC, PAGP GP and the Partnership,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189" w:lineRule="exact"/>
        <w:rPr>
          <w:sz w:val="20"/>
          <w:szCs w:val="20"/>
          <w:color w:val="auto"/>
        </w:rPr>
      </w:pPr>
    </w:p>
    <w:p>
      <w:pPr>
        <w:ind w:left="1940" w:right="60" w:firstLine="641"/>
        <w:spacing w:after="0" w:line="342" w:lineRule="auto"/>
        <w:tabs>
          <w:tab w:leader="none" w:pos="325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ind w:left="1940" w:firstLine="641"/>
        <w:spacing w:after="0" w:line="264" w:lineRule="auto"/>
        <w:tabs>
          <w:tab w:leader="none" w:pos="32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81" w:lineRule="exact"/>
        <w:rPr>
          <w:rFonts w:ascii="Arial" w:cs="Arial" w:eastAsia="Arial" w:hAnsi="Arial"/>
          <w:sz w:val="18"/>
          <w:szCs w:val="18"/>
          <w:color w:val="auto"/>
        </w:rPr>
      </w:pPr>
    </w:p>
    <w:p>
      <w:pPr>
        <w:ind w:left="1940" w:right="140" w:firstLine="641"/>
        <w:spacing w:after="0" w:line="277" w:lineRule="auto"/>
        <w:tabs>
          <w:tab w:leader="none" w:pos="32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Prospectus, as of its date and as of the Delivery Date, included or includes an untrue statement of a material fact or omitted or omits to state a material fact necessary in order to make the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therein, in the light of the circumstances under which they were made, not misleading,</w:t>
      </w:r>
    </w:p>
    <w:p>
      <w:pPr>
        <w:sectPr>
          <w:pgSz w:w="11900" w:h="16838" w:orient="portrait"/>
          <w:cols w:equalWidth="0" w:num="1">
            <w:col w:w="11400"/>
          </w:cols>
          <w:pgMar w:left="260" w:top="125" w:right="239" w:bottom="0" w:gutter="0" w:footer="0" w:header="0"/>
          <w:type w:val="continuous"/>
        </w:sectPr>
      </w:pPr>
    </w:p>
    <w:bookmarkStart w:id="17" w:name="page18"/>
    <w:bookmarkEnd w:id="17"/>
    <w:p>
      <w:pPr>
        <w:ind w:left="1280" w:right="220"/>
        <w:spacing w:after="0" w:line="279"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171" w:lineRule="exact"/>
        <w:rPr>
          <w:sz w:val="20"/>
          <w:szCs w:val="20"/>
          <w:color w:val="auto"/>
        </w:rPr>
      </w:pPr>
    </w:p>
    <w:p>
      <w:pPr>
        <w:ind w:left="1280" w:firstLine="648"/>
        <w:spacing w:after="0" w:line="272" w:lineRule="auto"/>
        <w:rPr>
          <w:sz w:val="20"/>
          <w:szCs w:val="20"/>
          <w:color w:val="auto"/>
        </w:rPr>
      </w:pPr>
      <w:r>
        <w:rPr>
          <w:rFonts w:ascii="Arial" w:cs="Arial" w:eastAsia="Arial" w:hAnsi="Arial"/>
          <w:sz w:val="17"/>
          <w:szCs w:val="17"/>
          <w:color w:val="auto"/>
        </w:rPr>
        <w:t xml:space="preserve">In rendering such opinion, such counsel may rely in respect of matters of fact upon (i) information obtained from public officials or public records and (ii) to the extent such counsel deems appropriate, certificates of officers and employees of GP LLC, PAGP GP and the Partnership.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w:t>
      </w:r>
      <w:r>
        <w:rPr>
          <w:rFonts w:ascii="Arial" w:cs="Arial" w:eastAsia="Arial" w:hAnsi="Arial"/>
          <w:sz w:val="17"/>
          <w:szCs w:val="17"/>
          <w:u w:val="single" w:color="auto"/>
          <w:color w:val="auto"/>
        </w:rPr>
        <w:t>Section 7(d)(i)(B)</w:t>
      </w:r>
      <w:r>
        <w:rPr>
          <w:rFonts w:ascii="Arial" w:cs="Arial" w:eastAsia="Arial" w:hAnsi="Arial"/>
          <w:sz w:val="17"/>
          <w:szCs w:val="17"/>
          <w:color w:val="auto"/>
        </w:rPr>
        <w:t xml:space="preserve"> above or (y) foreign, state or local taxes or tax statutes.</w:t>
      </w:r>
    </w:p>
    <w:p>
      <w:pPr>
        <w:spacing w:after="0" w:line="178" w:lineRule="exact"/>
        <w:rPr>
          <w:sz w:val="20"/>
          <w:szCs w:val="20"/>
          <w:color w:val="auto"/>
        </w:rPr>
      </w:pPr>
    </w:p>
    <w:p>
      <w:pPr>
        <w:ind w:left="-20" w:right="180" w:firstLine="1305"/>
        <w:spacing w:after="0" w:line="277" w:lineRule="auto"/>
        <w:tabs>
          <w:tab w:leader="none" w:pos="19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Representatives shall have received on the Delivery Date, an opinion of internal Canadian counsel for the Partnership, dated the Delivery Date and addressed to the Underwriters, to the effect that:</w:t>
      </w:r>
    </w:p>
    <w:p>
      <w:pPr>
        <w:spacing w:after="0" w:line="170" w:lineRule="exact"/>
        <w:rPr>
          <w:rFonts w:ascii="Arial" w:cs="Arial" w:eastAsia="Arial" w:hAnsi="Arial"/>
          <w:sz w:val="18"/>
          <w:szCs w:val="18"/>
          <w:color w:val="auto"/>
        </w:rPr>
      </w:pPr>
    </w:p>
    <w:p>
      <w:pPr>
        <w:ind w:left="1280" w:right="80" w:firstLine="653"/>
        <w:spacing w:after="0" w:line="255" w:lineRule="auto"/>
        <w:tabs>
          <w:tab w:leader="none" w:pos="25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New Brunswick, Nova Scotia, Ontario and Saskatchewan.</w:t>
      </w:r>
    </w:p>
    <w:p>
      <w:pPr>
        <w:spacing w:after="0" w:line="193" w:lineRule="exact"/>
        <w:rPr>
          <w:rFonts w:ascii="Arial" w:cs="Arial" w:eastAsia="Arial" w:hAnsi="Arial"/>
          <w:sz w:val="18"/>
          <w:szCs w:val="18"/>
          <w:color w:val="auto"/>
        </w:rPr>
      </w:pPr>
    </w:p>
    <w:p>
      <w:pPr>
        <w:ind w:left="1280" w:right="60" w:firstLine="653"/>
        <w:spacing w:after="0" w:line="257" w:lineRule="auto"/>
        <w:tabs>
          <w:tab w:leader="none" w:pos="2607" w:val="left"/>
        </w:tabs>
        <w:numPr>
          <w:ilvl w:val="1"/>
          <w:numId w:val="53"/>
        </w:numPr>
        <w:rPr>
          <w:rFonts w:ascii="Arial" w:cs="Arial" w:eastAsia="Arial" w:hAnsi="Arial"/>
          <w:sz w:val="18"/>
          <w:szCs w:val="18"/>
          <w:color w:val="auto"/>
        </w:rPr>
      </w:pPr>
      <w:r>
        <w:rPr>
          <w:rFonts w:ascii="Arial" w:cs="Arial" w:eastAsia="Arial" w:hAnsi="Arial"/>
          <w:sz w:val="18"/>
          <w:szCs w:val="18"/>
          <w:color w:val="auto"/>
        </w:rPr>
        <w:t>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80" w:firstLine="653"/>
        <w:spacing w:after="0" w:line="264" w:lineRule="auto"/>
        <w:tabs>
          <w:tab w:leader="none" w:pos="26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British Columbia is required for the offering, issuance and sale by the Partnership of the Units.</w:t>
      </w:r>
    </w:p>
    <w:p>
      <w:pPr>
        <w:spacing w:after="0" w:line="181" w:lineRule="exact"/>
        <w:rPr>
          <w:rFonts w:ascii="Arial" w:cs="Arial" w:eastAsia="Arial" w:hAnsi="Arial"/>
          <w:sz w:val="18"/>
          <w:szCs w:val="18"/>
          <w:color w:val="auto"/>
        </w:rPr>
      </w:pPr>
    </w:p>
    <w:p>
      <w:pPr>
        <w:ind w:left="1280" w:right="20" w:firstLine="653"/>
        <w:spacing w:after="0" w:line="272" w:lineRule="auto"/>
        <w:tabs>
          <w:tab w:leader="none" w:pos="25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the execution, delivery and performance of this Agreement by the Partnership, the consummation of the transactions contemplated hereby or the execution, delivery and performance of the Amended and Restated Partnership Agreement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177" w:lineRule="exact"/>
        <w:rPr>
          <w:rFonts w:ascii="Arial" w:cs="Arial" w:eastAsia="Arial" w:hAnsi="Arial"/>
          <w:sz w:val="17"/>
          <w:szCs w:val="17"/>
          <w:color w:val="auto"/>
        </w:rPr>
      </w:pPr>
    </w:p>
    <w:p>
      <w:pPr>
        <w:ind w:left="1280" w:right="20" w:firstLine="653"/>
        <w:spacing w:after="0" w:line="255" w:lineRule="auto"/>
        <w:tabs>
          <w:tab w:leader="none" w:pos="25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93" w:lineRule="exact"/>
        <w:rPr>
          <w:sz w:val="20"/>
          <w:szCs w:val="20"/>
          <w:color w:val="auto"/>
        </w:rPr>
      </w:pPr>
    </w:p>
    <w:p>
      <w:pPr>
        <w:ind w:left="1280" w:right="80" w:firstLine="648"/>
        <w:spacing w:after="0" w:line="285"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PAGP GP and the Partnership,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w:t>
      </w:r>
    </w:p>
    <w:p>
      <w:pPr>
        <w:spacing w:after="0" w:line="2" w:lineRule="exact"/>
        <w:rPr>
          <w:sz w:val="20"/>
          <w:szCs w:val="20"/>
          <w:color w:val="auto"/>
        </w:rPr>
      </w:pPr>
    </w:p>
    <w:p>
      <w:pPr>
        <w:ind w:left="1280" w:right="820" w:firstLine="5"/>
        <w:spacing w:after="0" w:line="261" w:lineRule="auto"/>
        <w:tabs>
          <w:tab w:leader="none" w:pos="15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state that they express no opinion with respect to state or local taxes or tax statutes to which any of the limited partners of the Partnership or the Plains Entities may be subject.</w:t>
      </w:r>
    </w:p>
    <w:p>
      <w:pPr>
        <w:spacing w:after="0" w:line="184" w:lineRule="exact"/>
        <w:rPr>
          <w:sz w:val="20"/>
          <w:szCs w:val="20"/>
          <w:color w:val="auto"/>
        </w:rPr>
      </w:pPr>
    </w:p>
    <w:p>
      <w:pPr>
        <w:ind w:left="1280" w:right="60" w:firstLine="648"/>
        <w:spacing w:after="0" w:line="259" w:lineRule="auto"/>
        <w:rPr>
          <w:sz w:val="20"/>
          <w:szCs w:val="20"/>
          <w:color w:val="auto"/>
        </w:rPr>
      </w:pPr>
      <w:r>
        <w:rPr>
          <w:rFonts w:ascii="Arial" w:cs="Arial" w:eastAsia="Arial" w:hAnsi="Arial"/>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no other use or distribution of such opinion letter may be made without such counsel’s prior written consent.</w:t>
      </w:r>
    </w:p>
    <w:p>
      <w:pPr>
        <w:spacing w:after="0" w:line="225" w:lineRule="exact"/>
        <w:rPr>
          <w:sz w:val="20"/>
          <w:szCs w:val="20"/>
          <w:color w:val="auto"/>
        </w:rPr>
      </w:pPr>
    </w:p>
    <w:p>
      <w:pPr>
        <w:ind w:left="-20" w:firstLine="1305"/>
        <w:spacing w:after="0" w:line="312" w:lineRule="auto"/>
        <w:tabs>
          <w:tab w:leader="none" w:pos="192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Representatives shall have received on the Delivery Date an opinion of Baker Botts L.L.P., counsel for the Underwriters, dated the Delivery Date and addressed to the Underwriters, with respect to the offering, issuance and sale of the Units, the Registration Statement, the Pricing Disclosure Package, the Prospectus (together with any amendment or supplement thereto) and other related matters the Underwriters may reasonably require.</w:t>
      </w:r>
    </w:p>
    <w:p>
      <w:pPr>
        <w:sectPr>
          <w:pgSz w:w="11900" w:h="16838" w:orient="portrait"/>
          <w:cols w:equalWidth="0" w:num="1">
            <w:col w:w="11400"/>
          </w:cols>
          <w:pgMar w:left="260" w:top="341" w:right="239" w:bottom="0" w:gutter="0" w:footer="0" w:header="0"/>
        </w:sectPr>
      </w:pPr>
    </w:p>
    <w:bookmarkStart w:id="18" w:name="page19"/>
    <w:bookmarkEnd w:id="18"/>
    <w:p>
      <w:pPr>
        <w:spacing w:after="0" w:line="96" w:lineRule="exact"/>
        <w:rPr>
          <w:sz w:val="20"/>
          <w:szCs w:val="20"/>
          <w:color w:val="auto"/>
        </w:rPr>
      </w:pPr>
    </w:p>
    <w:p>
      <w:pPr>
        <w:ind w:right="20" w:firstLine="1305"/>
        <w:spacing w:after="0" w:line="255" w:lineRule="auto"/>
        <w:tabs>
          <w:tab w:leader="none" w:pos="19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three days prior to the date of such letter.</w:t>
      </w:r>
    </w:p>
    <w:p>
      <w:pPr>
        <w:spacing w:after="0" w:line="193" w:lineRule="exact"/>
        <w:rPr>
          <w:rFonts w:ascii="Arial" w:cs="Arial" w:eastAsia="Arial" w:hAnsi="Arial"/>
          <w:sz w:val="18"/>
          <w:szCs w:val="18"/>
          <w:color w:val="auto"/>
        </w:rPr>
      </w:pPr>
    </w:p>
    <w:p>
      <w:pPr>
        <w:jc w:val="both"/>
        <w:ind w:right="40" w:firstLine="1305"/>
        <w:spacing w:after="0" w:line="264" w:lineRule="auto"/>
        <w:tabs>
          <w:tab w:leader="none" w:pos="19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On the Delivery Date, the Representatives shall have received from PricewaterhouseCoopers LLP a letter, dated as of the Delivery Date, to the effect that it reaffirms the statements made in the letter furnished pursuant to paragraph (g)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except that the date referred to in the proviso in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hereof shall be a date not more than three business days prior to the Delivery Date.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ind w:left="1300" w:firstLine="653"/>
        <w:spacing w:after="0" w:line="257" w:lineRule="auto"/>
        <w:tabs>
          <w:tab w:leader="none" w:pos="26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188" w:lineRule="exact"/>
        <w:rPr>
          <w:rFonts w:ascii="Arial" w:cs="Arial" w:eastAsia="Arial" w:hAnsi="Arial"/>
          <w:sz w:val="18"/>
          <w:szCs w:val="18"/>
          <w:color w:val="auto"/>
        </w:rPr>
      </w:pPr>
    </w:p>
    <w:p>
      <w:pPr>
        <w:ind w:left="1300" w:right="40" w:firstLine="653"/>
        <w:spacing w:after="0" w:line="277" w:lineRule="auto"/>
        <w:tabs>
          <w:tab w:leader="none" w:pos="26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the Registration Statement, as of the Effective Date, (B) the Prospectus, as of its date and on the Delivery Date, and</w:t>
      </w:r>
    </w:p>
    <w:p>
      <w:pPr>
        <w:spacing w:after="0" w:line="46" w:lineRule="exact"/>
        <w:rPr>
          <w:rFonts w:ascii="Arial" w:cs="Arial" w:eastAsia="Arial" w:hAnsi="Arial"/>
          <w:sz w:val="16"/>
          <w:szCs w:val="16"/>
          <w:color w:val="auto"/>
        </w:rPr>
      </w:pPr>
    </w:p>
    <w:p>
      <w:pPr>
        <w:ind w:left="1300" w:right="80" w:firstLine="5"/>
        <w:spacing w:after="0" w:line="277" w:lineRule="auto"/>
        <w:tabs>
          <w:tab w:leader="none" w:pos="15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73" w:lineRule="exact"/>
        <w:rPr>
          <w:sz w:val="20"/>
          <w:szCs w:val="20"/>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the Closing Date, the General Partner shall have executed the Amended and Restated Partnership Agreement.</w:t>
      </w:r>
    </w:p>
    <w:p>
      <w:pPr>
        <w:spacing w:after="0" w:line="225" w:lineRule="exact"/>
        <w:rPr>
          <w:rFonts w:ascii="Arial" w:cs="Arial" w:eastAsia="Arial" w:hAnsi="Arial"/>
          <w:sz w:val="18"/>
          <w:szCs w:val="18"/>
          <w:color w:val="auto"/>
        </w:rPr>
      </w:pPr>
    </w:p>
    <w:p>
      <w:pPr>
        <w:ind w:right="760" w:firstLine="1305"/>
        <w:spacing w:after="0" w:line="277" w:lineRule="auto"/>
        <w:tabs>
          <w:tab w:leader="none" w:pos="19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signed by the Chief Financial Officer of the General Partner.</w:t>
      </w:r>
    </w:p>
    <w:p>
      <w:pPr>
        <w:spacing w:after="0" w:line="166" w:lineRule="exact"/>
        <w:rPr>
          <w:rFonts w:ascii="Arial" w:cs="Arial" w:eastAsia="Arial" w:hAnsi="Arial"/>
          <w:sz w:val="18"/>
          <w:szCs w:val="18"/>
          <w:color w:val="auto"/>
        </w:rPr>
      </w:pPr>
    </w:p>
    <w:p>
      <w:pPr>
        <w:ind w:right="40" w:firstLine="1305"/>
        <w:spacing w:after="0" w:line="273" w:lineRule="auto"/>
        <w:tabs>
          <w:tab w:leader="none" w:pos="1966"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 the Delivery Date, the Units shall be rated at least “Ba3” by Moody’s Investors Service, Inc. (“</w:t>
      </w:r>
      <w:r>
        <w:rPr>
          <w:rFonts w:ascii="Arial" w:cs="Arial" w:eastAsia="Arial" w:hAnsi="Arial"/>
          <w:sz w:val="17"/>
          <w:szCs w:val="17"/>
          <w:b w:val="1"/>
          <w:bCs w:val="1"/>
          <w:color w:val="auto"/>
        </w:rPr>
        <w:t>Moody’s</w:t>
      </w:r>
      <w:r>
        <w:rPr>
          <w:rFonts w:ascii="Arial" w:cs="Arial" w:eastAsia="Arial" w:hAnsi="Arial"/>
          <w:sz w:val="17"/>
          <w:szCs w:val="17"/>
          <w:color w:val="auto"/>
        </w:rPr>
        <w:t>”), “BB” by S&amp;P Global Ratings, a division of S&amp;P Global, Inc. (“</w:t>
      </w:r>
      <w:r>
        <w:rPr>
          <w:rFonts w:ascii="Arial" w:cs="Arial" w:eastAsia="Arial" w:hAnsi="Arial"/>
          <w:sz w:val="17"/>
          <w:szCs w:val="17"/>
          <w:b w:val="1"/>
          <w:bCs w:val="1"/>
          <w:color w:val="auto"/>
        </w:rPr>
        <w:t>S&amp;P</w:t>
      </w:r>
      <w:r>
        <w:rPr>
          <w:rFonts w:ascii="Arial" w:cs="Arial" w:eastAsia="Arial" w:hAnsi="Arial"/>
          <w:sz w:val="17"/>
          <w:szCs w:val="17"/>
          <w:color w:val="auto"/>
        </w:rPr>
        <w:t>”), and “BB” by Fitch Ratings, Inc. (“</w:t>
      </w:r>
      <w:r>
        <w:rPr>
          <w:rFonts w:ascii="Arial" w:cs="Arial" w:eastAsia="Arial" w:hAnsi="Arial"/>
          <w:sz w:val="17"/>
          <w:szCs w:val="17"/>
          <w:b w:val="1"/>
          <w:bCs w:val="1"/>
          <w:color w:val="auto"/>
        </w:rPr>
        <w:t>Fitch</w:t>
      </w:r>
      <w:r>
        <w:rPr>
          <w:rFonts w:ascii="Arial" w:cs="Arial" w:eastAsia="Arial" w:hAnsi="Arial"/>
          <w:sz w:val="17"/>
          <w:szCs w:val="17"/>
          <w:color w:val="auto"/>
        </w:rPr>
        <w:t>”), and the Partnership shall have delivered to the Underwriters a letter dated near the Delivery Date, from each such rating agency, or other evidence satisfactory to the Underwriters, confirming that the Units have such ratings; and since the date of this Agreement, there shall not have occurred a downgrading in the ratings assigned to (i) the Units below “Ba3” by Moody’s, “BB” by S&amp;P and “BB” by Fitch or (ii) the Partnership’s debt securities by any “nationally recognized statistical rating agency,” as that term is defined in Section 3(a)(62) under the Exchange Act, and no such organization shall have publicly announced that it has under surveillance or review, with possible negative implications, its ratings of the Units or the Partnership’s debt securities.</w:t>
      </w:r>
    </w:p>
    <w:p>
      <w:pPr>
        <w:spacing w:after="0" w:line="176" w:lineRule="exact"/>
        <w:rPr>
          <w:sz w:val="20"/>
          <w:szCs w:val="20"/>
          <w:color w:val="auto"/>
        </w:rPr>
      </w:pPr>
    </w:p>
    <w:p>
      <w:pPr>
        <w:jc w:val="both"/>
        <w:ind w:right="280" w:firstLine="1297"/>
        <w:spacing w:after="0" w:line="312" w:lineRule="auto"/>
        <w:rPr>
          <w:sz w:val="20"/>
          <w:szCs w:val="20"/>
          <w:color w:val="auto"/>
        </w:rPr>
      </w:pPr>
      <w:r>
        <w:rPr>
          <w:rFonts w:ascii="Arial" w:cs="Arial" w:eastAsia="Arial" w:hAnsi="Arial"/>
          <w:sz w:val="16"/>
          <w:szCs w:val="16"/>
          <w:color w:val="auto"/>
        </w:rPr>
        <w:t xml:space="preserve">All such opinions, certificates, letters and other documents referred to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will be in compliance with the provisions hereof only if they are reasonably satisfactory in form and substance to the Representatives and counsel for the Underwriters. The Partnership shall furnish to the Underwriters conformed copies of such opinions, certificates, letters and other documents in such number as they shall reasonably request.</w:t>
      </w:r>
    </w:p>
    <w:p>
      <w:pPr>
        <w:spacing w:after="0" w:line="147"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Partnership in writing or by telephone or facsimile confirmed in writing.</w:t>
      </w:r>
    </w:p>
    <w:p>
      <w:pPr>
        <w:spacing w:after="0" w:line="188" w:lineRule="exact"/>
        <w:rPr>
          <w:sz w:val="20"/>
          <w:szCs w:val="20"/>
          <w:color w:val="auto"/>
        </w:rPr>
      </w:pPr>
    </w:p>
    <w:p>
      <w:pPr>
        <w:ind w:right="100" w:firstLine="1305"/>
        <w:spacing w:after="0" w:line="259" w:lineRule="auto"/>
        <w:tabs>
          <w:tab w:leader="none" w:pos="19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Partnership agrees to pay the following costs and expenses and all other costs and expenses incident to the performance by it of its obligations hereunder: (a) the preparation, printing or reproduction, and filing with the Commission of the Registration Statement (including financial statements and exhibits thereto), any Preliminary Prospectus, the Prospectus, any Issuer Free Writing Prospectus and each amendment or supplement to any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them; (b)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(c) the preparation, printing, authentication, issuance and delivery of certificates for the Units, including any stamp taxes in connection with the original issuance and sale of the Units;</w:t>
      </w:r>
    </w:p>
    <w:p>
      <w:pPr>
        <w:spacing w:after="0" w:line="2" w:lineRule="exact"/>
        <w:rPr>
          <w:sz w:val="20"/>
          <w:szCs w:val="20"/>
          <w:color w:val="auto"/>
        </w:rPr>
      </w:pPr>
    </w:p>
    <w:p>
      <w:pPr>
        <w:ind w:right="80" w:firstLine="8"/>
        <w:spacing w:after="0" w:line="290" w:lineRule="auto"/>
        <w:tabs>
          <w:tab w:leader="none" w:pos="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printing (or reproduction) and delivery of this Agreement, the preliminary and supplemental Blue Sky Memoranda, and all other agreements or documents printed (or reproduced) and delivered in connection with the offering of the Units; (e) the registration of the Units under the Exchange Act; (f) the registration or qualification of the Units for offer and sale under the securities or Blue Sky laws of the several states as provided in </w:t>
      </w:r>
      <w:r>
        <w:rPr>
          <w:rFonts w:ascii="Arial" w:cs="Arial" w:eastAsia="Arial" w:hAnsi="Arial"/>
          <w:sz w:val="16"/>
          <w:szCs w:val="16"/>
          <w:u w:val="single" w:color="auto"/>
          <w:color w:val="auto"/>
        </w:rPr>
        <w:t>Section 5(f)</w:t>
      </w:r>
      <w:r>
        <w:rPr>
          <w:rFonts w:ascii="Arial" w:cs="Arial" w:eastAsia="Arial" w:hAnsi="Arial"/>
          <w:sz w:val="16"/>
          <w:szCs w:val="16"/>
          <w:color w:val="auto"/>
        </w:rPr>
        <w:t xml:space="preserve"> hereof (including the reasonable fees, expenses and disbursements of counsel for the Underwriters relating to the preparation, printing or reproduction, and delivery of the preliminary and supplemental Blue Sky Memoranda and such registration and qualification); (g) any filing fees in connection with any filings required to be made with FINRA; (viii) the transportation and other expenses incurred by or on behalf of officers and employees of GP LLC, PAGP GP or the</w:t>
      </w:r>
    </w:p>
    <w:p>
      <w:pPr>
        <w:sectPr>
          <w:pgSz w:w="11900" w:h="16935" w:orient="portrait"/>
          <w:cols w:equalWidth="0" w:num="1">
            <w:col w:w="11420"/>
          </w:cols>
          <w:pgMar w:left="240" w:top="125" w:right="239" w:bottom="0" w:gutter="0" w:footer="0" w:header="0"/>
        </w:sectPr>
      </w:pPr>
    </w:p>
    <w:bookmarkStart w:id="19" w:name="page20"/>
    <w:bookmarkEnd w:id="19"/>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Partnership in connection with presentations to prospective purchasers of the Units; and (ix) the fees and expenses of the Partnership’s accountants and the fees and expenses of counsel (including local and special counsel) for the Partnership.</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It is understood, however, that except as otherwise provided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w:t>
      </w:r>
    </w:p>
    <w:p>
      <w:pPr>
        <w:spacing w:after="0" w:line="187" w:lineRule="exact"/>
        <w:rPr>
          <w:sz w:val="20"/>
          <w:szCs w:val="20"/>
          <w:color w:val="auto"/>
        </w:rPr>
      </w:pPr>
    </w:p>
    <w:p>
      <w:pPr>
        <w:ind w:right="40" w:firstLine="1305"/>
        <w:spacing w:after="0" w:line="287" w:lineRule="auto"/>
        <w:tabs>
          <w:tab w:leader="none" w:pos="194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If any one or more of the Underwriters shall fail or refuse to purchase Units that it or they are obligated to purchase hereunder on the Delivery Date, and the aggregate number of Units that such defaulting Underwriter or Underwriters are obligated but fail or refuse to purchase is not more than one-tenth of the aggregate number of the Units that the Underwriters are obligated to purchase on the Delivery Date, each non-defaulting Underwriter shall be obligated, severally, in the proportion that the number of Units set forth opposite its name in Schedule I hereto bears to the aggregate number of Units set forth opposite the names of all non-defaulting Underwriters or in such other proportion as the Representatives may specify in accordance with the Agreement Among Underwriters of J.P. Morgan Securities LLC to purchase the Units that such defaulting Underwriter or Underwriters are obligated, but fail or refuse, to purchase. If any one or more of the Underwriters shall fail or refuse to purchase Units that it or they are obligated to purchase on the Delivery Date and the aggregate number of Units with respect to which such default occurs is more than one-tenth of the aggregate number of Units that the Underwriters are obligated to purchase on the Delivery Date and arrangements satisfactory to the Representatives and the Partnership for the purchase of such Units by one or more non-defaulting Underwriters or other party or parties approved by the Representatives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or the Partnership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Representatives’ approval and the approval of the Partnership, purchases Units that a defaulting Underwriter is obligated, but fails or refuses, to purchase.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Any notice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may be given by telegram, telecopy or telephone but shall be subsequently confirmed by letter.</w:t>
      </w:r>
    </w:p>
    <w:p>
      <w:pPr>
        <w:spacing w:after="0" w:line="225" w:lineRule="exact"/>
        <w:rPr>
          <w:sz w:val="20"/>
          <w:szCs w:val="20"/>
          <w:color w:val="auto"/>
        </w:rPr>
      </w:pPr>
    </w:p>
    <w:p>
      <w:pPr>
        <w:ind w:right="60" w:firstLine="1305"/>
        <w:spacing w:after="0" w:line="288" w:lineRule="auto"/>
        <w:tabs>
          <w:tab w:leader="none" w:pos="19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shall be subject to termination in the Representatives’ absolute discretion, without liability on the part of any Underwriter to the Partnership, by notice to the Partnership, if prior to the Delivery Date (a) trading in the Common Units shall have been suspended by the Commission or the NYSE; (b) trading in securities generally on the New York Stock Exchange, the NYSE MKT LLC or the Nasdaq National Market shall have been suspended or limited or minimum prices shall have been established; (c) a banking moratorium shall have been declared either by federal or New York or Texas state authorities or a material disruption in commercial banking or securities settlement or clearance services in the United States shall have occurred; or (d)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w:t>
      </w:r>
    </w:p>
    <w:p>
      <w:pPr>
        <w:spacing w:after="0" w:line="169" w:lineRule="exact"/>
        <w:rPr>
          <w:rFonts w:ascii="Arial" w:cs="Arial" w:eastAsia="Arial" w:hAnsi="Arial"/>
          <w:sz w:val="16"/>
          <w:szCs w:val="16"/>
          <w:color w:val="auto"/>
        </w:rPr>
      </w:pPr>
    </w:p>
    <w:p>
      <w:pPr>
        <w:ind w:right="100" w:firstLine="1305"/>
        <w:spacing w:after="0" w:line="291" w:lineRule="auto"/>
        <w:tabs>
          <w:tab w:leader="none" w:pos="193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Notice; Successors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hereof, all communications hereunder will be in writing and effective only on receipt, and, if sent to the Underwriters, will be mailed, delivered or telefaxed to the Representatives c/o J.P. Morgan Securities LLC, 383 Madison Avenue, New York, New York 10179 (fax: (212) 834-6081), Attention: Investment Grade Syndicate Desk; Merrill Lynch, Pierce, Fenner &amp; Smith Incorporated, 50 Rockefeller Plaza, NY1-050-12-01, New York, New York 10020, Facsimile: (646) 855-5958, Attention: High Grade Transaction Management/Legal; Morgan Stanley &amp; Co. LLC, 180 Varick Street, 2nd Floor, New York, New York 10014, Attention: Prospectus Department; and Wells Fargo Securities, LLC, 608 2nd Avenue South, Suite 1000, Minneapolis, MN 55402, Attention: WFS Customer Service; or, if sent to the Partnership, will be mailed, delivered or telefaxed to (713) 646-4313 and confirmed to it at 333 Clay St., Suite 1600, Houston, Texas 77002, Attention: General Counsel.</w:t>
      </w:r>
    </w:p>
    <w:p>
      <w:pPr>
        <w:spacing w:after="0" w:line="167"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 xml:space="preserve">This Agreement has been and is made solely for the benefit of the several Underwriters and their directors, officers, employees, agents and other controlling persons referred to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the Partnership and PAGP GP’s directors and officers who sign the Registration Statement, and other controlling persons referred to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Units in his status as such purchaser.</w:t>
      </w:r>
    </w:p>
    <w:p>
      <w:pPr>
        <w:spacing w:after="0" w:line="181" w:lineRule="exact"/>
        <w:rPr>
          <w:sz w:val="20"/>
          <w:szCs w:val="20"/>
          <w:color w:val="auto"/>
        </w:rPr>
      </w:pPr>
    </w:p>
    <w:p>
      <w:pPr>
        <w:ind w:right="20" w:firstLine="1305"/>
        <w:spacing w:after="0" w:line="302" w:lineRule="auto"/>
        <w:tabs>
          <w:tab w:leader="none" w:pos="194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Underwriters</w:t>
      </w:r>
      <w:r>
        <w:rPr>
          <w:rFonts w:ascii="Arial" w:cs="Arial" w:eastAsia="Arial" w:hAnsi="Arial"/>
          <w:sz w:val="16"/>
          <w:szCs w:val="16"/>
          <w:color w:val="auto"/>
        </w:rPr>
        <w:t xml:space="preserve">. The Partnership acknowledges that the following statements set forth in the most recent Preliminary Prospectus and the Prospectus constitute the only information furnished by or on behalf of the Underwriters through the Representatives as such information is referred to in </w:t>
      </w:r>
      <w:r>
        <w:rPr>
          <w:rFonts w:ascii="Arial" w:cs="Arial" w:eastAsia="Arial" w:hAnsi="Arial"/>
          <w:sz w:val="16"/>
          <w:szCs w:val="16"/>
          <w:u w:val="single" w:color="auto"/>
          <w:color w:val="auto"/>
        </w:rPr>
        <w:t>Sections 1(c)</w:t>
      </w:r>
      <w:r>
        <w:rPr>
          <w:rFonts w:ascii="Arial" w:cs="Arial" w:eastAsia="Arial" w:hAnsi="Arial"/>
          <w:sz w:val="16"/>
          <w:szCs w:val="16"/>
          <w:color w:val="auto"/>
        </w:rPr>
        <w:t xml:space="preserve">, </w:t>
      </w:r>
      <w:r>
        <w:rPr>
          <w:rFonts w:ascii="Arial" w:cs="Arial" w:eastAsia="Arial" w:hAnsi="Arial"/>
          <w:sz w:val="16"/>
          <w:szCs w:val="16"/>
          <w:u w:val="single" w:color="auto"/>
          <w:color w:val="auto"/>
        </w:rPr>
        <w:t>1(d)</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w:t>
      </w:r>
      <w:r>
        <w:rPr>
          <w:rFonts w:ascii="Arial" w:cs="Arial" w:eastAsia="Arial" w:hAnsi="Arial"/>
          <w:sz w:val="16"/>
          <w:szCs w:val="16"/>
          <w:u w:val="single" w:color="auto"/>
          <w:color w:val="auto"/>
        </w:rPr>
        <w:t>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5(q)</w:t>
      </w:r>
      <w:r>
        <w:rPr>
          <w:rFonts w:ascii="Arial" w:cs="Arial" w:eastAsia="Arial" w:hAnsi="Arial"/>
          <w:sz w:val="16"/>
          <w:szCs w:val="16"/>
          <w:color w:val="auto"/>
        </w:rPr>
        <w:t xml:space="preserve">,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hereof: (a) the names of the Underwriters, (b) the table under the first paragraph under the heading “Underwriting” and (c) the third, ninth, tenth and eleventh paragraphs under the heading “Underwriting.”</w:t>
      </w:r>
    </w:p>
    <w:p>
      <w:pPr>
        <w:spacing w:after="0" w:line="154" w:lineRule="exact"/>
        <w:rPr>
          <w:rFonts w:ascii="Arial" w:cs="Arial" w:eastAsia="Arial" w:hAnsi="Arial"/>
          <w:sz w:val="16"/>
          <w:szCs w:val="16"/>
          <w:color w:val="auto"/>
        </w:rPr>
      </w:pPr>
    </w:p>
    <w:p>
      <w:pPr>
        <w:ind w:right="40" w:firstLine="1305"/>
        <w:spacing w:after="0" w:line="291" w:lineRule="auto"/>
        <w:tabs>
          <w:tab w:leader="none" w:pos="194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 banking divisions. The Partnership acknowledges that each of the Underwriters is</w:t>
      </w:r>
    </w:p>
    <w:p>
      <w:pPr>
        <w:sectPr>
          <w:pgSz w:w="11900" w:h="16932" w:orient="portrait"/>
          <w:cols w:equalWidth="0" w:num="1">
            <w:col w:w="11420"/>
          </w:cols>
          <w:pgMar w:left="240" w:top="125" w:right="239" w:bottom="0" w:gutter="0" w:footer="0" w:header="0"/>
        </w:sectPr>
      </w:pPr>
    </w:p>
    <w:bookmarkStart w:id="20" w:name="page21"/>
    <w:bookmarkEnd w:id="20"/>
    <w:p>
      <w:pPr>
        <w:ind w:right="100"/>
        <w:spacing w:after="0" w:line="264" w:lineRule="auto"/>
        <w:rPr>
          <w:sz w:val="20"/>
          <w:szCs w:val="20"/>
          <w:color w:val="auto"/>
        </w:rPr>
      </w:pPr>
      <w:r>
        <w:rPr>
          <w:rFonts w:ascii="Arial" w:cs="Arial" w:eastAsia="Arial" w:hAnsi="Arial"/>
          <w:sz w:val="18"/>
          <w:szCs w:val="18"/>
          <w:color w:val="auto"/>
        </w:rPr>
        <w:t>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1" w:lineRule="exact"/>
        <w:rPr>
          <w:sz w:val="20"/>
          <w:szCs w:val="20"/>
          <w:color w:val="auto"/>
        </w:rPr>
      </w:pPr>
    </w:p>
    <w:p>
      <w:pPr>
        <w:ind w:right="40" w:firstLine="1305"/>
        <w:spacing w:after="0" w:line="277" w:lineRule="auto"/>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Partnership and the Underwriters, or any of them, with respect to the subject matter hereof.</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Effective Date of Agreement</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rFonts w:ascii="Arial" w:cs="Arial" w:eastAsia="Arial" w:hAnsi="Arial"/>
          <w:sz w:val="16"/>
          <w:szCs w:val="16"/>
          <w:color w:val="auto"/>
        </w:rPr>
      </w:pPr>
    </w:p>
    <w:p>
      <w:pPr>
        <w:ind w:right="180" w:firstLine="1305"/>
        <w:spacing w:after="0" w:line="257" w:lineRule="auto"/>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Partnership acknowledges and agrees that in connection with this offering and sale of the Units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and any other person, on the one hand, and the Underwriters, on the other hand, exists; (ii) the Underwriters are not acting as advisors, expert or otherwise, to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including, without limitation, with respect to the determination of the public offering price of the Units, and such relationship between the Partnership, on the one hand, and the Underwriters, on the other, is entirely and solely commercial, based on arms-length negotiations; (iii) any duties and obligations that the Underwriters may have to the Partnership shall be limited to those duties and obligations specifically stated herein; and (iv) the Underwriters and their respective affiliates may have interests that differ from those of the Partnership. The Partnership hereby waives any claims that it may have against the Underwriters with respect to any breach of fiduciary duty in connection with this offering.</w:t>
      </w:r>
    </w:p>
    <w:p>
      <w:pPr>
        <w:spacing w:after="0" w:line="173" w:lineRule="exact"/>
        <w:rPr>
          <w:sz w:val="20"/>
          <w:szCs w:val="20"/>
          <w:color w:val="auto"/>
        </w:rPr>
      </w:pPr>
    </w:p>
    <w:p>
      <w:pPr>
        <w:ind w:right="240" w:firstLine="1305"/>
        <w:spacing w:after="0" w:line="259" w:lineRule="auto"/>
        <w:tabs>
          <w:tab w:leader="none" w:pos="19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confirm that the foregoing correctly sets forth the agreement among the Partnership and the Underwriters.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PAA GP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its General Partner</w:t>
      </w:r>
    </w:p>
    <w:p>
      <w:pPr>
        <w:spacing w:after="0" w:line="200" w:lineRule="exact"/>
        <w:rPr>
          <w:sz w:val="20"/>
          <w:szCs w:val="20"/>
          <w:color w:val="auto"/>
        </w:rPr>
      </w:pPr>
    </w:p>
    <w:p>
      <w:pPr>
        <w:sectPr>
          <w:pgSz w:w="11900" w:h="16838" w:orient="portrait"/>
          <w:cols w:equalWidth="0" w:num="2">
            <w:col w:w="5980" w:space="380"/>
            <w:col w:w="5060"/>
          </w:cols>
          <w:pgMar w:left="240" w:top="125" w:right="239" w:bottom="0" w:gutter="0" w:footer="0" w:header="0"/>
          <w:type w:val="continuous"/>
        </w:sectPr>
      </w:pP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PLAINS AAP,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980" w:space="380"/>
            <w:col w:w="5060"/>
          </w:cols>
          <w:pgMar w:left="240" w:top="125" w:right="239" w:bottom="0" w:gutter="0" w:footer="0" w:header="0"/>
          <w:type w:val="continuous"/>
        </w:sectPr>
      </w:pPr>
    </w:p>
    <w:p>
      <w:pPr>
        <w:spacing w:after="0" w:line="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2320"/>
        <w:spacing w:after="0" w:line="277" w:lineRule="auto"/>
        <w:rPr>
          <w:sz w:val="20"/>
          <w:szCs w:val="20"/>
          <w:color w:val="auto"/>
        </w:rPr>
      </w:pPr>
      <w:r>
        <w:rPr>
          <w:rFonts w:ascii="Arial" w:cs="Arial" w:eastAsia="Arial" w:hAnsi="Arial"/>
          <w:sz w:val="18"/>
          <w:szCs w:val="18"/>
          <w:color w:val="auto"/>
        </w:rPr>
        <w:t>PLAINS ALL AMERICAN GP LLC, its General Partner</w:t>
      </w:r>
    </w:p>
    <w:p>
      <w:pPr>
        <w:spacing w:after="0" w:line="200" w:lineRule="exact"/>
        <w:rPr>
          <w:sz w:val="20"/>
          <w:szCs w:val="20"/>
          <w:color w:val="auto"/>
        </w:rPr>
      </w:pPr>
    </w:p>
    <w:p>
      <w:pPr>
        <w:sectPr>
          <w:pgSz w:w="11900" w:h="16838" w:orient="portrait"/>
          <w:cols w:equalWidth="0" w:num="2">
            <w:col w:w="5980" w:space="380"/>
            <w:col w:w="5060"/>
          </w:cols>
          <w:pgMar w:left="240" w:top="125" w:right="239" w:bottom="0" w:gutter="0" w:footer="0" w:header="0"/>
          <w:type w:val="continuous"/>
        </w:sectPr>
      </w:pPr>
    </w:p>
    <w:p>
      <w:pPr>
        <w:spacing w:after="0" w:line="187" w:lineRule="exact"/>
        <w:rPr>
          <w:sz w:val="20"/>
          <w:szCs w:val="20"/>
          <w:color w:val="auto"/>
        </w:rPr>
      </w:pPr>
    </w:p>
    <w:p>
      <w:pPr>
        <w:ind w:left="636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Spurlin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-130810</wp:posOffset>
            </wp:positionV>
            <wp:extent cx="28644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PAA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by the Underwriters as of the date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260"/>
              <w:spacing w:after="0"/>
              <w:rPr>
                <w:sz w:val="20"/>
                <w:szCs w:val="20"/>
                <w:color w:val="auto"/>
              </w:rPr>
            </w:pPr>
            <w:r>
              <w:rPr>
                <w:rFonts w:ascii="Arial" w:cs="Arial" w:eastAsia="Arial" w:hAnsi="Arial"/>
                <w:sz w:val="18"/>
                <w:szCs w:val="18"/>
                <w:color w:val="auto"/>
              </w:rPr>
              <w:t>J.P. Morgan Securities LLC</w:t>
            </w:r>
          </w:p>
        </w:tc>
        <w:tc>
          <w:tcPr>
            <w:tcW w:w="840" w:type="dxa"/>
            <w:vAlign w:val="bottom"/>
          </w:tcPr>
          <w:p>
            <w:pPr>
              <w:ind w:left="4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Merrill Lynch, Pierce, Fenner &amp; Smith Incorporated</w:t>
            </w:r>
          </w:p>
        </w:tc>
      </w:tr>
      <w:tr>
        <w:trPr>
          <w:trHeight w:val="648"/>
        </w:trPr>
        <w:tc>
          <w:tcPr>
            <w:tcW w:w="5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Som Bhattacharyya</w:t>
            </w:r>
          </w:p>
        </w:tc>
        <w:tc>
          <w:tcPr>
            <w:tcW w:w="84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Wehler</w:t>
            </w:r>
          </w:p>
        </w:tc>
      </w:tr>
      <w:tr>
        <w:trPr>
          <w:trHeight w:val="195"/>
        </w:trPr>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Name: Som Bhattacharyya</w:t>
            </w: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Name: Kevin Wehler</w:t>
            </w:r>
          </w:p>
        </w:tc>
      </w:tr>
      <w:tr>
        <w:trPr>
          <w:trHeight w:val="230"/>
        </w:trPr>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Executive Director</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260"/>
              <w:spacing w:after="0"/>
              <w:rPr>
                <w:sz w:val="20"/>
                <w:szCs w:val="20"/>
                <w:color w:val="auto"/>
              </w:rPr>
            </w:pPr>
            <w:r>
              <w:rPr>
                <w:rFonts w:ascii="Arial" w:cs="Arial" w:eastAsia="Arial" w:hAnsi="Arial"/>
                <w:sz w:val="18"/>
                <w:szCs w:val="18"/>
                <w:color w:val="auto"/>
              </w:rPr>
              <w:t>Morgan Stanley &amp; Co. LLC</w:t>
            </w:r>
          </w:p>
        </w:tc>
        <w:tc>
          <w:tcPr>
            <w:tcW w:w="840" w:type="dxa"/>
            <w:vAlign w:val="bottom"/>
          </w:tcPr>
          <w:p>
            <w:pPr>
              <w:ind w:left="4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Wells Fargo Securities, LLC</w:t>
            </w:r>
          </w:p>
        </w:tc>
      </w:tr>
      <w:tr>
        <w:trPr>
          <w:trHeight w:val="432"/>
        </w:trPr>
        <w:tc>
          <w:tcPr>
            <w:tcW w:w="5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Yurij Slyz</w:t>
            </w:r>
          </w:p>
        </w:tc>
        <w:tc>
          <w:tcPr>
            <w:tcW w:w="84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Taylor</w:t>
            </w:r>
          </w:p>
        </w:tc>
      </w:tr>
    </w:tbl>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1560"/>
              <w:spacing w:after="0"/>
              <w:rPr>
                <w:sz w:val="20"/>
                <w:szCs w:val="20"/>
                <w:color w:val="auto"/>
              </w:rPr>
            </w:pPr>
            <w:r>
              <w:rPr>
                <w:rFonts w:ascii="Arial" w:cs="Arial" w:eastAsia="Arial" w:hAnsi="Arial"/>
                <w:sz w:val="18"/>
                <w:szCs w:val="18"/>
                <w:color w:val="auto"/>
              </w:rPr>
              <w:t>Name: Yurij Slyz</w:t>
            </w:r>
          </w:p>
        </w:tc>
        <w:tc>
          <w:tcPr>
            <w:tcW w:w="7980" w:type="dxa"/>
            <w:vAlign w:val="bottom"/>
          </w:tcPr>
          <w:p>
            <w:pPr>
              <w:ind w:left="3560"/>
              <w:spacing w:after="0"/>
              <w:rPr>
                <w:sz w:val="20"/>
                <w:szCs w:val="20"/>
                <w:color w:val="auto"/>
              </w:rPr>
            </w:pPr>
            <w:r>
              <w:rPr>
                <w:rFonts w:ascii="Arial" w:cs="Arial" w:eastAsia="Arial" w:hAnsi="Arial"/>
                <w:sz w:val="18"/>
                <w:szCs w:val="18"/>
                <w:color w:val="auto"/>
              </w:rPr>
              <w:t>Name: Steve Taylor</w:t>
            </w:r>
          </w:p>
        </w:tc>
      </w:tr>
      <w:tr>
        <w:trPr>
          <w:trHeight w:val="230"/>
        </w:trPr>
        <w:tc>
          <w:tcPr>
            <w:tcW w:w="3480" w:type="dxa"/>
            <w:vAlign w:val="bottom"/>
          </w:tcPr>
          <w:p>
            <w:pPr>
              <w:ind w:left="1560"/>
              <w:spacing w:after="0"/>
              <w:rPr>
                <w:sz w:val="20"/>
                <w:szCs w:val="20"/>
                <w:color w:val="auto"/>
              </w:rPr>
            </w:pPr>
            <w:r>
              <w:rPr>
                <w:rFonts w:ascii="Arial" w:cs="Arial" w:eastAsia="Arial" w:hAnsi="Arial"/>
                <w:sz w:val="18"/>
                <w:szCs w:val="18"/>
                <w:color w:val="auto"/>
                <w:w w:val="99"/>
              </w:rPr>
              <w:t>Title: Executive Director</w:t>
            </w:r>
          </w:p>
        </w:tc>
        <w:tc>
          <w:tcPr>
            <w:tcW w:w="7980" w:type="dxa"/>
            <w:vAlign w:val="bottom"/>
          </w:tcPr>
          <w:p>
            <w:pPr>
              <w:ind w:left="3560"/>
              <w:spacing w:after="0"/>
              <w:rPr>
                <w:sz w:val="20"/>
                <w:szCs w:val="20"/>
                <w:color w:val="auto"/>
              </w:rPr>
            </w:pPr>
            <w:r>
              <w:rPr>
                <w:rFonts w:ascii="Arial" w:cs="Arial" w:eastAsia="Arial" w:hAnsi="Arial"/>
                <w:sz w:val="18"/>
                <w:szCs w:val="18"/>
                <w:color w:val="auto"/>
              </w:rPr>
              <w:t>Title: Managing Director</w:t>
            </w:r>
          </w:p>
        </w:tc>
      </w:tr>
      <w:tr>
        <w:trPr>
          <w:trHeight w:val="432"/>
        </w:trPr>
        <w:tc>
          <w:tcPr>
            <w:tcW w:w="3480" w:type="dxa"/>
            <w:vAlign w:val="bottom"/>
          </w:tcPr>
          <w:p>
            <w:pPr>
              <w:spacing w:after="0"/>
              <w:rPr>
                <w:sz w:val="24"/>
                <w:szCs w:val="24"/>
                <w:color w:val="auto"/>
              </w:rPr>
            </w:pPr>
          </w:p>
        </w:tc>
        <w:tc>
          <w:tcPr>
            <w:tcW w:w="7980" w:type="dxa"/>
            <w:vAlign w:val="bottom"/>
          </w:tcPr>
          <w:p>
            <w:pPr>
              <w:ind w:left="120"/>
              <w:spacing w:after="0"/>
              <w:rPr>
                <w:sz w:val="20"/>
                <w:szCs w:val="20"/>
                <w:color w:val="auto"/>
              </w:rPr>
            </w:pPr>
            <w:r>
              <w:rPr>
                <w:rFonts w:ascii="Arial" w:cs="Arial" w:eastAsia="Arial" w:hAnsi="Arial"/>
                <w:sz w:val="18"/>
                <w:szCs w:val="18"/>
                <w:i w:val="1"/>
                <w:iCs w:val="1"/>
                <w:color w:val="auto"/>
              </w:rPr>
              <w:t>Underwriters’ Signature Page to Underwriting Agreement</w:t>
            </w:r>
          </w:p>
        </w:tc>
      </w:tr>
      <w:tr>
        <w:trPr>
          <w:trHeight w:val="348"/>
        </w:trPr>
        <w:tc>
          <w:tcPr>
            <w:tcW w:w="348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980" w:type="dxa"/>
            <w:vAlign w:val="bottom"/>
            <w:gridSpan w:val="4"/>
          </w:tcPr>
          <w:p>
            <w:pPr>
              <w:jc w:val="center"/>
              <w:ind w:right="444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32"/>
        </w:trPr>
        <w:tc>
          <w:tcPr>
            <w:tcW w:w="4440" w:type="dxa"/>
            <w:vAlign w:val="bottom"/>
          </w:tcPr>
          <w:p>
            <w:pPr>
              <w:spacing w:after="0"/>
              <w:rPr>
                <w:sz w:val="24"/>
                <w:szCs w:val="24"/>
                <w:color w:val="auto"/>
              </w:rPr>
            </w:pPr>
          </w:p>
        </w:tc>
        <w:tc>
          <w:tcPr>
            <w:tcW w:w="6980" w:type="dxa"/>
            <w:vAlign w:val="bottom"/>
            <w:gridSpan w:val="4"/>
          </w:tcPr>
          <w:p>
            <w:pPr>
              <w:jc w:val="center"/>
              <w:ind w:right="4420"/>
              <w:spacing w:after="0"/>
              <w:rPr>
                <w:sz w:val="20"/>
                <w:szCs w:val="20"/>
                <w:color w:val="auto"/>
              </w:rPr>
            </w:pPr>
            <w:r>
              <w:rPr>
                <w:rFonts w:ascii="Arial" w:cs="Arial" w:eastAsia="Arial" w:hAnsi="Arial"/>
                <w:sz w:val="18"/>
                <w:szCs w:val="18"/>
                <w:color w:val="auto"/>
                <w:w w:val="93"/>
              </w:rPr>
              <w:t>Plains All American Pipeline, L.P.</w:t>
            </w:r>
          </w:p>
        </w:tc>
        <w:tc>
          <w:tcPr>
            <w:tcW w:w="0" w:type="dxa"/>
            <w:vAlign w:val="bottom"/>
          </w:tcPr>
          <w:p>
            <w:pPr>
              <w:spacing w:after="0"/>
              <w:rPr>
                <w:sz w:val="1"/>
                <w:szCs w:val="1"/>
                <w:color w:val="auto"/>
              </w:rPr>
            </w:pPr>
          </w:p>
        </w:tc>
      </w:tr>
      <w:tr>
        <w:trPr>
          <w:trHeight w:val="342"/>
        </w:trPr>
        <w:tc>
          <w:tcPr>
            <w:tcW w:w="44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49"/>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5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5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960"/>
              <w:spacing w:after="0"/>
              <w:rPr>
                <w:sz w:val="20"/>
                <w:szCs w:val="20"/>
                <w:color w:val="auto"/>
              </w:rPr>
            </w:pPr>
            <w:r>
              <w:rPr>
                <w:rFonts w:ascii="Arial" w:cs="Arial" w:eastAsia="Arial" w:hAnsi="Arial"/>
                <w:sz w:val="18"/>
                <w:szCs w:val="18"/>
                <w:color w:val="auto"/>
              </w:rPr>
              <w:t>Incorporated</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Mizuho Securities USA Inc.</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Scotia Capital (USA) Inc.</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SunTrust Robinson Humphrey, Inc.</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5"/>
              </w:rPr>
              <w:t>BB&amp;T Capital Markets, a division of BB&amp;T Securities, LLC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Schedule 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Registration No. 333-207139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October 4, 2017</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800,000 6.125% Series B Fixed-to-Floating Rate Cumulative Redeemable Perpetual Preferred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(Liquidation Preference $1,000 per unit)</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The information in this final term sheet supplements the preliminary prospectus supplement of Plains All American Pipeline, L.P., dated October </w:t>
      </w:r>
      <w:r>
        <w:rPr>
          <w:rFonts w:ascii="Arial" w:cs="Arial" w:eastAsia="Arial" w:hAnsi="Arial"/>
          <w:sz w:val="18"/>
          <w:szCs w:val="18"/>
          <w:color w:val="auto"/>
        </w:rPr>
        <w:t>2</w:t>
      </w:r>
      <w:r>
        <w:rPr>
          <w:rFonts w:ascii="Arial" w:cs="Arial" w:eastAsia="Arial" w:hAnsi="Arial"/>
          <w:sz w:val="18"/>
          <w:szCs w:val="18"/>
          <w:i w:val="1"/>
          <w:iCs w:val="1"/>
          <w:color w:val="auto"/>
        </w:rPr>
        <w:t>, 2017 (the “Preliminary Prospectus Supplement”), and supersedes the information in the Preliminary Prospectus Supplement to the extent it is inconsistent with the information in the Preliminary Prospectus Supplement. Terms used but not defined herein have the meanings assigned to such terms in the Preliminary Prospectus Supplement.</w:t>
      </w:r>
    </w:p>
    <w:p>
      <w:pPr>
        <w:sectPr>
          <w:pgSz w:w="11900" w:h="16902" w:orient="portrait"/>
          <w:cols w:equalWidth="0" w:num="1">
            <w:col w:w="11460"/>
          </w:cols>
          <w:pgMar w:left="240" w:top="125" w:right="19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w:t>
      </w:r>
    </w:p>
    <w:p>
      <w:pPr>
        <w:spacing w:after="0" w:line="200"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Security Ratings (Moody’s / S&amp;P / Fitch)*</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[Ratings Intentionally Omitted]</w:t>
      </w:r>
    </w:p>
    <w:p>
      <w:pPr>
        <w:spacing w:after="0" w:line="463" w:lineRule="exact"/>
        <w:rPr>
          <w:sz w:val="20"/>
          <w:szCs w:val="20"/>
          <w:color w:val="auto"/>
        </w:rPr>
      </w:pPr>
    </w:p>
    <w:p>
      <w:pPr>
        <w:sectPr>
          <w:pgSz w:w="11900" w:h="16902" w:orient="portrait"/>
          <w:cols w:equalWidth="0" w:num="2">
            <w:col w:w="2520" w:space="600"/>
            <w:col w:w="834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4, 2017</w:t>
      </w:r>
    </w:p>
    <w:p>
      <w:pPr>
        <w:spacing w:after="0" w:line="200"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October 10, 2017 (T + 3)</w:t>
      </w:r>
    </w:p>
    <w:p>
      <w:pPr>
        <w:spacing w:after="0" w:line="200"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Title of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6.125% Series B Fixed-to-Floating Rate Cumulative Redeemable Perpetual Preferred Units (the “units”).</w:t>
      </w:r>
    </w:p>
    <w:p>
      <w:pPr>
        <w:spacing w:after="0" w:line="200"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Number of Units: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800,000 units.</w:t>
      </w:r>
    </w:p>
    <w:p>
      <w:pPr>
        <w:spacing w:after="0" w:line="211"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$1,000 per unit; $800,000,000 total.</w:t>
      </w:r>
    </w:p>
    <w:p>
      <w:pPr>
        <w:spacing w:after="0" w:line="211"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Net Proceeds: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Approximately $787.8 million (after deducting underwriting discounts and estimated offering expenses).</w:t>
      </w:r>
    </w:p>
    <w:p>
      <w:pPr>
        <w:spacing w:after="0" w:line="200"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Perpetual (unless redeemed on or after November 15, 2022 or in connection with a Ratings Event).</w:t>
      </w:r>
    </w:p>
    <w:p>
      <w:pPr>
        <w:spacing w:after="0" w:line="211" w:lineRule="exact"/>
        <w:rPr>
          <w:sz w:val="20"/>
          <w:szCs w:val="20"/>
          <w:color w:val="auto"/>
        </w:rPr>
      </w:pPr>
    </w:p>
    <w:p>
      <w:pPr>
        <w:sectPr>
          <w:pgSz w:w="11900" w:h="16902" w:orient="portrait"/>
          <w:cols w:equalWidth="0" w:num="2">
            <w:col w:w="2400" w:space="720"/>
            <w:col w:w="834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Liquidation Preference: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$1,000 plus accumulated and unpaid dividends (subject to adjustment for any splits, combinations, or similar adjustment to the units).</w:t>
      </w:r>
    </w:p>
    <w:p>
      <w:pPr>
        <w:sectPr>
          <w:pgSz w:w="11900" w:h="16902" w:orient="portrait"/>
          <w:cols w:equalWidth="0" w:num="2">
            <w:col w:w="2400" w:space="720"/>
            <w:col w:w="8340"/>
          </w:cols>
          <w:pgMar w:left="240" w:top="125" w:right="199" w:bottom="0" w:gutter="0" w:footer="0" w:header="0"/>
          <w:type w:val="continuous"/>
        </w:sectPr>
      </w:pPr>
    </w:p>
    <w:bookmarkStart w:id="22" w:name="page23"/>
    <w:bookmarkEnd w:id="22"/>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Distribution Payment Dates:</w:t>
            </w:r>
          </w:p>
        </w:tc>
        <w:tc>
          <w:tcPr>
            <w:tcW w:w="8880" w:type="dxa"/>
            <w:vAlign w:val="bottom"/>
          </w:tcPr>
          <w:p>
            <w:pPr>
              <w:ind w:left="540"/>
              <w:spacing w:after="0"/>
              <w:rPr>
                <w:sz w:val="20"/>
                <w:szCs w:val="20"/>
                <w:color w:val="auto"/>
              </w:rPr>
            </w:pPr>
            <w:r>
              <w:rPr>
                <w:rFonts w:ascii="Arial" w:cs="Arial" w:eastAsia="Arial" w:hAnsi="Arial"/>
                <w:sz w:val="18"/>
                <w:szCs w:val="18"/>
                <w:color w:val="auto"/>
                <w:w w:val="92"/>
              </w:rPr>
              <w:t>Semi-annually in arrears on the 15th day of each May and November through and including November 15, 2022,</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7"/>
              </w:rPr>
              <w:t>commencing on November 15, 2017, and, after November 15, 2022, quarterly in arrears on the 15th day of</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1"/>
              </w:rPr>
              <w:t>February, May, August and November of each year (each a “Distribution Payment Date”) to holders of record as of</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3"/>
              </w:rPr>
              <w:t>the close of business on the first Business Day of the month of the applicable Distribution Payment Date. A pro-</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4"/>
              </w:rPr>
              <w:t>rated initial distribution on the units will be payable on November 15, 2017 in an amount equal to approximately</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7"/>
              </w:rPr>
              <w:t>$5.9549 per unit. If any Distribution Payment Date otherwise would fall on a day that is not a Business Day,</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7"/>
              </w:rPr>
              <w:t>declared distributions will be paid on the immediately succeeding Business Day without the accumulation of</w:t>
            </w:r>
          </w:p>
        </w:tc>
      </w:tr>
      <w:tr>
        <w:trPr>
          <w:trHeight w:val="230"/>
        </w:trPr>
        <w:tc>
          <w:tcPr>
            <w:tcW w:w="2580" w:type="dxa"/>
            <w:vAlign w:val="bottom"/>
          </w:tcPr>
          <w:p>
            <w:pPr>
              <w:spacing w:after="0"/>
              <w:rPr>
                <w:sz w:val="20"/>
                <w:szCs w:val="20"/>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rPr>
              <w:t>additional distributions.</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Distribution Rate:</w:t>
            </w:r>
          </w:p>
        </w:tc>
        <w:tc>
          <w:tcPr>
            <w:tcW w:w="8880" w:type="dxa"/>
            <w:vAlign w:val="bottom"/>
          </w:tcPr>
          <w:p>
            <w:pPr>
              <w:ind w:left="540"/>
              <w:spacing w:after="0"/>
              <w:rPr>
                <w:sz w:val="20"/>
                <w:szCs w:val="20"/>
                <w:color w:val="auto"/>
              </w:rPr>
            </w:pPr>
            <w:r>
              <w:rPr>
                <w:rFonts w:ascii="Arial" w:cs="Arial" w:eastAsia="Arial" w:hAnsi="Arial"/>
                <w:sz w:val="18"/>
                <w:szCs w:val="18"/>
                <w:color w:val="auto"/>
              </w:rPr>
              <w:t>The initial distribution rate for the units from and including the date of original issue to, but not including</w:t>
            </w:r>
          </w:p>
        </w:tc>
      </w:tr>
      <w:tr>
        <w:trPr>
          <w:trHeight w:val="216"/>
        </w:trPr>
        <w:tc>
          <w:tcPr>
            <w:tcW w:w="2580" w:type="dxa"/>
            <w:vAlign w:val="bottom"/>
          </w:tcPr>
          <w:p>
            <w:pPr>
              <w:spacing w:after="0"/>
              <w:rPr>
                <w:sz w:val="18"/>
                <w:szCs w:val="18"/>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w w:val="93"/>
              </w:rPr>
              <w:t>November 15, 2022, will be 6.125% per annum of the $1,000 liquidation preference per unit (equal to $61.25 per</w:t>
            </w:r>
          </w:p>
        </w:tc>
      </w:tr>
      <w:tr>
        <w:trPr>
          <w:trHeight w:val="230"/>
        </w:trPr>
        <w:tc>
          <w:tcPr>
            <w:tcW w:w="2580" w:type="dxa"/>
            <w:vAlign w:val="bottom"/>
          </w:tcPr>
          <w:p>
            <w:pPr>
              <w:spacing w:after="0"/>
              <w:rPr>
                <w:sz w:val="20"/>
                <w:szCs w:val="20"/>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rPr>
              <w:t>unit per annum). On and after November 15, 2022, distributions on the units will accumulate at a</w:t>
            </w:r>
          </w:p>
        </w:tc>
      </w:tr>
      <w:tr>
        <w:trPr>
          <w:trHeight w:val="432"/>
        </w:trPr>
        <w:tc>
          <w:tcPr>
            <w:tcW w:w="2580" w:type="dxa"/>
            <w:vAlign w:val="bottom"/>
          </w:tcPr>
          <w:p>
            <w:pPr>
              <w:spacing w:after="0"/>
              <w:rPr>
                <w:sz w:val="24"/>
                <w:szCs w:val="24"/>
                <w:color w:val="auto"/>
              </w:rPr>
            </w:pPr>
          </w:p>
        </w:tc>
        <w:tc>
          <w:tcPr>
            <w:tcW w:w="8880" w:type="dxa"/>
            <w:vAlign w:val="bottom"/>
          </w:tcPr>
          <w:p>
            <w:pPr>
              <w:ind w:left="1720"/>
              <w:spacing w:after="0"/>
              <w:rPr>
                <w:sz w:val="20"/>
                <w:szCs w:val="20"/>
                <w:color w:val="auto"/>
              </w:rPr>
            </w:pPr>
            <w:r>
              <w:rPr>
                <w:rFonts w:ascii="Arial" w:cs="Arial" w:eastAsia="Arial" w:hAnsi="Arial"/>
                <w:sz w:val="18"/>
                <w:szCs w:val="18"/>
                <w:i w:val="1"/>
                <w:iCs w:val="1"/>
                <w:color w:val="auto"/>
              </w:rPr>
              <w:t>Schedule II to Underwriting Agreement</w:t>
            </w:r>
          </w:p>
        </w:tc>
      </w:tr>
      <w:tr>
        <w:trPr>
          <w:trHeight w:val="348"/>
        </w:trPr>
        <w:tc>
          <w:tcPr>
            <w:tcW w:w="2580" w:type="dxa"/>
            <w:vAlign w:val="bottom"/>
            <w:tcBorders>
              <w:bottom w:val="single" w:sz="8" w:color="808080"/>
            </w:tcBorders>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percentage of the liquidation preference equal to the three-month LIBOR plus a spread of 4.11%.</w:t>
      </w:r>
    </w:p>
    <w:p>
      <w:pPr>
        <w:sectPr>
          <w:pgSz w:w="11900" w:h="16966" w:orient="portrait"/>
          <w:cols w:equalWidth="0" w:num="1">
            <w:col w:w="11460"/>
          </w:cols>
          <w:pgMar w:left="240" w:top="341" w:right="19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any time within 120 days after the conclusion of any review or appeal process instituted by the issuer following the occurrence of a Ratings Event, the issuer may, at its option, redeem the units in whole, but not in part, at a redemption price in cash per unit equal to $1,020 (102% of the liquidation preference of $1,000) plus an amount equal to all accumulated and unpaid distributions thereon to, but not including, the date fixed for redemption, whether or not declared. Any such redemption would be effected only out of funds legally available for such purposes and will be subject to compliance with the provisions of the issuer’s outstanding indebtedness.</w:t>
      </w:r>
    </w:p>
    <w:p>
      <w:pPr>
        <w:spacing w:after="0" w:line="165" w:lineRule="exact"/>
        <w:rPr>
          <w:sz w:val="20"/>
          <w:szCs w:val="20"/>
          <w:color w:val="auto"/>
        </w:rPr>
      </w:pPr>
    </w:p>
    <w:p>
      <w:pPr>
        <w:sectPr>
          <w:pgSz w:w="11900" w:h="16966" w:orient="portrait"/>
          <w:cols w:equalWidth="0" w:num="2">
            <w:col w:w="2400" w:space="720"/>
            <w:col w:w="8340"/>
          </w:cols>
          <w:pgMar w:left="240" w:top="341" w:right="199" w:bottom="0" w:gutter="0" w:footer="0" w:header="0"/>
          <w:type w:val="continuous"/>
        </w:sectPr>
      </w:pPr>
    </w:p>
    <w:p>
      <w:pPr>
        <w:ind w:left="3120" w:right="60"/>
        <w:spacing w:after="0" w:line="273" w:lineRule="auto"/>
        <w:rPr>
          <w:sz w:val="20"/>
          <w:szCs w:val="20"/>
          <w:color w:val="auto"/>
        </w:rPr>
      </w:pPr>
      <w:r>
        <w:rPr>
          <w:rFonts w:ascii="Arial" w:cs="Arial" w:eastAsia="Arial" w:hAnsi="Arial"/>
          <w:sz w:val="17"/>
          <w:szCs w:val="17"/>
          <w:color w:val="auto"/>
        </w:rPr>
        <w:t>At any time on or after November 15, 2022, the issuer may redeem the units, at its option, in whole or in part, by paying $1,000 per unit plus an amount equal to all accumulated and unpaid distributions thereon to, but not including, the date of redemption, whether or not declared. The issuer must provide not less than 30 days’ and not more than 60 days’ written notice of any such redemption. The issuer may undertake multiple partial redemptions. Any such redemption would be effected only out of funds legally available for such purposes and will be subject to compliance with the provisions of the issuer’s outstanding indebtedness.</w:t>
      </w:r>
    </w:p>
    <w:p>
      <w:pPr>
        <w:sectPr>
          <w:pgSz w:w="11900" w:h="16966" w:orient="portrait"/>
          <w:cols w:equalWidth="0" w:num="1">
            <w:col w:w="11460"/>
          </w:cols>
          <w:pgMar w:left="240" w:top="341" w:right="199"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726503AE5 / US726503AE55</w:t>
      </w:r>
    </w:p>
    <w:p>
      <w:pPr>
        <w:spacing w:after="0" w:line="211" w:lineRule="exact"/>
        <w:rPr>
          <w:sz w:val="20"/>
          <w:szCs w:val="20"/>
          <w:color w:val="auto"/>
        </w:rPr>
      </w:pPr>
    </w:p>
    <w:p>
      <w:pPr>
        <w:sectPr>
          <w:pgSz w:w="11900" w:h="16966" w:orient="portrait"/>
          <w:cols w:equalWidth="0" w:num="2">
            <w:col w:w="2400" w:space="720"/>
            <w:col w:w="8340"/>
          </w:cols>
          <w:pgMar w:left="240" w:top="341"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966" w:orient="portrait"/>
          <w:cols w:equalWidth="0" w:num="2">
            <w:col w:w="2400" w:space="720"/>
            <w:col w:w="8340"/>
          </w:cols>
          <w:pgMar w:left="240" w:top="341" w:right="19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BB&amp;T Capital Markets, a division of BB&amp;T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966" w:orient="portrait"/>
          <w:cols w:equalWidth="0" w:num="2">
            <w:col w:w="2400" w:space="720"/>
            <w:col w:w="8340"/>
          </w:cols>
          <w:pgMar w:left="240" w:top="341" w:right="19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issuer does not intend to apply for the listing of the units on any securities exchange.</w:t>
      </w:r>
    </w:p>
    <w:p>
      <w:pPr>
        <w:spacing w:after="0" w:line="211" w:lineRule="exact"/>
        <w:rPr>
          <w:sz w:val="20"/>
          <w:szCs w:val="20"/>
          <w:color w:val="auto"/>
        </w:rPr>
      </w:pPr>
    </w:p>
    <w:p>
      <w:pPr>
        <w:sectPr>
          <w:pgSz w:w="11900" w:h="16966" w:orient="portrait"/>
          <w:cols w:equalWidth="0" w:num="2">
            <w:col w:w="2400" w:space="720"/>
            <w:col w:w="8340"/>
          </w:cols>
          <w:pgMar w:left="240" w:top="341" w:right="199" w:bottom="0" w:gutter="0" w:footer="0" w:header="0"/>
          <w:type w:val="continuous"/>
        </w:sectPr>
      </w:pPr>
    </w:p>
    <w:p>
      <w:pPr>
        <w:spacing w:after="0" w:line="266"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underwriters expect that the Series B Preferred Units will be delivered to purchasers in global form through the book-entry delivery system of The Depository Trust Company (“DTC”) for the accounts of its participants, including Euroclear Bank S.A./N.V., as operator of the Euroclear System (“Euroclear”), and Clearstream Banking, société anonyme (“Clearstream”) on or about October 10, 2017. Euroclear has advised us that it was created in 1968 to hold securities for its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other services, including securities lending and borrowing, and interfaces with domestic markets in several countries. Euroclear is operated by Euroclear Bank S.A./N.V. under contract with Euroclear plc, a United Kingdom corporation. Euroclear participants include banks, including central banks, securities brokers and dealers and other professional financial intermediaries. Indirect access to Euroclear is also available to other firms that clear through or maintain a</w:t>
      </w:r>
    </w:p>
    <w:p>
      <w:pPr>
        <w:sectPr>
          <w:pgSz w:w="11900" w:h="16966" w:orient="portrait"/>
          <w:cols w:equalWidth="0" w:num="1">
            <w:col w:w="11460"/>
          </w:cols>
          <w:pgMar w:left="240" w:top="341" w:right="199" w:bottom="0" w:gutter="0" w:footer="0" w:header="0"/>
          <w:type w:val="continuous"/>
        </w:sectPr>
      </w:pPr>
    </w:p>
    <w:bookmarkStart w:id="23" w:name="page24"/>
    <w:bookmarkEnd w:id="23"/>
    <w:p>
      <w:pPr>
        <w:spacing w:after="0" w:line="3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custodial relationship with a Euroclear participant, either directly or indirectly. Purchases of Series B Preferred Units under the DTC system must be made by or through DTC participants, which will receive a credit for the Series B Preferred Units on DTC’s records. The ownership interest of each actual purchaser of each Series B Preferred Unit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Series B Preferred Units are to be accomplished by entries made on the books of Direct and Indirect Participants acting on behalf of Beneficial Owners. Beneficial Owners will not receive certificates representing their ownership interests in Series B Preferred Units, except in the event that use of the book-entry system for the Series B Preferred Units is discontinued. Interests held through Clearstream and Euroclear will be recorded on DTC’s books as being held by the U.S. depositary for each of Clearstream and Euroclear, which United States depositaries will in turn hold interests on behalf of their participants’ customers’ securities accounts.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information (including financial information) presented in the Preliminary Prospectus Supplement is deemed to have changed to the extent affected by the changes described herein.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the issuer.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It is expected that delivery of the units will be made to investors on or about October 10, 2017, which will be the third business day following the date hereof (such settlement being referred to as “T+3”). Under Rule 15c6-1 under the Exchange Act, trades in the secondary market generally are required to settle in two business days, unless the parties to any such trade expressly agree otherwise. Accordingly, purchasers who wish to trade the units on any date prior to two business days before delivery will be required to specify an alternate settlement cycle at the time of any such trade to prevent a failed settlement. Purchasers of the units who wish to trade the units on any date prior to two business days before delivery should consult their own advisors.</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The issuer has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i w:val="1"/>
          <w:iCs w:val="1"/>
          <w:color w:val="auto"/>
        </w:rPr>
        <w:t>www.sec.gov</w:t>
      </w:r>
      <w:r>
        <w:rPr>
          <w:rFonts w:ascii="Arial" w:cs="Arial" w:eastAsia="Arial" w:hAnsi="Arial"/>
          <w:sz w:val="17"/>
          <w:szCs w:val="17"/>
          <w:color w:val="auto"/>
        </w:rPr>
        <w:t>. Alternatively, the issuer, any underwriter or any dealer participating in the offering will arrange to send you the prospectus supplement and prospectus if you request it by calling J.P. Morgan Securities LLC collect at 1-(212) 834-4533, Merrill Lynch, Pierce, Fenner &amp; Smith Incorporated at 1-(800) 294-1322, Morgan Stanley &amp; Co. LLC at 1-(866) 718-1649 or Wells Fargo Securities, LLC 1-(800) 645-3751.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ectPr>
          <w:pgSz w:w="11900" w:h="16874" w:orient="portrait"/>
          <w:cols w:equalWidth="0" w:num="1">
            <w:col w:w="11420"/>
          </w:cols>
          <w:pgMar w:left="240" w:top="125"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180" w:type="dxa"/>
            <w:vAlign w:val="bottom"/>
            <w:gridSpan w:val="4"/>
          </w:tcPr>
          <w:p>
            <w:pPr>
              <w:jc w:val="center"/>
              <w:ind w:right="3320"/>
              <w:spacing w:after="0"/>
              <w:rPr>
                <w:sz w:val="20"/>
                <w:szCs w:val="20"/>
                <w:color w:val="auto"/>
              </w:rPr>
            </w:pPr>
            <w:r>
              <w:rPr>
                <w:rFonts w:ascii="Arial" w:cs="Arial" w:eastAsia="Arial" w:hAnsi="Arial"/>
                <w:sz w:val="18"/>
                <w:szCs w:val="18"/>
                <w:i w:val="1"/>
                <w:iCs w:val="1"/>
                <w:color w:val="auto"/>
                <w:w w:val="91"/>
              </w:rPr>
              <w:t>Schedule IV to Underwriting Agreement</w:t>
            </w: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36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2"/>
          </w:tcPr>
          <w:p>
            <w:pPr>
              <w:ind w:left="2000"/>
              <w:spacing w:after="0"/>
              <w:rPr>
                <w:sz w:val="20"/>
                <w:szCs w:val="20"/>
                <w:color w:val="auto"/>
              </w:rPr>
            </w:pPr>
            <w:r>
              <w:rPr>
                <w:rFonts w:ascii="Arial" w:cs="Arial" w:eastAsia="Arial" w:hAnsi="Arial"/>
                <w:sz w:val="14"/>
                <w:szCs w:val="14"/>
                <w:b w:val="1"/>
                <w:bCs w:val="1"/>
                <w:color w:val="auto"/>
              </w:rPr>
              <w:t>Jurisdiction in which registered or qualified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PAA GP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Texas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PAA GP Holdings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Texas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Louisiana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Texas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 Illinois, Louisiana, Oklahoma, Texas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Pipeline, L.P.</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Texas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GP Holdings, L.P.</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Texas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 Illinois, Oklahoma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L.P.</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 Illinois, Louisiana, Oklahoma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Alberta, Manitoba, New Brunswick, Nova Scotia, Ontario, Quebec, Saskatchewan</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 Illinois, Louisiana, Oklahoma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South Texas Gathering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Oklahoma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California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Utah</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118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Alabama, Mississippi</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2"/>
          </w:tcPr>
          <w:p>
            <w:pPr>
              <w:jc w:val="center"/>
              <w:ind w:right="4780"/>
              <w:spacing w:after="0"/>
              <w:rPr>
                <w:sz w:val="20"/>
                <w:szCs w:val="20"/>
                <w:color w:val="auto"/>
              </w:rPr>
            </w:pPr>
            <w:r>
              <w:rPr>
                <w:rFonts w:ascii="Arial" w:cs="Arial" w:eastAsia="Arial" w:hAnsi="Arial"/>
                <w:sz w:val="18"/>
                <w:szCs w:val="18"/>
                <w:color w:val="auto"/>
                <w:w w:val="98"/>
              </w:rPr>
              <w:t>Exhibit A-1</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72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180" w:type="dxa"/>
            <w:vAlign w:val="bottom"/>
            <w:gridSpan w:val="4"/>
          </w:tcPr>
          <w:p>
            <w:pPr>
              <w:jc w:val="center"/>
              <w:ind w:right="3300"/>
              <w:spacing w:after="0"/>
              <w:rPr>
                <w:sz w:val="20"/>
                <w:szCs w:val="20"/>
                <w:color w:val="auto"/>
              </w:rPr>
            </w:pPr>
            <w:r>
              <w:rPr>
                <w:rFonts w:ascii="Arial" w:cs="Arial" w:eastAsia="Arial" w:hAnsi="Arial"/>
                <w:sz w:val="18"/>
                <w:szCs w:val="18"/>
                <w:b w:val="1"/>
                <w:bCs w:val="1"/>
                <w:color w:val="auto"/>
              </w:rPr>
              <w:t>CHIEF FINANCIAL OFFICER’S CERTIFICATE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2"/>
          </w:tcPr>
          <w:p>
            <w:pPr>
              <w:jc w:val="center"/>
              <w:ind w:right="4760"/>
              <w:spacing w:after="0"/>
              <w:rPr>
                <w:sz w:val="20"/>
                <w:szCs w:val="20"/>
                <w:color w:val="auto"/>
              </w:rPr>
            </w:pPr>
            <w:r>
              <w:rPr>
                <w:rFonts w:ascii="Arial" w:cs="Arial" w:eastAsia="Arial" w:hAnsi="Arial"/>
                <w:sz w:val="18"/>
                <w:szCs w:val="18"/>
                <w:color w:val="auto"/>
                <w:w w:val="89"/>
              </w:rPr>
              <w:t>October 4,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-6844665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-6844665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undersigned, in his capacity as the Chief Financial Officer of Plains All American GP LLC, a Delaware limited liability company, the general partner of Plains AAP, L.P., a Delaware limited partnership, the sole member of PAA GP LLC, a Delaware limited liability company, which is the general partner of Plains All American Pipeline,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2017. In addition, as of the date of this certificate, the total debt of the Partnership is approximately $11.4 billion.</w:t>
      </w:r>
    </w:p>
    <w:p>
      <w:pPr>
        <w:sectPr>
          <w:pgSz w:w="11900" w:h="16838" w:orient="portrait"/>
          <w:cols w:equalWidth="0" w:num="1">
            <w:col w:w="11460"/>
          </w:cols>
          <w:pgMar w:left="240" w:top="341" w:right="199" w:bottom="39" w:gutter="0" w:footer="0" w:header="0"/>
        </w:sectPr>
      </w:pPr>
    </w:p>
    <w:bookmarkStart w:id="25" w:name="page26"/>
    <w:bookmarkEnd w:id="25"/>
    <w:p>
      <w:pPr>
        <w:ind w:right="60" w:firstLine="648"/>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and J.P. Morgan Securities LLC, Merrill Lynch, Pierce, Fenner &amp; Smith Incorporated, Morgan Stanley &amp; Co. LLC and Wells Fargo Securities, LLC, as representatives of the several underwriters named therein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Units covered by the Registration Statement, the Pricing Disclosure Package and the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97635"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976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October 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acted as counsel for Plains All American Pipeline,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with respect to certain legal matters in connection with the registration by the Partnership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of the offer and sale by the Partnership of 800,000 6.125% Series B Fixed-to-Floating Rate Cumulative Redeemable Perpetual Preferred Units representing limited partner interests in the Partnership (the “</w:t>
      </w:r>
      <w:r>
        <w:rPr>
          <w:rFonts w:ascii="Arial" w:cs="Arial" w:eastAsia="Arial" w:hAnsi="Arial"/>
          <w:sz w:val="17"/>
          <w:szCs w:val="17"/>
          <w:b w:val="1"/>
          <w:bCs w:val="1"/>
          <w:i w:val="1"/>
          <w:iCs w:val="1"/>
          <w:color w:val="auto"/>
        </w:rPr>
        <w:t>Series B Preferred Units</w:t>
      </w:r>
      <w:r>
        <w:rPr>
          <w:rFonts w:ascii="Arial" w:cs="Arial" w:eastAsia="Arial" w:hAnsi="Arial"/>
          <w:sz w:val="17"/>
          <w:szCs w:val="17"/>
          <w:color w:val="auto"/>
        </w:rPr>
        <w:t>”). We have participated in the preparation of a Prospectus Supplement dated as of October 2, 2017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and the Prospectus dated as of the same date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forming part of the Registration Statement on Form S-3 (No. 333-207139)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to which this opinion is an exhibit. The Prospectus Supplement has been filed pursuant to Rule 424(b) promulgated under the Securities Act.</w:t>
      </w:r>
    </w:p>
    <w:p>
      <w:pPr>
        <w:spacing w:after="0" w:line="178"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In rendering the opinion set forth below, we have examined and relied upon (i) the Delaware Revised Uniform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the Registration Statement, the Prospectus Supplement and the Prospectus, (iii) the Seventh Amended and Restated Agreement of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 of the Partnership, to be dated as of October 10, 2017 (the “</w:t>
      </w:r>
      <w:r>
        <w:rPr>
          <w:rFonts w:ascii="Arial" w:cs="Arial" w:eastAsia="Arial" w:hAnsi="Arial"/>
          <w:sz w:val="16"/>
          <w:szCs w:val="16"/>
          <w:b w:val="1"/>
          <w:bCs w:val="1"/>
          <w:i w:val="1"/>
          <w:iCs w:val="1"/>
          <w:color w:val="auto"/>
        </w:rPr>
        <w:t>Amended and Restated Partnership Agreement</w:t>
      </w:r>
      <w:r>
        <w:rPr>
          <w:rFonts w:ascii="Arial" w:cs="Arial" w:eastAsia="Arial" w:hAnsi="Arial"/>
          <w:sz w:val="16"/>
          <w:szCs w:val="16"/>
          <w:color w:val="auto"/>
        </w:rPr>
        <w:t>”), (iv) the Certificate of Limited Partnership of the Partnership filed with the Secretary of State of the State of Delaware pursuant to the Delaware LP Act in connection with the formation of the Partnership, (v) an Underwriting Agreement, dated October 4, 2017 relating to the offering and sale of the Series B Preferred Units (the “</w:t>
      </w:r>
      <w:r>
        <w:rPr>
          <w:rFonts w:ascii="Arial" w:cs="Arial" w:eastAsia="Arial" w:hAnsi="Arial"/>
          <w:sz w:val="16"/>
          <w:szCs w:val="16"/>
          <w:b w:val="1"/>
          <w:bCs w:val="1"/>
          <w:i w:val="1"/>
          <w:i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 copy of which is being filed with the Commission as an exhibit to the Partnership’s Current Report on Form 8-K on or about the date hereof,</w:t>
      </w:r>
    </w:p>
    <w:p>
      <w:pPr>
        <w:spacing w:after="0" w:line="5" w:lineRule="exact"/>
        <w:rPr>
          <w:sz w:val="20"/>
          <w:szCs w:val="20"/>
          <w:color w:val="auto"/>
        </w:rPr>
      </w:pPr>
    </w:p>
    <w:p>
      <w:pPr>
        <w:ind w:right="260" w:firstLine="8"/>
        <w:spacing w:after="0" w:line="295" w:lineRule="auto"/>
        <w:tabs>
          <w:tab w:leader="none" w:pos="3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copies of certain resolutions duly adopted by the board of directors PAA GP Holdings LLC, A Delaware limited liability company and the controlling parent of the Partnership (the “</w:t>
      </w:r>
      <w:r>
        <w:rPr>
          <w:rFonts w:ascii="Arial" w:cs="Arial" w:eastAsia="Arial" w:hAnsi="Arial"/>
          <w:sz w:val="16"/>
          <w:szCs w:val="16"/>
          <w:b w:val="1"/>
          <w:bCs w:val="1"/>
          <w:i w:val="1"/>
          <w:iCs w:val="1"/>
          <w:color w:val="auto"/>
        </w:rPr>
        <w:t>PAGP GP</w:t>
      </w:r>
      <w:r>
        <w:rPr>
          <w:rFonts w:ascii="Arial" w:cs="Arial" w:eastAsia="Arial" w:hAnsi="Arial"/>
          <w:sz w:val="16"/>
          <w:szCs w:val="16"/>
          <w:color w:val="auto"/>
        </w:rPr>
        <w:t>”), approving and authorizing, among other things, the Registration Statement and other matters relating to the offering of the Series B Preferred Units, (vii) copies resolutions duly adopted by the Pricing Committee of PAGP GP relating to the offering of the Series B Preferred Units, (viii) the Partnership’s records and documents, (ix) certificates of the Partnership and public officials and (x) such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520" w:type="dxa"/>
            <w:vAlign w:val="bottom"/>
          </w:tcPr>
          <w:p>
            <w:pPr>
              <w:ind w:left="86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94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520" w:type="dxa"/>
            <w:vAlign w:val="bottom"/>
          </w:tcPr>
          <w:p>
            <w:pPr>
              <w:ind w:left="860"/>
              <w:spacing w:after="0"/>
              <w:rPr>
                <w:sz w:val="20"/>
                <w:szCs w:val="20"/>
                <w:color w:val="auto"/>
              </w:rPr>
            </w:pPr>
            <w:r>
              <w:rPr>
                <w:rFonts w:ascii="Arial" w:cs="Arial" w:eastAsia="Arial" w:hAnsi="Arial"/>
                <w:sz w:val="16"/>
                <w:szCs w:val="16"/>
                <w:color w:val="auto"/>
              </w:rPr>
              <w:t>Houston, TX 77002-6760</w:t>
            </w:r>
          </w:p>
        </w:tc>
      </w:tr>
      <w:tr>
        <w:trPr>
          <w:trHeight w:val="210"/>
        </w:trPr>
        <w:tc>
          <w:tcPr>
            <w:tcW w:w="594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520" w:type="dxa"/>
            <w:vAlign w:val="bottom"/>
          </w:tcPr>
          <w:p>
            <w:pPr>
              <w:ind w:left="86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velaw.com</w:t>
            </w:r>
          </w:p>
        </w:tc>
      </w:tr>
      <w:tr>
        <w:trPr>
          <w:trHeight w:val="354"/>
        </w:trPr>
        <w:tc>
          <w:tcPr>
            <w:tcW w:w="594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other certificates, statutes and other instruments and documents as we consider appropriate for purposes of the opinions hereafter expressed.</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Based upon and subject to the foregoing and the assumptions, limitations and qualifications set forth herein, we are of the opinion that, when the Amended and Restated Partnership Agreement has been duly executed and delivered by the parties thereto, the Series B Preferred Units will be duly and validly authorized for issuance and, upon payment and delivery of the Series B Preferred Units in accordance with the Underwriting Agreement, the Prospectus Supplement and the Prospectus, will be validly issued, fully paid (to the extent required under the Amended and Restated Partnership Agreement) and non-assessable (except as such nonassessability may be affected by Sections 17-303, 17-607 and 17-804 of the Delaware LP Act).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100" w:firstLine="656"/>
        <w:spacing w:after="0" w:line="257" w:lineRule="auto"/>
        <w:tabs>
          <w:tab w:leader="none" w:pos="13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assumed that (i) each document submitted to us for review is accurate and complete, (ii) each such document that is an original is authentic, (iii) each such document that is a copy conforms to an authentic original, (iv) all signatures on each such document are genuine, (v) each certificate from governmental officials reviewed by us is accurate, complete and authentic, and all official public records are accurate and complete and (vi) all Series B Preferred Units will be issued and sold in the manner described in the Prospectus and the Prospectus Supplement, and in accordance with the terms of the Underwriting Agreement.</w:t>
      </w:r>
    </w:p>
    <w:p>
      <w:pPr>
        <w:spacing w:after="0" w:line="188" w:lineRule="exact"/>
        <w:rPr>
          <w:rFonts w:ascii="Arial" w:cs="Arial" w:eastAsia="Arial" w:hAnsi="Arial"/>
          <w:sz w:val="18"/>
          <w:szCs w:val="18"/>
          <w:color w:val="auto"/>
        </w:rPr>
      </w:pPr>
    </w:p>
    <w:p>
      <w:pPr>
        <w:ind w:right="180" w:firstLine="656"/>
        <w:spacing w:after="0" w:line="277" w:lineRule="auto"/>
        <w:tabs>
          <w:tab w:leader="none" w:pos="12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60"/>
          </w:cols>
          <w:pgMar w:left="240" w:top="121" w:right="199" w:bottom="1440"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09395"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93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October 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We have acted as counsel for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 Delaware limited partnership, with respect to certain legal matters in connection with the offer and sale by the Partnership of preferred units representing limited partner interests in the Partnership. We have also participated in the preparation of a Prospectus Supplement dated on or about the date hereof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xml:space="preserve">) and the Prospectus filed with the Securities and Exchange Commission on October 2,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each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Prospectus under the caption “Material U.S. Federal Income Tax Consequences,” as updated under the caption “Material U.S. Federal Income Tax Consequences” in the Prospectus Supplement, constitute the opinion of Vinson &amp; Elkins L.L.P. with respect to the matters set forth therein as of the effective date of the Registration Statement, subject to the assumptions, qualifications, and limitations set forth therein. This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640" w:type="dxa"/>
            <w:vAlign w:val="bottom"/>
          </w:tcPr>
          <w:p>
            <w:pPr>
              <w:ind w:left="76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82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640" w:type="dxa"/>
            <w:vAlign w:val="bottom"/>
          </w:tcPr>
          <w:p>
            <w:pPr>
              <w:ind w:left="760"/>
              <w:spacing w:after="0"/>
              <w:rPr>
                <w:sz w:val="20"/>
                <w:szCs w:val="20"/>
                <w:color w:val="auto"/>
              </w:rPr>
            </w:pPr>
            <w:r>
              <w:rPr>
                <w:rFonts w:ascii="Arial" w:cs="Arial" w:eastAsia="Arial" w:hAnsi="Arial"/>
                <w:sz w:val="16"/>
                <w:szCs w:val="16"/>
                <w:color w:val="auto"/>
              </w:rPr>
              <w:t>Houston, TX 77002-6760</w:t>
            </w: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640" w:type="dxa"/>
            <w:vAlign w:val="bottom"/>
          </w:tcPr>
          <w:p>
            <w:pPr>
              <w:ind w:left="76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www.velaw.com</w:t>
            </w:r>
          </w:p>
        </w:tc>
      </w:tr>
      <w:tr>
        <w:trPr>
          <w:trHeight w:val="354"/>
        </w:trPr>
        <w:tc>
          <w:tcPr>
            <w:tcW w:w="582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preferred units, or debt securities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hereby consent to the filing of this opinion of counsel as an exhibit to the Current Report on Form 8-K of the Partnership dated on or about the date hereof, to the incorporation by reference of this opinion of counsel into the Registration Statement, and to the reference to our firm in the Prospectus and Prospectus Supplement. In giving such consent, we do not admit that we are within the category of persons whose consent is required under Section 7 of the Securities Act of 1933, as amended.</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5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o"/>
      <w:numFmt w:val="bullet"/>
      <w:start w:val="1"/>
    </w:lvl>
  </w:abstractNum>
  <w:abstractNum w:abstractNumId="1">
    <w:nsid w:val="5072367"/>
    <w:multiLevelType w:val="hybridMultilevel"/>
    <w:lvl w:ilvl="0">
      <w:lvlJc w:val="left"/>
      <w:lvlText w:val="(%1)"/>
      <w:numFmt w:val="lowerRoman"/>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lowerLetter"/>
      <w:start w:val="1"/>
    </w:lvl>
    <w:lvl w:ilvl="1">
      <w:lvlJc w:val="left"/>
      <w:lvlText w:val="(%2)"/>
      <w:numFmt w:val="lowerRoman"/>
      <w:start w:val="1"/>
    </w:lvl>
  </w:abstractNum>
  <w:abstractNum w:abstractNumId="4">
    <w:nsid w:val="7724C67E"/>
    <w:multiLevelType w:val="hybridMultilevel"/>
    <w:lvl w:ilvl="0">
      <w:lvlJc w:val="left"/>
      <w:lvlText w:val="(%1)"/>
      <w:numFmt w:val="lowerRoman"/>
      <w:start w:val="5"/>
    </w:lvl>
  </w:abstractNum>
  <w:abstractNum w:abstractNumId="5">
    <w:nsid w:val="5C482A97"/>
    <w:multiLevelType w:val="hybridMultilevel"/>
    <w:lvl w:ilvl="0">
      <w:lvlJc w:val="left"/>
      <w:lvlText w:val="%1"/>
      <w:numFmt w:val="upperLetter"/>
      <w:start w:val="1"/>
    </w:lvl>
    <w:lvl w:ilvl="1">
      <w:lvlJc w:val="left"/>
      <w:lvlText w:val="(%2)"/>
      <w:numFmt w:val="lowerRoman"/>
      <w:start w:val="6"/>
    </w:lvl>
  </w:abstractNum>
  <w:abstractNum w:abstractNumId="6">
    <w:nsid w:val="2463B9EA"/>
    <w:multiLevelType w:val="hybridMultilevel"/>
    <w:lvl w:ilvl="0">
      <w:lvlJc w:val="left"/>
      <w:lvlText w:val="(%1)"/>
      <w:numFmt w:val="upperLetter"/>
      <w:start w:val="1"/>
    </w:lvl>
    <w:lvl w:ilvl="1">
      <w:lvlJc w:val="left"/>
      <w:lvlText w:val="(%2)"/>
      <w:numFmt w:val="lowerRoman"/>
      <w:start w:val="7"/>
    </w:lvl>
  </w:abstractNum>
  <w:abstractNum w:abstractNumId="7">
    <w:nsid w:val="5E884ADC"/>
    <w:multiLevelType w:val="hybridMultilevel"/>
    <w:lvl w:ilvl="0">
      <w:lvlJc w:val="left"/>
      <w:lvlText w:val="(%1)"/>
      <w:numFmt w:val="lowerLetter"/>
      <w:start w:val="2"/>
    </w:lvl>
  </w:abstractNum>
  <w:abstractNum w:abstractNumId="8">
    <w:nsid w:val="51EAD36B"/>
    <w:multiLevelType w:val="hybridMultilevel"/>
    <w:lvl w:ilvl="0">
      <w:lvlJc w:val="left"/>
      <w:lvlText w:val="(%1)"/>
      <w:numFmt w:val="lowerLetter"/>
      <w:start w:val="3"/>
    </w:lvl>
  </w:abstractNum>
  <w:abstractNum w:abstractNumId="9">
    <w:nsid w:val="2D517796"/>
    <w:multiLevelType w:val="hybridMultilevel"/>
    <w:lvl w:ilvl="0">
      <w:lvlJc w:val="left"/>
      <w:lvlText w:val="(%1)"/>
      <w:numFmt w:val="lowerLetter"/>
      <w:start w:val="8"/>
    </w:lvl>
  </w:abstractNum>
  <w:abstractNum w:abstractNumId="10">
    <w:nsid w:val="580BD78F"/>
    <w:multiLevelType w:val="hybridMultilevel"/>
    <w:lvl w:ilvl="0">
      <w:lvlJc w:val="left"/>
      <w:lvlText w:val="(%1)"/>
      <w:numFmt w:val="lowerLetter"/>
      <w:start w:val="12"/>
    </w:lvl>
  </w:abstractNum>
  <w:abstractNum w:abstractNumId="11">
    <w:nsid w:val="153EA438"/>
    <w:multiLevelType w:val="hybridMultilevel"/>
    <w:lvl w:ilvl="0">
      <w:lvlJc w:val="left"/>
      <w:lvlText w:val="(%1)"/>
      <w:numFmt w:val="lowerLetter"/>
      <w:start w:val="14"/>
    </w:lvl>
  </w:abstractNum>
  <w:abstractNum w:abstractNumId="12">
    <w:nsid w:val="3855585C"/>
    <w:multiLevelType w:val="hybridMultilevel"/>
    <w:lvl w:ilvl="0">
      <w:lvlJc w:val="left"/>
      <w:lvlText w:val="%1"/>
      <w:numFmt w:val="upperLetter"/>
      <w:start w:val="1"/>
    </w:lvl>
    <w:lvl w:ilvl="1">
      <w:lvlJc w:val="left"/>
      <w:lvlText w:val="(%2)"/>
      <w:numFmt w:val="lowerLetter"/>
      <w:start w:val="19"/>
    </w:lvl>
  </w:abstractNum>
  <w:abstractNum w:abstractNumId="13">
    <w:nsid w:val="70A64E2A"/>
    <w:multiLevelType w:val="hybridMultilevel"/>
    <w:lvl w:ilvl="0">
      <w:lvlJc w:val="left"/>
      <w:lvlText w:val="(%1)"/>
      <w:numFmt w:val="upperLetter"/>
      <w:start w:val="4"/>
    </w:lvl>
    <w:lvl w:ilvl="1">
      <w:lvlJc w:val="left"/>
      <w:lvlText w:val="(%2)"/>
      <w:numFmt w:val="lowerLetter"/>
      <w:start w:val="21"/>
    </w:lvl>
  </w:abstractNum>
  <w:abstractNum w:abstractNumId="14">
    <w:nsid w:val="6A2342EC"/>
    <w:multiLevelType w:val="hybridMultilevel"/>
    <w:lvl w:ilvl="0">
      <w:lvlJc w:val="left"/>
      <w:lvlText w:val="%1"/>
      <w:numFmt w:val="lowerRoman"/>
      <w:start w:val="1"/>
    </w:lvl>
    <w:lvl w:ilvl="1">
      <w:lvlJc w:val="left"/>
      <w:lvlText w:val="(%2)"/>
      <w:numFmt w:val="lowerRoman"/>
      <w:start w:val="5"/>
    </w:lvl>
  </w:abstractNum>
  <w:abstractNum w:abstractNumId="15">
    <w:nsid w:val="2A487CB0"/>
    <w:multiLevelType w:val="hybridMultilevel"/>
    <w:lvl w:ilvl="0">
      <w:lvlJc w:val="left"/>
      <w:lvlText w:val="(%1)"/>
      <w:numFmt w:val="lowerRoman"/>
      <w:start w:val="3"/>
    </w:lvl>
    <w:lvl w:ilvl="1">
      <w:lvlJc w:val="left"/>
      <w:lvlText w:val="%2"/>
      <w:numFmt w:val="lowerRoman"/>
      <w:start w:val="1"/>
    </w:lvl>
  </w:abstractNum>
  <w:abstractNum w:abstractNumId="16">
    <w:nsid w:val="1D4ED43B"/>
    <w:multiLevelType w:val="hybridMultilevel"/>
    <w:lvl w:ilvl="0">
      <w:lvlJc w:val="left"/>
      <w:lvlText w:val="(%1)"/>
      <w:numFmt w:val="lowerLetter"/>
      <w:start w:val="23"/>
    </w:lvl>
  </w:abstractNum>
  <w:abstractNum w:abstractNumId="17">
    <w:nsid w:val="725A06FB"/>
    <w:multiLevelType w:val="hybridMultilevel"/>
    <w:lvl w:ilvl="0">
      <w:lvlJc w:val="left"/>
      <w:lvlText w:val="(%1)"/>
      <w:numFmt w:val="lowerLetter"/>
      <w:start w:val="26"/>
    </w:lvl>
  </w:abstractNum>
  <w:abstractNum w:abstractNumId="18">
    <w:nsid w:val="2CD89A32"/>
    <w:multiLevelType w:val="hybridMultilevel"/>
    <w:lvl w:ilvl="0">
      <w:lvlJc w:val="left"/>
      <w:lvlText w:val="%1"/>
      <w:numFmt w:val="lowerLetter"/>
      <w:start w:val="1"/>
    </w:lvl>
    <w:lvl w:ilvl="1">
      <w:lvlJc w:val="left"/>
      <w:lvlText w:val="(%2)"/>
      <w:numFmt w:val="lowerLetter"/>
      <w:start w:val="27"/>
    </w:lvl>
  </w:abstractNum>
  <w:abstractNum w:abstractNumId="19">
    <w:nsid w:val="57E4CCAF"/>
    <w:multiLevelType w:val="hybridMultilevel"/>
    <w:lvl w:ilvl="0">
      <w:lvlJc w:val="left"/>
      <w:lvlText w:val="(%1)"/>
      <w:numFmt w:val="lowerLetter"/>
      <w:start w:val="35"/>
    </w:lvl>
    <w:lvl w:ilvl="1">
      <w:lvlJc w:val="left"/>
      <w:lvlText w:val="(%2)"/>
      <w:numFmt w:val="lowerLetter"/>
      <w:start w:val="28"/>
    </w:lvl>
  </w:abstractNum>
  <w:abstractNum w:abstractNumId="20">
    <w:nsid w:val="7A6D8D3C"/>
    <w:multiLevelType w:val="hybridMultilevel"/>
    <w:lvl w:ilvl="0">
      <w:lvlJc w:val="left"/>
      <w:lvlText w:val="(%1)"/>
      <w:numFmt w:val="lowerLetter"/>
      <w:start w:val="29"/>
    </w:lvl>
  </w:abstractNum>
  <w:abstractNum w:abstractNumId="21">
    <w:nsid w:val="4B588F54"/>
    <w:multiLevelType w:val="hybridMultilevel"/>
    <w:lvl w:ilvl="0">
      <w:lvlJc w:val="left"/>
      <w:lvlText w:val="%1"/>
      <w:numFmt w:val="lowerRoman"/>
      <w:start w:val="1"/>
    </w:lvl>
    <w:lvl w:ilvl="1">
      <w:lvlJc w:val="left"/>
      <w:lvlText w:val="(%2)"/>
      <w:numFmt w:val="lowerLetter"/>
      <w:start w:val="32"/>
    </w:lvl>
  </w:abstractNum>
  <w:abstractNum w:abstractNumId="22">
    <w:nsid w:val="542289EC"/>
    <w:multiLevelType w:val="hybridMultilevel"/>
    <w:lvl w:ilvl="0">
      <w:lvlJc w:val="left"/>
      <w:lvlText w:val="(%1)"/>
      <w:numFmt w:val="lowerRoman"/>
      <w:start w:val="1"/>
    </w:lvl>
    <w:lvl w:ilvl="1">
      <w:lvlJc w:val="left"/>
      <w:lvlText w:val="(%2)"/>
      <w:numFmt w:val="lowerLetter"/>
      <w:start w:val="35"/>
    </w:lvl>
  </w:abstractNum>
  <w:abstractNum w:abstractNumId="23">
    <w:nsid w:val="6DE91B18"/>
    <w:multiLevelType w:val="hybridMultilevel"/>
    <w:lvl w:ilvl="0">
      <w:lvlJc w:val="left"/>
      <w:lvlText w:val="(%1)"/>
      <w:numFmt w:val="lowerLetter"/>
      <w:start w:val="38"/>
    </w:lvl>
  </w:abstractNum>
  <w:abstractNum w:abstractNumId="24">
    <w:nsid w:val="38437FDB"/>
    <w:multiLevelType w:val="hybridMultilevel"/>
    <w:lvl w:ilvl="0">
      <w:lvlJc w:val="left"/>
      <w:lvlText w:val="(%1)"/>
      <w:numFmt w:val="lowerLetter"/>
      <w:start w:val="39"/>
    </w:lvl>
  </w:abstractNum>
  <w:abstractNum w:abstractNumId="25">
    <w:nsid w:val="7644A45C"/>
    <w:multiLevelType w:val="hybridMultilevel"/>
    <w:lvl w:ilvl="0">
      <w:lvlJc w:val="left"/>
      <w:lvlText w:val="(%1)"/>
      <w:numFmt w:val="lowerLetter"/>
      <w:start w:val="44"/>
    </w:lvl>
  </w:abstractNum>
  <w:abstractNum w:abstractNumId="26">
    <w:nsid w:val="32FFF902"/>
    <w:multiLevelType w:val="hybridMultilevel"/>
    <w:lvl w:ilvl="0">
      <w:lvlJc w:val="left"/>
      <w:lvlText w:val="%1."/>
      <w:numFmt w:val="decimal"/>
      <w:start w:val="2"/>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3"/>
    </w:lvl>
  </w:abstractNum>
  <w:abstractNum w:abstractNumId="29">
    <w:nsid w:val="749ABB43"/>
    <w:multiLevelType w:val="hybridMultilevel"/>
    <w:lvl w:ilvl="0">
      <w:lvlJc w:val="left"/>
      <w:lvlText w:val="(%1)"/>
      <w:numFmt w:val="lowerLetter"/>
      <w:start w:val="6"/>
    </w:lvl>
  </w:abstractNum>
  <w:abstractNum w:abstractNumId="30">
    <w:nsid w:val="3DC240FB"/>
    <w:multiLevelType w:val="hybridMultilevel"/>
    <w:lvl w:ilvl="0">
      <w:lvlJc w:val="left"/>
      <w:lvlText w:val="(%1)"/>
      <w:numFmt w:val="lowerLetter"/>
      <w:start w:val="8"/>
    </w:lvl>
  </w:abstractNum>
  <w:abstractNum w:abstractNumId="31">
    <w:nsid w:val="1BA026FA"/>
    <w:multiLevelType w:val="hybridMultilevel"/>
    <w:lvl w:ilvl="0">
      <w:lvlJc w:val="left"/>
      <w:lvlText w:val="(%1)"/>
      <w:numFmt w:val="lowerLetter"/>
      <w:start w:val="10"/>
    </w:lvl>
  </w:abstractNum>
  <w:abstractNum w:abstractNumId="32">
    <w:nsid w:val="79A1DEAA"/>
    <w:multiLevelType w:val="hybridMultilevel"/>
    <w:lvl w:ilvl="0">
      <w:lvlJc w:val="left"/>
      <w:lvlText w:val="(%1)"/>
      <w:numFmt w:val="lowerLetter"/>
      <w:start w:val="14"/>
    </w:lvl>
  </w:abstractNum>
  <w:abstractNum w:abstractNumId="33">
    <w:nsid w:val="75C6C33A"/>
    <w:multiLevelType w:val="hybridMultilevel"/>
    <w:lvl w:ilvl="0">
      <w:lvlJc w:val="left"/>
      <w:lvlText w:val="%1."/>
      <w:numFmt w:val="decimal"/>
      <w:start w:val="6"/>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2"/>
    </w:lvl>
  </w:abstractNum>
  <w:abstractNum w:abstractNumId="36">
    <w:nsid w:val="520EEDD1"/>
    <w:multiLevelType w:val="hybridMultilevel"/>
    <w:lvl w:ilvl="0">
      <w:lvlJc w:val="left"/>
      <w:lvlText w:val="(%1)"/>
      <w:numFmt w:val="lowerLetter"/>
      <w:start w:val="3"/>
    </w:lvl>
  </w:abstractNum>
  <w:abstractNum w:abstractNumId="37">
    <w:nsid w:val="374A3FE6"/>
    <w:multiLevelType w:val="hybridMultilevel"/>
    <w:lvl w:ilvl="0">
      <w:lvlJc w:val="left"/>
      <w:lvlText w:val="(%1)"/>
      <w:numFmt w:val="lowerLetter"/>
      <w:start w:val="5"/>
    </w:lvl>
  </w:abstractNum>
  <w:abstractNum w:abstractNumId="38">
    <w:nsid w:val="4F4EF005"/>
    <w:multiLevelType w:val="hybridMultilevel"/>
    <w:lvl w:ilvl="0">
      <w:lvlJc w:val="left"/>
      <w:lvlText w:val="%1"/>
      <w:numFmt w:val="lowerLetter"/>
      <w:start w:val="1"/>
    </w:lvl>
    <w:lvl w:ilvl="1">
      <w:lvlJc w:val="left"/>
      <w:lvlText w:val="(%2)"/>
      <w:numFmt w:val="lowerLetter"/>
      <w:start w:val="6"/>
    </w:lvl>
  </w:abstractNum>
  <w:abstractNum w:abstractNumId="39">
    <w:nsid w:val="23F9C13C"/>
    <w:multiLevelType w:val="hybridMultilevel"/>
    <w:lvl w:ilvl="0">
      <w:lvlJc w:val="left"/>
      <w:lvlText w:val="(%1)"/>
      <w:numFmt w:val="lowerLetter"/>
      <w:start w:val="35"/>
    </w:lvl>
    <w:lvl w:ilvl="1">
      <w:lvlJc w:val="left"/>
      <w:lvlText w:val="(%2)"/>
      <w:numFmt w:val="lowerLetter"/>
      <w:start w:val="7"/>
    </w:lvl>
  </w:abstractNum>
  <w:abstractNum w:abstractNumId="40">
    <w:nsid w:val="649BB77C"/>
    <w:multiLevelType w:val="hybridMultilevel"/>
    <w:lvl w:ilvl="0">
      <w:lvlJc w:val="left"/>
      <w:lvlText w:val="%1."/>
      <w:numFmt w:val="decimal"/>
      <w:start w:val="7"/>
    </w:lvl>
  </w:abstractNum>
  <w:abstractNum w:abstractNumId="41">
    <w:nsid w:val="275AC7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2">
    <w:nsid w:val="39386575"/>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43">
    <w:nsid w:val="1CF10FD8"/>
    <w:multiLevelType w:val="hybridMultilevel"/>
    <w:lvl w:ilvl="0">
      <w:lvlJc w:val="left"/>
      <w:lvlText w:val="(%1)"/>
      <w:numFmt w:val="lowerRoman"/>
      <w:start w:val="2"/>
    </w:lvl>
  </w:abstractNum>
  <w:abstractNum w:abstractNumId="44">
    <w:nsid w:val="180115BE"/>
    <w:multiLevelType w:val="hybridMultilevel"/>
    <w:lvl w:ilvl="0">
      <w:lvlJc w:val="left"/>
      <w:lvlText w:val="(%1)"/>
      <w:numFmt w:val="lowerRoman"/>
      <w:start w:val="5"/>
    </w:lvl>
  </w:abstractNum>
  <w:abstractNum w:abstractNumId="45">
    <w:nsid w:val="235BA861"/>
    <w:multiLevelType w:val="hybridMultilevel"/>
    <w:lvl w:ilvl="0">
      <w:lvlJc w:val="left"/>
      <w:lvlText w:val="(%1)"/>
      <w:numFmt w:val="lowerRoman"/>
      <w:start w:val="10"/>
    </w:lvl>
  </w:abstractNum>
  <w:abstractNum w:abstractNumId="46">
    <w:nsid w:val="47398C89"/>
    <w:multiLevelType w:val="hybridMultilevel"/>
    <w:lvl w:ilvl="0">
      <w:lvlJc w:val="left"/>
      <w:lvlText w:val="(%1)"/>
      <w:numFmt w:val="decimal"/>
      <w:start w:val="3"/>
    </w:lvl>
    <w:lvl w:ilvl="1">
      <w:lvlJc w:val="left"/>
      <w:lvlText w:val="(%2)"/>
      <w:numFmt w:val="lowerRoman"/>
      <w:start w:val="13"/>
    </w:lvl>
  </w:abstractNum>
  <w:abstractNum w:abstractNumId="47">
    <w:nsid w:val="354FE9F9"/>
    <w:multiLevelType w:val="hybridMultilevel"/>
    <w:lvl w:ilvl="0">
      <w:lvlJc w:val="left"/>
      <w:lvlText w:val="(%1)"/>
      <w:numFmt w:val="upperLetter"/>
      <w:start w:val="1"/>
    </w:lvl>
  </w:abstractNum>
  <w:abstractNum w:abstractNumId="48">
    <w:nsid w:val="15B5AF5C"/>
    <w:multiLevelType w:val="hybridMultilevel"/>
    <w:lvl w:ilvl="0">
      <w:lvlJc w:val="left"/>
      <w:lvlText w:val="(%1)"/>
      <w:numFmt w:val="lowerLetter"/>
      <w:start w:val="4"/>
    </w:lvl>
    <w:lvl w:ilvl="1">
      <w:lvlJc w:val="left"/>
      <w:lvlText w:val="(%2)"/>
      <w:numFmt w:val="lowerLetter"/>
      <w:start w:val="9"/>
    </w:lvl>
  </w:abstractNum>
  <w:abstractNum w:abstractNumId="49">
    <w:nsid w:val="741226BB"/>
    <w:multiLevelType w:val="hybridMultilevel"/>
    <w:lvl w:ilvl="0">
      <w:lvlJc w:val="left"/>
      <w:lvlText w:val="(%1)"/>
      <w:numFmt w:val="lowerLetter"/>
      <w:start w:val="9"/>
    </w:lvl>
    <w:lvl w:ilvl="1">
      <w:lvlJc w:val="left"/>
      <w:lvlText w:val="%2"/>
      <w:numFmt w:val="lowerLetter"/>
      <w:start w:val="1"/>
    </w:lvl>
  </w:abstractNum>
  <w:abstractNum w:abstractNumId="50">
    <w:nsid w:val="D34B6A8"/>
    <w:multiLevelType w:val="hybridMultilevel"/>
    <w:lvl w:ilvl="0">
      <w:lvlJc w:val="left"/>
      <w:lvlText w:val="(%1)"/>
      <w:numFmt w:val="lowerRoman"/>
      <w:start w:val="2"/>
    </w:lvl>
  </w:abstractNum>
  <w:abstractNum w:abstractNumId="51">
    <w:nsid w:val="10233C99"/>
    <w:multiLevelType w:val="hybridMultilevel"/>
    <w:lvl w:ilvl="0">
      <w:lvlJc w:val="left"/>
      <w:lvlText w:val="(%1)"/>
      <w:numFmt w:val="upperLetter"/>
      <w:start w:val="1"/>
    </w:lvl>
  </w:abstractNum>
  <w:abstractNum w:abstractNumId="52">
    <w:nsid w:val="3F6AB60F"/>
    <w:multiLevelType w:val="hybridMultilevel"/>
    <w:lvl w:ilvl="0">
      <w:lvlJc w:val="left"/>
      <w:lvlText w:val="(%1)"/>
      <w:numFmt w:val="lowerLetter"/>
      <w:start w:val="5"/>
    </w:lvl>
    <w:lvl w:ilvl="1">
      <w:lvlJc w:val="left"/>
      <w:lvlText w:val="(%2)"/>
      <w:numFmt w:val="lowerRoman"/>
      <w:start w:val="1"/>
    </w:lvl>
  </w:abstractNum>
  <w:abstractNum w:abstractNumId="53">
    <w:nsid w:val="61574095"/>
    <w:multiLevelType w:val="hybridMultilevel"/>
    <w:lvl w:ilvl="0">
      <w:lvlJc w:val="left"/>
      <w:lvlText w:val="(%1)"/>
      <w:numFmt w:val="lowerRoman"/>
      <w:start w:val="3"/>
    </w:lvl>
  </w:abstractNum>
  <w:abstractNum w:abstractNumId="54">
    <w:nsid w:val="7E0C57B1"/>
    <w:multiLevelType w:val="hybridMultilevel"/>
    <w:lvl w:ilvl="0">
      <w:lvlJc w:val="left"/>
      <w:lvlText w:val="(%1)"/>
      <w:numFmt w:val="upperLetter"/>
      <w:start w:val="4"/>
    </w:lvl>
  </w:abstractNum>
  <w:abstractNum w:abstractNumId="55">
    <w:nsid w:val="77AE35EB"/>
    <w:multiLevelType w:val="hybridMultilevel"/>
    <w:lvl w:ilvl="0">
      <w:lvlJc w:val="left"/>
      <w:lvlText w:val="(%1)"/>
      <w:numFmt w:val="lowerLetter"/>
      <w:start w:val="6"/>
    </w:lvl>
  </w:abstractNum>
  <w:abstractNum w:abstractNumId="56">
    <w:nsid w:val="579BE4F1"/>
    <w:multiLevelType w:val="hybridMultilevel"/>
    <w:lvl w:ilvl="0">
      <w:lvlJc w:val="left"/>
      <w:lvlText w:val="(%1)"/>
      <w:numFmt w:val="lowerLetter"/>
      <w:start w:val="7"/>
    </w:lvl>
    <w:lvl w:ilvl="1">
      <w:lvlJc w:val="left"/>
      <w:lvlText w:val="(%2)"/>
      <w:numFmt w:val="lowerRoman"/>
      <w:start w:val="1"/>
    </w:lvl>
  </w:abstractNum>
  <w:abstractNum w:abstractNumId="57">
    <w:nsid w:val="310C50B3"/>
    <w:multiLevelType w:val="hybridMultilevel"/>
    <w:lvl w:ilvl="0">
      <w:lvlJc w:val="left"/>
      <w:lvlText w:val="%1"/>
      <w:numFmt w:val="upperLetter"/>
      <w:start w:val="1"/>
    </w:lvl>
    <w:lvl w:ilvl="1">
      <w:lvlJc w:val="left"/>
      <w:lvlText w:val="(%2)"/>
      <w:numFmt w:val="lowerRoman"/>
      <w:start w:val="3"/>
    </w:lvl>
  </w:abstractNum>
  <w:abstractNum w:abstractNumId="58">
    <w:nsid w:val="5FF87E05"/>
    <w:multiLevelType w:val="hybridMultilevel"/>
    <w:lvl w:ilvl="0">
      <w:lvlJc w:val="left"/>
      <w:lvlText w:val="(%1)"/>
      <w:numFmt w:val="upperLetter"/>
      <w:start w:val="3"/>
    </w:lvl>
    <w:lvl w:ilvl="1">
      <w:lvlJc w:val="left"/>
      <w:lvlText w:val="%2"/>
      <w:numFmt w:val="lowerRoman"/>
      <w:start w:val="1"/>
    </w:lvl>
  </w:abstractNum>
  <w:abstractNum w:abstractNumId="59">
    <w:nsid w:val="2F305DEF"/>
    <w:multiLevelType w:val="hybridMultilevel"/>
    <w:lvl w:ilvl="0">
      <w:lvlJc w:val="left"/>
      <w:lvlText w:val="(%1)"/>
      <w:numFmt w:val="lowerLetter"/>
      <w:start w:val="10"/>
    </w:lvl>
  </w:abstractNum>
  <w:abstractNum w:abstractNumId="60">
    <w:nsid w:val="25A70BF7"/>
    <w:multiLevelType w:val="hybridMultilevel"/>
    <w:lvl w:ilvl="0">
      <w:lvlJc w:val="left"/>
      <w:lvlText w:val="%1."/>
      <w:numFmt w:val="decimal"/>
      <w:start w:val="8"/>
    </w:lvl>
  </w:abstractNum>
  <w:abstractNum w:abstractNumId="61">
    <w:nsid w:val="1DBABF00"/>
    <w:multiLevelType w:val="hybridMultilevel"/>
    <w:lvl w:ilvl="0">
      <w:lvlJc w:val="left"/>
      <w:lvlText w:val="(%1)"/>
      <w:numFmt w:val="lowerLetter"/>
      <w:start w:val="4"/>
    </w:lvl>
  </w:abstractNum>
  <w:abstractNum w:abstractNumId="62">
    <w:nsid w:val="4AD084E9"/>
    <w:multiLevelType w:val="hybridMultilevel"/>
    <w:lvl w:ilvl="0">
      <w:lvlJc w:val="left"/>
      <w:lvlText w:val="%1."/>
      <w:numFmt w:val="decimal"/>
      <w:start w:val="9"/>
    </w:lvl>
  </w:abstractNum>
  <w:abstractNum w:abstractNumId="63">
    <w:nsid w:val="1F48EAA1"/>
    <w:multiLevelType w:val="hybridMultilevel"/>
    <w:lvl w:ilvl="0">
      <w:lvlJc w:val="left"/>
      <w:lvlText w:val="%1."/>
      <w:numFmt w:val="decimal"/>
      <w:start w:val="10"/>
    </w:lvl>
  </w:abstractNum>
  <w:abstractNum w:abstractNumId="64">
    <w:nsid w:val="1381823A"/>
    <w:multiLevelType w:val="hybridMultilevel"/>
    <w:lvl w:ilvl="0">
      <w:lvlJc w:val="left"/>
      <w:lvlText w:val="%1."/>
      <w:numFmt w:val="decimal"/>
      <w:start w:val="12"/>
    </w:lvl>
  </w:abstractNum>
  <w:abstractNum w:abstractNumId="65">
    <w:nsid w:val="5DB70AE5"/>
    <w:multiLevelType w:val="hybridMultilevel"/>
    <w:lvl w:ilvl="0">
      <w:lvlJc w:val="left"/>
      <w:lvlText w:val="%1."/>
      <w:numFmt w:val="decimal"/>
      <w:start w:val="14"/>
    </w:lvl>
  </w:abstractNum>
  <w:abstractNum w:abstractNumId="66">
    <w:nsid w:val="100F8FCA"/>
    <w:multiLevelType w:val="hybridMultilevel"/>
    <w:lvl w:ilvl="0">
      <w:lvlJc w:val="left"/>
      <w:lvlText w:val="%1."/>
      <w:numFmt w:val="decimal"/>
      <w:start w:val="18"/>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lowerRoman"/>
      <w:start w:val="6"/>
    </w:lvl>
  </w:abstractNum>
  <w:abstractNum w:abstractNumId="69">
    <w:nsid w:val="5F5E7FD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2020-01-18T11:42:11Z</dcterms:created>
  <dcterms:modified xsi:type="dcterms:W3CDTF">2020-01-18T11:42:11Z</dcterms:modified>
</cp:coreProperties>
</file>