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333-207139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333-207139-01</w:t>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6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6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80" w:type="dxa"/>
            <w:vAlign w:val="bottom"/>
          </w:tcPr>
          <w:p>
            <w:pPr>
              <w:jc w:val="center"/>
              <w:ind w:left="609"/>
              <w:spacing w:after="0" w:line="117"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260" w:type="dxa"/>
            <w:vAlign w:val="bottom"/>
          </w:tcPr>
          <w:p>
            <w:pPr>
              <w:jc w:val="center"/>
              <w:ind w:left="566"/>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280" w:type="dxa"/>
            <w:vAlign w:val="bottom"/>
          </w:tcPr>
          <w:p>
            <w:pPr>
              <w:jc w:val="center"/>
              <w:ind w:left="60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4260" w:type="dxa"/>
            <w:vAlign w:val="bottom"/>
            <w:tcBorders>
              <w:bottom w:val="single" w:sz="8" w:color="auto"/>
            </w:tcBorders>
          </w:tcPr>
          <w:p>
            <w:pPr>
              <w:jc w:val="center"/>
              <w:ind w:left="586"/>
              <w:spacing w:after="0"/>
              <w:rPr>
                <w:sz w:val="20"/>
                <w:szCs w:val="20"/>
                <w:color w:val="auto"/>
              </w:rPr>
            </w:pPr>
            <w:r>
              <w:rPr>
                <w:rFonts w:ascii="Arial" w:cs="Arial" w:eastAsia="Arial" w:hAnsi="Arial"/>
                <w:sz w:val="14"/>
                <w:szCs w:val="14"/>
                <w:b w:val="1"/>
                <w:bCs w:val="1"/>
                <w:color w:val="auto"/>
                <w:w w:val="83"/>
              </w:rPr>
              <w:t>to be Registered</w:t>
            </w:r>
          </w:p>
        </w:tc>
        <w:tc>
          <w:tcPr>
            <w:tcW w:w="2280" w:type="dxa"/>
            <w:vAlign w:val="bottom"/>
            <w:tcBorders>
              <w:bottom w:val="single" w:sz="8" w:color="auto"/>
            </w:tcBorders>
          </w:tcPr>
          <w:p>
            <w:pPr>
              <w:jc w:val="center"/>
              <w:ind w:left="629"/>
              <w:spacing w:after="0"/>
              <w:rPr>
                <w:sz w:val="20"/>
                <w:szCs w:val="20"/>
                <w:color w:val="auto"/>
              </w:rPr>
            </w:pPr>
            <w:r>
              <w:rPr>
                <w:rFonts w:ascii="Arial" w:cs="Arial" w:eastAsia="Arial" w:hAnsi="Arial"/>
                <w:sz w:val="14"/>
                <w:szCs w:val="14"/>
                <w:b w:val="1"/>
                <w:bCs w:val="1"/>
                <w:color w:val="auto"/>
                <w:w w:val="89"/>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w:t>
            </w: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4.50% Senior Notes due 2026</w:t>
            </w:r>
          </w:p>
        </w:tc>
        <w:tc>
          <w:tcPr>
            <w:tcW w:w="2280" w:type="dxa"/>
            <w:vAlign w:val="bottom"/>
          </w:tcPr>
          <w:p>
            <w:pPr>
              <w:jc w:val="center"/>
              <w:ind w:left="609"/>
              <w:spacing w:after="0"/>
              <w:rPr>
                <w:sz w:val="20"/>
                <w:szCs w:val="20"/>
                <w:color w:val="auto"/>
              </w:rPr>
            </w:pPr>
            <w:r>
              <w:rPr>
                <w:rFonts w:ascii="Arial" w:cs="Arial" w:eastAsia="Arial" w:hAnsi="Arial"/>
                <w:sz w:val="18"/>
                <w:szCs w:val="18"/>
                <w:color w:val="auto"/>
                <w:w w:val="87"/>
              </w:rPr>
              <w:t>$747,870,000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$86,679(1)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40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333-207139 by means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$750,000,000 4.50%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395"/>
        <w:spacing w:after="0" w:line="268" w:lineRule="auto"/>
        <w:rPr>
          <w:sz w:val="20"/>
          <w:szCs w:val="20"/>
          <w:color w:val="auto"/>
        </w:rPr>
      </w:pPr>
      <w:r>
        <w:rPr>
          <w:rFonts w:ascii="Arial" w:cs="Arial" w:eastAsia="Arial" w:hAnsi="Arial"/>
          <w:sz w:val="18"/>
          <w:szCs w:val="18"/>
          <w:color w:val="auto"/>
        </w:rPr>
        <w:t>Plains All American Pipeline, L.P. and PAA Finance Corp. are offering $750 million aggregate principal amount of 4.50% Senior Notes due 2026 (the "Notes").</w:t>
      </w:r>
    </w:p>
    <w:p>
      <w:pPr>
        <w:spacing w:after="0" w:line="186"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We will pay interest on the Notes semi-annually in arrears on June 15 and December 15 of each year, beginning on June 15, 2017. The Notes will mature on December 15, 2026, unless redeemed prior to the maturity date.</w:t>
      </w:r>
    </w:p>
    <w:p>
      <w:pPr>
        <w:spacing w:after="0" w:line="186" w:lineRule="exact"/>
        <w:rPr>
          <w:sz w:val="20"/>
          <w:szCs w:val="20"/>
          <w:color w:val="auto"/>
        </w:rPr>
      </w:pPr>
    </w:p>
    <w:p>
      <w:pPr>
        <w:ind w:right="260" w:firstLine="392"/>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86" w:lineRule="exact"/>
        <w:rPr>
          <w:sz w:val="20"/>
          <w:szCs w:val="20"/>
          <w:color w:val="auto"/>
        </w:rPr>
      </w:pPr>
    </w:p>
    <w:p>
      <w:pPr>
        <w:ind w:right="120" w:firstLine="392"/>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86" w:lineRule="exact"/>
        <w:rPr>
          <w:sz w:val="20"/>
          <w:szCs w:val="20"/>
          <w:color w:val="auto"/>
        </w:rPr>
      </w:pPr>
    </w:p>
    <w:p>
      <w:pPr>
        <w:ind w:right="340" w:firstLine="392"/>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Investing in the Notes involves risks. See "Risk Factors" beginning on page S-5 of this prospectus supplement.</w:t>
      </w:r>
    </w:p>
    <w:p>
      <w:pPr>
        <w:spacing w:after="0" w:line="231" w:lineRule="exact"/>
        <w:rPr>
          <w:sz w:val="20"/>
          <w:szCs w:val="20"/>
          <w:color w:val="auto"/>
        </w:rPr>
      </w:pPr>
    </w:p>
    <w:p>
      <w:pPr>
        <w:ind w:right="100" w:firstLine="395"/>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93980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8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28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820" w:type="dxa"/>
            <w:vAlign w:val="bottom"/>
          </w:tcPr>
          <w:p>
            <w:pPr>
              <w:ind w:left="1600"/>
              <w:spacing w:after="0" w:line="117" w:lineRule="exact"/>
              <w:rPr>
                <w:sz w:val="20"/>
                <w:szCs w:val="20"/>
                <w:color w:val="auto"/>
              </w:rPr>
            </w:pPr>
            <w:r>
              <w:rPr>
                <w:rFonts w:ascii="Arial" w:cs="Arial" w:eastAsia="Arial" w:hAnsi="Arial"/>
                <w:sz w:val="12"/>
                <w:szCs w:val="12"/>
                <w:b w:val="1"/>
                <w:bCs w:val="1"/>
                <w:color w:val="auto"/>
              </w:rPr>
              <w:t>Public Offering</w:t>
            </w:r>
          </w:p>
        </w:tc>
        <w:tc>
          <w:tcPr>
            <w:tcW w:w="13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Underwriting</w:t>
            </w:r>
          </w:p>
        </w:tc>
        <w:tc>
          <w:tcPr>
            <w:tcW w:w="1420" w:type="dxa"/>
            <w:vAlign w:val="bottom"/>
          </w:tcPr>
          <w:p>
            <w:pPr>
              <w:jc w:val="center"/>
              <w:ind w:left="44"/>
              <w:spacing w:after="0" w:line="117" w:lineRule="exact"/>
              <w:rPr>
                <w:sz w:val="20"/>
                <w:szCs w:val="20"/>
                <w:color w:val="auto"/>
              </w:rPr>
            </w:pPr>
            <w:r>
              <w:rPr>
                <w:rFonts w:ascii="Arial" w:cs="Arial" w:eastAsia="Arial" w:hAnsi="Arial"/>
                <w:sz w:val="12"/>
                <w:szCs w:val="12"/>
                <w:b w:val="1"/>
                <w:bCs w:val="1"/>
                <w:color w:val="auto"/>
                <w:w w:val="99"/>
              </w:rPr>
              <w:t>Proceeds, Before</w:t>
            </w:r>
          </w:p>
        </w:tc>
      </w:tr>
      <w:tr>
        <w:trPr>
          <w:trHeight w:val="182"/>
        </w:trPr>
        <w:tc>
          <w:tcPr>
            <w:tcW w:w="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left="1204"/>
              <w:spacing w:after="0"/>
              <w:rPr>
                <w:sz w:val="20"/>
                <w:szCs w:val="20"/>
                <w:color w:val="auto"/>
              </w:rPr>
            </w:pPr>
            <w:r>
              <w:rPr>
                <w:rFonts w:ascii="Arial" w:cs="Arial" w:eastAsia="Arial" w:hAnsi="Arial"/>
                <w:sz w:val="14"/>
                <w:szCs w:val="14"/>
                <w:b w:val="1"/>
                <w:bCs w:val="1"/>
                <w:color w:val="auto"/>
                <w:w w:val="89"/>
              </w:rPr>
              <w:t>Price(1)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Discount</w:t>
            </w:r>
          </w:p>
        </w:tc>
        <w:tc>
          <w:tcPr>
            <w:tcW w:w="14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83"/>
              </w:rPr>
              <w:t>Expenses, to Us</w:t>
            </w:r>
          </w:p>
        </w:tc>
      </w:tr>
      <w:tr>
        <w:trPr>
          <w:trHeight w:val="222"/>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 Note</w:t>
            </w:r>
          </w:p>
        </w:tc>
        <w:tc>
          <w:tcPr>
            <w:tcW w:w="2820" w:type="dxa"/>
            <w:vAlign w:val="bottom"/>
          </w:tcPr>
          <w:p>
            <w:pPr>
              <w:jc w:val="center"/>
              <w:ind w:left="1204"/>
              <w:spacing w:after="0"/>
              <w:rPr>
                <w:sz w:val="20"/>
                <w:szCs w:val="20"/>
                <w:color w:val="auto"/>
              </w:rPr>
            </w:pPr>
            <w:r>
              <w:rPr>
                <w:rFonts w:ascii="Arial" w:cs="Arial" w:eastAsia="Arial" w:hAnsi="Arial"/>
                <w:sz w:val="18"/>
                <w:szCs w:val="18"/>
                <w:color w:val="auto"/>
                <w:w w:val="87"/>
              </w:rPr>
              <w:t>99.716%</w:t>
            </w:r>
          </w:p>
        </w:tc>
        <w:tc>
          <w:tcPr>
            <w:tcW w:w="1380" w:type="dxa"/>
            <w:vAlign w:val="bottom"/>
          </w:tcPr>
          <w:p>
            <w:pPr>
              <w:jc w:val="right"/>
              <w:ind w:right="344"/>
              <w:spacing w:after="0"/>
              <w:rPr>
                <w:sz w:val="20"/>
                <w:szCs w:val="20"/>
                <w:color w:val="auto"/>
              </w:rPr>
            </w:pPr>
            <w:r>
              <w:rPr>
                <w:rFonts w:ascii="Arial" w:cs="Arial" w:eastAsia="Arial" w:hAnsi="Arial"/>
                <w:sz w:val="18"/>
                <w:szCs w:val="18"/>
                <w:color w:val="auto"/>
              </w:rPr>
              <w:t>0.650%</w:t>
            </w:r>
          </w:p>
        </w:tc>
        <w:tc>
          <w:tcPr>
            <w:tcW w:w="1420" w:type="dxa"/>
            <w:vAlign w:val="bottom"/>
          </w:tcPr>
          <w:p>
            <w:pPr>
              <w:jc w:val="right"/>
              <w:ind w:right="264"/>
              <w:spacing w:after="0"/>
              <w:rPr>
                <w:sz w:val="20"/>
                <w:szCs w:val="20"/>
                <w:color w:val="auto"/>
              </w:rPr>
            </w:pPr>
            <w:r>
              <w:rPr>
                <w:rFonts w:ascii="Arial" w:cs="Arial" w:eastAsia="Arial" w:hAnsi="Arial"/>
                <w:sz w:val="18"/>
                <w:szCs w:val="18"/>
                <w:color w:val="auto"/>
              </w:rPr>
              <w:t>99.066%</w:t>
            </w:r>
          </w:p>
        </w:tc>
      </w:tr>
      <w:tr>
        <w:trPr>
          <w:trHeight w:val="21"/>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40"/>
              <w:spacing w:after="0"/>
              <w:rPr>
                <w:sz w:val="20"/>
                <w:szCs w:val="20"/>
                <w:color w:val="auto"/>
              </w:rPr>
            </w:pPr>
            <w:r>
              <w:rPr>
                <w:rFonts w:ascii="Arial" w:cs="Arial" w:eastAsia="Arial" w:hAnsi="Arial"/>
                <w:sz w:val="18"/>
                <w:szCs w:val="18"/>
                <w:color w:val="auto"/>
              </w:rPr>
              <w:t>Total</w:t>
            </w:r>
          </w:p>
        </w:tc>
        <w:tc>
          <w:tcPr>
            <w:tcW w:w="2820" w:type="dxa"/>
            <w:vAlign w:val="bottom"/>
          </w:tcPr>
          <w:p>
            <w:pPr>
              <w:jc w:val="center"/>
              <w:ind w:left="1204"/>
              <w:spacing w:after="0"/>
              <w:rPr>
                <w:sz w:val="20"/>
                <w:szCs w:val="20"/>
                <w:color w:val="auto"/>
              </w:rPr>
            </w:pPr>
            <w:r>
              <w:rPr>
                <w:rFonts w:ascii="Arial" w:cs="Arial" w:eastAsia="Arial" w:hAnsi="Arial"/>
                <w:sz w:val="18"/>
                <w:szCs w:val="18"/>
                <w:color w:val="auto"/>
                <w:w w:val="88"/>
              </w:rPr>
              <w:t>$747,870,000</w:t>
            </w:r>
          </w:p>
        </w:tc>
        <w:tc>
          <w:tcPr>
            <w:tcW w:w="1380" w:type="dxa"/>
            <w:vAlign w:val="bottom"/>
          </w:tcPr>
          <w:p>
            <w:pPr>
              <w:jc w:val="right"/>
              <w:ind w:right="224"/>
              <w:spacing w:after="0"/>
              <w:rPr>
                <w:sz w:val="20"/>
                <w:szCs w:val="20"/>
                <w:color w:val="auto"/>
              </w:rPr>
            </w:pPr>
            <w:r>
              <w:rPr>
                <w:rFonts w:ascii="Arial" w:cs="Arial" w:eastAsia="Arial" w:hAnsi="Arial"/>
                <w:sz w:val="18"/>
                <w:szCs w:val="18"/>
                <w:color w:val="auto"/>
              </w:rPr>
              <w:t>$4,875,000</w:t>
            </w:r>
          </w:p>
        </w:tc>
        <w:tc>
          <w:tcPr>
            <w:tcW w:w="1420" w:type="dxa"/>
            <w:vAlign w:val="bottom"/>
          </w:tcPr>
          <w:p>
            <w:pPr>
              <w:jc w:val="right"/>
              <w:ind w:right="84"/>
              <w:spacing w:after="0"/>
              <w:rPr>
                <w:sz w:val="20"/>
                <w:szCs w:val="20"/>
                <w:color w:val="auto"/>
              </w:rPr>
            </w:pPr>
            <w:r>
              <w:rPr>
                <w:rFonts w:ascii="Arial" w:cs="Arial" w:eastAsia="Arial" w:hAnsi="Arial"/>
                <w:sz w:val="18"/>
                <w:szCs w:val="18"/>
                <w:color w:val="auto"/>
              </w:rPr>
              <w:t>$742,995,000</w:t>
            </w:r>
          </w:p>
        </w:tc>
      </w:tr>
      <w:tr>
        <w:trPr>
          <w:trHeight w:val="21"/>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November 22, 2016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November 22, 2016, the fifth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380"/>
          </w:cols>
          <w:pgMar w:left="240" w:top="131" w:right="279" w:bottom="0" w:gutter="0" w:footer="0" w:header="0"/>
        </w:sectPr>
      </w:pP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BNP PARIBAS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ectPr>
          <w:pgSz w:w="11900" w:h="16838" w:orient="portrait"/>
          <w:cols w:equalWidth="0" w:num="4">
            <w:col w:w="2500" w:space="720"/>
            <w:col w:w="1420" w:space="680"/>
            <w:col w:w="2180" w:space="720"/>
            <w:col w:w="3160"/>
          </w:cols>
          <w:pgMar w:left="240" w:top="131" w:right="279" w:bottom="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BBVA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DNB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SMBC Nikko</w:t>
      </w:r>
    </w:p>
    <w:p>
      <w:pPr>
        <w:spacing w:after="0" w:line="200" w:lineRule="exact"/>
        <w:rPr>
          <w:sz w:val="20"/>
          <w:szCs w:val="20"/>
          <w:color w:val="auto"/>
        </w:rPr>
      </w:pPr>
    </w:p>
    <w:p>
      <w:pPr>
        <w:sectPr>
          <w:pgSz w:w="11900" w:h="16838" w:orient="portrait"/>
          <w:cols w:equalWidth="0" w:num="3">
            <w:col w:w="4560" w:space="720"/>
            <w:col w:w="2100" w:space="720"/>
            <w:col w:w="3280"/>
          </w:cols>
          <w:pgMar w:left="240" w:top="131" w:right="279" w:bottom="0" w:gutter="0" w:footer="0" w:header="0"/>
          <w:type w:val="continuous"/>
        </w:sectPr>
      </w:pP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380"/>
          </w:cols>
          <w:pgMar w:left="240" w:top="131" w:right="279" w:bottom="0" w:gutter="0" w:footer="0" w:header="0"/>
          <w:type w:val="continuous"/>
        </w:sectPr>
      </w:pP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CIBC Capital Markets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60" w:firstLine="1478"/>
        <w:spacing w:after="0" w:line="275" w:lineRule="auto"/>
        <w:rPr>
          <w:sz w:val="20"/>
          <w:szCs w:val="20"/>
          <w:color w:val="auto"/>
        </w:rPr>
      </w:pPr>
      <w:r>
        <w:rPr>
          <w:rFonts w:ascii="Arial" w:cs="Arial" w:eastAsia="Arial" w:hAnsi="Arial"/>
          <w:sz w:val="18"/>
          <w:szCs w:val="18"/>
          <w:b w:val="1"/>
          <w:bCs w:val="1"/>
          <w:color w:val="auto"/>
        </w:rPr>
        <w:t>Fifth Third Securities 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119380</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100" w:firstLine="540"/>
        <w:spacing w:after="0" w:line="275" w:lineRule="auto"/>
        <w:rPr>
          <w:sz w:val="20"/>
          <w:szCs w:val="20"/>
          <w:color w:val="auto"/>
        </w:rPr>
      </w:pPr>
      <w:r>
        <w:rPr>
          <w:rFonts w:ascii="Arial" w:cs="Arial" w:eastAsia="Arial" w:hAnsi="Arial"/>
          <w:sz w:val="18"/>
          <w:szCs w:val="18"/>
          <w:b w:val="1"/>
          <w:bCs w:val="1"/>
          <w:color w:val="auto"/>
        </w:rPr>
        <w:t>PNC Capital Markets LLC US Bancorp</w:t>
      </w:r>
    </w:p>
    <w:p>
      <w:pPr>
        <w:sectPr>
          <w:pgSz w:w="11900" w:h="16838" w:orient="portrait"/>
          <w:cols w:equalWidth="0" w:num="4">
            <w:col w:w="2960" w:space="0"/>
            <w:col w:w="3280" w:space="720"/>
            <w:col w:w="340" w:space="400"/>
            <w:col w:w="3680"/>
          </w:cols>
          <w:pgMar w:left="240" w:top="131" w:right="279" w:bottom="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5"/>
          <w:szCs w:val="15"/>
          <w:color w:val="auto"/>
        </w:rPr>
        <w:t>The date of this prospectus supplement is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4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8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6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Important Notice About Information in this Prospectus Supplement and the Accompanying Base Prospectus</w:t>
              </w:r>
            </w:hyperlink>
          </w:p>
        </w:tc>
        <w:tc>
          <w:tcPr>
            <w:tcW w:w="20" w:type="dxa"/>
            <w:vAlign w:val="bottom"/>
          </w:tcPr>
          <w:p>
            <w:pPr>
              <w:spacing w:after="0"/>
              <w:rPr>
                <w:sz w:val="24"/>
                <w:szCs w:val="24"/>
                <w:color w:val="auto"/>
              </w:rPr>
            </w:pPr>
          </w:p>
        </w:tc>
        <w:tc>
          <w:tcPr>
            <w:tcW w:w="320" w:type="dxa"/>
            <w:vAlign w:val="bottom"/>
            <w:gridSpan w:val="5"/>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S-ii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5520" w:type="dxa"/>
            <w:vAlign w:val="bottom"/>
            <w:tcBorders>
              <w:top w:val="single" w:sz="8" w:color="0000EE"/>
            </w:tcBorders>
            <w:gridSpan w:val="10"/>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S-ii</w:t>
              </w:r>
            </w:hyperlink>
          </w:p>
        </w:tc>
      </w:tr>
      <w:tr>
        <w:trPr>
          <w:trHeight w:val="196"/>
        </w:trPr>
        <w:tc>
          <w:tcPr>
            <w:tcW w:w="114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Prospectus Supplement Summary</w:t>
              </w:r>
            </w:hyperlink>
          </w:p>
        </w:tc>
        <w:tc>
          <w:tcPr>
            <w:tcW w:w="6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8">
              <w:r>
                <w:rPr>
                  <w:rFonts w:ascii="Arial" w:cs="Arial" w:eastAsia="Arial" w:hAnsi="Arial"/>
                  <w:sz w:val="18"/>
                  <w:szCs w:val="18"/>
                  <w:color w:val="0000EE"/>
                  <w:w w:val="78"/>
                </w:rPr>
                <w:t>S-1</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77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S-5</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Use of Proceeds</w:t>
              </w:r>
            </w:hyperlink>
          </w:p>
        </w:tc>
        <w:tc>
          <w:tcPr>
            <w:tcW w:w="74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4">
              <w:r>
                <w:rPr>
                  <w:rFonts w:ascii="Arial" w:cs="Arial" w:eastAsia="Arial" w:hAnsi="Arial"/>
                  <w:sz w:val="18"/>
                  <w:szCs w:val="18"/>
                  <w:color w:val="0000EE"/>
                  <w:w w:val="78"/>
                </w:rPr>
                <w:t>S-7</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Ratio of Earnings to Fixed Charges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S-8</w:t>
              </w:r>
            </w:hyperlink>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1"/>
          </w:tcPr>
          <w:p>
            <w:pPr>
              <w:spacing w:after="0"/>
              <w:rPr>
                <w:sz w:val="17"/>
                <w:szCs w:val="17"/>
                <w:color w:val="auto"/>
              </w:rPr>
            </w:pPr>
          </w:p>
        </w:tc>
        <w:tc>
          <w:tcPr>
            <w:tcW w:w="6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6">
              <w:r>
                <w:rPr>
                  <w:rFonts w:ascii="Arial" w:cs="Arial" w:eastAsia="Arial" w:hAnsi="Arial"/>
                  <w:sz w:val="18"/>
                  <w:szCs w:val="18"/>
                  <w:color w:val="0000EE"/>
                  <w:w w:val="78"/>
                </w:rPr>
                <w:t>S-9</w:t>
              </w:r>
            </w:hyperlink>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Notes</w:t>
              </w:r>
            </w:hyperlink>
          </w:p>
        </w:tc>
        <w:tc>
          <w:tcPr>
            <w:tcW w:w="71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8">
              <w:r>
                <w:rPr>
                  <w:rFonts w:ascii="Arial" w:cs="Arial" w:eastAsia="Arial" w:hAnsi="Arial"/>
                  <w:sz w:val="18"/>
                  <w:szCs w:val="18"/>
                  <w:color w:val="0000EE"/>
                  <w:w w:val="78"/>
                </w:rPr>
                <w:t>S-11</w:t>
              </w:r>
            </w:hyperlink>
          </w:p>
        </w:tc>
      </w:tr>
      <w:tr>
        <w:trPr>
          <w:trHeight w:val="196"/>
        </w:trPr>
        <w:tc>
          <w:tcPr>
            <w:tcW w:w="114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Book Entry, Delivery and Form</w:t>
              </w:r>
            </w:hyperlink>
          </w:p>
        </w:tc>
        <w:tc>
          <w:tcPr>
            <w:tcW w:w="6400" w:type="dxa"/>
            <w:vAlign w:val="bottom"/>
            <w:gridSpan w:val="10"/>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S-24</w:t>
              </w:r>
            </w:hyperlink>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Material U.S. Federal Income Tax Consequences</w:t>
              </w:r>
            </w:hyperlink>
          </w:p>
        </w:tc>
        <w:tc>
          <w:tcPr>
            <w:tcW w:w="5180" w:type="dxa"/>
            <w:vAlign w:val="bottom"/>
            <w:gridSpan w:val="2"/>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S-27</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Underwriting</w:t>
              </w:r>
            </w:hyperlink>
          </w:p>
        </w:tc>
        <w:tc>
          <w:tcPr>
            <w:tcW w:w="7680" w:type="dxa"/>
            <w:vAlign w:val="bottom"/>
            <w:gridSpan w:val="20"/>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S-33</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S-37</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7660" w:type="dxa"/>
            <w:vAlign w:val="bottom"/>
            <w:gridSpan w:val="19"/>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S-37</w:t>
              </w:r>
            </w:hyperlink>
          </w:p>
        </w:tc>
      </w:tr>
      <w:tr>
        <w:trPr>
          <w:trHeight w:val="451"/>
        </w:trPr>
        <w:tc>
          <w:tcPr>
            <w:tcW w:w="1140" w:type="dxa"/>
            <w:vAlign w:val="bottom"/>
          </w:tcPr>
          <w:p>
            <w:pPr>
              <w:spacing w:after="0"/>
              <w:rPr>
                <w:sz w:val="24"/>
                <w:szCs w:val="24"/>
                <w:color w:val="auto"/>
              </w:rPr>
            </w:pPr>
          </w:p>
        </w:tc>
        <w:tc>
          <w:tcPr>
            <w:tcW w:w="2800" w:type="dxa"/>
            <w:vAlign w:val="bottom"/>
            <w:tcBorders>
              <w:top w:val="single" w:sz="8" w:color="0000EE"/>
            </w:tcBorders>
            <w:gridSpan w:val="19"/>
          </w:tcPr>
          <w:p>
            <w:pPr>
              <w:spacing w:after="0"/>
              <w:rPr>
                <w:sz w:val="20"/>
                <w:szCs w:val="20"/>
                <w:color w:val="auto"/>
              </w:rPr>
            </w:pPr>
            <w:r>
              <w:rPr>
                <w:rFonts w:ascii="Arial" w:cs="Arial" w:eastAsia="Arial" w:hAnsi="Arial"/>
                <w:sz w:val="18"/>
                <w:szCs w:val="18"/>
                <w:b w:val="1"/>
                <w:bCs w:val="1"/>
                <w:color w:val="auto"/>
              </w:rPr>
              <w:t>Prospectus</w:t>
            </w:r>
          </w:p>
        </w:tc>
        <w:tc>
          <w:tcPr>
            <w:tcW w:w="5840" w:type="dxa"/>
            <w:vAlign w:val="bottom"/>
            <w:gridSpan w:val="5"/>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1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6"/>
          </w:tcPr>
          <w:p>
            <w:pPr>
              <w:spacing w:after="0"/>
              <w:rPr>
                <w:sz w:val="17"/>
                <w:szCs w:val="17"/>
                <w:color w:val="auto"/>
              </w:rPr>
            </w:pPr>
          </w:p>
        </w:tc>
        <w:tc>
          <w:tcPr>
            <w:tcW w:w="58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2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About Plains All American Pipeline, L.P.</w:t>
              </w:r>
            </w:hyperlink>
          </w:p>
        </w:tc>
        <w:tc>
          <w:tcPr>
            <w:tcW w:w="5700" w:type="dxa"/>
            <w:vAlign w:val="bottom"/>
            <w:gridSpan w:val="4"/>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2040" w:type="dxa"/>
            <w:vAlign w:val="bottom"/>
            <w:gridSpan w:val="17"/>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580" w:type="dxa"/>
            <w:vAlign w:val="bottom"/>
            <w:gridSpan w:val="18"/>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Ratio Of Earnings To Fixed Charges</w:t>
              </w:r>
            </w:hyperlink>
          </w:p>
        </w:tc>
        <w:tc>
          <w:tcPr>
            <w:tcW w:w="6060" w:type="dxa"/>
            <w:vAlign w:val="bottom"/>
            <w:gridSpan w:val="6"/>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6"/>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Our Debt Securities</w:t>
              </w:r>
            </w:hyperlink>
          </w:p>
        </w:tc>
        <w:tc>
          <w:tcPr>
            <w:tcW w:w="120" w:type="dxa"/>
            <w:vAlign w:val="bottom"/>
            <w:gridSpan w:val="2"/>
          </w:tcPr>
          <w:p>
            <w:pPr>
              <w:spacing w:after="0"/>
              <w:rPr>
                <w:sz w:val="17"/>
                <w:szCs w:val="17"/>
                <w:color w:val="auto"/>
              </w:rPr>
            </w:pPr>
          </w:p>
        </w:tc>
        <w:tc>
          <w:tcPr>
            <w:tcW w:w="6060" w:type="dxa"/>
            <w:vAlign w:val="bottom"/>
            <w:gridSpan w:val="6"/>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Description of Our Common Units</w:t>
              </w:r>
            </w:hyperlink>
          </w:p>
        </w:tc>
        <w:tc>
          <w:tcPr>
            <w:tcW w:w="6180" w:type="dxa"/>
            <w:vAlign w:val="bottom"/>
            <w:gridSpan w:val="8"/>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Cash Distribution Policy</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Our Partnership Agreement</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Material U.S. Federal Income Tax Consequences</w:t>
              </w:r>
            </w:hyperlink>
          </w:p>
        </w:tc>
        <w:tc>
          <w:tcPr>
            <w:tcW w:w="5180" w:type="dxa"/>
            <w:vAlign w:val="bottom"/>
            <w:gridSpan w:val="2"/>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8640" w:type="dxa"/>
            <w:vAlign w:val="bottom"/>
            <w:gridSpan w:val="2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Plan of Distribution</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Legal Matters</w:t>
              </w:r>
            </w:hyperlink>
          </w:p>
        </w:tc>
        <w:tc>
          <w:tcPr>
            <w:tcW w:w="7240" w:type="dxa"/>
            <w:vAlign w:val="bottom"/>
            <w:gridSpan w:val="15"/>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Experts</w:t>
              </w:r>
            </w:hyperlink>
          </w:p>
        </w:tc>
        <w:tc>
          <w:tcPr>
            <w:tcW w:w="7660" w:type="dxa"/>
            <w:vAlign w:val="bottom"/>
            <w:gridSpan w:val="19"/>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 PROSPECTUS SUPPLEMENT AND THE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ACCOMPANYING BASE PROSPECTUS</w:t>
      </w:r>
    </w:p>
    <w:p>
      <w:pPr>
        <w:spacing w:after="0" w:line="21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86" w:lineRule="exact"/>
        <w:rPr>
          <w:sz w:val="20"/>
          <w:szCs w:val="20"/>
          <w:color w:val="auto"/>
        </w:rPr>
      </w:pPr>
    </w:p>
    <w:p>
      <w:pPr>
        <w:ind w:right="40" w:firstLine="345"/>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or incorporated by reference into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9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94"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expect delivery of the Notes will be made against payment therefor on or about November 22, 2016,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in production from existing oil and gas reserves, failure to develop or slowdown in the development of additional oil and gas reserves, whether from reduced cash flow to fund drilling or the inability to access capital, or other factors;</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2015 (File No. 001-14569) and in any subsequent quarterly reports on Form 10-Q,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40" w:firstLine="351"/>
        <w:spacing w:after="0" w:line="253"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2015 and in any subsequent quarterly report on Form 10-Q, which are incorporated by reference herein, for information regarding risks you should consider before making a decision to purchase any Notes in this offering.</w:t>
      </w:r>
    </w:p>
    <w:p>
      <w:pPr>
        <w:spacing w:after="0" w:line="201" w:lineRule="exact"/>
        <w:rPr>
          <w:sz w:val="20"/>
          <w:szCs w:val="20"/>
          <w:color w:val="auto"/>
        </w:rPr>
      </w:pPr>
    </w:p>
    <w:p>
      <w:pPr>
        <w:ind w:left="240" w:right="60" w:firstLine="351"/>
        <w:spacing w:after="0" w:line="294"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94"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left="2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and/or assets of a third-party buyer.</w:t>
      </w:r>
    </w:p>
    <w:p>
      <w:pPr>
        <w:spacing w:after="0" w:line="186" w:lineRule="exact"/>
        <w:rPr>
          <w:sz w:val="20"/>
          <w:szCs w:val="20"/>
          <w:color w:val="auto"/>
        </w:rPr>
      </w:pPr>
    </w:p>
    <w:p>
      <w:pPr>
        <w:ind w:left="240" w:right="440" w:firstLine="348"/>
        <w:spacing w:after="0" w:line="268"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969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96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94" w:lineRule="auto"/>
        <w:rPr>
          <w:sz w:val="20"/>
          <w:szCs w:val="20"/>
          <w:color w:val="auto"/>
        </w:rPr>
      </w:pPr>
      <w:r>
        <w:rPr>
          <w:rFonts w:ascii="Arial" w:cs="Arial" w:eastAsia="Arial" w:hAnsi="Arial"/>
          <w:sz w:val="16"/>
          <w:szCs w:val="16"/>
          <w:color w:val="auto"/>
        </w:rPr>
        <w:t>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left="240" w:right="40" w:firstLine="351"/>
        <w:spacing w:after="0" w:line="288" w:lineRule="auto"/>
        <w:rPr>
          <w:sz w:val="20"/>
          <w:szCs w:val="20"/>
          <w:color w:val="auto"/>
        </w:rPr>
      </w:pPr>
      <w:r>
        <w:rPr>
          <w:rFonts w:ascii="Arial" w:cs="Arial" w:eastAsia="Arial" w:hAnsi="Arial"/>
          <w:sz w:val="16"/>
          <w:szCs w:val="16"/>
          <w:color w:val="auto"/>
        </w:rPr>
        <w:t>On July 11, 2016, we entered into a Simplification Agreement (the "Simplification Agreement") with Plains GP Holdings, L.P. ("PAGP"), Plains AAP, L.P. ("Plains AAP"), PAA GP LLC ("PAA GP"), Plains All American GP LLC ("GP LLC") and PAA GP Holdings LLC. Pursuant to the Simplification Agreement, in exchange for the issuance by us to Plains AAP of approximately 245.5 million common units and our assumption of Plains AAP's outstanding debt of approximately $642 million, subject to certain adjustments, Plains AAP will contribute our incentive distribution rights to us for cancellation thereof and PAA GP's 2% economic general partner interest in us will be converted into a non-economic general partner interest. Following the closing of the transactions contemplated by the Simplification Agreement (the "Simplification"), which is expected to occur on November 15, 2016, both PAA and PAGP will continue to be publicly traded. We will be required to repay the outstanding indebtedness of Plains AAP assumed by us in connection with the Simplification within two business days after the day on which the transactions contemplated by the Simplification close, which repayment date is expected to be November 17, 2016.</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34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2015 and our Quarterly Reports on Form 10-Q for the quarterly periods ended March 31, 2016, June 30, 2016 and September 30, 2016,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576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500" w:firstLine="348"/>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ind w:left="1340"/>
              <w:spacing w:after="0"/>
              <w:rPr>
                <w:sz w:val="20"/>
                <w:szCs w:val="20"/>
                <w:color w:val="auto"/>
              </w:rPr>
            </w:pPr>
            <w:r>
              <w:rPr>
                <w:rFonts w:ascii="Arial" w:cs="Arial" w:eastAsia="Arial" w:hAnsi="Arial"/>
                <w:sz w:val="18"/>
                <w:szCs w:val="18"/>
                <w:color w:val="auto"/>
              </w:rPr>
              <w:t>Issuers</w:t>
            </w:r>
          </w:p>
        </w:tc>
        <w:tc>
          <w:tcPr>
            <w:tcW w:w="7720" w:type="dxa"/>
            <w:vAlign w:val="bottom"/>
          </w:tcPr>
          <w:p>
            <w:pPr>
              <w:ind w:left="800"/>
              <w:spacing w:after="0"/>
              <w:rPr>
                <w:sz w:val="20"/>
                <w:szCs w:val="20"/>
                <w:color w:val="auto"/>
              </w:rPr>
            </w:pPr>
            <w:r>
              <w:rPr>
                <w:rFonts w:ascii="Arial" w:cs="Arial" w:eastAsia="Arial" w:hAnsi="Arial"/>
                <w:sz w:val="18"/>
                <w:szCs w:val="18"/>
                <w:color w:val="auto"/>
              </w:rPr>
              <w:t>Plains All American Pipeline, L.P. and PAA Finance Corp.</w:t>
            </w:r>
          </w:p>
        </w:tc>
      </w:tr>
      <w:tr>
        <w:trPr>
          <w:trHeight w:val="453"/>
        </w:trPr>
        <w:tc>
          <w:tcPr>
            <w:tcW w:w="3700" w:type="dxa"/>
            <w:vAlign w:val="bottom"/>
          </w:tcPr>
          <w:p>
            <w:pPr>
              <w:spacing w:after="0"/>
              <w:rPr>
                <w:sz w:val="24"/>
                <w:szCs w:val="24"/>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PAA Finance Corp., a Delaware corporation, is a wholly owned subsidiary of</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Plains All American Pipeline, L.P. that has been organized for the purpose of</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co-issuing our existing notes, the Notes offered hereby and the notes issued in</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any future offerings. PAA Finance Corp. does not have operations of any kind</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and will not have any revenue other than as may be incidental to its activities</w:t>
            </w:r>
          </w:p>
        </w:tc>
      </w:tr>
      <w:tr>
        <w:trPr>
          <w:trHeight w:val="222"/>
        </w:trPr>
        <w:tc>
          <w:tcPr>
            <w:tcW w:w="370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as a co-issuer of our debt securities.</w:t>
            </w:r>
          </w:p>
        </w:tc>
      </w:tr>
      <w:tr>
        <w:trPr>
          <w:trHeight w:val="453"/>
        </w:trPr>
        <w:tc>
          <w:tcPr>
            <w:tcW w:w="3700" w:type="dxa"/>
            <w:vAlign w:val="bottom"/>
          </w:tcPr>
          <w:p>
            <w:pPr>
              <w:ind w:left="1340"/>
              <w:spacing w:after="0"/>
              <w:rPr>
                <w:sz w:val="20"/>
                <w:szCs w:val="20"/>
                <w:color w:val="auto"/>
              </w:rPr>
            </w:pPr>
            <w:r>
              <w:rPr>
                <w:rFonts w:ascii="Arial" w:cs="Arial" w:eastAsia="Arial" w:hAnsi="Arial"/>
                <w:sz w:val="18"/>
                <w:szCs w:val="18"/>
                <w:color w:val="auto"/>
              </w:rPr>
              <w:t>Future guarantees</w:t>
            </w:r>
          </w:p>
        </w:tc>
        <w:tc>
          <w:tcPr>
            <w:tcW w:w="7720" w:type="dxa"/>
            <w:vAlign w:val="bottom"/>
          </w:tcPr>
          <w:p>
            <w:pPr>
              <w:ind w:left="800"/>
              <w:spacing w:after="0"/>
              <w:rPr>
                <w:sz w:val="20"/>
                <w:szCs w:val="20"/>
                <w:color w:val="auto"/>
              </w:rPr>
            </w:pPr>
            <w:r>
              <w:rPr>
                <w:rFonts w:ascii="Arial" w:cs="Arial" w:eastAsia="Arial" w:hAnsi="Arial"/>
                <w:sz w:val="18"/>
                <w:szCs w:val="18"/>
                <w:color w:val="auto"/>
              </w:rPr>
              <w:t>Initially, the Notes will not be guaranteed by any subsidiaries of the issuers. In</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the future, however, if any subsidiaries guarantee any of the issuers' other debt,</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then those subsidiaries will, jointly and severally, fully and unconditionally</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guarantee the issuers' payment obligations under the Notes. Please read</w:t>
            </w:r>
          </w:p>
        </w:tc>
      </w:tr>
      <w:tr>
        <w:trPr>
          <w:trHeight w:val="222"/>
        </w:trPr>
        <w:tc>
          <w:tcPr>
            <w:tcW w:w="370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"Description of Notes—Possible Future Guarantees."</w:t>
            </w:r>
          </w:p>
        </w:tc>
      </w:tr>
      <w:tr>
        <w:trPr>
          <w:trHeight w:val="459"/>
        </w:trPr>
        <w:tc>
          <w:tcPr>
            <w:tcW w:w="3700" w:type="dxa"/>
            <w:vAlign w:val="bottom"/>
          </w:tcPr>
          <w:p>
            <w:pPr>
              <w:ind w:left="1340"/>
              <w:spacing w:after="0"/>
              <w:rPr>
                <w:sz w:val="20"/>
                <w:szCs w:val="20"/>
                <w:color w:val="auto"/>
              </w:rPr>
            </w:pPr>
            <w:r>
              <w:rPr>
                <w:rFonts w:ascii="Arial" w:cs="Arial" w:eastAsia="Arial" w:hAnsi="Arial"/>
                <w:sz w:val="18"/>
                <w:szCs w:val="18"/>
                <w:color w:val="auto"/>
              </w:rPr>
              <w:t>Notes offered</w:t>
            </w:r>
          </w:p>
        </w:tc>
        <w:tc>
          <w:tcPr>
            <w:tcW w:w="7720" w:type="dxa"/>
            <w:vAlign w:val="bottom"/>
          </w:tcPr>
          <w:p>
            <w:pPr>
              <w:ind w:left="800"/>
              <w:spacing w:after="0"/>
              <w:rPr>
                <w:sz w:val="20"/>
                <w:szCs w:val="20"/>
                <w:color w:val="auto"/>
              </w:rPr>
            </w:pPr>
            <w:r>
              <w:rPr>
                <w:rFonts w:ascii="Arial" w:cs="Arial" w:eastAsia="Arial" w:hAnsi="Arial"/>
                <w:sz w:val="18"/>
                <w:szCs w:val="18"/>
                <w:color w:val="auto"/>
              </w:rPr>
              <w:t>$750,000,000 aggregate principal amount of 4.50% Senior Notes due 2026.</w:t>
            </w:r>
          </w:p>
        </w:tc>
      </w:tr>
      <w:tr>
        <w:trPr>
          <w:trHeight w:val="459"/>
        </w:trPr>
        <w:tc>
          <w:tcPr>
            <w:tcW w:w="3700" w:type="dxa"/>
            <w:vAlign w:val="bottom"/>
          </w:tcPr>
          <w:p>
            <w:pPr>
              <w:ind w:left="1340"/>
              <w:spacing w:after="0"/>
              <w:rPr>
                <w:sz w:val="20"/>
                <w:szCs w:val="20"/>
                <w:color w:val="auto"/>
              </w:rPr>
            </w:pPr>
            <w:r>
              <w:rPr>
                <w:rFonts w:ascii="Arial" w:cs="Arial" w:eastAsia="Arial" w:hAnsi="Arial"/>
                <w:sz w:val="18"/>
                <w:szCs w:val="18"/>
                <w:color w:val="auto"/>
              </w:rPr>
              <w:t>Maturity date</w:t>
            </w:r>
          </w:p>
        </w:tc>
        <w:tc>
          <w:tcPr>
            <w:tcW w:w="7720" w:type="dxa"/>
            <w:vAlign w:val="bottom"/>
          </w:tcPr>
          <w:p>
            <w:pPr>
              <w:ind w:left="800"/>
              <w:spacing w:after="0"/>
              <w:rPr>
                <w:sz w:val="20"/>
                <w:szCs w:val="20"/>
                <w:color w:val="auto"/>
              </w:rPr>
            </w:pPr>
            <w:r>
              <w:rPr>
                <w:rFonts w:ascii="Arial" w:cs="Arial" w:eastAsia="Arial" w:hAnsi="Arial"/>
                <w:sz w:val="18"/>
                <w:szCs w:val="18"/>
                <w:color w:val="auto"/>
              </w:rPr>
              <w:t>December 15, 2026.</w:t>
            </w:r>
          </w:p>
        </w:tc>
      </w:tr>
      <w:tr>
        <w:trPr>
          <w:trHeight w:val="459"/>
        </w:trPr>
        <w:tc>
          <w:tcPr>
            <w:tcW w:w="3700" w:type="dxa"/>
            <w:vAlign w:val="bottom"/>
          </w:tcPr>
          <w:p>
            <w:pPr>
              <w:ind w:left="1340"/>
              <w:spacing w:after="0"/>
              <w:rPr>
                <w:sz w:val="20"/>
                <w:szCs w:val="20"/>
                <w:color w:val="auto"/>
              </w:rPr>
            </w:pPr>
            <w:r>
              <w:rPr>
                <w:rFonts w:ascii="Arial" w:cs="Arial" w:eastAsia="Arial" w:hAnsi="Arial"/>
                <w:sz w:val="18"/>
                <w:szCs w:val="18"/>
                <w:color w:val="auto"/>
              </w:rPr>
              <w:t>Interest rate</w:t>
            </w:r>
          </w:p>
        </w:tc>
        <w:tc>
          <w:tcPr>
            <w:tcW w:w="7720" w:type="dxa"/>
            <w:vAlign w:val="bottom"/>
          </w:tcPr>
          <w:p>
            <w:pPr>
              <w:ind w:left="800"/>
              <w:spacing w:after="0"/>
              <w:rPr>
                <w:sz w:val="20"/>
                <w:szCs w:val="20"/>
                <w:color w:val="auto"/>
              </w:rPr>
            </w:pPr>
            <w:r>
              <w:rPr>
                <w:rFonts w:ascii="Arial" w:cs="Arial" w:eastAsia="Arial" w:hAnsi="Arial"/>
                <w:sz w:val="18"/>
                <w:szCs w:val="18"/>
                <w:color w:val="auto"/>
              </w:rPr>
              <w:t>4.50%.</w:t>
            </w:r>
          </w:p>
        </w:tc>
      </w:tr>
      <w:tr>
        <w:trPr>
          <w:trHeight w:val="453"/>
        </w:trPr>
        <w:tc>
          <w:tcPr>
            <w:tcW w:w="3700" w:type="dxa"/>
            <w:vAlign w:val="bottom"/>
          </w:tcPr>
          <w:p>
            <w:pPr>
              <w:ind w:left="1340"/>
              <w:spacing w:after="0"/>
              <w:rPr>
                <w:sz w:val="20"/>
                <w:szCs w:val="20"/>
                <w:color w:val="auto"/>
              </w:rPr>
            </w:pPr>
            <w:r>
              <w:rPr>
                <w:rFonts w:ascii="Arial" w:cs="Arial" w:eastAsia="Arial" w:hAnsi="Arial"/>
                <w:sz w:val="18"/>
                <w:szCs w:val="18"/>
                <w:color w:val="auto"/>
              </w:rPr>
              <w:t>Interest payment dates</w:t>
            </w:r>
          </w:p>
        </w:tc>
        <w:tc>
          <w:tcPr>
            <w:tcW w:w="7720" w:type="dxa"/>
            <w:vAlign w:val="bottom"/>
          </w:tcPr>
          <w:p>
            <w:pPr>
              <w:ind w:left="800"/>
              <w:spacing w:after="0"/>
              <w:rPr>
                <w:sz w:val="20"/>
                <w:szCs w:val="20"/>
                <w:color w:val="auto"/>
              </w:rPr>
            </w:pPr>
            <w:r>
              <w:rPr>
                <w:rFonts w:ascii="Arial" w:cs="Arial" w:eastAsia="Arial" w:hAnsi="Arial"/>
                <w:sz w:val="18"/>
                <w:szCs w:val="18"/>
                <w:color w:val="auto"/>
              </w:rPr>
              <w:t>We will pay interest on the Notes semi-annually in arrears on June 15 and of</w:t>
            </w:r>
          </w:p>
        </w:tc>
      </w:tr>
      <w:tr>
        <w:trPr>
          <w:trHeight w:val="222"/>
        </w:trPr>
        <w:tc>
          <w:tcPr>
            <w:tcW w:w="370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December 15 each year, beginning on June 15, 2017.</w:t>
            </w:r>
          </w:p>
        </w:tc>
      </w:tr>
      <w:tr>
        <w:trPr>
          <w:trHeight w:val="453"/>
        </w:trPr>
        <w:tc>
          <w:tcPr>
            <w:tcW w:w="3700" w:type="dxa"/>
            <w:vAlign w:val="bottom"/>
          </w:tcPr>
          <w:p>
            <w:pPr>
              <w:ind w:left="1340"/>
              <w:spacing w:after="0"/>
              <w:rPr>
                <w:sz w:val="20"/>
                <w:szCs w:val="20"/>
                <w:color w:val="auto"/>
              </w:rPr>
            </w:pPr>
            <w:r>
              <w:rPr>
                <w:rFonts w:ascii="Arial" w:cs="Arial" w:eastAsia="Arial" w:hAnsi="Arial"/>
                <w:sz w:val="18"/>
                <w:szCs w:val="18"/>
                <w:color w:val="auto"/>
              </w:rPr>
              <w:t>Optional redemption</w:t>
            </w:r>
          </w:p>
        </w:tc>
        <w:tc>
          <w:tcPr>
            <w:tcW w:w="7720" w:type="dxa"/>
            <w:vAlign w:val="bottom"/>
          </w:tcPr>
          <w:p>
            <w:pPr>
              <w:ind w:left="800"/>
              <w:spacing w:after="0"/>
              <w:rPr>
                <w:sz w:val="20"/>
                <w:szCs w:val="20"/>
                <w:color w:val="auto"/>
              </w:rPr>
            </w:pPr>
            <w:r>
              <w:rPr>
                <w:rFonts w:ascii="Arial" w:cs="Arial" w:eastAsia="Arial" w:hAnsi="Arial"/>
                <w:sz w:val="18"/>
                <w:szCs w:val="18"/>
                <w:color w:val="auto"/>
              </w:rPr>
              <w:t>We may redeem the Notes, in whole or in part, at any time and from time to</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time prior to maturity. If we redeem the Notes before September 15, 2026</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(three months prior to their maturity date), the Notes may be redeemed at a</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price equal to the greater of (i) 100% of the principal amount of the Notes to be</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redeemed or (ii) the sum of the present values of the remaining scheduled</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payments of principal of and interest on the Notes to be redeemed that would</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be due if the Notes matured three months prior to the maturity date (which we</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refer to as the "Par Call Date"), discounted to the redemption date on a</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semiannual basis at the Adjusted Treasury Rate (as defined herein) plus 35</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basis points, together with accrued and unpaid interest to the date of</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redemption. If we redeem the Notes on or after September 15, 2026 (three</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months prior to their maturity date), the redemption price will equal 100% of</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the principal amount of the Notes to be redeemed plus accrued and unpaid</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interest to the redemption date. See "Description of Notes—Optional</w:t>
            </w:r>
          </w:p>
        </w:tc>
      </w:tr>
      <w:tr>
        <w:trPr>
          <w:trHeight w:val="222"/>
        </w:trPr>
        <w:tc>
          <w:tcPr>
            <w:tcW w:w="370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Redemption."</w:t>
            </w:r>
          </w:p>
        </w:tc>
      </w:tr>
      <w:tr>
        <w:trPr>
          <w:trHeight w:val="453"/>
        </w:trPr>
        <w:tc>
          <w:tcPr>
            <w:tcW w:w="3700" w:type="dxa"/>
            <w:vAlign w:val="bottom"/>
          </w:tcPr>
          <w:p>
            <w:pPr>
              <w:ind w:left="1340"/>
              <w:spacing w:after="0"/>
              <w:rPr>
                <w:sz w:val="20"/>
                <w:szCs w:val="20"/>
                <w:color w:val="auto"/>
              </w:rPr>
            </w:pPr>
            <w:r>
              <w:rPr>
                <w:rFonts w:ascii="Arial" w:cs="Arial" w:eastAsia="Arial" w:hAnsi="Arial"/>
                <w:sz w:val="18"/>
                <w:szCs w:val="18"/>
                <w:color w:val="auto"/>
              </w:rPr>
              <w:t>Ranking</w:t>
            </w:r>
          </w:p>
        </w:tc>
        <w:tc>
          <w:tcPr>
            <w:tcW w:w="7720" w:type="dxa"/>
            <w:vAlign w:val="bottom"/>
          </w:tcPr>
          <w:p>
            <w:pPr>
              <w:ind w:left="800"/>
              <w:spacing w:after="0"/>
              <w:rPr>
                <w:sz w:val="20"/>
                <w:szCs w:val="20"/>
                <w:color w:val="auto"/>
              </w:rPr>
            </w:pPr>
            <w:r>
              <w:rPr>
                <w:rFonts w:ascii="Arial" w:cs="Arial" w:eastAsia="Arial" w:hAnsi="Arial"/>
                <w:sz w:val="18"/>
                <w:szCs w:val="18"/>
                <w:color w:val="auto"/>
              </w:rPr>
              <w:t>The Notes will be general senior unsecured obligations of the issuers and will</w:t>
            </w:r>
          </w:p>
        </w:tc>
      </w:tr>
      <w:tr>
        <w:trPr>
          <w:trHeight w:val="216"/>
        </w:trPr>
        <w:tc>
          <w:tcPr>
            <w:tcW w:w="3700" w:type="dxa"/>
            <w:vAlign w:val="bottom"/>
          </w:tcPr>
          <w:p>
            <w:pPr>
              <w:spacing w:after="0"/>
              <w:rPr>
                <w:sz w:val="18"/>
                <w:szCs w:val="18"/>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rank equally in right of payment with the existing and future senior</w:t>
            </w:r>
          </w:p>
        </w:tc>
      </w:tr>
      <w:tr>
        <w:trPr>
          <w:trHeight w:val="222"/>
        </w:trPr>
        <w:tc>
          <w:tcPr>
            <w:tcW w:w="370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indebtedness of the issuers.</w:t>
            </w:r>
          </w:p>
        </w:tc>
      </w:tr>
      <w:tr>
        <w:trPr>
          <w:trHeight w:val="444"/>
        </w:trPr>
        <w:tc>
          <w:tcPr>
            <w:tcW w:w="37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r>
        <w:trPr>
          <w:trHeight w:val="427"/>
        </w:trPr>
        <w:tc>
          <w:tcPr>
            <w:tcW w:w="3700" w:type="dxa"/>
            <w:vAlign w:val="bottom"/>
          </w:tcPr>
          <w:p>
            <w:pPr>
              <w:spacing w:after="0"/>
              <w:rPr>
                <w:sz w:val="24"/>
                <w:szCs w:val="24"/>
                <w:color w:val="auto"/>
              </w:rPr>
            </w:pPr>
          </w:p>
        </w:tc>
        <w:tc>
          <w:tcPr>
            <w:tcW w:w="7720" w:type="dxa"/>
            <w:vAlign w:val="bottom"/>
          </w:tcPr>
          <w:p>
            <w:pPr>
              <w:ind w:left="1900"/>
              <w:spacing w:after="0"/>
              <w:rPr>
                <w:sz w:val="20"/>
                <w:szCs w:val="20"/>
                <w:color w:val="auto"/>
              </w:rPr>
            </w:pPr>
            <w:r>
              <w:rPr>
                <w:rFonts w:ascii="Arial" w:cs="Arial" w:eastAsia="Arial" w:hAnsi="Arial"/>
                <w:sz w:val="18"/>
                <w:szCs w:val="18"/>
                <w:color w:val="auto"/>
              </w:rPr>
              <w:t>S-3</w:t>
            </w:r>
          </w:p>
        </w:tc>
      </w:tr>
      <w:tr>
        <w:trPr>
          <w:trHeight w:val="228"/>
        </w:trPr>
        <w:tc>
          <w:tcPr>
            <w:tcW w:w="370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9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Certain covenants</w:t>
            </w:r>
          </w:p>
        </w:tc>
        <w:tc>
          <w:tcPr>
            <w:tcW w:w="74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The Notes will be issued under an indenture containing covenants for your</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benefit. These covenants restrict our ability, with certain exceptions, to:</w:t>
            </w:r>
          </w:p>
        </w:tc>
      </w:tr>
      <w:tr>
        <w:trPr>
          <w:trHeight w:val="432"/>
        </w:trPr>
        <w:tc>
          <w:tcPr>
            <w:tcW w:w="398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  incur liens on principal properties to secure debt;</w:t>
            </w:r>
          </w:p>
        </w:tc>
      </w:tr>
      <w:tr>
        <w:trPr>
          <w:trHeight w:val="432"/>
        </w:trPr>
        <w:tc>
          <w:tcPr>
            <w:tcW w:w="398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  engage in sale-leaseback transactions; and</w:t>
            </w:r>
          </w:p>
        </w:tc>
      </w:tr>
      <w:tr>
        <w:trPr>
          <w:trHeight w:val="426"/>
        </w:trPr>
        <w:tc>
          <w:tcPr>
            <w:tcW w:w="398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  merge or consolidate with another entity or sell, lease or transfer</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substantially all of our properties or assets to another entity.</w:t>
            </w:r>
          </w:p>
        </w:tc>
      </w:tr>
      <w:tr>
        <w:trPr>
          <w:trHeight w:val="459"/>
        </w:trPr>
        <w:tc>
          <w:tcPr>
            <w:tcW w:w="398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See "Description of Notes—Covenants."</w:t>
            </w:r>
          </w:p>
        </w:tc>
      </w:tr>
      <w:tr>
        <w:trPr>
          <w:trHeight w:val="453"/>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net proceeds of this offering will be approximately $741.3 million after</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deducting the underwriting discount and our estimated offering expenses. We</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expect to use the net proceeds from this offering to repay outstanding</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borrowings under our senior unsecured revolving credit facility and</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commercial paper program and for general partnership purposes.</w:t>
            </w:r>
          </w:p>
        </w:tc>
      </w:tr>
      <w:tr>
        <w:trPr>
          <w:trHeight w:val="453"/>
        </w:trPr>
        <w:tc>
          <w:tcPr>
            <w:tcW w:w="398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Amounts repaid under our senior unsecured revolving credit facility and</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commercial paper program may be reborrowed, as necessary, to fund our</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ongoing expansion capital program, future acquisitions and investments or for</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general partnership purposes. Please read "Use of Proceeds."</w:t>
            </w:r>
          </w:p>
        </w:tc>
      </w:tr>
      <w:tr>
        <w:trPr>
          <w:trHeight w:val="453"/>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Book entry, delivery and form</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Notes will be represented by one or more permanent global certificates in</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fully registered form deposited with a custodian for, and registered in the name</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 a nominee of The Depository Trust Company.</w:t>
            </w:r>
          </w:p>
        </w:tc>
      </w:tr>
      <w:tr>
        <w:trPr>
          <w:trHeight w:val="453"/>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Further issuances</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We may create and issue additional Notes ranking equally and ratably with the</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Notes offered by this prospectus supplement in all respects, so that such</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additional Notes will be consolidated and form a single series with such Notes</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and will have the same terms, as to status, redemption or otherwise except for</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issue date, the initial interest payment date, if applicable, and the payment</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 interest accruing prior to the issue date of such additional Notes.</w:t>
            </w:r>
          </w:p>
        </w:tc>
      </w:tr>
      <w:tr>
        <w:trPr>
          <w:trHeight w:val="453"/>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 listing</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Notes are a new issue of securities with no established trading market. We</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do not currently intend to apply for listing of the Notes on any securities</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exchange or have the Notes quoted on any automated quotation system. See</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"Risk Factors—Risks Related to the Notes—Your ability to transfer the Notes</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may be limited by the absence of an organized trading market."</w:t>
            </w:r>
          </w:p>
        </w:tc>
      </w:tr>
      <w:tr>
        <w:trPr>
          <w:trHeight w:val="459"/>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Governing law</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State of New York.</w:t>
            </w:r>
          </w:p>
        </w:tc>
      </w:tr>
      <w:tr>
        <w:trPr>
          <w:trHeight w:val="459"/>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U.S. Bank National Association.</w:t>
            </w:r>
          </w:p>
        </w:tc>
      </w:tr>
      <w:tr>
        <w:trPr>
          <w:trHeight w:val="453"/>
        </w:trPr>
        <w:tc>
          <w:tcPr>
            <w:tcW w:w="39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Investing in the Notes involves risks. You should consider carefully all of the</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information in this prospectus supplement, the accompanying base prospectus,</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any free writing prospectus relating to this offering and the documents</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incorporated by reference herein and therein. In particular, you should consider</w:t>
            </w:r>
          </w:p>
        </w:tc>
      </w:tr>
      <w:tr>
        <w:trPr>
          <w:trHeight w:val="216"/>
        </w:trPr>
        <w:tc>
          <w:tcPr>
            <w:tcW w:w="398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carefully the specific risks set forth in "Risk Factors" beginning on page S-5 of</w:t>
            </w:r>
          </w:p>
        </w:tc>
      </w:tr>
      <w:tr>
        <w:trPr>
          <w:trHeight w:val="222"/>
        </w:trPr>
        <w:tc>
          <w:tcPr>
            <w:tcW w:w="398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this prospectus supplement.</w:t>
            </w:r>
          </w:p>
        </w:tc>
      </w:tr>
      <w:tr>
        <w:trPr>
          <w:trHeight w:val="228"/>
        </w:trPr>
        <w:tc>
          <w:tcPr>
            <w:tcW w:w="3980" w:type="dxa"/>
            <w:vAlign w:val="bottom"/>
            <w:tcBorders>
              <w:left w:val="single" w:sz="8" w:color="auto"/>
              <w:bottom w:val="single" w:sz="8" w:color="auto"/>
            </w:tcBorders>
          </w:tcPr>
          <w:p>
            <w:pPr>
              <w:spacing w:after="0"/>
              <w:rPr>
                <w:sz w:val="19"/>
                <w:szCs w:val="19"/>
                <w:color w:val="auto"/>
              </w:rPr>
            </w:pPr>
          </w:p>
        </w:tc>
        <w:tc>
          <w:tcPr>
            <w:tcW w:w="7440" w:type="dxa"/>
            <w:vAlign w:val="bottom"/>
            <w:tcBorders>
              <w:bottom w:val="single" w:sz="8" w:color="auto"/>
              <w:right w:val="single" w:sz="8" w:color="auto"/>
            </w:tcBorders>
          </w:tcPr>
          <w:p>
            <w:pPr>
              <w:spacing w:after="0"/>
              <w:rPr>
                <w:sz w:val="19"/>
                <w:szCs w:val="19"/>
                <w:color w:val="auto"/>
              </w:rPr>
            </w:pPr>
          </w:p>
        </w:tc>
      </w:tr>
      <w:tr>
        <w:trPr>
          <w:trHeight w:val="427"/>
        </w:trPr>
        <w:tc>
          <w:tcPr>
            <w:tcW w:w="3980" w:type="dxa"/>
            <w:vAlign w:val="bottom"/>
          </w:tcPr>
          <w:p>
            <w:pPr>
              <w:spacing w:after="0"/>
              <w:rPr>
                <w:sz w:val="24"/>
                <w:szCs w:val="24"/>
                <w:color w:val="auto"/>
              </w:rPr>
            </w:pPr>
          </w:p>
        </w:tc>
        <w:tc>
          <w:tcPr>
            <w:tcW w:w="7440" w:type="dxa"/>
            <w:vAlign w:val="bottom"/>
          </w:tcPr>
          <w:p>
            <w:pPr>
              <w:ind w:left="1620"/>
              <w:spacing w:after="0"/>
              <w:rPr>
                <w:sz w:val="20"/>
                <w:szCs w:val="20"/>
                <w:color w:val="auto"/>
              </w:rPr>
            </w:pPr>
            <w:r>
              <w:rPr>
                <w:rFonts w:ascii="Arial" w:cs="Arial" w:eastAsia="Arial" w:hAnsi="Arial"/>
                <w:sz w:val="18"/>
                <w:szCs w:val="18"/>
                <w:color w:val="auto"/>
              </w:rPr>
              <w:t>S-4</w:t>
            </w:r>
          </w:p>
        </w:tc>
      </w:tr>
      <w:tr>
        <w:trPr>
          <w:trHeight w:val="228"/>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Before making an investment in the Notes offered hereby, you should carefully consider the risk factors included below and those included in Item 1A. "Risk Factors" in our Annual Report on Form 10-K for the fiscal year ended December 31, 2015 (File No. 001-14569),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September 30, 2016, on an as further adjusted basis as described under "Capitalization," the Notes would have been subordinated to $500 million of short-term secured indebtedness and would have been structurally subordinated to $560 million of our subsidiaries' indebtedness.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Our leverage is significant in relation to our partners' capital. As of September 30, 2016, on an as further adjusted basis as described under "Capitalization," our total outstanding long-term debt was approximately $10.122 billion, and our total outstanding short-term debt was approximately $1.384 billion.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5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74"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8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net proceeds of this offering will be approximately $741.3 million after deducting the underwriting discount and our estimated offering expenses. We expect to use the net proceeds from this offering to repay outstanding borrowings under our senior unsecured revolving credit facility and commercial paper program and for general partnership purposes. Amounts repaid under our senior unsecured revolving credit facility and commercial paper program may be reborrowed, as necessary, to fund our ongoing expansion capital program, future acquisitions and investments or for general partnership purposes.</w:t>
      </w:r>
    </w:p>
    <w:p>
      <w:pPr>
        <w:spacing w:after="0" w:line="167"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Affiliates of certain underwriters are lenders under our senior unsecured revolving credit facility or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19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November 14, 2016, we had approximately $900 million of borrowings outstanding under our senior secured hedged inventory facility with a weighted average interest rate of 1.60%. Proceeds from such facility are primarily used to finance purchased or stored hedged inventory, including New York Mercantile Exchange ("NYMEX") and Intercontinental Exchange ("ICE") margin deposits. As of November 14, 2016, we had no borrowings outstanding under our senior unsecured revolving credit facility, which bears interest at a variable rate. On November 15, 2016 we plan to borrow $642 million under our senior unsecured revolving credit facility and/or our senior secured hedged inventory facility, and will use such borrowings to repay Plains AAP's outstanding indebtedness assumed in connection with the Simplification. As of November 14, 2016 there were no borrowings outstanding under our senior unsecured 364-day revolving credit facility, which bears interest at a variable rate. As of November 14, 2016, we had approximately $756 million of borrowings outstanding under our commercial paper program with a weighted average interest rate of approximately 1.44%. The outstanding borrowings under our commercial paper program have maturity dates of three months or less. Our commercial paper program is backstopped by our senior secured hedged inventory facility and our senior unsecured revolving credit facility. Borrowings from our commercial paper program are primarily used to fund hedged NGL and crude oil inventory and NYMEX and ICE margin deposits, capital investments and for other general partnership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ind w:left="160"/>
              <w:spacing w:after="0"/>
              <w:rPr>
                <w:sz w:val="20"/>
                <w:szCs w:val="20"/>
                <w:color w:val="auto"/>
              </w:rPr>
            </w:pPr>
            <w:r>
              <w:rPr>
                <w:rFonts w:ascii="Arial" w:cs="Arial" w:eastAsia="Arial" w:hAnsi="Arial"/>
                <w:sz w:val="14"/>
                <w:szCs w:val="14"/>
                <w:b w:val="1"/>
                <w:bCs w:val="1"/>
                <w:color w:val="auto"/>
                <w:w w:val="93"/>
              </w:rPr>
              <w:t>Years Ended December 31,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2.39x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2.80x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4.41x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4.03x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4.13x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$10 million for the nine months ended September 30, 2016 and $6 million, $12 million, $30 million, $12 million and $20 million for the years ended December 31, 2015, 2014, 2013, 2012 and 2011,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September 30, 2016:</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adjusted basis to give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5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Simplification, specifically, the assumption of Plains AAP's outstanding debt of approximately $642 million (See "Prospectus Supplement Summary—Recent Developments—</w:t>
      </w:r>
      <w:r>
        <w:rPr>
          <w:rFonts w:ascii="Arial" w:cs="Arial" w:eastAsia="Arial" w:hAnsi="Arial"/>
          <w:sz w:val="18"/>
          <w:szCs w:val="18"/>
          <w:i w:val="1"/>
          <w:iCs w:val="1"/>
          <w:color w:val="auto"/>
        </w:rPr>
        <w:t>Simplification Transactions</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620" w:right="40" w:hanging="532"/>
        <w:spacing w:after="0" w:line="370" w:lineRule="auto"/>
        <w:tabs>
          <w:tab w:leader="none" w:pos="1620"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sale of an additional 4.9 million common units under our continuous offering program after September 30, 2016, generating proceeds of $154 million, including our general partners' proportionate capital contribution and net of commissions to our sales agents; and</w:t>
      </w:r>
    </w:p>
    <w:p>
      <w:pPr>
        <w:spacing w:after="0" w:line="359"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the sale of the Notes offered hereby and the application of the net proceeds therefrom as described under "Use of Proceeds" in this prospectus supplement.</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8"/>
          </w:tcPr>
          <w:p>
            <w:pPr>
              <w:ind w:left="480"/>
              <w:spacing w:after="0"/>
              <w:rPr>
                <w:sz w:val="20"/>
                <w:szCs w:val="20"/>
                <w:color w:val="auto"/>
              </w:rPr>
            </w:pPr>
            <w:r>
              <w:rPr>
                <w:rFonts w:ascii="Arial" w:cs="Arial" w:eastAsia="Arial" w:hAnsi="Arial"/>
                <w:sz w:val="14"/>
                <w:szCs w:val="14"/>
                <w:b w:val="1"/>
                <w:bCs w:val="1"/>
                <w:color w:val="auto"/>
              </w:rPr>
              <w:t>As of September 30,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As Further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8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Senior secured hedged inventory facility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6.13% senior notes due January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Senior unsecured revolving credit facility(3)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offered hereby, net of unamortized discount and debt issuance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Commercial paper notes(1)(2)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Series A preferred unitholders</w:t>
            </w:r>
          </w:p>
        </w:tc>
        <w:tc>
          <w:tcPr>
            <w:tcW w:w="16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unitholders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partners' capital excluding noncontrolling interests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partners' capital</w:t>
            </w:r>
          </w:p>
        </w:tc>
        <w:tc>
          <w:tcPr>
            <w:tcW w:w="1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18,708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 paper notes are backstopped by our senior unsecured revolving credit facility and our senior secured hedged inventory facility, which primarily mature in August 2021 and August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91" w:lineRule="auto"/>
        <w:rPr>
          <w:sz w:val="20"/>
          <w:szCs w:val="20"/>
          <w:color w:val="auto"/>
        </w:rPr>
      </w:pPr>
      <w:r>
        <w:rPr>
          <w:rFonts w:ascii="Arial" w:cs="Arial" w:eastAsia="Arial" w:hAnsi="Arial"/>
          <w:sz w:val="16"/>
          <w:szCs w:val="16"/>
          <w:color w:val="auto"/>
        </w:rPr>
        <w:t>2019, respectively; as such, any borrowings under our commercial paper program effectively reduce the available capacity under these facilities. As of September 30, 2016, we classified $256 million of the borrowings under the commercial paper program as short-term, as these borrowings were primarily designated as working capital borrowings, were required to be repaid within one year and were primarily for hedged NGL and crude oil inventory and NYMEX and ICE margin deposits. As of September 30, 2016, we classified $500 million of the borrowings under the commercial paper program as long-term based on our ability and intent to refinance these commercial paper notes on a long-term basis under our credit facilities.</w:t>
      </w:r>
    </w:p>
    <w:p>
      <w:pPr>
        <w:spacing w:after="0" w:line="188" w:lineRule="exact"/>
        <w:rPr>
          <w:sz w:val="20"/>
          <w:szCs w:val="20"/>
          <w:color w:val="auto"/>
        </w:rPr>
      </w:pPr>
    </w:p>
    <w:p>
      <w:pPr>
        <w:ind w:left="1680" w:right="80" w:hanging="531"/>
        <w:spacing w:after="0" w:line="255"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our commercial paper program. On a historical, as adjusted and an as further adjusted basis as of September 30, 2016, $335 million was outstanding for PMCULC under our commercial paper program and $225 million under our senior secured hedged inventory facility. As of November 14, 2016, PMCULC had approximately $180 million of borrowings outstanding under our commercial paper program, and $450 million of borrowings under our senior secured hedged inventory facility.</w:t>
      </w:r>
    </w:p>
    <w:p>
      <w:pPr>
        <w:spacing w:after="0" w:line="223" w:lineRule="exact"/>
        <w:rPr>
          <w:rFonts w:ascii="Arial" w:cs="Arial" w:eastAsia="Arial" w:hAnsi="Arial"/>
          <w:sz w:val="18"/>
          <w:szCs w:val="18"/>
          <w:color w:val="auto"/>
        </w:rPr>
      </w:pPr>
    </w:p>
    <w:p>
      <w:pPr>
        <w:ind w:left="1680" w:right="240" w:hanging="531"/>
        <w:spacing w:after="0" w:line="291"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November 14, 2016, we had no borrowings outstanding under our senior unsecured revolving credit facility. The "As Adjusted" column reflects (i) an increase in borrowings of $642 million to repay outstanding indebtedness of Plains AAP assumed by us in connection with the transactions contemplated by the Simplification, and (ii) a repayment of borrowings in the amount of $154 million resulting from proceeds from sales of common units (together with our general partners' proportionate capital contribution) under our continuous offering program. In connection with this offering, we plan to repay all of the borrowings under the senior unsecured revolving credit facility. See "Use of Proceeds" in this prospectus supplement.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November 22, 2016 (the Base Indenture, as supplemented by such supplemental indenture, the "Indenture"). The Notes will constitute a new series of debt securities under the Base Indenture, and multiple other series are now outstanding under the Base Indenture, each issued under a separate supplemental indenture.</w:t>
      </w:r>
    </w:p>
    <w:p>
      <w:pPr>
        <w:spacing w:after="0" w:line="16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74"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6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September 30, 2016, on an as further adjusted basis as described under "Capitalization," the Notes would have been subordinated to $500 million of short-term secured indebtedness and would have been structurally subordinated to $560 million of our subsidiaries' outstanding indebtedness. See "Risk Factors —Risks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will issue the Notes in an initial aggregate principal amount of $750 million. The Notes will mature on December 15, 2026. The Notes will bear interest at an annual rate of 4.50%. Interest on the Notes will accrue from November 22, 2016 and will be payable semi-annually in arrears on June 15 and December 15 of each year, beginning June 15, 2017. We will make each interest payment to the holders of record at the close of business on June 1 and December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99" w:lineRule="exact"/>
        <w:rPr>
          <w:sz w:val="20"/>
          <w:szCs w:val="20"/>
          <w:color w:val="auto"/>
        </w:rPr>
      </w:pPr>
    </w:p>
    <w:p>
      <w:pPr>
        <w:ind w:left="1080" w:right="6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the Par Call Date, the Notes may be redeemed at a redemption price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 plus 35 basis points, together with accrued and unpaid interest to the date of redemption.</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redeem the Notes on or after the Par Call Date, the redemption price will equal 100% of the principal amount of the Notes to be redeemed plus accrued and unpaid interest to the redemption date.</w:t>
      </w:r>
    </w:p>
    <w:p>
      <w:pPr>
        <w:spacing w:after="0" w:line="186"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September 15, 2026 (three months prior to the maturity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J.P. Morgan Securities LLC, BNP Paribas Securities Corp., Merrill Lynch, Pierce, Fenner &amp; Smith Incorporated and Wells Fargo Securities, LLC, each a primary U.S. Government securities dealer in the United States (a "Primary Treasury Dealer"), or their respective successors; provided, however, if any of the foregoing ceases to be a Primary Treasury Dealer, we shall substitute another Primary Treasury Dealer.</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86"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5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74" w:lineRule="exact"/>
        <w:rPr>
          <w:rFonts w:ascii="Arial" w:cs="Arial" w:eastAsia="Arial" w:hAnsi="Arial"/>
          <w:sz w:val="16"/>
          <w:szCs w:val="16"/>
          <w:color w:val="auto"/>
        </w:rPr>
      </w:pPr>
    </w:p>
    <w:p>
      <w:pPr>
        <w:jc w:val="both"/>
        <w:ind w:left="1080" w:right="120" w:hanging="532"/>
        <w:spacing w:after="0" w:line="303"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principal of or premium, if any, or interest on such debt prior to the expiration of any grace period provided in such debt (a "Payment Default"), or</w:t>
      </w:r>
    </w:p>
    <w:p>
      <w:pPr>
        <w:spacing w:after="0" w:line="32"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5" w:lineRule="exact"/>
        <w:rPr>
          <w:sz w:val="20"/>
          <w:szCs w:val="20"/>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2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80" w:hanging="532"/>
        <w:spacing w:after="0" w:line="306"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4" w:lineRule="exact"/>
        <w:rPr>
          <w:rFonts w:ascii="Arial" w:cs="Arial" w:eastAsia="Arial" w:hAnsi="Arial"/>
          <w:sz w:val="16"/>
          <w:szCs w:val="16"/>
          <w:color w:val="auto"/>
        </w:rPr>
      </w:pPr>
    </w:p>
    <w:p>
      <w:pPr>
        <w:jc w:val="both"/>
        <w:ind w:left="1620" w:right="40" w:hanging="532"/>
        <w:spacing w:after="0" w:line="25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4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21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80"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52"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4"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20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such lien only encumbers the property or assets of such Person at the time such Person becomes a Restricted Subsidiary;</w:t>
      </w:r>
    </w:p>
    <w:p>
      <w:pPr>
        <w:spacing w:after="0" w:line="239" w:lineRule="exact"/>
        <w:rPr>
          <w:sz w:val="20"/>
          <w:szCs w:val="20"/>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07"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187"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252" w:lineRule="exact"/>
        <w:rPr>
          <w:sz w:val="20"/>
          <w:szCs w:val="20"/>
          <w:color w:val="auto"/>
        </w:rPr>
      </w:pPr>
    </w:p>
    <w:p>
      <w:pPr>
        <w:ind w:left="1080" w:right="1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38"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66"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3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86"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5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86"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52"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225" w:lineRule="exact"/>
        <w:rPr>
          <w:sz w:val="20"/>
          <w:szCs w:val="20"/>
          <w:color w:val="auto"/>
        </w:rPr>
      </w:pPr>
    </w:p>
    <w:p>
      <w:pPr>
        <w:ind w:left="1240" w:hanging="341"/>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225" w:lineRule="exact"/>
        <w:rPr>
          <w:rFonts w:ascii="Arial" w:cs="Arial" w:eastAsia="Arial" w:hAnsi="Arial"/>
          <w:sz w:val="18"/>
          <w:szCs w:val="18"/>
          <w:color w:val="auto"/>
        </w:rPr>
      </w:pPr>
    </w:p>
    <w:p>
      <w:pPr>
        <w:ind w:left="1080" w:right="100" w:firstLine="360"/>
        <w:spacing w:after="0" w:line="268" w:lineRule="auto"/>
        <w:tabs>
          <w:tab w:leader="none" w:pos="17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00"/>
        <w:spacing w:after="0"/>
        <w:tabs>
          <w:tab w:leader="none" w:pos="1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540" w:right="240" w:firstLine="359"/>
        <w:spacing w:after="0" w:line="306" w:lineRule="auto"/>
        <w:tabs>
          <w:tab w:leader="none" w:pos="12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0"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540" w:right="440" w:firstLine="359"/>
        <w:spacing w:after="0" w:line="268"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85"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85" w:lineRule="exact"/>
        <w:rPr>
          <w:rFonts w:ascii="Arial" w:cs="Arial" w:eastAsia="Arial" w:hAnsi="Arial"/>
          <w:sz w:val="18"/>
          <w:szCs w:val="18"/>
          <w:color w:val="auto"/>
        </w:rPr>
      </w:pPr>
    </w:p>
    <w:p>
      <w:pPr>
        <w:ind w:left="540" w:right="120" w:firstLine="359"/>
        <w:spacing w:after="0" w:line="332" w:lineRule="auto"/>
        <w:tabs>
          <w:tab w:leader="none" w:pos="12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256" w:lineRule="auto"/>
        <w:tabs>
          <w:tab w:leader="none" w:pos="12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540" w:right="100" w:firstLine="359"/>
        <w:spacing w:after="0" w:line="291" w:lineRule="auto"/>
        <w:tabs>
          <w:tab w:leader="none" w:pos="1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74" w:lineRule="exact"/>
        <w:rPr>
          <w:rFonts w:ascii="Arial" w:cs="Arial" w:eastAsia="Arial" w:hAnsi="Arial"/>
          <w:sz w:val="16"/>
          <w:szCs w:val="16"/>
          <w:color w:val="auto"/>
        </w:rPr>
      </w:pPr>
    </w:p>
    <w:p>
      <w:pPr>
        <w:ind w:left="540" w:right="460" w:firstLine="359"/>
        <w:spacing w:after="0" w:line="268" w:lineRule="auto"/>
        <w:tabs>
          <w:tab w:leader="none" w:pos="12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ind w:left="540" w:right="180" w:firstLine="359"/>
        <w:spacing w:after="0" w:line="298" w:lineRule="auto"/>
        <w:tabs>
          <w:tab w:leader="none" w:pos="1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66" w:lineRule="exact"/>
        <w:rPr>
          <w:rFonts w:ascii="Arial" w:cs="Arial" w:eastAsia="Arial" w:hAnsi="Arial"/>
          <w:sz w:val="16"/>
          <w:szCs w:val="16"/>
          <w:color w:val="auto"/>
        </w:rPr>
      </w:pPr>
    </w:p>
    <w:p>
      <w:pPr>
        <w:ind w:left="540" w:right="60" w:firstLine="359"/>
        <w:spacing w:after="0" w:line="256" w:lineRule="auto"/>
        <w:tabs>
          <w:tab w:leader="none" w:pos="12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97" w:lineRule="exact"/>
        <w:rPr>
          <w:rFonts w:ascii="Arial" w:cs="Arial" w:eastAsia="Arial" w:hAnsi="Arial"/>
          <w:sz w:val="18"/>
          <w:szCs w:val="18"/>
          <w:color w:val="auto"/>
        </w:rPr>
      </w:pPr>
    </w:p>
    <w:p>
      <w:pPr>
        <w:ind w:left="540" w:right="240" w:firstLine="359"/>
        <w:spacing w:after="0" w:line="298" w:lineRule="auto"/>
        <w:tabs>
          <w:tab w:leader="none" w:pos="1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66" w:lineRule="exact"/>
        <w:rPr>
          <w:rFonts w:ascii="Arial" w:cs="Arial" w:eastAsia="Arial" w:hAnsi="Arial"/>
          <w:sz w:val="16"/>
          <w:szCs w:val="16"/>
          <w:color w:val="auto"/>
        </w:rPr>
      </w:pPr>
    </w:p>
    <w:p>
      <w:pPr>
        <w:ind w:left="540" w:right="160" w:firstLine="359"/>
        <w:spacing w:after="0" w:line="268" w:lineRule="auto"/>
        <w:tabs>
          <w:tab w:leader="none" w:pos="12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225" w:lineRule="exact"/>
        <w:rPr>
          <w:sz w:val="20"/>
          <w:szCs w:val="20"/>
          <w:color w:val="auto"/>
        </w:rPr>
      </w:pPr>
    </w:p>
    <w:p>
      <w:pPr>
        <w:ind w:left="540" w:firstLine="359"/>
        <w:spacing w:after="0" w:line="259" w:lineRule="auto"/>
        <w:tabs>
          <w:tab w:leader="none" w:pos="12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94" w:lineRule="exact"/>
        <w:rPr>
          <w:rFonts w:ascii="Arial" w:cs="Arial" w:eastAsia="Arial" w:hAnsi="Arial"/>
          <w:sz w:val="18"/>
          <w:szCs w:val="18"/>
          <w:color w:val="auto"/>
        </w:rPr>
      </w:pPr>
    </w:p>
    <w:p>
      <w:pPr>
        <w:ind w:left="540" w:right="220" w:firstLine="359"/>
        <w:spacing w:after="0" w:line="255" w:lineRule="auto"/>
        <w:tabs>
          <w:tab w:leader="none" w:pos="12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9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540" w:right="40" w:firstLine="359"/>
        <w:spacing w:after="0" w:line="306" w:lineRule="auto"/>
        <w:tabs>
          <w:tab w:leader="none" w:pos="12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60" w:lineRule="exact"/>
        <w:rPr>
          <w:rFonts w:ascii="Arial" w:cs="Arial" w:eastAsia="Arial" w:hAnsi="Arial"/>
          <w:sz w:val="16"/>
          <w:szCs w:val="16"/>
          <w:color w:val="auto"/>
        </w:rPr>
      </w:pPr>
    </w:p>
    <w:p>
      <w:pPr>
        <w:ind w:left="540" w:right="100" w:firstLine="359"/>
        <w:spacing w:after="0" w:line="332" w:lineRule="auto"/>
        <w:tabs>
          <w:tab w:leader="none" w:pos="12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7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7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92"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520" w:firstLine="8"/>
        <w:spacing w:after="0" w:line="261"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9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8" w:lineRule="exact"/>
        <w:rPr>
          <w:sz w:val="20"/>
          <w:szCs w:val="20"/>
          <w:color w:val="auto"/>
        </w:rPr>
      </w:pPr>
    </w:p>
    <w:p>
      <w:pPr>
        <w:jc w:val="both"/>
        <w:ind w:right="260" w:firstLine="351"/>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67"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31"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97"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17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properly certifies as to his foreign status as described below.</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9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199" w:lineRule="exact"/>
        <w:rPr>
          <w:sz w:val="20"/>
          <w:szCs w:val="20"/>
          <w:color w:val="auto"/>
        </w:rPr>
      </w:pPr>
    </w:p>
    <w:p>
      <w:pPr>
        <w:ind w:left="1080" w:right="5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86"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Non-U.S. Holder of a Note is engaged in a trade or business in the United States and interest or gain on a Note is effectively connected with the conduct of such trade or business (and, if required by an applicable income tax treaty, such interest or gain is attributable to a permanent establishment such Non-U.S. Holder maintains in the United States), then the interest income or gain from the Note will generally be subject to U.S. federal income tax at regular graduated rates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6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applicable withholding agent does not have actual knowledge or reason to know that the holder is a United States person.</w:t>
      </w:r>
    </w:p>
    <w:p>
      <w:pPr>
        <w:spacing w:after="0" w:line="225"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17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(referred to as "FATCA") impose a 30% U.S. federal withholding tax on payments of interest on the Notes and on the gross proceeds from the sale or other disposition of the Notes (if such sale or other disposition occurs after December 31, 2018),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Prospective investors are encouraged to consult with their own tax advisors regarding the implications of FATCA on an investment in the Notes.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Subject to the terms and conditions set forth in the underwriting agreement, dated the date of this prospectus supplement, between us and the underwriters named below, we have agreed to sell to each of the underwriters, for whom J.P. Morgan Securities LLC, BNP Paribas Securities Corp., Merrill Lynch, Pierce, Fenner &amp; Smith Incorporated and Wells Fargo Securities, LLC are acting as representatives, and the underwriters have agreed, severally and not jointly, to purchase the principal amount of the Notes set forth opposite their respective names below:</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108,750,000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108,750,000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108,750,000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108,750,000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67,500,000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CIBC World Markets Corp.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750,000,000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0.40% of the principal amount of the Notes. The underwriters may allow a discount not in excess of 0.25% of the principal amount of the Notes, on sales to certain other brokers and dealers. After this initial public offering, the public offering price, concession and discount may be changed.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Underwriting</w:t>
            </w:r>
          </w:p>
        </w:tc>
      </w:tr>
      <w:tr>
        <w:trPr>
          <w:trHeight w:val="161"/>
        </w:trPr>
        <w:tc>
          <w:tcPr>
            <w:tcW w:w="6880" w:type="dxa"/>
            <w:vAlign w:val="bottom"/>
          </w:tcPr>
          <w:p>
            <w:pPr>
              <w:spacing w:after="0"/>
              <w:rPr>
                <w:sz w:val="14"/>
                <w:szCs w:val="14"/>
                <w:color w:val="auto"/>
              </w:rPr>
            </w:pP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4,875,000</w:t>
            </w:r>
          </w:p>
        </w:tc>
        <w:tc>
          <w:tcPr>
            <w:tcW w:w="16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$1.7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November 22, 2016,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T+ 5, to specify an alternate settlement cycle at the time of any such trade to prevent failed settlement and should consult their own advisers.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hanging="532"/>
        <w:spacing w:after="0" w:line="29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FSMA by us;</w:t>
      </w:r>
    </w:p>
    <w:p>
      <w:pPr>
        <w:spacing w:after="0" w:line="19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meaning of Section 21 of the FSMA) received by it in connection with the issue or sale of the Notes in circumstances in which Section 21(1) of the FSMA does not apply to us; and</w:t>
      </w:r>
    </w:p>
    <w:p>
      <w:pPr>
        <w:spacing w:after="0" w:line="199" w:lineRule="exact"/>
        <w:rPr>
          <w:sz w:val="20"/>
          <w:szCs w:val="20"/>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securities which are the subject to the offering contemplated by this prospectus supplement to the public in that Relevant Member State other than:</w:t>
      </w:r>
    </w:p>
    <w:p>
      <w:pPr>
        <w:spacing w:after="0" w:line="22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Dealer or Dealers nominated by us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24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For the purposes of this provision, the expression an "offer of securities to the public" in relation to any securities in any Relevant Member State means the communication in any form and by means of sufficient information on the terms of the offer and the securities to be offered so as to enable an investor to decide to purchase securities,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Affiliates of certain underwriters are lenders under our senior unsecured revolving credit facility or dealers under our commercial paper program and may hold commercial paper notes thereunder. Accordingly, they may receive a portion of the net proceeds from this offering.</w:t>
      </w:r>
    </w:p>
    <w:p>
      <w:pPr>
        <w:spacing w:after="0" w:line="186"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 and U.S. Bancorp Investments, Inc., one of the underwriters, is an affiliate of the trustee under the indenture governing the Notes.</w:t>
      </w:r>
    </w:p>
    <w:p>
      <w:pPr>
        <w:spacing w:after="0" w:line="167"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1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2016, June 30, 2016 and September 30, 2016; and</w:t>
      </w:r>
    </w:p>
    <w:p>
      <w:pPr>
        <w:spacing w:after="0" w:line="238"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19, 2016 (Series A preferred unit purchase agreement), February 2, 2016 (closing of Series A preferred offering), May 18, 2016 (indictment related to Santa Barbara County crude oil release), July 14, 2016 (simplification agreement), August 9, 2016 (recommencement of at-the-market offering program), August 17, 2016 (amendments to credit facilities) and August 31, 2016 (compensatory arrangements for certain officers).</w:t>
      </w:r>
    </w:p>
    <w:p>
      <w:pPr>
        <w:spacing w:after="0" w:line="197"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48" w:lineRule="exact"/>
        <w:rPr>
          <w:sz w:val="20"/>
          <w:szCs w:val="20"/>
          <w:color w:val="auto"/>
        </w:rPr>
      </w:pPr>
    </w:p>
    <w:p>
      <w:pPr>
        <w:ind w:right="20" w:firstLine="351"/>
        <w:spacing w:after="0" w:line="243" w:lineRule="auto"/>
        <w:rPr>
          <w:sz w:val="20"/>
          <w:szCs w:val="20"/>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Ratio of Earnings to Fixed Charges</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6"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2015 and June 30, 2015;</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Reports on Form 8-K filed on January 9, 2015, January 20, 2015, March 2, 2015, May 15, 2015, May 26, 2015, June 11, 2015, August 14, 2015, August 19, 2015 and August 26, 2015;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86" w:lineRule="exact"/>
        <w:rPr>
          <w:sz w:val="20"/>
          <w:szCs w:val="20"/>
          <w:color w:val="auto"/>
        </w:rPr>
      </w:pPr>
    </w:p>
    <w:p>
      <w:pPr>
        <w:ind w:right="58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240" w:hanging="531"/>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Any resignation will require the appointment of a successor trustee under the applicable indenture in accordance with the terms and conditions of such indenture.</w:t>
      </w:r>
    </w:p>
    <w:p>
      <w:pPr>
        <w:spacing w:after="0" w:line="26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3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$0.2475 for that quarter for each outstanding unit (the "first target distribution");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74" w:lineRule="exact"/>
        <w:rPr>
          <w:sz w:val="20"/>
          <w:szCs w:val="20"/>
          <w:color w:val="auto"/>
        </w:rPr>
      </w:pPr>
    </w:p>
    <w:p>
      <w:pPr>
        <w:jc w:val="both"/>
        <w:ind w:left="1080" w:right="22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5620" w:right="2860" w:hanging="5072"/>
        <w:spacing w:after="0" w:line="519" w:lineRule="auto"/>
        <w:tabs>
          <w:tab w:leader="none" w:pos="10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 and potential changes in applicable tax laws.</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67"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spacing w:after="0" w:line="2" w:lineRule="exact"/>
        <w:rPr>
          <w:sz w:val="20"/>
          <w:szCs w:val="20"/>
          <w:color w:val="auto"/>
        </w:rPr>
      </w:pPr>
    </w:p>
    <w:p>
      <w:pPr>
        <w:ind w:right="40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(generally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7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jc w:val="both"/>
        <w:ind w:right="100" w:firstLine="348"/>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7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70"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1240" w:hanging="341"/>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5620" w:right="460" w:hanging="4180"/>
        <w:spacing w:after="0" w:line="519" w:lineRule="auto"/>
        <w:tabs>
          <w:tab w:leader="none" w:pos="17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60" w:hanging="320"/>
        <w:spacing w:after="0"/>
        <w:tabs>
          <w:tab w:leader="none" w:pos="17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624840</wp:posOffset>
            </wp:positionV>
            <wp:extent cx="1895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976630</wp:posOffset>
            </wp:positionV>
            <wp:extent cx="2160905" cy="643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$750,000,000 4.50%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182245</wp:posOffset>
            </wp:positionV>
            <wp:extent cx="18954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Book-Running Managers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jc w:val="center"/>
        <w:ind w:right="-1200"/>
        <w:spacing w:after="0" w:line="237" w:lineRule="auto"/>
        <w:rPr>
          <w:sz w:val="20"/>
          <w:szCs w:val="20"/>
          <w:color w:val="auto"/>
        </w:rPr>
      </w:pPr>
      <w:r>
        <w:rPr>
          <w:rFonts w:ascii="Arial" w:cs="Arial" w:eastAsia="Arial" w:hAnsi="Arial"/>
          <w:sz w:val="32"/>
          <w:szCs w:val="32"/>
          <w:b w:val="1"/>
          <w:bCs w:val="1"/>
          <w:color w:val="auto"/>
        </w:rPr>
        <w:t>BNP PARIBAS</w:t>
      </w:r>
    </w:p>
    <w:p>
      <w:pPr>
        <w:jc w:val="center"/>
        <w:ind w:right="-1200"/>
        <w:spacing w:after="0" w:line="238" w:lineRule="auto"/>
        <w:rPr>
          <w:sz w:val="20"/>
          <w:szCs w:val="20"/>
          <w:color w:val="auto"/>
        </w:rPr>
      </w:pPr>
      <w:r>
        <w:rPr>
          <w:rFonts w:ascii="Arial" w:cs="Arial" w:eastAsia="Arial" w:hAnsi="Arial"/>
          <w:sz w:val="32"/>
          <w:szCs w:val="32"/>
          <w:b w:val="1"/>
          <w:bCs w:val="1"/>
          <w:color w:val="auto"/>
        </w:rPr>
        <w:t>BofA Merrill Lynch</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BBVA</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DNB Markets</w:t>
      </w:r>
    </w:p>
    <w:p>
      <w:pPr>
        <w:jc w:val="center"/>
        <w:ind w:right="-1200"/>
        <w:spacing w:after="0"/>
        <w:rPr>
          <w:sz w:val="20"/>
          <w:szCs w:val="20"/>
          <w:color w:val="auto"/>
        </w:rPr>
      </w:pPr>
      <w:r>
        <w:rPr>
          <w:rFonts w:ascii="Arial" w:cs="Arial" w:eastAsia="Arial" w:hAnsi="Arial"/>
          <w:sz w:val="32"/>
          <w:szCs w:val="32"/>
          <w:b w:val="1"/>
          <w:bCs w:val="1"/>
          <w:color w:val="auto"/>
        </w:rPr>
        <w:t>SMBC Nikko</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CIBC Capital Markets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Fifth Third Securities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ING</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PNC Capital Markets LLC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Regions Securities LLC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723265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lvl w:ilvl="1">
      <w:lvlJc w:val="left"/>
      <w:lvlText w:val="•"/>
      <w:numFmt w:val="bullet"/>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2"/>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lvl w:ilvl="1">
      <w:lvlJc w:val="left"/>
      <w:lvlText w:val="•"/>
      <w:numFmt w:val="bullet"/>
      <w:start w:val="1"/>
    </w:lvl>
  </w:abstractNum>
  <w:abstractNum w:abstractNumId="17">
    <w:nsid w:val="79A1DEAA"/>
    <w:multiLevelType w:val="hybridMultilevel"/>
    <w:lvl w:ilvl="0">
      <w:lvlJc w:val="left"/>
      <w:lvlText w:val="•"/>
      <w:numFmt w:val="bullet"/>
      <w:start w:val="1"/>
    </w:lvl>
    <w:lvl w:ilvl="1">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lvl w:ilvl="1">
      <w:lvlJc w:val="left"/>
      <w:lvlText w:val="(%2)"/>
      <w:numFmt w:val="lowerLetter"/>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0"/>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3"/>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lowerLetter"/>
      <w:start w:val="1"/>
    </w:lvl>
    <w:lvl w:ilvl="1">
      <w:lvlJc w:val="left"/>
      <w:lvlText w:val="(%2)"/>
      <w:numFmt w:val="decimal"/>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2"/>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3"/>
    </w:lvl>
  </w:abstractNum>
  <w:abstractNum w:abstractNumId="82">
    <w:nsid w:val="100F59DC"/>
    <w:multiLevelType w:val="hybridMultilevel"/>
    <w:lvl w:ilvl="0">
      <w:lvlJc w:val="left"/>
      <w:lvlText w:val="(%1)"/>
      <w:numFmt w:val="decimal"/>
      <w:start w:val="3"/>
    </w:lvl>
    <w:lvl w:ilvl="1">
      <w:lvlJc w:val="left"/>
      <w:lvlText w:val="%2"/>
      <w:numFmt w:val="lowerLetter"/>
      <w:start w:val="1"/>
    </w:lvl>
  </w:abstractNum>
  <w:abstractNum w:abstractNumId="83">
    <w:nsid w:val="7FB7E0AA"/>
    <w:multiLevelType w:val="hybridMultilevel"/>
    <w:lvl w:ilvl="0">
      <w:lvlJc w:val="left"/>
      <w:lvlText w:val="•"/>
      <w:numFmt w:val="bullet"/>
      <w:start w:val="1"/>
    </w:lvl>
    <w:lvl w:ilvl="1">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2020-01-21T18:37:18Z</dcterms:created>
  <dcterms:modified xsi:type="dcterms:W3CDTF">2020-01-21T18:37:18Z</dcterms:modified>
</cp:coreProperties>
</file>