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480" w:type="dxa"/>
            <w:vAlign w:val="bottom"/>
          </w:tcPr>
          <w:p>
            <w:pPr>
              <w:jc w:val="center"/>
              <w:ind w:right="23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8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-636270</wp:posOffset>
            </wp:positionV>
            <wp:extent cx="58420" cy="649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9605"/>
                    </a:xfrm>
                    <a:prstGeom prst="rect">
                      <a:avLst/>
                    </a:prstGeom>
                    <a:noFill/>
                  </pic:spPr>
                </pic:pic>
              </a:graphicData>
            </a:graphic>
          </wp:anchor>
        </w:drawing>
        <w:drawing>
          <wp:anchor simplePos="0" relativeHeight="251657728" behindDoc="1" locked="0" layoutInCell="0" allowOverlap="1">
            <wp:simplePos x="0" y="0"/>
            <wp:positionH relativeFrom="column">
              <wp:posOffset>4107180</wp:posOffset>
            </wp:positionH>
            <wp:positionV relativeFrom="paragraph">
              <wp:posOffset>-636270</wp:posOffset>
            </wp:positionV>
            <wp:extent cx="58420" cy="649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960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4437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43738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KRAMER PHIL D</w:t>
        </w:r>
      </w:hyperlink>
    </w:p>
    <w:p>
      <w:pPr>
        <w:spacing w:after="0" w:line="312"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240"/>
              <w:spacing w:after="0"/>
              <w:rPr>
                <w:sz w:val="20"/>
                <w:szCs w:val="20"/>
                <w:color w:val="auto"/>
              </w:rPr>
            </w:pPr>
            <w:r>
              <w:rPr>
                <w:rFonts w:ascii="Arial" w:cs="Arial" w:eastAsia="Arial" w:hAnsi="Arial"/>
                <w:sz w:val="13"/>
                <w:szCs w:val="13"/>
                <w:color w:val="auto"/>
              </w:rPr>
              <w:t>(First)</w:t>
            </w:r>
          </w:p>
        </w:tc>
        <w:tc>
          <w:tcPr>
            <w:tcW w:w="15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4"/>
        </w:trPr>
        <w:tc>
          <w:tcPr>
            <w:tcW w:w="20" w:type="dxa"/>
            <w:vAlign w:val="bottom"/>
          </w:tcPr>
          <w:p>
            <w:pPr>
              <w:spacing w:after="0"/>
              <w:rPr>
                <w:sz w:val="23"/>
                <w:szCs w:val="23"/>
                <w:color w:val="auto"/>
              </w:rPr>
            </w:pPr>
          </w:p>
        </w:tc>
        <w:tc>
          <w:tcPr>
            <w:tcW w:w="2280" w:type="dxa"/>
            <w:vAlign w:val="bottom"/>
            <w:gridSpan w:val="2"/>
          </w:tcPr>
          <w:p>
            <w:pPr>
              <w:ind w:left="20"/>
              <w:spacing w:after="0"/>
              <w:rPr>
                <w:sz w:val="20"/>
                <w:szCs w:val="20"/>
                <w:color w:val="auto"/>
              </w:rPr>
            </w:pPr>
            <w:r>
              <w:rPr>
                <w:rFonts w:ascii="Arial" w:cs="Arial" w:eastAsia="Arial" w:hAnsi="Arial"/>
                <w:sz w:val="17"/>
                <w:szCs w:val="17"/>
                <w:color w:val="0000FF"/>
              </w:rPr>
              <w:t>333 CLAY STREET, # 1600</w:t>
            </w:r>
          </w:p>
        </w:tc>
        <w:tc>
          <w:tcPr>
            <w:tcW w:w="1540" w:type="dxa"/>
            <w:vAlign w:val="bottom"/>
          </w:tcPr>
          <w:p>
            <w:pPr>
              <w:spacing w:after="0"/>
              <w:rPr>
                <w:sz w:val="23"/>
                <w:szCs w:val="23"/>
                <w:color w:val="auto"/>
              </w:rPr>
            </w:pPr>
          </w:p>
        </w:tc>
      </w:tr>
      <w:tr>
        <w:trPr>
          <w:trHeight w:val="205"/>
        </w:trPr>
        <w:tc>
          <w:tcPr>
            <w:tcW w:w="20" w:type="dxa"/>
            <w:vAlign w:val="bottom"/>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r>
      <w:tr>
        <w:trPr>
          <w:trHeight w:val="2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35"/>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220" w:type="dxa"/>
            <w:vAlign w:val="bottom"/>
          </w:tcPr>
          <w:p>
            <w:pPr>
              <w:ind w:left="240"/>
              <w:spacing w:after="0"/>
              <w:rPr>
                <w:sz w:val="20"/>
                <w:szCs w:val="20"/>
                <w:color w:val="auto"/>
              </w:rPr>
            </w:pPr>
            <w:r>
              <w:rPr>
                <w:rFonts w:ascii="Arial" w:cs="Arial" w:eastAsia="Arial" w:hAnsi="Arial"/>
                <w:sz w:val="17"/>
                <w:szCs w:val="17"/>
                <w:color w:val="0000FF"/>
              </w:rPr>
              <w:t>TX</w:t>
            </w:r>
          </w:p>
        </w:tc>
        <w:tc>
          <w:tcPr>
            <w:tcW w:w="1540" w:type="dxa"/>
            <w:vAlign w:val="bottom"/>
          </w:tcPr>
          <w:p>
            <w:pPr>
              <w:ind w:left="280"/>
              <w:spacing w:after="0"/>
              <w:rPr>
                <w:sz w:val="20"/>
                <w:szCs w:val="20"/>
                <w:color w:val="auto"/>
              </w:rPr>
            </w:pPr>
            <w:r>
              <w:rPr>
                <w:rFonts w:ascii="Arial" w:cs="Arial" w:eastAsia="Arial" w:hAnsi="Arial"/>
                <w:sz w:val="17"/>
                <w:szCs w:val="17"/>
                <w:color w:val="0000FF"/>
              </w:rPr>
              <w:t>77002</w:t>
            </w:r>
          </w:p>
        </w:tc>
      </w:tr>
      <w:tr>
        <w:trPr>
          <w:trHeight w:val="153"/>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240"/>
              <w:spacing w:after="0"/>
              <w:rPr>
                <w:sz w:val="20"/>
                <w:szCs w:val="20"/>
                <w:color w:val="auto"/>
              </w:rPr>
            </w:pPr>
            <w:r>
              <w:rPr>
                <w:rFonts w:ascii="Arial" w:cs="Arial" w:eastAsia="Arial" w:hAnsi="Arial"/>
                <w:sz w:val="13"/>
                <w:szCs w:val="13"/>
                <w:color w:val="auto"/>
              </w:rPr>
              <w:t>(State)</w:t>
            </w:r>
          </w:p>
        </w:tc>
        <w:tc>
          <w:tcPr>
            <w:tcW w:w="15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920" w:type="dxa"/>
            <w:vAlign w:val="bottom"/>
            <w:gridSpan w:val="3"/>
          </w:tcPr>
          <w:p>
            <w:pPr>
              <w:spacing w:after="0" w:line="139" w:lineRule="exact"/>
              <w:rPr>
                <w:rFonts w:ascii="Arial" w:cs="Arial" w:eastAsia="Arial" w:hAnsi="Arial"/>
                <w:sz w:val="16"/>
                <w:szCs w:val="16"/>
                <w:color w:val="0000EE"/>
              </w:rPr>
            </w:pPr>
            <w:hyperlink r:id="rId13">
              <w:r>
                <w:rPr>
                  <w:rFonts w:ascii="Arial" w:cs="Arial" w:eastAsia="Arial" w:hAnsi="Arial"/>
                  <w:sz w:val="16"/>
                  <w:szCs w:val="16"/>
                  <w:color w:val="0000EE"/>
                </w:rPr>
                <w:t xml:space="preserve">PLAINS ALL AMERICAN PIPELINE LP </w:t>
              </w:r>
            </w:hyperlink>
            <w:r>
              <w:rPr>
                <w:rFonts w:ascii="Arial" w:cs="Arial" w:eastAsia="Arial" w:hAnsi="Arial"/>
                <w:sz w:val="16"/>
                <w:szCs w:val="16"/>
                <w:color w:val="000000"/>
              </w:rPr>
              <w:t>[</w:t>
            </w:r>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3500" w:type="dxa"/>
            <w:vAlign w:val="bottom"/>
            <w:tcBorders>
              <w:bottom w:val="single" w:sz="8" w:color="0000EE"/>
            </w:tcBorders>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392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PAA </w:t>
            </w:r>
            <w:r>
              <w:rPr>
                <w:rFonts w:ascii="Arial" w:cs="Arial" w:eastAsia="Arial" w:hAnsi="Arial"/>
                <w:sz w:val="20"/>
                <w:szCs w:val="20"/>
                <w:color w:val="000000"/>
              </w:rPr>
              <w:t>]</w:t>
            </w:r>
          </w:p>
        </w:tc>
        <w:tc>
          <w:tcPr>
            <w:tcW w:w="52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920" w:type="dxa"/>
            <w:vAlign w:val="bottom"/>
            <w:gridSpan w:val="3"/>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5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vMerge w:val="continue"/>
          </w:tcPr>
          <w:p>
            <w:pPr>
              <w:spacing w:after="0"/>
              <w:rPr>
                <w:sz w:val="7"/>
                <w:szCs w:val="7"/>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2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2920" w:type="dxa"/>
            <w:vAlign w:val="bottom"/>
            <w:gridSpan w:val="2"/>
            <w:vMerge w:val="restart"/>
          </w:tcPr>
          <w:p>
            <w:pPr>
              <w:ind w:left="500"/>
              <w:spacing w:after="0"/>
              <w:rPr>
                <w:sz w:val="20"/>
                <w:szCs w:val="20"/>
                <w:color w:val="auto"/>
              </w:rPr>
            </w:pPr>
            <w:r>
              <w:rPr>
                <w:rFonts w:ascii="Arial" w:cs="Arial" w:eastAsia="Arial" w:hAnsi="Arial"/>
                <w:sz w:val="17"/>
                <w:szCs w:val="17"/>
                <w:color w:val="0000FF"/>
              </w:rPr>
              <w:t>Exec. Vice President</w:t>
            </w:r>
          </w:p>
        </w:tc>
        <w:tc>
          <w:tcPr>
            <w:tcW w:w="0" w:type="dxa"/>
            <w:vAlign w:val="bottom"/>
          </w:tcPr>
          <w:p>
            <w:pPr>
              <w:spacing w:after="0"/>
              <w:rPr>
                <w:sz w:val="1"/>
                <w:szCs w:val="1"/>
                <w:color w:val="auto"/>
              </w:rPr>
            </w:pPr>
          </w:p>
        </w:tc>
      </w:tr>
      <w:tr>
        <w:trPr>
          <w:trHeight w:val="111"/>
        </w:trPr>
        <w:tc>
          <w:tcPr>
            <w:tcW w:w="3700" w:type="dxa"/>
            <w:vAlign w:val="bottom"/>
            <w:gridSpan w:val="3"/>
            <w:vMerge w:val="restart"/>
          </w:tcPr>
          <w:p>
            <w:pPr>
              <w:ind w:left="60"/>
              <w:spacing w:after="0"/>
              <w:rPr>
                <w:sz w:val="20"/>
                <w:szCs w:val="20"/>
                <w:color w:val="auto"/>
              </w:rPr>
            </w:pPr>
            <w:r>
              <w:rPr>
                <w:rFonts w:ascii="Arial" w:cs="Arial" w:eastAsia="Arial" w:hAnsi="Arial"/>
                <w:sz w:val="17"/>
                <w:szCs w:val="17"/>
                <w:color w:val="0000FF"/>
              </w:rPr>
              <w:t>11/15/2016</w:t>
            </w: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7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35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4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24"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8"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06" w:lineRule="exact"/>
        <w:rPr>
          <w:sz w:val="24"/>
          <w:szCs w:val="24"/>
          <w:color w:val="auto"/>
        </w:rPr>
      </w:pPr>
    </w:p>
    <w:p>
      <w:pPr>
        <w:sectPr>
          <w:pgSz w:w="11900" w:h="16838" w:orient="portrait"/>
          <w:cols w:equalWidth="0" w:num="2">
            <w:col w:w="3920" w:space="80"/>
            <w:col w:w="752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8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2"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2"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Derivative</w:t>
            </w:r>
          </w:p>
        </w:tc>
        <w:tc>
          <w:tcPr>
            <w:tcW w:w="240" w:type="dxa"/>
            <w:vAlign w:val="bottom"/>
          </w:tcPr>
          <w:p>
            <w:pPr>
              <w:spacing w:after="0"/>
              <w:rPr>
                <w:sz w:val="11"/>
                <w:szCs w:val="11"/>
                <w:color w:val="auto"/>
              </w:rPr>
            </w:pP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240" w:type="dxa"/>
            <w:vAlign w:val="bottom"/>
          </w:tcPr>
          <w:p>
            <w:pPr>
              <w:spacing w:after="0"/>
              <w:rPr>
                <w:sz w:val="11"/>
                <w:szCs w:val="11"/>
                <w:color w:val="auto"/>
              </w:rPr>
            </w:pP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8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6"/>
        </w:trPr>
        <w:tc>
          <w:tcPr>
            <w:tcW w:w="800" w:type="dxa"/>
            <w:vAlign w:val="bottom"/>
            <w:vMerge w:val="restart"/>
          </w:tcPr>
          <w:p>
            <w:pPr>
              <w:ind w:left="60"/>
              <w:spacing w:after="0"/>
              <w:rPr>
                <w:sz w:val="20"/>
                <w:szCs w:val="20"/>
                <w:color w:val="auto"/>
              </w:rPr>
            </w:pPr>
            <w:r>
              <w:rPr>
                <w:rFonts w:ascii="Arial" w:cs="Arial" w:eastAsia="Arial" w:hAnsi="Arial"/>
                <w:sz w:val="13"/>
                <w:szCs w:val="13"/>
                <w:color w:val="0000FF"/>
                <w:w w:val="93"/>
              </w:rPr>
              <w:t>Shares/Class</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20" w:type="dxa"/>
            <w:vAlign w:val="bottom"/>
            <w:vMerge w:val="restart"/>
          </w:tcPr>
          <w:p>
            <w:pPr>
              <w:ind w:left="60"/>
              <w:spacing w:after="0" w:line="205" w:lineRule="exact"/>
              <w:rPr>
                <w:sz w:val="20"/>
                <w:szCs w:val="20"/>
                <w:color w:val="auto"/>
              </w:rPr>
            </w:pPr>
            <w:r>
              <w:rPr>
                <w:rFonts w:ascii="Arial" w:cs="Arial" w:eastAsia="Arial" w:hAnsi="Arial"/>
                <w:sz w:val="23"/>
                <w:szCs w:val="23"/>
                <w:color w:val="0000FF"/>
                <w:vertAlign w:val="subscript"/>
              </w:rPr>
              <w:t>J</w:t>
            </w:r>
            <w:r>
              <w:rPr>
                <w:rFonts w:ascii="Arial" w:cs="Arial" w:eastAsia="Arial" w:hAnsi="Arial"/>
                <w:sz w:val="10"/>
                <w:szCs w:val="10"/>
                <w:color w:val="008000"/>
              </w:rPr>
              <w:t>(1)(2)</w:t>
            </w: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right"/>
              <w:ind w:right="242"/>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781,144</w:t>
            </w:r>
          </w:p>
        </w:tc>
        <w:tc>
          <w:tcPr>
            <w:tcW w:w="720" w:type="dxa"/>
            <w:vAlign w:val="bottom"/>
          </w:tcPr>
          <w:p>
            <w:pPr>
              <w:spacing w:after="0"/>
              <w:rPr>
                <w:sz w:val="5"/>
                <w:szCs w:val="5"/>
                <w:color w:val="auto"/>
              </w:rPr>
            </w:pPr>
          </w:p>
        </w:tc>
        <w:tc>
          <w:tcPr>
            <w:tcW w:w="940" w:type="dxa"/>
            <w:vAlign w:val="bottom"/>
            <w:vMerge w:val="restart"/>
          </w:tcPr>
          <w:p>
            <w:pPr>
              <w:ind w:left="120"/>
              <w:spacing w:after="0" w:line="206" w:lineRule="exact"/>
              <w:rPr>
                <w:sz w:val="20"/>
                <w:szCs w:val="20"/>
                <w:color w:val="auto"/>
              </w:rPr>
            </w:pPr>
            <w:r>
              <w:rPr>
                <w:rFonts w:ascii="Arial" w:cs="Arial" w:eastAsia="Arial" w:hAnsi="Arial"/>
                <w:sz w:val="13"/>
                <w:szCs w:val="13"/>
                <w:color w:val="0000FF"/>
                <w:w w:val="98"/>
              </w:rPr>
              <w:t>781,144</w:t>
            </w:r>
            <w:r>
              <w:rPr>
                <w:rFonts w:ascii="Arial" w:cs="Arial" w:eastAsia="Arial" w:hAnsi="Arial"/>
                <w:sz w:val="21"/>
                <w:szCs w:val="21"/>
                <w:color w:val="008000"/>
                <w:w w:val="98"/>
                <w:vertAlign w:val="superscript"/>
              </w:rPr>
              <w:t>(1)(2)</w:t>
            </w:r>
          </w:p>
        </w:tc>
        <w:tc>
          <w:tcPr>
            <w:tcW w:w="7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800" w:type="dxa"/>
            <w:vAlign w:val="bottom"/>
          </w:tcPr>
          <w:p>
            <w:pPr>
              <w:ind w:left="340"/>
              <w:spacing w:after="0" w:line="14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00" w:type="dxa"/>
            <w:vAlign w:val="bottom"/>
          </w:tcPr>
          <w:p>
            <w:pPr>
              <w:jc w:val="right"/>
              <w:ind w:right="199"/>
              <w:spacing w:after="0" w:line="140" w:lineRule="exact"/>
              <w:rPr>
                <w:sz w:val="20"/>
                <w:szCs w:val="20"/>
                <w:color w:val="auto"/>
              </w:rPr>
            </w:pPr>
            <w:r>
              <w:rPr>
                <w:rFonts w:ascii="Arial" w:cs="Arial" w:eastAsia="Arial" w:hAnsi="Arial"/>
                <w:sz w:val="13"/>
                <w:szCs w:val="13"/>
                <w:color w:val="0000FF"/>
              </w:rPr>
              <w:t>11/15/2016</w:t>
            </w:r>
          </w:p>
        </w:tc>
        <w:tc>
          <w:tcPr>
            <w:tcW w:w="1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640" w:type="dxa"/>
            <w:vAlign w:val="bottom"/>
          </w:tcPr>
          <w:p>
            <w:pPr>
              <w:ind w:left="80"/>
              <w:spacing w:after="0" w:line="140" w:lineRule="exact"/>
              <w:rPr>
                <w:sz w:val="20"/>
                <w:szCs w:val="20"/>
                <w:color w:val="auto"/>
              </w:rPr>
            </w:pPr>
            <w:r>
              <w:rPr>
                <w:rFonts w:ascii="Arial" w:cs="Arial" w:eastAsia="Arial" w:hAnsi="Arial"/>
                <w:sz w:val="13"/>
                <w:szCs w:val="13"/>
                <w:color w:val="0000FF"/>
              </w:rPr>
              <w:t>781,144</w:t>
            </w: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tcPr>
          <w:p>
            <w:pPr>
              <w:ind w:left="300"/>
              <w:spacing w:after="0" w:line="14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continue"/>
          </w:tcPr>
          <w:p>
            <w:pPr>
              <w:spacing w:after="0"/>
              <w:rPr>
                <w:sz w:val="12"/>
                <w:szCs w:val="12"/>
                <w:color w:val="auto"/>
              </w:rPr>
            </w:pPr>
          </w:p>
        </w:tc>
        <w:tc>
          <w:tcPr>
            <w:tcW w:w="740" w:type="dxa"/>
            <w:vAlign w:val="bottom"/>
          </w:tcPr>
          <w:p>
            <w:pPr>
              <w:ind w:left="360"/>
              <w:spacing w:after="0" w:line="140" w:lineRule="exact"/>
              <w:rPr>
                <w:sz w:val="20"/>
                <w:szCs w:val="20"/>
                <w:color w:val="auto"/>
              </w:rPr>
            </w:pPr>
            <w:r>
              <w:rPr>
                <w:rFonts w:ascii="Arial" w:cs="Arial" w:eastAsia="Arial" w:hAnsi="Arial"/>
                <w:sz w:val="13"/>
                <w:szCs w:val="13"/>
                <w:color w:val="0000FF"/>
              </w:rPr>
              <w:t>I</w:t>
            </w:r>
          </w:p>
        </w:tc>
        <w:tc>
          <w:tcPr>
            <w:tcW w:w="760" w:type="dxa"/>
            <w:vAlign w:val="bottom"/>
          </w:tcPr>
          <w:p>
            <w:pPr>
              <w:ind w:left="80"/>
              <w:spacing w:after="0" w:line="140"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83"/>
        </w:trPr>
        <w:tc>
          <w:tcPr>
            <w:tcW w:w="800" w:type="dxa"/>
            <w:vAlign w:val="bottom"/>
          </w:tcPr>
          <w:p>
            <w:pPr>
              <w:ind w:left="60"/>
              <w:spacing w:after="0" w:line="83" w:lineRule="exact"/>
              <w:rPr>
                <w:sz w:val="20"/>
                <w:szCs w:val="20"/>
                <w:color w:val="auto"/>
              </w:rPr>
            </w:pPr>
            <w:r>
              <w:rPr>
                <w:rFonts w:ascii="Arial" w:cs="Arial" w:eastAsia="Arial" w:hAnsi="Arial"/>
                <w:sz w:val="9"/>
                <w:szCs w:val="9"/>
                <w:color w:val="0000FF"/>
              </w:rPr>
              <w:t>A Units/GP</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ind w:left="180"/>
              <w:spacing w:after="0" w:line="83" w:lineRule="exact"/>
              <w:rPr>
                <w:sz w:val="20"/>
                <w:szCs w:val="20"/>
                <w:color w:val="auto"/>
              </w:rPr>
            </w:pPr>
            <w:r>
              <w:rPr>
                <w:rFonts w:ascii="Arial" w:cs="Arial" w:eastAsia="Arial" w:hAnsi="Arial"/>
                <w:sz w:val="9"/>
                <w:szCs w:val="9"/>
                <w:color w:val="0000FF"/>
              </w:rPr>
              <w:t>Units</w:t>
            </w: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(1)(2)</w:t>
            </w:r>
          </w:p>
        </w:tc>
        <w:tc>
          <w:tcPr>
            <w:tcW w:w="0" w:type="dxa"/>
            <w:vAlign w:val="bottom"/>
          </w:tcPr>
          <w:p>
            <w:pPr>
              <w:spacing w:after="0"/>
              <w:rPr>
                <w:sz w:val="1"/>
                <w:szCs w:val="1"/>
                <w:color w:val="auto"/>
              </w:rPr>
            </w:pPr>
          </w:p>
        </w:tc>
      </w:tr>
      <w:tr>
        <w:trPr>
          <w:trHeight w:val="86"/>
        </w:trPr>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8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140" w:firstLine="4"/>
        <w:spacing w:after="0" w:line="239"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limited partnership agreement of Plains AAP, L.P. ("AAP") was amended and restated on November 15, 2016 to provide, among other things, that each limited partner of AAP holding Class A Units, including the Reporting Person, will have the right, subject to certain limitations, to redeem its Class A Units in AAP (the "Class A Units"), for common units ("Common Units") of Plains All American Pipeline, L.P. (the "Issuer") held by AAP on a one-for-one basis, by delivering such Class A Units to Plains AAP along with the associated Class B Shares (the "Class B Shares") in Plains GP Holdings, L.P. ("PAGP") and GP Units (the "GP Units") in PAA GP Holdings LLC (if applicable), to PAGP (the "Redemption Right").</w:t>
      </w:r>
    </w:p>
    <w:p>
      <w:pPr>
        <w:spacing w:after="0" w:line="33" w:lineRule="exact"/>
        <w:rPr>
          <w:rFonts w:ascii="Arial" w:cs="Arial" w:eastAsia="Arial" w:hAnsi="Arial"/>
          <w:sz w:val="13"/>
          <w:szCs w:val="13"/>
          <w:color w:val="008000"/>
        </w:rPr>
      </w:pPr>
    </w:p>
    <w:p>
      <w:pPr>
        <w:ind w:left="40" w:right="340" w:firstLine="4"/>
        <w:spacing w:after="0" w:line="243"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PAA Management, L.P. ("PAA Management") is a limited partner of AAP and may from time to time exercise the Redemption Right with respect to its Class A Units. The Reporting Person is a member of PAA Management LLC, the general partner of PAA Management, and a limited partner of PAA Management. Therefore he may be deemed to be a beneficial owner of the interests held by PAA Management. The Reporting Person disclaims beneficial ownership of the securities held by PAA Management, except to the extent of his pecuniary interest therein.</w:t>
      </w:r>
    </w:p>
    <w:p>
      <w:pPr>
        <w:spacing w:after="0" w:line="30" w:lineRule="exact"/>
        <w:rPr>
          <w:rFonts w:ascii="Arial" w:cs="Arial" w:eastAsia="Arial" w:hAnsi="Arial"/>
          <w:sz w:val="13"/>
          <w:szCs w:val="13"/>
          <w:color w:val="008000"/>
        </w:rPr>
      </w:pPr>
    </w:p>
    <w:p>
      <w:pPr>
        <w:ind w:left="40" w:right="200" w:firstLine="4"/>
        <w:spacing w:after="0" w:line="274" w:lineRule="auto"/>
        <w:tabs>
          <w:tab w:leader="none" w:pos="17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the limited partnership agreement of AAP, prior to November 15, 2017, PAA Management may not exercise its Redemption Right with respect to Class A Units attributable to the interest of the Reporting Person if such exercise would result in the redemption (taken together with any previous redemptions attributable to the interest of the Reporting Person) of more than 78% of the Class A Units attributable to the Reporting Person through PAA Management as of November 15, 2016. Pursuant to the limited partnership agreement of AAP, the Redemption Right does not expire.</w:t>
      </w:r>
    </w:p>
    <w:p>
      <w:pPr>
        <w:spacing w:after="0" w:line="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Ann F. Gullion, as attorney-</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11/17/2016</w:t>
            </w:r>
          </w:p>
        </w:tc>
        <w:tc>
          <w:tcPr>
            <w:tcW w:w="0" w:type="dxa"/>
            <w:vAlign w:val="bottom"/>
          </w:tcPr>
          <w:p>
            <w:pPr>
              <w:spacing w:after="0"/>
              <w:rPr>
                <w:sz w:val="1"/>
                <w:szCs w:val="1"/>
                <w:color w:val="auto"/>
              </w:rPr>
            </w:pPr>
          </w:p>
        </w:tc>
      </w:tr>
      <w:tr>
        <w:trPr>
          <w:trHeight w:val="85"/>
        </w:trPr>
        <w:tc>
          <w:tcPr>
            <w:tcW w:w="1780" w:type="dxa"/>
            <w:vAlign w:val="bottom"/>
            <w:vMerge w:val="restart"/>
          </w:tcPr>
          <w:p>
            <w:pPr>
              <w:spacing w:after="0" w:line="189" w:lineRule="exact"/>
              <w:rPr>
                <w:sz w:val="20"/>
                <w:szCs w:val="20"/>
                <w:color w:val="auto"/>
              </w:rPr>
            </w:pPr>
            <w:r>
              <w:rPr>
                <w:rFonts w:ascii="Arial" w:cs="Arial" w:eastAsia="Arial" w:hAnsi="Arial"/>
                <w:sz w:val="17"/>
                <w:szCs w:val="17"/>
                <w:color w:val="0000FF"/>
                <w:w w:val="94"/>
              </w:rPr>
              <w:t>in-fact for Phil D. Kramer</w:t>
            </w:r>
          </w:p>
        </w:tc>
        <w:tc>
          <w:tcPr>
            <w:tcW w:w="4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780" w:type="dxa"/>
            <w:vAlign w:val="bottom"/>
            <w:tcBorders>
              <w:bottom w:val="single" w:sz="8" w:color="auto"/>
            </w:tcBorders>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4"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626"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2020-01-19T10:04:48Z</dcterms:created>
  <dcterms:modified xsi:type="dcterms:W3CDTF">2020-01-19T10:04:48Z</dcterms:modified>
</cp:coreProperties>
</file>