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17525d1_8k.htm"/>
      <w:bookmarkStart w:id="1" w:name="kstm2417525d1_8k"/>
      <w:bookmarkEnd w:id="0"/>
      <w:bookmarkEnd w:id="1"/>
      <w:r>
        <w:rPr/>
        <w:t> </w:t>
      </w:r>
    </w:p>
    <w:p>
      <w:pPr>
        <w:pStyle w:val="TextBody"/>
        <w:bidi w:val="0"/>
        <w:jc w:val="center"/>
        <w:rPr/>
      </w:pPr>
      <w:bookmarkStart w:id="2" w:name="xdx_903_edei--EntityRegistrantName_dxL_c"/>
      <w:bookmarkEnd w:id="2"/>
      <w:r>
        <w:rPr/>
        <w:t>PLAINS GP HOLDINGS LP</w:t>
      </w:r>
    </w:p>
    <w:p>
      <w:pPr>
        <w:pStyle w:val="TextBody"/>
        <w:bidi w:val="0"/>
        <w:jc w:val="center"/>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D_edei--DocumentType_c20240617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1_edei--DocumentPeriodEndDate_c202"/>
      <w:bookmarkEnd w:id="4"/>
      <w:r>
        <w:rPr>
          <w:rFonts w:ascii="Times New Roman;Times;Serif" w:hAnsi="Times New Roman;Times;Serif"/>
          <w:b/>
          <w:i w:val="false"/>
          <w:caps w:val="false"/>
          <w:smallCaps w:val="false"/>
          <w:sz w:val="20"/>
        </w:rPr>
        <w:t>June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0_edei--EntityFileNumber_c20240617"/>
            <w:bookmarkEnd w:id="6"/>
            <w:r>
              <w:rPr>
                <w:rFonts w:ascii="Times New Roman;Times;Serif" w:hAnsi="Times New Roman;Times;Serif"/>
                <w:b/>
                <w:i w:val="false"/>
                <w:caps w:val="false"/>
                <w:smallCaps w:val="false"/>
                <w:sz w:val="20"/>
              </w:rPr>
              <w:t>1-36132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90-1005472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333 Clay Street, </w:t>
      </w:r>
      <w:bookmarkStart w:id="9" w:name="xdx_904_edei--EntityAddressAddressLine2_"/>
      <w:bookmarkEnd w:id="9"/>
      <w:r>
        <w:rPr>
          <w:rFonts w:ascii="Times New Roman;Times;Serif" w:hAnsi="Times New Roman;Times;Serif"/>
          <w:b/>
          <w:i w:val="false"/>
          <w:caps w:val="false"/>
          <w:smallCaps w:val="false"/>
          <w:sz w:val="20"/>
        </w:rPr>
        <w:t xml:space="preserve">Suite 1600, </w:t>
      </w:r>
      <w:bookmarkStart w:id="10" w:name="xdx_90E_edei--EntityAddressCityOrTown_c2"/>
      <w:bookmarkEnd w:id="10"/>
      <w:r>
        <w:rPr>
          <w:rFonts w:ascii="Times New Roman;Times;Serif" w:hAnsi="Times New Roman;Times;Serif"/>
          <w:b/>
          <w:i w:val="false"/>
          <w:caps w:val="false"/>
          <w:smallCaps w:val="false"/>
          <w:sz w:val="20"/>
        </w:rPr>
        <w:t xml:space="preserve">Houston, </w:t>
      </w:r>
      <w:bookmarkStart w:id="11" w:name="xdx_909_edei--EntityAddressStateOrProvin"/>
      <w:bookmarkEnd w:id="11"/>
      <w:r>
        <w:rPr>
          <w:rFonts w:ascii="Times New Roman;Times;Serif" w:hAnsi="Times New Roman;Times;Serif"/>
          <w:b/>
          <w:i w:val="false"/>
          <w:caps w:val="false"/>
          <w:smallCaps w:val="false"/>
          <w:sz w:val="20"/>
        </w:rPr>
        <w:t xml:space="preserve">Texas </w:t>
      </w:r>
      <w:bookmarkStart w:id="12" w:name="xdx_905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CityAreaCode_c20240617__20"/>
      <w:bookmarkEnd w:id="13"/>
      <w:r>
        <w:rPr>
          <w:rFonts w:ascii="Times New Roman;Times;Serif" w:hAnsi="Times New Roman;Times;Serif"/>
          <w:b/>
          <w:i w:val="false"/>
          <w:caps w:val="false"/>
          <w:smallCaps w:val="false"/>
          <w:sz w:val="20"/>
        </w:rPr>
        <w:t>713-</w:t>
      </w:r>
      <w:bookmarkStart w:id="14" w:name="xdx_908_edei--LocalPhoneNumber_c20240617"/>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8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xdx_909_edei--SolicitingMaterial_c202406"/>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4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 w:name="xdx_90D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1580"/>
        <w:gridCol w:w="60"/>
        <w:gridCol w:w="1655"/>
        <w:gridCol w:w="60"/>
        <w:gridCol w:w="2855"/>
      </w:tblGrid>
      <w:tr>
        <w:trPr/>
        <w:tc>
          <w:tcPr>
            <w:tcW w:w="1580"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 xml:space="preserve">registered </w:t>
            </w:r>
          </w:p>
        </w:tc>
      </w:tr>
      <w:tr>
        <w:trPr/>
        <w:tc>
          <w:tcPr>
            <w:tcW w:w="1580" w:type="dxa"/>
            <w:tcBorders/>
            <w:tcMar>
              <w:bottom w:w="0" w:type="dxa"/>
            </w:tcMar>
            <w:vAlign w:val="center"/>
          </w:tcPr>
          <w:p>
            <w:pPr>
              <w:pStyle w:val="TableContents"/>
              <w:bidi w:val="0"/>
              <w:spacing w:before="0" w:after="283"/>
              <w:jc w:val="center"/>
              <w:rPr>
                <w:sz w:val="20"/>
              </w:rPr>
            </w:pPr>
            <w:bookmarkStart w:id="19" w:name="xdx_900_edei--Security12bTitle_c20240617"/>
            <w:bookmarkEnd w:id="19"/>
            <w:r>
              <w:rPr>
                <w:sz w:val="20"/>
              </w:rPr>
              <w:t xml:space="preserve">Class A Shares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bookmarkStart w:id="20" w:name="xdx_90C_edei--TradingSymbol_c20240617__2"/>
            <w:bookmarkEnd w:id="20"/>
            <w:r>
              <w:rPr>
                <w:sz w:val="20"/>
              </w:rPr>
              <w:t xml:space="preserve">PAGP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sz w:val="20"/>
              </w:rPr>
            </w:pPr>
            <w:bookmarkStart w:id="21" w:name="xdx_909_edei--SecurityExchangeName_c2024"/>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the registrant’s consolidated subsidiaries, Plains All American Pipeline, L.P. (“PAA”) and PAA Finance Corp. (“PAA Finance,” and together with PAA, the “Issuers”), entered into an underwriting agreement (the “Underwriting Agreement”) with Citigroup Global Markets Inc., MUFG Securities Americas Inc., SMBC Nikko Securities America, Inc. and Truist Securities, Inc. as representatives of the several underwriters named therein (collectively, the “Underwriters”), relating to the issuance and sale to the Underwriters (the “Offering”) of $650 million aggregate principal amount of 5.700% Senior Notes due 2034 (the “Notes”), subject to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under the Issuers’ shelf registration statement on Form S-3 (Registration No. 333-259387) filed with the U.S. Securities and Exchange Commission on September 8, 2021 (the “Registration Statement”), and are described in a Prospectus Supplement dated June 17, 2024 to the Prospectus dated September 8, 2021, which is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pursuant to a supplemental indenture to be dated June 27, 2024 by and among the Issuers and U.S. Bank Trust Company National Association, as successor trustee (the “Trustee”). The supplemental indenture will be entered into in accordance with the provisions of the Indenture dated September 25, 2002 by and among the Issuers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is expected to occur on June 27, 2024,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Underwriting Agreement is filed as </w:t>
      </w:r>
      <w:hyperlink r:id="rId2">
        <w:r>
          <w:rPr>
            <w:rStyle w:val="InternetLink"/>
            <w:rFonts w:ascii="Times New Roman;Times;Serif" w:hAnsi="Times New Roman;Times;Serif"/>
            <w:b w:val="false"/>
            <w:i w:val="false"/>
            <w:caps w:val="false"/>
            <w:smallCaps w:val="false"/>
            <w:sz w:val="20"/>
          </w:rPr>
          <w:t>Exhibit 1.1</w:t>
        </w:r>
      </w:hyperlink>
      <w:r>
        <w:rPr>
          <w:rFonts w:ascii="Times New Roman;Times;Serif" w:hAnsi="Times New Roman;Times;Serif"/>
          <w:b w:val="false"/>
          <w:i w:val="false"/>
          <w:caps w:val="false"/>
          <w:smallCaps w:val="false"/>
          <w:sz w:val="20"/>
        </w:rPr>
        <w:t xml:space="preserve"> to PAA’s Current Report on Form 8-K, filed as of the date hereof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94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center"/>
              <w:rPr/>
            </w:pPr>
            <w:hyperlink r:id="rId3">
              <w:r>
                <w:rPr>
                  <w:rStyle w:val="InternetLink"/>
                  <w:rFonts w:ascii="Times New Roman;Times;Serif" w:hAnsi="Times New Roman;Times;Serif"/>
                  <w:sz w:val="20"/>
                </w:rPr>
                <w:t>1.1</w:t>
              </w:r>
            </w:hyperlink>
          </w:p>
        </w:tc>
        <w:tc>
          <w:tcPr>
            <w:tcW w:w="9480" w:type="dxa"/>
            <w:tcBorders/>
            <w:vAlign w:val="center"/>
          </w:tcPr>
          <w:p>
            <w:pPr>
              <w:pStyle w:val="TableContents"/>
              <w:bidi w:val="0"/>
              <w:spacing w:before="0" w:after="283"/>
              <w:jc w:val="both"/>
              <w:rPr/>
            </w:pPr>
            <w:hyperlink r:id="rId4">
              <w:r>
                <w:rPr>
                  <w:rStyle w:val="InternetLink"/>
                  <w:rFonts w:ascii="Times New Roman;Times;Serif" w:hAnsi="Times New Roman;Times;Serif"/>
                  <w:sz w:val="20"/>
                </w:rPr>
                <w:t>Underwriting Agreement dated June 17, 2024 by and among Plains All American Pipeline, L.P., PAA Finance Corp., and Citigroup Global Markets Inc., MUFG Securities Americas Inc., SMBC Nikko Securities America, Inc. and Truist Securities, Inc. as representatives of the several underwriters named therein (incorporated by reference to Exhibit 1.1 of Plains All American Pipeline, L.P.’s Current Report on Form 8-K filed on June 20, 2024).</w:t>
              </w:r>
            </w:hyperlink>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655"/>
        <w:gridCol w:w="545"/>
        <w:gridCol w:w="450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20, 2024</w:t>
            </w:r>
          </w:p>
        </w:tc>
        <w:tc>
          <w:tcPr>
            <w:tcW w:w="50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Holdings LLC, its general partner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McGee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McGee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423/000110465924073377/tm2416478d4_ex1-1.htm" TargetMode="External"/><Relationship Id="rId3" Type="http://schemas.openxmlformats.org/officeDocument/2006/relationships/hyperlink" Target="https://www.sec.gov/Archives/edgar/data/1070423/000110465924073377/tm2416478d4_ex1-1.htm" TargetMode="External"/><Relationship Id="rId4" Type="http://schemas.openxmlformats.org/officeDocument/2006/relationships/hyperlink" Target="https://www.sec.gov/Archives/edgar/data/1070423/000110465924073377/tm2416478d4_ex1-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704</Words>
  <Characters>3904</Characters>
  <CharactersWithSpaces>4635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