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209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0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Goebel Jeremy L.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 CLAY STREET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1600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8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PAA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</w:tcPr>
          <w:p>
            <w:pPr>
              <w:ind w:left="54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- Commercial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01/01/2020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01/01/2020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112,723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01/01/2020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7,672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18.39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105,051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01/01/2020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01/01/2020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Units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Units granted under Long-Term Incentive Plan (includes distribution equivalent rights payable in cash).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Common Unit is deliverable, upon vesting, for each Phantom Unit that vests.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N/A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Ann F. Gullion, as attorney-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01/02/2020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-27305</wp:posOffset>
            </wp:positionV>
            <wp:extent cx="13735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Jeremy L. Goebel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2649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9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69336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2020-01-02T16:49:27Z</dcterms:created>
  <dcterms:modified xsi:type="dcterms:W3CDTF">2020-01-02T16:49:27Z</dcterms:modified>
</cp:coreProperties>
</file>