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6, 2017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90" w:lineRule="exact"/>
        <w:rPr>
          <w:sz w:val="24"/>
          <w:szCs w:val="24"/>
          <w:color w:val="auto"/>
        </w:rPr>
      </w:pPr>
    </w:p>
    <w:p>
      <w:pPr>
        <w:sectPr>
          <w:pgSz w:w="11900" w:h="16838" w:orient="portrait"/>
          <w:cols w:equalWidth="0" w:num="3">
            <w:col w:w="4700" w:space="720"/>
            <w:col w:w="2680" w:space="720"/>
            <w:col w:w="2480"/>
          </w:cols>
          <w:pgMar w:left="240" w:top="1179"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20" w:space="720"/>
            <w:col w:w="2560" w:space="720"/>
            <w:col w:w="3280"/>
          </w:cols>
          <w:pgMar w:left="240" w:top="1179" w:right="35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179" w:right="359" w:bottom="1440" w:gutter="0" w:footer="0" w:header="0"/>
          <w:type w:val="continuous"/>
        </w:sectPr>
      </w:pPr>
    </w:p>
    <w:p>
      <w:pPr>
        <w:spacing w:after="0" w:line="24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31" w:lineRule="exact"/>
        <w:rPr>
          <w:sz w:val="24"/>
          <w:szCs w:val="24"/>
          <w:color w:val="auto"/>
        </w:rPr>
      </w:pPr>
    </w:p>
    <w:p>
      <w:pPr>
        <w:ind w:right="30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318770</wp:posOffset>
            </wp:positionV>
            <wp:extent cx="7075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207010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tabs>
          <w:tab w:leader="none" w:pos="2080" w:val="left"/>
        </w:tabs>
        <w:rPr>
          <w:sz w:val="20"/>
          <w:szCs w:val="20"/>
          <w:color w:val="auto"/>
        </w:rPr>
      </w:pPr>
      <w:r>
        <w:rPr>
          <w:rFonts w:ascii="Arial" w:cs="Arial" w:eastAsia="Arial" w:hAnsi="Arial"/>
          <w:sz w:val="18"/>
          <w:szCs w:val="18"/>
          <w:b w:val="1"/>
          <w:bCs w:val="1"/>
          <w:color w:val="auto"/>
        </w:rPr>
        <w:t>Item 2.02 and Item 7.01.</w:t>
      </w:r>
      <w:r>
        <w:rPr>
          <w:sz w:val="20"/>
          <w:szCs w:val="20"/>
          <w:color w:val="auto"/>
        </w:rPr>
        <w:tab/>
      </w:r>
      <w:r>
        <w:rPr>
          <w:rFonts w:ascii="Arial" w:cs="Arial" w:eastAsia="Arial" w:hAnsi="Arial"/>
          <w:sz w:val="16"/>
          <w:szCs w:val="16"/>
          <w:b w:val="1"/>
          <w:bCs w:val="1"/>
          <w:color w:val="auto"/>
        </w:rPr>
        <w:t>Results of Operations and Financial Condition; Regulation FD Disclosure.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6, 2017, the Registrant issued a press release reporting its third-quarter 2017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8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Exhibit 99.1 — Press Release dated November 6, 2017</w:t>
        </w:r>
      </w:hyperlink>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580" w:right="3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PLAINS GP HOLDINGS, L.P.</w:t>
      </w:r>
    </w:p>
    <w:p>
      <w:pPr>
        <w:spacing w:after="0" w:line="387" w:lineRule="exact"/>
        <w:rPr>
          <w:sz w:val="20"/>
          <w:szCs w:val="20"/>
          <w:color w:val="auto"/>
        </w:rPr>
      </w:pPr>
    </w:p>
    <w:p>
      <w:pPr>
        <w:ind w:left="4720"/>
        <w:spacing w:after="0"/>
        <w:tabs>
          <w:tab w:leader="none" w:pos="5160" w:val="left"/>
        </w:tabs>
        <w:rPr>
          <w:sz w:val="20"/>
          <w:szCs w:val="20"/>
          <w:color w:val="auto"/>
        </w:rPr>
      </w:pPr>
      <w:r>
        <w:rPr>
          <w:rFonts w:ascii="Arial" w:cs="Arial" w:eastAsia="Arial" w:hAnsi="Arial"/>
          <w:sz w:val="18"/>
          <w:szCs w:val="18"/>
          <w:color w:val="auto"/>
        </w:rPr>
        <w:t>By:</w:t>
        <w:tab/>
        <w:t>PAA GP Holdings LLC, its general partner</w:t>
      </w:r>
    </w:p>
    <w:p>
      <w:pPr>
        <w:spacing w:after="0" w:line="387" w:lineRule="exact"/>
        <w:rPr>
          <w:sz w:val="20"/>
          <w:szCs w:val="20"/>
          <w:color w:val="auto"/>
        </w:rPr>
      </w:pPr>
    </w:p>
    <w:p>
      <w:pPr>
        <w:ind w:left="40"/>
        <w:spacing w:after="0"/>
        <w:tabs>
          <w:tab w:leader="none" w:pos="4700" w:val="left"/>
          <w:tab w:leader="none" w:pos="5160" w:val="left"/>
        </w:tabs>
        <w:rPr>
          <w:sz w:val="20"/>
          <w:szCs w:val="20"/>
          <w:color w:val="auto"/>
        </w:rPr>
      </w:pPr>
      <w:r>
        <w:rPr>
          <w:rFonts w:ascii="Arial" w:cs="Arial" w:eastAsia="Arial" w:hAnsi="Arial"/>
          <w:sz w:val="18"/>
          <w:szCs w:val="18"/>
          <w:color w:val="auto"/>
        </w:rPr>
        <w:t>Date: November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tabs>
          <w:tab w:leader="none" w:pos="5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 Swanson</w:t>
      </w:r>
    </w:p>
    <w:p>
      <w:pPr>
        <w:spacing w:after="0" w:line="63" w:lineRule="exact"/>
        <w:rPr>
          <w:sz w:val="20"/>
          <w:szCs w:val="20"/>
          <w:color w:val="auto"/>
        </w:rPr>
      </w:pPr>
    </w:p>
    <w:p>
      <w:pPr>
        <w:ind w:left="518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661"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446405</wp:posOffset>
            </wp:positionV>
            <wp:extent cx="584898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2017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2017 Full-Year Guidance</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(Houston — November 6, 2017) Plains All American Pipeline, L.P. (NYSE: PAA) and Plains GP Holdings (NYSE: PAGP) today reported third-quarter 2017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9"/>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9"/>
          </w:tcPr>
          <w:p>
            <w:pPr>
              <w:jc w:val="center"/>
              <w:ind w:right="280"/>
              <w:spacing w:after="0"/>
              <w:rPr>
                <w:sz w:val="20"/>
                <w:szCs w:val="20"/>
                <w:color w:val="auto"/>
              </w:rPr>
            </w:pPr>
            <w:r>
              <w:rPr>
                <w:rFonts w:ascii="Arial" w:cs="Arial" w:eastAsia="Arial" w:hAnsi="Arial"/>
                <w:sz w:val="16"/>
                <w:szCs w:val="16"/>
                <w:b w:val="1"/>
                <w:bCs w:val="1"/>
                <w:color w:val="auto"/>
                <w:w w:val="92"/>
              </w:rPr>
              <w:t>Nine Months Ended</w:t>
            </w:r>
          </w:p>
        </w:tc>
        <w:tc>
          <w:tcPr>
            <w:tcW w:w="98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9"/>
          </w:tcPr>
          <w:p>
            <w:pPr>
              <w:ind w:left="380"/>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9"/>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w:t>
            </w:r>
          </w:p>
        </w:tc>
      </w:tr>
      <w:tr>
        <w:trPr>
          <w:trHeight w:val="33"/>
        </w:trPr>
        <w:tc>
          <w:tcPr>
            <w:tcW w:w="4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1"/>
        </w:trPr>
        <w:tc>
          <w:tcPr>
            <w:tcW w:w="456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GAAP Results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ind w:left="14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ind w:right="134"/>
              <w:spacing w:after="0"/>
              <w:rPr>
                <w:sz w:val="20"/>
                <w:szCs w:val="20"/>
                <w:color w:val="auto"/>
              </w:rPr>
            </w:pPr>
            <w:r>
              <w:rPr>
                <w:rFonts w:ascii="Arial" w:cs="Arial" w:eastAsia="Arial" w:hAnsi="Arial"/>
                <w:sz w:val="16"/>
                <w:szCs w:val="16"/>
                <w:b w:val="1"/>
                <w:bCs w:val="1"/>
                <w:color w:val="auto"/>
              </w:rPr>
              <w:t>Change</w:t>
            </w:r>
          </w:p>
        </w:tc>
      </w:tr>
      <w:tr>
        <w:trPr>
          <w:trHeight w:val="33"/>
        </w:trPr>
        <w:tc>
          <w:tcPr>
            <w:tcW w:w="4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Diluted net income/(loss) per common unit</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0.76</w:t>
            </w:r>
          </w:p>
        </w:tc>
        <w:tc>
          <w:tcPr>
            <w:tcW w:w="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4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64"/>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Distribution per common unit declared for the period</w:t>
            </w: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w:t>
            </w:r>
          </w:p>
        </w:tc>
        <w:tc>
          <w:tcPr>
            <w:tcW w:w="1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560"/>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9"/>
          </w:tcPr>
          <w:p>
            <w:pPr>
              <w:ind w:left="140"/>
              <w:spacing w:after="0"/>
              <w:rPr>
                <w:sz w:val="20"/>
                <w:szCs w:val="20"/>
                <w:color w:val="auto"/>
              </w:rPr>
            </w:pPr>
            <w:r>
              <w:rPr>
                <w:rFonts w:ascii="Arial" w:cs="Arial" w:eastAsia="Arial" w:hAnsi="Arial"/>
                <w:sz w:val="16"/>
                <w:szCs w:val="16"/>
                <w:b w:val="1"/>
                <w:bCs w:val="1"/>
                <w:color w:val="auto"/>
              </w:rPr>
              <w:t>Nine Months Ended</w:t>
            </w:r>
          </w:p>
        </w:tc>
        <w:tc>
          <w:tcPr>
            <w:tcW w:w="980" w:type="dxa"/>
            <w:vAlign w:val="bottom"/>
          </w:tcPr>
          <w:p>
            <w:pPr>
              <w:spacing w:after="0"/>
              <w:rPr>
                <w:sz w:val="24"/>
                <w:szCs w:val="24"/>
                <w:color w:val="auto"/>
              </w:rPr>
            </w:pPr>
          </w:p>
        </w:tc>
      </w:tr>
      <w:tr>
        <w:trPr>
          <w:trHeight w:val="210"/>
        </w:trPr>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9"/>
          </w:tcPr>
          <w:p>
            <w:pPr>
              <w:ind w:left="340"/>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jc w:val="right"/>
              <w:ind w:right="35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9"/>
          </w:tcPr>
          <w:p>
            <w:pPr>
              <w:ind w:left="34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r>
      <w:tr>
        <w:trPr>
          <w:trHeight w:val="33"/>
        </w:trPr>
        <w:tc>
          <w:tcPr>
            <w:tcW w:w="4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Change</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Change</w:t>
            </w: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21"/>
                <w:szCs w:val="21"/>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(2)</w:t>
            </w: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489</w:t>
            </w: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1,452</w:t>
            </w: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1,569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80" w:hanging="332"/>
        <w:spacing w:after="0" w:line="23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37"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Prior period amounts have been recast to conform to certain changes made in the fourth quarter of 2016.</w:t>
      </w:r>
    </w:p>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“PAA reported third-quarter results that were slightly above guidance,” stated Greg L. Armstrong, Chairman and CEO of Plains All American Pipeline. “We are on track to execute our leverage reduction plan, on-time and on-budget with our capital program and making progress on a number of additional commercial initiatives. Additionally, due to significant preparation, coordination and execution by our employees, the recent hurricanes had minimal impact on our operations and financial results and we were able to service our customers without interruption. I want to publicly thank our employees and vendors for their commitment and hard work in that regard and also for the actions they took to help one another and our communities in the recovery efforts.”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third quarter and first nine months of 2017 and 2016 is presented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 2016</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199"/>
              <w:spacing w:after="0" w:line="153" w:lineRule="exact"/>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6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363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8"/>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8"/>
                <w:szCs w:val="18"/>
                <w:b w:val="1"/>
                <w:bCs w:val="1"/>
                <w:i w:val="1"/>
                <w:i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15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20955</wp:posOffset>
            </wp:positionV>
            <wp:extent cx="2615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20955</wp:posOffset>
            </wp:positionV>
            <wp:extent cx="2512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8120" w:space="720"/>
            <w:col w:w="258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99"/>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6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8"/>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8"/>
                <w:szCs w:val="18"/>
                <w:b w:val="1"/>
                <w:bCs w:val="1"/>
                <w:i w:val="1"/>
                <w:i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340" w:right="100" w:hanging="332"/>
        <w:spacing w:after="0" w:line="223"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we modified our primary segment performance measure to segment adjusted EBITDA from segment profit and also modified our definition of adjusted EBITDA to exclude our proportionate share of depreciation and amortization expense associated with equity method investments. Prior-period segment amounts have been recast to reflect these changes.</w:t>
      </w:r>
    </w:p>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Third-quarter 2017 Transportation segment adjusted EBITDA increased by 18% over comparable 2016 results. This increase was primarily driven by increased volumes on our Permian Basin systems, in addition to contributions from our Eagle Ford JV system, which receives Permian volumes from our Cactus pipeline.</w:t>
      </w:r>
    </w:p>
    <w:p>
      <w:pPr>
        <w:spacing w:after="0" w:line="18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Third-quarter 2017 Facilities segment adjusted EBITDA increased by 6% versus comparable 2016 results. This increase was primarily driven by higher fee-based revenues at certain of our NGL facilities, partially offset by lower rail activity and the impact of an asset sale completed in June 2017.</w:t>
      </w:r>
    </w:p>
    <w:p>
      <w:pPr>
        <w:spacing w:after="0" w:line="124"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Overall negative Supply &amp; Logistics results for both third-quarter periods primarily relate to the seasonality of our NGL supply business. Third-quarter 2017 Supply and Logistics segment adjusted EBITDA decreased by $39 million relative to comparable 2016 results due to continued competitive pressures, margin compression, and reduced arbitrage opportunities.</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Partnership estimates an approximate $6 million third-quarter 2017 adjusted EBITDA aggregate impact due to lower volumes resulting from operational downtime associated with Hurricane Harvey.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2017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barrel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96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Twelve Months Ended December 31,</w:t>
            </w:r>
          </w:p>
        </w:tc>
        <w:tc>
          <w:tcPr>
            <w:tcW w:w="12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 (G)</w:t>
            </w:r>
          </w:p>
        </w:tc>
      </w:tr>
      <w:tr>
        <w:trPr>
          <w:trHeight w:val="3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631"/>
              <w:spacing w:after="0"/>
              <w:rPr>
                <w:sz w:val="20"/>
                <w:szCs w:val="20"/>
                <w:color w:val="auto"/>
              </w:rPr>
            </w:pPr>
            <w:r>
              <w:rPr>
                <w:rFonts w:ascii="Arial" w:cs="Arial" w:eastAsia="Arial" w:hAnsi="Arial"/>
                <w:sz w:val="16"/>
                <w:szCs w:val="16"/>
                <w:color w:val="auto"/>
              </w:rPr>
              <w:t>+ / -</w:t>
            </w:r>
          </w:p>
        </w:tc>
      </w:tr>
      <w:tr>
        <w:trPr>
          <w:trHeight w:val="33"/>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Adjusted EBITDA</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1120" w:type="dxa"/>
            <w:vAlign w:val="bottom"/>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1,275</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r>
      <w:tr>
        <w:trPr>
          <w:trHeight w:val="237"/>
        </w:trPr>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1120" w:type="dxa"/>
            <w:vAlign w:val="bottom"/>
            <w:tcBorders>
              <w:top w:val="single" w:sz="8" w:color="auto"/>
            </w:tcBorders>
          </w:tcPr>
          <w:p>
            <w:pPr>
              <w:jc w:val="right"/>
              <w:ind w:right="9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1,644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2,000</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Supply and Logistics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Other income/(expense), net</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5"/>
                <w:szCs w:val="25"/>
                <w:b w:val="1"/>
                <w:bCs w:val="1"/>
                <w:color w:val="auto"/>
                <w:vertAlign w:val="superscript"/>
              </w:rPr>
              <w:t>(1)</w:t>
            </w:r>
          </w:p>
        </w:tc>
        <w:tc>
          <w:tcPr>
            <w:tcW w:w="112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2,075</w:t>
            </w: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20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Maintenance capital</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304"/>
        </w:trPr>
        <w:tc>
          <w:tcPr>
            <w:tcW w:w="606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5"/>
                <w:szCs w:val="25"/>
                <w:b w:val="1"/>
                <w:bCs w:val="1"/>
                <w:color w:val="auto"/>
                <w:vertAlign w:val="superscript"/>
              </w:rPr>
              <w:t>(1)</w:t>
            </w:r>
          </w:p>
        </w:tc>
        <w:tc>
          <w:tcPr>
            <w:tcW w:w="1120" w:type="dxa"/>
            <w:vAlign w:val="bottom"/>
            <w:tcBorders>
              <w:top w:val="single" w:sz="8" w:color="auto"/>
              <w:bottom w:val="single" w:sz="8" w:color="auto"/>
            </w:tcBorders>
          </w:tcPr>
          <w:p>
            <w:pPr>
              <w:jc w:val="right"/>
              <w:ind w:right="9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1,474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1,330</w:t>
            </w:r>
          </w:p>
        </w:tc>
      </w:tr>
      <w:tr>
        <w:trPr>
          <w:trHeight w:val="305"/>
        </w:trPr>
        <w:tc>
          <w:tcPr>
            <w:tcW w:w="60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Transportation</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Average daily volumes (MBbls/d)</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5,160</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r>
      <w:tr>
        <w:trPr>
          <w:trHeight w:val="32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Facilities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Average capacity (MMBbls/Mo)</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32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Supply and Logistics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Average daily volumes (MBbls/d)</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1,205</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r>
      <w:tr>
        <w:trPr>
          <w:trHeight w:val="32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Expansion Capital</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1,050</w:t>
            </w:r>
          </w:p>
        </w:tc>
      </w:tr>
      <w:tr>
        <w:trPr>
          <w:trHeight w:val="32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Fourth-Quarter Adjusted EBITDA as Percentage of Full Year</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w:t>
            </w:r>
          </w:p>
        </w:tc>
      </w:tr>
      <w:tr>
        <w:trPr>
          <w:trHeight w:val="27"/>
        </w:trPr>
        <w:tc>
          <w:tcPr>
            <w:tcW w:w="6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(G) 2017 Guidance forecasts are intended to be + / - amounts.</w:t>
      </w:r>
    </w:p>
    <w:p>
      <w:pPr>
        <w:spacing w:after="0" w:line="165" w:lineRule="exact"/>
        <w:rPr>
          <w:sz w:val="20"/>
          <w:szCs w:val="20"/>
          <w:color w:val="auto"/>
        </w:rPr>
      </w:pPr>
    </w:p>
    <w:p>
      <w:pPr>
        <w:ind w:left="340" w:right="20" w:hanging="332"/>
        <w:spacing w:after="0" w:line="272"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See the section of this release entitled “Non-GAAP Financial Measures and Selected Items Impacting Comparability” and the Financial Data Reconciliations table attached hereto for information regarding non-GAAP financial measures and, for the historical 2015 and 2016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39"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246" w:lineRule="exact"/>
        <w:rPr>
          <w:rFonts w:ascii="Arial" w:cs="Arial" w:eastAsia="Arial" w:hAnsi="Arial"/>
          <w:sz w:val="13"/>
          <w:szCs w:val="13"/>
          <w:color w:val="auto"/>
        </w:rPr>
      </w:pPr>
    </w:p>
    <w:p>
      <w:pPr>
        <w:ind w:left="5520" w:hanging="96"/>
        <w:spacing w:after="0"/>
        <w:tabs>
          <w:tab w:leader="none" w:pos="5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Q3 2017</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Q2 2017</w:t>
            </w:r>
          </w:p>
        </w:tc>
        <w:tc>
          <w:tcPr>
            <w:tcW w:w="24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Q3 2016</w:t>
            </w:r>
          </w:p>
        </w:tc>
      </w:tr>
      <w:tr>
        <w:trPr>
          <w:trHeight w:val="33"/>
        </w:trPr>
        <w:tc>
          <w:tcPr>
            <w:tcW w:w="7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Distribution per Class A share declared for the period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0.55</w:t>
            </w:r>
          </w:p>
        </w:tc>
      </w:tr>
      <w:tr>
        <w:trPr>
          <w:trHeight w:val="257"/>
        </w:trPr>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Q3 2017 distribution percentage change from prior periods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6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9:00 a.m. CT on Tuesday, November 7, 2017 to discuss the following items:</w:t>
      </w:r>
    </w:p>
    <w:p>
      <w:pPr>
        <w:spacing w:after="0" w:line="225"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PAA’s third-quarter 2017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2017;</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0000FF"/>
        </w:rPr>
        <w:t>https://event.webcasts.com/starthere.jsp?ei=1165323&amp;tp_key=ec99532516</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failure to consummate, or significant delay in consummating, sales of assets or interests as a part of our strategic divestiture program;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the impact of current and future laws, rulings, governmental regulations, accounting standards and statements, and related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6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Total costs and expenses</w:t>
            </w:r>
          </w:p>
        </w:tc>
        <w:tc>
          <w:tcPr>
            <w:tcW w:w="1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13,454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TAX</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Current income tax benefit/(expense)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1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 PER COMMON UNIT:</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w w:val="96"/>
              </w:rPr>
              <w:t>Net income/(loss) allocated to common unitholders — Basic</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304"/>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Basic net income/(loss) per common unit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20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w w:val="94"/>
              </w:rPr>
              <w:t>Net income/(loss) allocated to common unitholders — Diluted</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64"/>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Diluted net income/(loss) per common unit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82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 except per unit data)</w:t>
            </w: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24"/>
                <w:szCs w:val="24"/>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60" w:type="dxa"/>
            <w:vAlign w:val="bottom"/>
            <w:gridSpan w:val="2"/>
          </w:tcPr>
          <w:p>
            <w:pPr>
              <w:jc w:val="right"/>
              <w:ind w:right="690"/>
              <w:spacing w:after="0"/>
              <w:rPr>
                <w:sz w:val="20"/>
                <w:szCs w:val="20"/>
                <w:color w:val="auto"/>
              </w:rPr>
            </w:pPr>
            <w:r>
              <w:rPr>
                <w:rFonts w:ascii="Arial" w:cs="Arial" w:eastAsia="Arial" w:hAnsi="Arial"/>
                <w:sz w:val="18"/>
                <w:szCs w:val="18"/>
                <w:color w:val="auto"/>
              </w:rPr>
              <w:t>- more -</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820" w:type="dxa"/>
            <w:vAlign w:val="bottom"/>
            <w:gridSpan w:val="2"/>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1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Houston, Texas 77002</w:t>
            </w:r>
          </w:p>
        </w:tc>
        <w:tc>
          <w:tcPr>
            <w:tcW w:w="920" w:type="dxa"/>
            <w:vAlign w:val="bottom"/>
          </w:tcPr>
          <w:p>
            <w:pPr>
              <w:spacing w:after="0"/>
              <w:rPr>
                <w:sz w:val="24"/>
                <w:szCs w:val="24"/>
                <w:color w:val="auto"/>
              </w:rPr>
            </w:pPr>
          </w:p>
        </w:tc>
        <w:tc>
          <w:tcPr>
            <w:tcW w:w="2480" w:type="dxa"/>
            <w:vAlign w:val="bottom"/>
            <w:gridSpan w:val="6"/>
          </w:tcPr>
          <w:p>
            <w:pPr>
              <w:jc w:val="right"/>
              <w:ind w:right="212"/>
              <w:spacing w:after="0"/>
              <w:rPr>
                <w:sz w:val="20"/>
                <w:szCs w:val="20"/>
                <w:color w:val="auto"/>
              </w:rPr>
            </w:pPr>
            <w:r>
              <w:rPr>
                <w:rFonts w:ascii="Arial" w:cs="Arial" w:eastAsia="Arial" w:hAnsi="Arial"/>
                <w:sz w:val="18"/>
                <w:szCs w:val="18"/>
                <w:b w:val="1"/>
                <w:bCs w:val="1"/>
                <w:color w:val="auto"/>
                <w:w w:val="90"/>
              </w:rPr>
              <w:t>713-646-4100 / 866-809-1291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292"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4,015</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25,483</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4,016</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15,203</w:t>
            </w:r>
          </w:p>
        </w:tc>
        <w:tc>
          <w:tcPr>
            <w:tcW w:w="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25,483</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10,489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11,407</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10,280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20,769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21,687</w:t>
            </w:r>
          </w:p>
        </w:tc>
        <w:tc>
          <w:tcPr>
            <w:tcW w:w="80" w:type="dxa"/>
            <w:vAlign w:val="bottom"/>
          </w:tcPr>
          <w:p>
            <w:pPr>
              <w:spacing w:after="0"/>
              <w:rPr>
                <w:sz w:val="24"/>
                <w:szCs w:val="24"/>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debt-to-total book capitalization</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debt-to-total book capitalization, including short-term debt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80" w:hanging="332"/>
        <w:spacing w:after="0" w:line="22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As of September 30, 2017 and December 31, 2016, short-term debt includes borrowings of approximately $724 million and $1,303 million, respectively, for short-term hedged inventory purchases and borrowings of approximately $194 million and $410 million, respectively, for cash margin deposits with our clearing brokers, which are associated with financial derivatives used for hedging purposes.</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3"/>
          </w:tcPr>
          <w:p>
            <w:pPr>
              <w:jc w:val="right"/>
              <w:ind w:right="39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238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Transportation segment (average daily volumes in thousands of barrels per day):</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Tariff activities volumes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 (by region):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Western</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Gulf Coast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Canada</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Tariff activities total volumes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Trucking volumes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total volumes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5,341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(average monthly volumes):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0"/>
              <w:spacing w:after="0"/>
              <w:rPr>
                <w:sz w:val="20"/>
                <w:szCs w:val="20"/>
                <w:color w:val="auto"/>
              </w:rPr>
            </w:pPr>
            <w:r>
              <w:rPr>
                <w:rFonts w:ascii="Arial" w:cs="Arial" w:eastAsia="Arial" w:hAnsi="Arial"/>
                <w:sz w:val="18"/>
                <w:szCs w:val="18"/>
                <w:color w:val="auto"/>
              </w:rPr>
              <w:t>Crude oil, refined products and NGL terminalling and storage (average monthly</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capacity in millions of barrels)</w:t>
            </w: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Rail load / unload volumes (average volumes in thousands of barrels per day)</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5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w w:val="96"/>
              </w:rPr>
              <w:t xml:space="preserve">Facilities segment total volumes (average monthly volumes in millions of barrels) </w:t>
            </w:r>
            <w:r>
              <w:rPr>
                <w:rFonts w:ascii="Arial" w:cs="Arial" w:eastAsia="Arial" w:hAnsi="Arial"/>
                <w:sz w:val="25"/>
                <w:szCs w:val="25"/>
                <w:color w:val="auto"/>
                <w:w w:val="96"/>
                <w:vertAlign w:val="superscript"/>
              </w:rPr>
              <w:t>(3)</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w w:val="92"/>
              </w:rPr>
              <w:t>Supply and Logistics segment (average daily volumes in thousands of barrels per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00"/>
              <w:spacing w:after="0"/>
              <w:rPr>
                <w:sz w:val="20"/>
                <w:szCs w:val="20"/>
                <w:color w:val="auto"/>
              </w:rPr>
            </w:pPr>
            <w:r>
              <w:rPr>
                <w:rFonts w:ascii="Arial" w:cs="Arial" w:eastAsia="Arial" w:hAnsi="Arial"/>
                <w:sz w:val="18"/>
                <w:szCs w:val="18"/>
                <w:b w:val="1"/>
                <w:bCs w:val="1"/>
                <w:color w:val="auto"/>
              </w:rPr>
              <w:t>day):</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lease gathering purchases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sales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Waterborne cargos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Supply and Logistics segment total volumes</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Average volumes are calculated as total volumes for the period (attributable to our interest) divided by the number of days or months in the period.</w:t>
      </w:r>
    </w:p>
    <w:p>
      <w:pPr>
        <w:spacing w:after="0" w:line="5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20"/>
          <w:szCs w:val="20"/>
          <w:color w:val="auto"/>
          <w:vertAlign w:val="superscript"/>
        </w:rPr>
      </w:pPr>
      <w:r>
        <w:rPr>
          <w:rFonts w:ascii="Arial" w:cs="Arial" w:eastAsia="Arial" w:hAnsi="Arial"/>
          <w:sz w:val="13"/>
          <w:szCs w:val="13"/>
          <w:color w:val="auto"/>
        </w:rPr>
        <w:t>Region includes volumes (attributable to our interest) from pipelines owned by unconsolidated entities.</w:t>
      </w:r>
    </w:p>
    <w:p>
      <w:pPr>
        <w:spacing w:after="0" w:line="50" w:lineRule="exact"/>
        <w:rPr>
          <w:rFonts w:ascii="Arial" w:cs="Arial" w:eastAsia="Arial" w:hAnsi="Arial"/>
          <w:sz w:val="20"/>
          <w:szCs w:val="20"/>
          <w:color w:val="auto"/>
          <w:vertAlign w:val="superscript"/>
        </w:rPr>
      </w:pPr>
    </w:p>
    <w:p>
      <w:pPr>
        <w:jc w:val="both"/>
        <w:ind w:left="340" w:hanging="332"/>
        <w:spacing w:after="0" w:line="210"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26"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Income/(Loss)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Net Income/(Loss) per Common Unit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net income/(loss) per common unit </w:t>
            </w:r>
            <w:r>
              <w:rPr>
                <w:rFonts w:ascii="Arial" w:cs="Arial" w:eastAsia="Arial" w:hAnsi="Arial"/>
                <w:sz w:val="25"/>
                <w:szCs w:val="25"/>
                <w:color w:val="auto"/>
                <w:vertAlign w:val="superscript"/>
              </w:rPr>
              <w:t>(3)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0" w:hanging="332"/>
        <w:spacing w:after="0" w:line="239"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on these interests.</w:t>
      </w:r>
    </w:p>
    <w:p>
      <w:pPr>
        <w:spacing w:after="0" w:line="43" w:lineRule="exact"/>
        <w:rPr>
          <w:rFonts w:ascii="Arial" w:cs="Arial" w:eastAsia="Arial" w:hAnsi="Arial"/>
          <w:sz w:val="25"/>
          <w:szCs w:val="25"/>
          <w:color w:val="auto"/>
          <w:vertAlign w:val="superscript"/>
        </w:rPr>
      </w:pPr>
    </w:p>
    <w:p>
      <w:pPr>
        <w:ind w:left="340" w:hanging="332"/>
        <w:spacing w:after="0" w:line="235"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loss per common unit for the three months ended September 30, 2017 as the effect was antidilutive.</w:t>
      </w:r>
    </w:p>
    <w:p>
      <w:pPr>
        <w:spacing w:after="0" w:line="42" w:lineRule="exact"/>
        <w:rPr>
          <w:rFonts w:ascii="Arial" w:cs="Arial" w:eastAsia="Arial" w:hAnsi="Arial"/>
          <w:sz w:val="25"/>
          <w:szCs w:val="25"/>
          <w:color w:val="auto"/>
          <w:vertAlign w:val="superscript"/>
        </w:rPr>
      </w:pPr>
    </w:p>
    <w:p>
      <w:pPr>
        <w:ind w:left="340" w:right="60" w:hanging="332"/>
        <w:spacing w:after="0" w:line="21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nine months ended September 30, 2017 and 2016 as the effect was antidilutive.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5,574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5" w:lineRule="exact"/>
        <w:rPr>
          <w:sz w:val="20"/>
          <w:szCs w:val="20"/>
          <w:color w:val="auto"/>
        </w:rPr>
      </w:pPr>
    </w:p>
    <w:p>
      <w:pPr>
        <w:ind w:left="340" w:right="300" w:hanging="332"/>
        <w:spacing w:after="0" w:line="221" w:lineRule="auto"/>
        <w:tabs>
          <w:tab w:leader="none" w:pos="340"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During the fourth quarter of 2016, we modified our primary segment performance measure to segment adjusted EBITDA from segment profit. Segment adjusted EBITDA forms the basis of our internal financial reporting and is the primary measure used by our Chief Operating Decision Maker (“CODM”) in assessing performance and allocating resources among our operating segments. Prior period segment amounts have been recast to reflect this change.</w:t>
      </w:r>
    </w:p>
    <w:p>
      <w:pPr>
        <w:ind w:left="340" w:hanging="332"/>
        <w:spacing w:after="0" w:line="184"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Includes intersegment amounts.</w:t>
      </w:r>
    </w:p>
    <w:p>
      <w:pPr>
        <w:spacing w:after="0" w:line="51" w:lineRule="exact"/>
        <w:rPr>
          <w:rFonts w:ascii="Arial" w:cs="Arial" w:eastAsia="Arial" w:hAnsi="Arial"/>
          <w:sz w:val="29"/>
          <w:szCs w:val="29"/>
          <w:color w:val="auto"/>
          <w:vertAlign w:val="superscript"/>
        </w:rPr>
      </w:pPr>
    </w:p>
    <w:p>
      <w:pPr>
        <w:ind w:left="340" w:right="360" w:hanging="332"/>
        <w:spacing w:after="0" w:line="185"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Field operating costs and Segment general and administrative expenses exclude equity-indexed compensation expense, which is presented separately in the table above.</w:t>
      </w:r>
    </w:p>
    <w:p>
      <w:pPr>
        <w:spacing w:after="0" w:line="37" w:lineRule="exact"/>
        <w:rPr>
          <w:rFonts w:ascii="Arial" w:cs="Arial" w:eastAsia="Arial" w:hAnsi="Arial"/>
          <w:sz w:val="29"/>
          <w:szCs w:val="29"/>
          <w:color w:val="auto"/>
          <w:vertAlign w:val="superscript"/>
        </w:rPr>
      </w:pPr>
    </w:p>
    <w:p>
      <w:pPr>
        <w:ind w:left="340" w:right="700" w:hanging="332"/>
        <w:spacing w:after="0" w:line="220"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7" w:lineRule="exact"/>
        <w:rPr>
          <w:rFonts w:ascii="Arial" w:cs="Arial" w:eastAsia="Arial" w:hAnsi="Arial"/>
          <w:sz w:val="25"/>
          <w:szCs w:val="25"/>
          <w:color w:val="auto"/>
          <w:vertAlign w:val="superscript"/>
        </w:rPr>
      </w:pPr>
    </w:p>
    <w:p>
      <w:pPr>
        <w:ind w:left="340" w:right="280" w:hanging="332"/>
        <w:spacing w:after="0" w:line="207"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31" w:lineRule="exact"/>
        <w:rPr>
          <w:rFonts w:ascii="Arial" w:cs="Arial" w:eastAsia="Arial" w:hAnsi="Arial"/>
          <w:sz w:val="29"/>
          <w:szCs w:val="29"/>
          <w:color w:val="auto"/>
          <w:vertAlign w:val="superscript"/>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3"/>
                <w:szCs w:val="13"/>
                <w:color w:val="auto"/>
              </w:rPr>
            </w:pPr>
          </w:p>
        </w:tc>
        <w:tc>
          <w:tcPr>
            <w:tcW w:w="130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Supply and</w:t>
            </w:r>
          </w:p>
        </w:tc>
        <w:tc>
          <w:tcPr>
            <w:tcW w:w="14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17,757</w:t>
            </w: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6" w:lineRule="exact"/>
        <w:rPr>
          <w:sz w:val="20"/>
          <w:szCs w:val="20"/>
          <w:color w:val="auto"/>
        </w:rPr>
      </w:pPr>
    </w:p>
    <w:p>
      <w:pPr>
        <w:ind w:left="340" w:right="100" w:hanging="332"/>
        <w:spacing w:after="0" w:line="211"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During the fourth quarter of 2016, we modified our primary segment performance measure to segment adjusted EBITDA from segment profit. Segment adjusted EBITDA forms the basis of our internal financial reporting and is the primary measure used by our CODM in assessing performance and allocating resources among our operating segments. Prior period segment amounts have been recast to reflect this change.</w:t>
      </w:r>
    </w:p>
    <w:p>
      <w:pPr>
        <w:ind w:left="340" w:hanging="332"/>
        <w:spacing w:after="0" w:line="184" w:lineRule="auto"/>
        <w:tabs>
          <w:tab w:leader="none" w:pos="3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Includes intersegment amounts.</w:t>
      </w:r>
    </w:p>
    <w:p>
      <w:pPr>
        <w:spacing w:after="0" w:line="49" w:lineRule="exact"/>
        <w:rPr>
          <w:rFonts w:ascii="Arial" w:cs="Arial" w:eastAsia="Arial" w:hAnsi="Arial"/>
          <w:sz w:val="29"/>
          <w:szCs w:val="29"/>
          <w:color w:val="auto"/>
          <w:vertAlign w:val="superscript"/>
        </w:rPr>
      </w:pPr>
    </w:p>
    <w:p>
      <w:pPr>
        <w:ind w:left="340" w:right="180" w:hanging="332"/>
        <w:spacing w:after="0" w:line="182" w:lineRule="auto"/>
        <w:tabs>
          <w:tab w:leader="none" w:pos="3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35" w:lineRule="exact"/>
        <w:rPr>
          <w:rFonts w:ascii="Arial" w:cs="Arial" w:eastAsia="Arial" w:hAnsi="Arial"/>
          <w:sz w:val="29"/>
          <w:szCs w:val="29"/>
          <w:color w:val="auto"/>
          <w:vertAlign w:val="superscript"/>
        </w:rPr>
      </w:pPr>
    </w:p>
    <w:p>
      <w:pPr>
        <w:ind w:left="340" w:right="520" w:hanging="332"/>
        <w:spacing w:after="0" w:line="211" w:lineRule="auto"/>
        <w:tabs>
          <w:tab w:leader="none" w:pos="3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4" w:lineRule="exact"/>
        <w:rPr>
          <w:rFonts w:ascii="Arial" w:cs="Arial" w:eastAsia="Arial" w:hAnsi="Arial"/>
          <w:sz w:val="26"/>
          <w:szCs w:val="26"/>
          <w:color w:val="auto"/>
          <w:vertAlign w:val="superscript"/>
        </w:rPr>
      </w:pPr>
    </w:p>
    <w:p>
      <w:pPr>
        <w:ind w:left="340" w:right="120" w:hanging="332"/>
        <w:spacing w:after="0" w:line="201" w:lineRule="auto"/>
        <w:tabs>
          <w:tab w:leader="none" w:pos="3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18" w:lineRule="exact"/>
        <w:rPr>
          <w:rFonts w:ascii="Arial" w:cs="Arial" w:eastAsia="Arial" w:hAnsi="Arial"/>
          <w:sz w:val="29"/>
          <w:szCs w:val="29"/>
          <w:color w:val="auto"/>
          <w:vertAlign w:val="superscript"/>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7"/>
                <w:szCs w:val="17"/>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132"/>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Selected Items Impacting Comparability: </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(147)</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2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2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6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(224)</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selected items impacting comparability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6520" w:type="dxa"/>
            <w:vAlign w:val="bottom"/>
          </w:tcPr>
          <w:p>
            <w:pPr>
              <w:ind w:left="200"/>
              <w:spacing w:after="0"/>
              <w:rPr>
                <w:sz w:val="20"/>
                <w:szCs w:val="20"/>
                <w:color w:val="auto"/>
              </w:rPr>
            </w:pPr>
            <w:r>
              <w:rPr>
                <w:rFonts w:ascii="Arial" w:cs="Arial" w:eastAsia="Arial" w:hAnsi="Arial"/>
                <w:sz w:val="18"/>
                <w:szCs w:val="18"/>
                <w:color w:val="auto"/>
                <w:w w:val="97"/>
              </w:rPr>
              <w:t>Selected items impacting comparability - Adjusted net income attributable to PAA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54" w:lineRule="exact"/>
        <w:rPr>
          <w:rFonts w:ascii="Arial" w:cs="Arial" w:eastAsia="Arial" w:hAnsi="Arial"/>
          <w:sz w:val="24"/>
          <w:szCs w:val="24"/>
          <w:color w:val="auto"/>
          <w:vertAlign w:val="superscript"/>
        </w:rPr>
      </w:pPr>
    </w:p>
    <w:p>
      <w:pPr>
        <w:ind w:left="340" w:right="20" w:hanging="332"/>
        <w:spacing w:after="0" w:line="236"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43" w:lineRule="exact"/>
        <w:rPr>
          <w:rFonts w:ascii="Arial" w:cs="Arial" w:eastAsia="Arial" w:hAnsi="Arial"/>
          <w:sz w:val="23"/>
          <w:szCs w:val="23"/>
          <w:color w:val="auto"/>
          <w:vertAlign w:val="superscript"/>
        </w:rPr>
      </w:pPr>
    </w:p>
    <w:p>
      <w:pPr>
        <w:ind w:left="340" w:right="180" w:hanging="332"/>
        <w:spacing w:after="0" w:line="250" w:lineRule="auto"/>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7" w:lineRule="exact"/>
        <w:rPr>
          <w:rFonts w:ascii="Arial" w:cs="Arial" w:eastAsia="Arial" w:hAnsi="Arial"/>
          <w:sz w:val="21"/>
          <w:szCs w:val="21"/>
          <w:color w:val="auto"/>
          <w:vertAlign w:val="superscript"/>
        </w:rPr>
      </w:pPr>
    </w:p>
    <w:p>
      <w:pPr>
        <w:ind w:left="340" w:right="40" w:hanging="332"/>
        <w:spacing w:after="0" w:line="266" w:lineRule="auto"/>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1" w:lineRule="exact"/>
        <w:rPr>
          <w:rFonts w:ascii="Arial" w:cs="Arial" w:eastAsia="Arial" w:hAnsi="Arial"/>
          <w:sz w:val="21"/>
          <w:szCs w:val="21"/>
          <w:color w:val="auto"/>
          <w:vertAlign w:val="superscript"/>
        </w:rPr>
      </w:pPr>
    </w:p>
    <w:p>
      <w:pPr>
        <w:ind w:left="340" w:right="60" w:hanging="332"/>
        <w:spacing w:after="0" w:line="220"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46" w:lineRule="exact"/>
        <w:rPr>
          <w:rFonts w:ascii="Arial" w:cs="Arial" w:eastAsia="Arial" w:hAnsi="Arial"/>
          <w:sz w:val="24"/>
          <w:szCs w:val="24"/>
          <w:color w:val="auto"/>
          <w:vertAlign w:val="superscript"/>
        </w:rPr>
      </w:pPr>
    </w:p>
    <w:p>
      <w:pPr>
        <w:ind w:left="340" w:right="20" w:hanging="332"/>
        <w:spacing w:after="0" w:line="193"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5"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Includes acquisition-related expenses associated with the Alpha Crude Connector acquisition.</w:t>
      </w:r>
    </w:p>
    <w:p>
      <w:pPr>
        <w:spacing w:after="0" w:line="225" w:lineRule="exact"/>
        <w:rPr>
          <w:rFonts w:ascii="Arial" w:cs="Arial" w:eastAsia="Arial" w:hAnsi="Arial"/>
          <w:sz w:val="20"/>
          <w:szCs w:val="20"/>
          <w:color w:val="auto"/>
          <w:vertAlign w:val="superscript"/>
        </w:rPr>
      </w:pPr>
    </w:p>
    <w:p>
      <w:pPr>
        <w:ind w:left="5520" w:hanging="96"/>
        <w:spacing w:after="0"/>
        <w:tabs>
          <w:tab w:leader="none" w:pos="5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70"/>
        </w:trPr>
        <w:tc>
          <w:tcPr>
            <w:tcW w:w="65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1,569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benefit/(expense)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5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(5)</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5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Adjustment to add back our proportionate share of depreciation and amortization expense and gains or losses on significant asset sales of unconsolidated entities.</w:t>
      </w:r>
    </w:p>
    <w:p>
      <w:pPr>
        <w:spacing w:after="0" w:line="54"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54" w:lineRule="exact"/>
        <w:rPr>
          <w:rFonts w:ascii="Arial" w:cs="Arial" w:eastAsia="Arial" w:hAnsi="Arial"/>
          <w:sz w:val="23"/>
          <w:szCs w:val="23"/>
          <w:color w:val="auto"/>
          <w:vertAlign w:val="superscript"/>
        </w:rPr>
      </w:pPr>
    </w:p>
    <w:p>
      <w:pPr>
        <w:ind w:left="340" w:hanging="332"/>
        <w:spacing w:after="0" w:line="183"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54" w:lineRule="exact"/>
        <w:rPr>
          <w:rFonts w:ascii="Arial" w:cs="Arial" w:eastAsia="Arial" w:hAnsi="Arial"/>
          <w:sz w:val="23"/>
          <w:szCs w:val="23"/>
          <w:color w:val="auto"/>
          <w:vertAlign w:val="superscript"/>
        </w:rPr>
      </w:pPr>
    </w:p>
    <w:p>
      <w:pPr>
        <w:ind w:left="340" w:right="100" w:hanging="332"/>
        <w:spacing w:after="0" w:line="187"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1"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Includes cash distributions that pertain to the current period’s net income, which are paid in the subsequent period.</w:t>
      </w:r>
    </w:p>
    <w:p>
      <w:pPr>
        <w:spacing w:after="0" w:line="54" w:lineRule="exact"/>
        <w:rPr>
          <w:rFonts w:ascii="Arial" w:cs="Arial" w:eastAsia="Arial" w:hAnsi="Arial"/>
          <w:sz w:val="28"/>
          <w:szCs w:val="28"/>
          <w:color w:val="auto"/>
          <w:vertAlign w:val="superscript"/>
        </w:rPr>
      </w:pPr>
    </w:p>
    <w:p>
      <w:pPr>
        <w:ind w:left="340" w:right="80" w:hanging="332"/>
        <w:spacing w:after="0" w:line="187"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Including net costs recognized during the periods related to the Line 901 incident that occurred in May 2015, Implied DCF would have been $880 million for the nine months ended September 30, 2017, respectively.</w:t>
      </w:r>
    </w:p>
    <w:p>
      <w:pPr>
        <w:spacing w:after="0" w:line="234"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6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Net Income/(Loss) Per Common Unit to Adjusted Net Income Per Common Unit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0.73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See the “Selected Items Impacting Comparability” and the “Computation of Basic and Diluted Adjusted Net Income Per Common Unit” tables for additional information.</w:t>
      </w:r>
    </w:p>
    <w:p>
      <w:pPr>
        <w:spacing w:after="0" w:line="141"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Implied DCF</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5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Adjustment to add back our proportionate share of depreciation and amortization expense and gains or losses on significant asset sales of unconsolidated entities.</w:t>
      </w:r>
    </w:p>
    <w:p>
      <w:pPr>
        <w:spacing w:after="0" w:line="50"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51" w:lineRule="exact"/>
        <w:rPr>
          <w:rFonts w:ascii="Arial" w:cs="Arial" w:eastAsia="Arial" w:hAnsi="Arial"/>
          <w:sz w:val="22"/>
          <w:szCs w:val="22"/>
          <w:color w:val="auto"/>
          <w:vertAlign w:val="superscript"/>
        </w:rPr>
      </w:pPr>
    </w:p>
    <w:p>
      <w:pPr>
        <w:ind w:left="340" w:right="100" w:hanging="332"/>
        <w:spacing w:after="0" w:line="209"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40" w:hanging="332"/>
        <w:spacing w:after="0" w:line="230"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cash distributions that pertain to the current period’s net income, which are paid in the subsequent period.</w:t>
      </w:r>
    </w:p>
    <w:p>
      <w:pPr>
        <w:spacing w:after="0" w:line="221" w:lineRule="exact"/>
        <w:rPr>
          <w:rFonts w:ascii="Arial" w:cs="Arial" w:eastAsia="Arial" w:hAnsi="Arial"/>
          <w:sz w:val="22"/>
          <w:szCs w:val="22"/>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Adjusted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0.73</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Adjusted Net Income per Common Unit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70"/>
        </w:trPr>
        <w:tc>
          <w:tcPr>
            <w:tcW w:w="65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8" w:lineRule="exact"/>
        <w:rPr>
          <w:sz w:val="20"/>
          <w:szCs w:val="20"/>
          <w:color w:val="auto"/>
        </w:rPr>
      </w:pPr>
    </w:p>
    <w:p>
      <w:pPr>
        <w:ind w:left="340" w:right="120" w:hanging="332"/>
        <w:spacing w:after="0" w:line="239"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from these interests.</w:t>
      </w:r>
    </w:p>
    <w:p>
      <w:pPr>
        <w:spacing w:after="0" w:line="2" w:lineRule="exact"/>
        <w:rPr>
          <w:rFonts w:ascii="Arial" w:cs="Arial" w:eastAsia="Arial" w:hAnsi="Arial"/>
          <w:sz w:val="27"/>
          <w:szCs w:val="27"/>
          <w:color w:val="auto"/>
          <w:vertAlign w:val="superscript"/>
        </w:rPr>
      </w:pPr>
    </w:p>
    <w:p>
      <w:pPr>
        <w:ind w:left="340" w:hanging="332"/>
        <w:spacing w:after="0" w:line="191" w:lineRule="auto"/>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Certain of our non-GAAP financial measures may not be impacted by each of the selected items impacting comparability.</w:t>
      </w:r>
    </w:p>
    <w:p>
      <w:pPr>
        <w:spacing w:after="0" w:line="56" w:lineRule="exact"/>
        <w:rPr>
          <w:rFonts w:ascii="Arial" w:cs="Arial" w:eastAsia="Arial" w:hAnsi="Arial"/>
          <w:sz w:val="28"/>
          <w:szCs w:val="28"/>
          <w:color w:val="auto"/>
          <w:vertAlign w:val="superscript"/>
        </w:rPr>
      </w:pPr>
    </w:p>
    <w:p>
      <w:pPr>
        <w:ind w:left="340" w:right="20" w:hanging="332"/>
        <w:spacing w:after="0" w:line="214"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42" w:lineRule="exact"/>
        <w:rPr>
          <w:rFonts w:ascii="Arial" w:cs="Arial" w:eastAsia="Arial" w:hAnsi="Arial"/>
          <w:sz w:val="27"/>
          <w:szCs w:val="27"/>
          <w:color w:val="auto"/>
          <w:vertAlign w:val="superscript"/>
        </w:rPr>
      </w:pPr>
    </w:p>
    <w:p>
      <w:pPr>
        <w:ind w:left="340" w:right="200" w:hanging="332"/>
        <w:spacing w:after="0" w:line="193" w:lineRule="auto"/>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 per common unit for the three and nine months ended September 30, 2017 and 2016 as the effect was antidilutive.</w:t>
      </w:r>
    </w:p>
    <w:p>
      <w:pPr>
        <w:spacing w:after="0" w:line="234"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September 30,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September 30,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5,327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5,830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income tax benefit/(expense)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6" w:lineRule="exact"/>
        <w:rPr>
          <w:sz w:val="20"/>
          <w:szCs w:val="20"/>
          <w:color w:val="auto"/>
        </w:rPr>
      </w:pPr>
    </w:p>
    <w:p>
      <w:pPr>
        <w:ind w:left="340" w:right="20" w:hanging="332"/>
        <w:spacing w:after="0" w:line="194"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A reverse split of PAGP’s Class A shares was completed on November 15, 2016. The effect of the reverse split has been retroactively applied to all share and per-share amounts presented.</w:t>
      </w:r>
    </w:p>
    <w:p>
      <w:pPr>
        <w:ind w:left="340" w:hanging="332"/>
        <w:spacing w:after="0" w:line="191"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33"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Consolidating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Consolidating</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 xml:space="preserve">Adjustments </w:t>
            </w:r>
            <w:r>
              <w:rPr>
                <w:rFonts w:ascii="Arial" w:cs="Arial" w:eastAsia="Arial" w:hAnsi="Arial"/>
                <w:sz w:val="21"/>
                <w:szCs w:val="21"/>
                <w:b w:val="1"/>
                <w:bCs w:val="1"/>
                <w:color w:val="auto"/>
                <w:w w:val="91"/>
                <w:vertAlign w:val="superscript"/>
              </w:rPr>
              <w:t>(2)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 xml:space="preserve">Adjustments </w:t>
            </w:r>
            <w:r>
              <w:rPr>
                <w:rFonts w:ascii="Arial" w:cs="Arial" w:eastAsia="Arial" w:hAnsi="Arial"/>
                <w:sz w:val="21"/>
                <w:szCs w:val="21"/>
                <w:b w:val="1"/>
                <w:bCs w:val="1"/>
                <w:color w:val="auto"/>
                <w:w w:val="91"/>
                <w:vertAlign w:val="superscript"/>
              </w:rPr>
              <w:t>(2)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16,239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17,731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Equity earnings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benefit/(expense)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PER CLASS A SHARE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CLASS A SHARE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6" w:lineRule="exact"/>
        <w:rPr>
          <w:sz w:val="20"/>
          <w:szCs w:val="20"/>
          <w:color w:val="auto"/>
        </w:rPr>
      </w:pPr>
    </w:p>
    <w:p>
      <w:pPr>
        <w:ind w:left="340" w:hanging="332"/>
        <w:spacing w:after="0" w:line="194" w:lineRule="auto"/>
        <w:tabs>
          <w:tab w:leader="none" w:pos="3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A reverse split of PAGP’s Class A shares was completed on November 15, 2016. The effect of the reverse split has been retroactively applied to all share and per-share amounts presented.</w:t>
      </w:r>
    </w:p>
    <w:p>
      <w:pPr>
        <w:ind w:left="340" w:hanging="332"/>
        <w:spacing w:after="0" w:line="191" w:lineRule="auto"/>
        <w:tabs>
          <w:tab w:leader="none" w:pos="3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33"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September 30,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3"/>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r>
      <w:tr>
        <w:trPr>
          <w:trHeight w:val="24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25,483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27,710</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71"/>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Senior notes, net of unamortized discounts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9,881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w:t>
            </w: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Partners' capital excluding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9,977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25,483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27,710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Net income attributable to PAGP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Class A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Incremental net income attributable to PAGP resulting from assumed exchange of</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AAP units and AAP Management Units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9"/>
        </w:trPr>
        <w:tc>
          <w:tcPr>
            <w:tcW w:w="6520" w:type="dxa"/>
            <w:vAlign w:val="bottom"/>
          </w:tcPr>
          <w:p>
            <w:pPr>
              <w:ind w:left="180"/>
              <w:spacing w:after="0"/>
              <w:rPr>
                <w:sz w:val="20"/>
                <w:szCs w:val="20"/>
                <w:color w:val="auto"/>
              </w:rPr>
            </w:pPr>
            <w:r>
              <w:rPr>
                <w:rFonts w:ascii="Arial" w:cs="Arial" w:eastAsia="Arial" w:hAnsi="Arial"/>
                <w:sz w:val="18"/>
                <w:szCs w:val="18"/>
                <w:color w:val="auto"/>
                <w:w w:val="97"/>
              </w:rPr>
              <w:t>Net income attributable to PAGP including incremental net income from assumed</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exchange of AAP units and AAP Management Units</w:t>
            </w:r>
          </w:p>
        </w:tc>
        <w:tc>
          <w:tcPr>
            <w:tcW w:w="2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Dilutive shares resulting from assumed exchange of AAP units and AAP</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Management Units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80" w:hanging="332"/>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41" w:lineRule="exact"/>
        <w:rPr>
          <w:rFonts w:ascii="Arial" w:cs="Arial" w:eastAsia="Arial" w:hAnsi="Arial"/>
          <w:sz w:val="25"/>
          <w:szCs w:val="25"/>
          <w:color w:val="auto"/>
          <w:vertAlign w:val="superscript"/>
        </w:rPr>
      </w:pPr>
    </w:p>
    <w:p>
      <w:pPr>
        <w:ind w:left="340" w:right="140" w:hanging="332"/>
        <w:spacing w:after="0" w:line="245"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For the three and nine months ended September 30, 2017, and the three months ended September 30, 2016, the possible exchange of any AAP units and certain AAP Management Units would not have had a dilutive effect on basic net income per Class A share. For the nine months ended September 30, 2016, the possible exchange of any AAP units would have had a dilutive effect on basic net income per Class A share and the possible exchange of certain AAP Management Units would not have had a dilutive effect on basic net income per Class A share.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84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Roy Lamoreaux</w:t>
            </w:r>
          </w:p>
        </w:tc>
        <w:tc>
          <w:tcPr>
            <w:tcW w:w="2840" w:type="dxa"/>
            <w:vAlign w:val="bottom"/>
          </w:tcPr>
          <w:p>
            <w:pPr>
              <w:ind w:left="1300"/>
              <w:spacing w:after="0"/>
              <w:rPr>
                <w:sz w:val="20"/>
                <w:szCs w:val="20"/>
                <w:color w:val="auto"/>
              </w:rPr>
            </w:pPr>
            <w:r>
              <w:rPr>
                <w:rFonts w:ascii="Arial" w:cs="Arial" w:eastAsia="Arial" w:hAnsi="Arial"/>
                <w:sz w:val="18"/>
                <w:szCs w:val="18"/>
                <w:color w:val="auto"/>
              </w:rPr>
              <w:t>Brett Magill</w:t>
            </w:r>
          </w:p>
        </w:tc>
        <w:tc>
          <w:tcPr>
            <w:tcW w:w="4140" w:type="dxa"/>
            <w:vAlign w:val="bottom"/>
          </w:tcPr>
          <w:p>
            <w:pPr>
              <w:spacing w:after="0"/>
              <w:rPr>
                <w:sz w:val="24"/>
                <w:szCs w:val="24"/>
                <w:color w:val="auto"/>
              </w:rPr>
            </w:pP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Vice President, Investor Relations &amp; Communications</w:t>
            </w:r>
          </w:p>
        </w:tc>
        <w:tc>
          <w:tcPr>
            <w:tcW w:w="6980" w:type="dxa"/>
            <w:vAlign w:val="bottom"/>
            <w:gridSpan w:val="2"/>
          </w:tcPr>
          <w:p>
            <w:pPr>
              <w:ind w:left="1300"/>
              <w:spacing w:after="0"/>
              <w:rPr>
                <w:sz w:val="20"/>
                <w:szCs w:val="20"/>
                <w:color w:val="auto"/>
              </w:rPr>
            </w:pPr>
            <w:r>
              <w:rPr>
                <w:rFonts w:ascii="Arial" w:cs="Arial" w:eastAsia="Arial" w:hAnsi="Arial"/>
                <w:sz w:val="18"/>
                <w:szCs w:val="18"/>
                <w:color w:val="auto"/>
              </w:rPr>
              <w:t>Manager, Investor Relations</w:t>
            </w: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(866) 809-1291</w:t>
            </w:r>
          </w:p>
        </w:tc>
        <w:tc>
          <w:tcPr>
            <w:tcW w:w="2840" w:type="dxa"/>
            <w:vAlign w:val="bottom"/>
          </w:tcPr>
          <w:p>
            <w:pPr>
              <w:ind w:left="1300"/>
              <w:spacing w:after="0"/>
              <w:rPr>
                <w:sz w:val="20"/>
                <w:szCs w:val="20"/>
                <w:color w:val="auto"/>
              </w:rPr>
            </w:pPr>
            <w:r>
              <w:rPr>
                <w:rFonts w:ascii="Arial" w:cs="Arial" w:eastAsia="Arial" w:hAnsi="Arial"/>
                <w:sz w:val="18"/>
                <w:szCs w:val="18"/>
                <w:color w:val="auto"/>
              </w:rPr>
              <w:t>(866) 809-1291</w:t>
            </w:r>
          </w:p>
        </w:tc>
        <w:tc>
          <w:tcPr>
            <w:tcW w:w="4140" w:type="dxa"/>
            <w:vAlign w:val="bottom"/>
          </w:tcPr>
          <w:p>
            <w:pPr>
              <w:spacing w:after="0"/>
              <w:rPr>
                <w:sz w:val="23"/>
                <w:szCs w:val="23"/>
                <w:color w:val="auto"/>
              </w:rPr>
            </w:pPr>
          </w:p>
        </w:tc>
      </w:tr>
      <w:tr>
        <w:trPr>
          <w:trHeight w:val="70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4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4140" w:type="dxa"/>
            <w:vAlign w:val="bottom"/>
          </w:tcPr>
          <w:p>
            <w:pPr>
              <w:spacing w:after="0"/>
              <w:rPr>
                <w:sz w:val="24"/>
                <w:szCs w:val="24"/>
                <w:color w:val="auto"/>
              </w:rPr>
            </w:pPr>
          </w:p>
        </w:tc>
      </w:tr>
      <w:tr>
        <w:trPr>
          <w:trHeight w:val="243"/>
        </w:trPr>
        <w:tc>
          <w:tcPr>
            <w:tcW w:w="6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r>
      <w:tr>
        <w:trPr>
          <w:trHeight w:val="345"/>
        </w:trPr>
        <w:tc>
          <w:tcPr>
            <w:tcW w:w="640" w:type="dxa"/>
            <w:vAlign w:val="bottom"/>
          </w:tcPr>
          <w:p>
            <w:pPr>
              <w:spacing w:after="0"/>
              <w:rPr>
                <w:sz w:val="24"/>
                <w:szCs w:val="24"/>
                <w:color w:val="auto"/>
              </w:rPr>
            </w:pPr>
          </w:p>
        </w:tc>
        <w:tc>
          <w:tcPr>
            <w:tcW w:w="3800" w:type="dxa"/>
            <w:vAlign w:val="bottom"/>
          </w:tcPr>
          <w:p>
            <w:pPr>
              <w:ind w:left="1160"/>
              <w:spacing w:after="0"/>
              <w:rPr>
                <w:sz w:val="20"/>
                <w:szCs w:val="20"/>
                <w:color w:val="auto"/>
              </w:rPr>
            </w:pPr>
            <w:r>
              <w:rPr>
                <w:rFonts w:ascii="Arial" w:cs="Arial" w:eastAsia="Arial" w:hAnsi="Arial"/>
                <w:sz w:val="18"/>
                <w:szCs w:val="18"/>
                <w:b w:val="1"/>
                <w:bCs w:val="1"/>
                <w:color w:val="auto"/>
              </w:rPr>
              <w:t>333 Clay Street, Suite 1600</w:t>
            </w:r>
          </w:p>
        </w:tc>
        <w:tc>
          <w:tcPr>
            <w:tcW w:w="2840" w:type="dxa"/>
            <w:vAlign w:val="bottom"/>
          </w:tcPr>
          <w:p>
            <w:pPr>
              <w:ind w:left="500"/>
              <w:spacing w:after="0"/>
              <w:rPr>
                <w:sz w:val="20"/>
                <w:szCs w:val="20"/>
                <w:color w:val="auto"/>
              </w:rPr>
            </w:pPr>
            <w:r>
              <w:rPr>
                <w:rFonts w:ascii="Arial" w:cs="Arial" w:eastAsia="Arial" w:hAnsi="Arial"/>
                <w:sz w:val="18"/>
                <w:szCs w:val="18"/>
                <w:b w:val="1"/>
                <w:bCs w:val="1"/>
                <w:color w:val="auto"/>
              </w:rPr>
              <w:t>Houston, Texas 77002</w:t>
            </w:r>
          </w:p>
        </w:tc>
        <w:tc>
          <w:tcPr>
            <w:tcW w:w="4140" w:type="dxa"/>
            <w:vAlign w:val="bottom"/>
          </w:tcPr>
          <w:p>
            <w:pPr>
              <w:jc w:val="right"/>
              <w:ind w:right="1450"/>
              <w:spacing w:after="0"/>
              <w:rPr>
                <w:sz w:val="20"/>
                <w:szCs w:val="20"/>
                <w:color w:val="auto"/>
              </w:rPr>
            </w:pPr>
            <w:r>
              <w:rPr>
                <w:rFonts w:ascii="Arial" w:cs="Arial" w:eastAsia="Arial" w:hAnsi="Arial"/>
                <w:sz w:val="18"/>
                <w:szCs w:val="18"/>
                <w:b w:val="1"/>
                <w:bCs w:val="1"/>
                <w:color w:val="auto"/>
              </w:rPr>
              <w:t>713-646-4100 / 866-809-1291</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lvl w:ilvl="1">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lvl w:ilvl="1">
      <w:lvlJc w:val="left"/>
      <w:lvlText w:val="-"/>
      <w:numFmt w:val="bullet"/>
      <w:start w:val="1"/>
    </w:lvl>
  </w:abstractNum>
  <w:abstractNum w:abstractNumId="7">
    <w:nsid w:val="DED7263"/>
    <w:multiLevelType w:val="hybridMultilevel"/>
    <w:lvl w:ilvl="0">
      <w:lvlJc w:val="left"/>
      <w:lvlText w:val="(%1)"/>
      <w:numFmt w:val="decimal"/>
      <w:start w:val="1"/>
    </w:lvl>
    <w:lvl w:ilvl="1">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lvl w:ilvl="1">
      <w:lvlJc w:val="left"/>
      <w:lvlText w:val="-"/>
      <w:numFmt w:val="bullet"/>
      <w:start w:val="1"/>
    </w:lvl>
  </w:abstractNum>
  <w:abstractNum w:abstractNumId="10">
    <w:nsid w:val="41A7C4C9"/>
    <w:multiLevelType w:val="hybridMultilevel"/>
    <w:lvl w:ilvl="0">
      <w:lvlJc w:val="left"/>
      <w:lvlText w:val="(%1)"/>
      <w:numFmt w:val="decimal"/>
      <w:start w:val="1"/>
    </w:lvl>
    <w:lvl w:ilvl="1">
      <w:lvlJc w:val="left"/>
      <w:lvlText w:val="-"/>
      <w:numFmt w:val="bullet"/>
      <w:start w:val="1"/>
    </w:lvl>
  </w:abstractNum>
  <w:abstractNum w:abstractNumId="11">
    <w:nsid w:val="6B68079A"/>
    <w:multiLevelType w:val="hybridMultilevel"/>
    <w:lvl w:ilvl="0">
      <w:lvlJc w:val="left"/>
      <w:lvlText w:val="(%1)"/>
      <w:numFmt w:val="decimal"/>
      <w:start w:val="1"/>
    </w:lvl>
    <w:lvl w:ilvl="1">
      <w:lvlJc w:val="left"/>
      <w:lvlText w:val="-"/>
      <w:numFmt w:val="bullet"/>
      <w:start w:val="1"/>
    </w:lvl>
  </w:abstractNum>
  <w:abstractNum w:abstractNumId="12">
    <w:nsid w:val="4E6AFB66"/>
    <w:multiLevelType w:val="hybridMultilevel"/>
    <w:lvl w:ilvl="0">
      <w:lvlJc w:val="left"/>
      <w:lvlText w:val="(%1)"/>
      <w:numFmt w:val="decimal"/>
      <w:start w:val="1"/>
    </w:lvl>
    <w:lvl w:ilvl="1">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lvl w:ilvl="1">
      <w:lvlJc w:val="left"/>
      <w:lvlText w:val="-"/>
      <w:numFmt w:val="bullet"/>
      <w:start w:val="1"/>
    </w:lvl>
  </w:abstractNum>
  <w:abstractNum w:abstractNumId="15">
    <w:nsid w:val="431BD7B7"/>
    <w:multiLevelType w:val="hybridMultilevel"/>
    <w:lvl w:ilvl="0">
      <w:lvlJc w:val="left"/>
      <w:lvlText w:val="(%1)"/>
      <w:numFmt w:val="decimal"/>
      <w:start w:val="1"/>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2020-01-18T18:47:41Z</dcterms:created>
  <dcterms:modified xsi:type="dcterms:W3CDTF">2020-01-18T18:47:41Z</dcterms:modified>
</cp:coreProperties>
</file>