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3, 2024</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2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213995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153670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May 3, 2024, the Registrant issued a press release reporting its first-quarter 2024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40" w:type="dxa"/>
            <w:vAlign w:val="bottom"/>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20" w:type="dxa"/>
            <w:vAlign w:val="bottom"/>
            <w:tcBorders>
              <w:top w:val="single" w:sz="8" w:color="auto"/>
            </w:tcBorders>
            <w:gridSpan w:val="2"/>
          </w:tcPr>
          <w:p>
            <w:pPr>
              <w:spacing w:after="0" w:line="184" w:lineRule="exact"/>
              <w:rPr>
                <w:sz w:val="20"/>
                <w:szCs w:val="20"/>
                <w:color w:val="auto"/>
              </w:rPr>
            </w:pPr>
            <w:r>
              <w:rPr>
                <w:rFonts w:ascii="Times New Roman" w:cs="Times New Roman" w:eastAsia="Times New Roman" w:hAnsi="Times New Roman"/>
                <w:sz w:val="18"/>
                <w:szCs w:val="18"/>
                <w:color w:val="0000FF"/>
              </w:rPr>
              <w:t>Press Release dated May 3, 2024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87" w:right="6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500"/>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499"/>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2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29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294005</wp:posOffset>
            </wp:positionV>
            <wp:extent cx="2057400"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Plains All American Reports First-Quarter 2024 Results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Provides Update on Permian Long-Haul Contracting &amp; Announces Bolt-on Acquisitions</w:t>
      </w:r>
    </w:p>
    <w:p>
      <w:pPr>
        <w:spacing w:after="0" w:line="2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Houston, TX – May 3, 2024 – Plains All American Pipeline, L.P. (Nasdaq: </w:t>
      </w:r>
      <w:r>
        <w:rPr>
          <w:rFonts w:ascii="Times New Roman" w:cs="Times New Roman" w:eastAsia="Times New Roman" w:hAnsi="Times New Roman"/>
          <w:sz w:val="18"/>
          <w:szCs w:val="18"/>
          <w:color w:val="0000FF"/>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color w:val="0000FF"/>
        </w:rPr>
        <w:t>PAGP</w:t>
      </w:r>
      <w:r>
        <w:rPr>
          <w:rFonts w:ascii="Times New Roman" w:cs="Times New Roman" w:eastAsia="Times New Roman" w:hAnsi="Times New Roman"/>
          <w:sz w:val="18"/>
          <w:szCs w:val="18"/>
          <w:color w:val="auto"/>
        </w:rPr>
        <w:t>) today reported first-quarter 2024 results and reaffirmed full-year 2024 Adjusted EBITDA guidance. Plains also provided updates on Permian long-haul contracting and announced two bolt-on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First-Quarter Results</w:t>
      </w:r>
    </w:p>
    <w:p>
      <w:pPr>
        <w:spacing w:after="0" w:line="24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Net income attributable to PAA of $266 million and Net cash provided by operating activities of $419 million</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Adjusted EBITDA attributable to PAA of $718 million; on-track to meet full-year guidance of $2.625 - $2.725 billion</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Adjusted Free Cash Flow of $262 million (excluding changes in Assets &amp; Liabilities; including bolt-on acquisition capital)</w:t>
      </w:r>
    </w:p>
    <w:p>
      <w:pPr>
        <w:spacing w:after="0" w:line="3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annualized common distribution by $0.20 to $1.27 per unit (~19% increase, paid in February)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Permian Long-Haul Contracting Update</w:t>
      </w:r>
    </w:p>
    <w:p>
      <w:pPr>
        <w:spacing w:after="0" w:line="256" w:lineRule="exact"/>
        <w:rPr>
          <w:sz w:val="20"/>
          <w:szCs w:val="20"/>
          <w:color w:val="auto"/>
        </w:rPr>
      </w:pPr>
    </w:p>
    <w:p>
      <w:pPr>
        <w:ind w:left="660" w:right="3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contracted volumes and extended the term of certain contracts such that the weighted average contract duration of our Permian long-haul portfolio is approximately 5-years, through 2028, including new contracts or extensions on Cactus I, Cactus II and Basin/Sunrise</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underlying growth in the business and contributions from efficient growth investments to offset lower contracted rates resulting in broadly flat Adj. EBITDA in 2026 as compared to 2024 guidance for the Crude Oil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Bolt-on Acquisitions</w:t>
      </w:r>
    </w:p>
    <w:p>
      <w:pPr>
        <w:spacing w:after="0" w:line="256" w:lineRule="exact"/>
        <w:rPr>
          <w:sz w:val="20"/>
          <w:szCs w:val="20"/>
          <w:color w:val="auto"/>
        </w:rPr>
      </w:pPr>
    </w:p>
    <w:p>
      <w:pPr>
        <w:ind w:left="660" w:right="3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acquired an additional 10% interest in Saddlehorn Pipeline Company and a Mid-Con terminal asset for aggregate cash consideration of approximately $110 million enhancing Plains’ position in the Rockies and Mid-Con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marks a solid start to the year as we are on-track to deliver against our full-year plan and our bolt-on M&amp;A strategy continues to prove successful with complementary transactions enhancing our footprint in the Rockies and Mid-Con,” said Willie Chiang, Chairman and CEO of Plains. “Separately, we successfully extended the duration of our Permian long-haul portfolio, including Cactus I. This represents a major milestone and provides greater clarity on the outlook for our long-haul assets. Better visibility around re-contracting combined with our disciplined operational and financial performance should provide investors with greater confidence in the outlook for the business and our ability to continue generating significant free cash flow for years to come.”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0" w:type="dxa"/>
            <w:vAlign w:val="bottom"/>
          </w:tcPr>
          <w:p>
            <w:pPr>
              <w:spacing w:after="0"/>
              <w:rPr>
                <w:sz w:val="19"/>
                <w:szCs w:val="19"/>
                <w:color w:val="auto"/>
              </w:rPr>
            </w:pPr>
          </w:p>
        </w:tc>
        <w:tc>
          <w:tcPr>
            <w:tcW w:w="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2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8"/>
                <w:szCs w:val="18"/>
                <w:b w:val="1"/>
                <w:bCs w:val="1"/>
                <w:i w:val="1"/>
                <w:i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Free Cash Flow after Distributions</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 (Excluding Changes in Assets &amp; Liabilities)</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Free Cash Flow after Distributions (Excluding Changes in Assets &amp; Liabilities)</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63" w:lineRule="exact"/>
        <w:rPr>
          <w:sz w:val="20"/>
          <w:szCs w:val="20"/>
          <w:color w:val="auto"/>
        </w:rPr>
      </w:pPr>
    </w:p>
    <w:p>
      <w:pPr>
        <w:jc w:val="both"/>
        <w:ind w:left="340" w:right="240" w:hanging="332"/>
        <w:spacing w:after="0" w:line="251" w:lineRule="auto"/>
        <w:tabs>
          <w:tab w:leader="none" w:pos="32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8" w:lineRule="exact"/>
        <w:rPr>
          <w:rFonts w:ascii="Times New Roman" w:cs="Times New Roman" w:eastAsia="Times New Roman" w:hAnsi="Times New Roman"/>
          <w:sz w:val="22"/>
          <w:szCs w:val="22"/>
          <w:color w:val="auto"/>
          <w:vertAlign w:val="superscript"/>
        </w:rPr>
      </w:pPr>
    </w:p>
    <w:p>
      <w:pPr>
        <w:ind w:left="340" w:right="140" w:hanging="332"/>
        <w:spacing w:after="0" w:line="229"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attributable to noncontrolling interests in the Plains Oryx Permian Basin LLC joint venture, Cactus II Pipeline LLC and Red River Pipeline LLC.</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11"/>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380" w:type="dxa"/>
            <w:vAlign w:val="bottom"/>
          </w:tcPr>
          <w:p>
            <w:pPr>
              <w:spacing w:after="0"/>
              <w:rPr>
                <w:sz w:val="18"/>
                <w:szCs w:val="18"/>
                <w:color w:val="auto"/>
              </w:rPr>
            </w:pPr>
          </w:p>
        </w:tc>
        <w:tc>
          <w:tcPr>
            <w:tcW w:w="12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Three Months Ended March 31, 2023</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ind w:left="760"/>
              <w:spacing w:after="0" w:line="203" w:lineRule="exact"/>
              <w:rPr>
                <w:sz w:val="20"/>
                <w:szCs w:val="20"/>
                <w:color w:val="auto"/>
              </w:rPr>
            </w:pPr>
            <w:r>
              <w:rPr>
                <w:rFonts w:ascii="Times New Roman" w:cs="Times New Roman" w:eastAsia="Times New Roman" w:hAnsi="Times New Roman"/>
                <w:sz w:val="18"/>
                <w:szCs w:val="18"/>
                <w:color w:val="auto"/>
              </w:rPr>
              <w:t>192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2023 period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(17)%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First-quarter 2024 Crude Oil Segment Adjusted EBITDA increased 7% versus comparable 2023 results primarily due to higher tariff volumes on our pipelines, tariff escalations and contributions from acquisitions. These items were partially offset by fewer market based opportunities.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First-quarter 2024 NGL Segment Adjusted EBITDA decreased 17% versus comparable 2023 results primarily due to lower realized frac spreads.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Instructions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9:00 a.m. CT on Friday, May 3, 2024 to discuss first-quarter performance and related items.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https://edge.media-server.com/mmc/p/cr79phyy/</w:t>
      </w:r>
    </w:p>
    <w:p>
      <w:pPr>
        <w:spacing w:after="0" w:line="252"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Alternatively, the webcast can be accessed on our website (www.plains.com) under Investor Relations (Navigate to: Investor Relations / either “PAA” or “PAGP” / News &amp; Events / Events &amp; Presentations). Following the live webcast, an audio replay will be available on our website and will be accessible for a period of 365 days. Slides will be posted prior to the call at the above referenced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210"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135"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and asset impairments and gains or losses on investments in unconsolidated entities, adjusted for certain selected items impacting comparability. Adjusted EBITDA attributable to PAA excludes the portion of Adjusted EBITDA that is attributable to noncontrolling interests.</w:t>
      </w:r>
    </w:p>
    <w:p>
      <w:pPr>
        <w:spacing w:after="0" w:line="8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9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Adjusted Free Cash Flow is further reduced by cash distributions paid to our preferred and common unitholders to arrive at Adjusted Free Cash Flow after Distributions.</w:t>
      </w:r>
    </w:p>
    <w:p>
      <w:pPr>
        <w:spacing w:after="0" w:line="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also present these measures and additional non-GAAP financial liquidity measures as they are measures that investors have indicated are useful. We present the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6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UNIT:</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2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22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 more -</w:t>
            </w:r>
          </w:p>
        </w:tc>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980" w:type="dxa"/>
            <w:vAlign w:val="bottom"/>
            <w:gridSpan w:val="3"/>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and cash equivalents of $331 and $450, respectively)</w:t>
            </w: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3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book capitalization excluding noncontrolling interests (“Total book capitalization”)</w:t>
            </w: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18,201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 more -</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3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8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 allocated to common unitholders</w:t>
      </w: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153035</wp:posOffset>
            </wp:positionV>
            <wp:extent cx="711517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459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15601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7" w:lineRule="exact"/>
        <w:rPr>
          <w:sz w:val="20"/>
          <w:szCs w:val="20"/>
          <w:color w:val="auto"/>
        </w:rPr>
      </w:pPr>
    </w:p>
    <w:p>
      <w:pPr>
        <w:ind w:left="460"/>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486"/>
        </w:trPr>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40" w:space="720"/>
            <w:col w:w="2460"/>
          </w:cols>
          <w:pgMar w:left="320" w:top="364" w:right="359" w:bottom="1440" w:gutter="0" w:footer="0" w:header="0"/>
          <w:type w:val="continuous"/>
        </w:sectPr>
      </w:pPr>
    </w:p>
    <w:p>
      <w:pPr>
        <w:spacing w:after="0" w:line="79" w:lineRule="exact"/>
        <w:rPr>
          <w:sz w:val="20"/>
          <w:szCs w:val="20"/>
          <w:color w:val="auto"/>
        </w:rPr>
      </w:pPr>
    </w:p>
    <w:p>
      <w:pPr>
        <w:ind w:left="340" w:right="18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6" w:lineRule="exact"/>
        <w:rPr>
          <w:rFonts w:ascii="Times New Roman" w:cs="Times New Roman" w:eastAsia="Times New Roman" w:hAnsi="Times New Roman"/>
          <w:sz w:val="23"/>
          <w:szCs w:val="23"/>
          <w:color w:val="auto"/>
          <w:vertAlign w:val="superscript"/>
        </w:rPr>
      </w:pPr>
    </w:p>
    <w:p>
      <w:pPr>
        <w:ind w:left="340" w:right="60" w:hanging="332"/>
        <w:spacing w:after="0" w:line="22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net income per common unit for each of the three months ended March 31, 2024 and 2023 as the effect was antidilutive.</w:t>
      </w:r>
    </w:p>
    <w:p>
      <w:pPr>
        <w:spacing w:after="0" w:line="36" w:lineRule="exact"/>
        <w:rPr>
          <w:rFonts w:ascii="Times New Roman" w:cs="Times New Roman" w:eastAsia="Times New Roman" w:hAnsi="Times New Roman"/>
          <w:sz w:val="23"/>
          <w:szCs w:val="23"/>
          <w:color w:val="auto"/>
          <w:vertAlign w:val="superscript"/>
        </w:rPr>
      </w:pPr>
    </w:p>
    <w:p>
      <w:pPr>
        <w:ind w:left="340" w:right="26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CASH FLOW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22225</wp:posOffset>
            </wp:positionV>
            <wp:extent cx="1594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7" w:lineRule="exact"/>
        <w:rPr>
          <w:sz w:val="20"/>
          <w:szCs w:val="20"/>
          <w:color w:val="auto"/>
        </w:rPr>
      </w:pPr>
    </w:p>
    <w:p>
      <w:pPr>
        <w:jc w:val="both"/>
        <w:ind w:left="9160"/>
        <w:spacing w:after="0"/>
        <w:tabs>
          <w:tab w:leader="none" w:pos="104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ectPr>
          <w:pgSz w:w="11900" w:h="16838" w:orient="portrait"/>
          <w:cols w:equalWidth="0" w:num="1">
            <w:col w:w="11240"/>
          </w:cols>
          <w:pgMar w:left="320" w:top="364" w:right="339" w:bottom="1440" w:gutter="0" w:footer="0" w:header="0"/>
        </w:sectPr>
      </w:pPr>
    </w:p>
    <w:p>
      <w:pPr>
        <w:spacing w:after="0" w:line="44" w:lineRule="exact"/>
        <w:rPr>
          <w:sz w:val="20"/>
          <w:szCs w:val="20"/>
          <w:color w:val="auto"/>
        </w:rPr>
      </w:pPr>
    </w:p>
    <w:p>
      <w:pPr>
        <w:ind w:left="20" w:right="1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CASH FLOWS FROM OPERATING ACTIVITIES </w:t>
      </w: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1517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(Gains)/losses on asset sales, net</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140" w:right="1360"/>
        <w:spacing w:after="0" w:line="266" w:lineRule="auto"/>
        <w:rPr>
          <w:sz w:val="20"/>
          <w:szCs w:val="20"/>
          <w:color w:val="auto"/>
        </w:rPr>
      </w:pPr>
      <w:r>
        <w:rPr>
          <w:rFonts w:ascii="Times New Roman" w:cs="Times New Roman" w:eastAsia="Times New Roman" w:hAnsi="Times New Roman"/>
          <w:sz w:val="18"/>
          <w:szCs w:val="18"/>
          <w:color w:val="auto"/>
        </w:rPr>
        <w:t>Equity earnings in unconsolidated entities Distributions on earnings from unconsolidated entities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240" w:right="1560" w:hanging="107"/>
        <w:spacing w:after="0" w:line="307" w:lineRule="auto"/>
        <w:rPr>
          <w:sz w:val="20"/>
          <w:szCs w:val="20"/>
          <w:color w:val="auto"/>
        </w:rPr>
      </w:pPr>
      <w:r>
        <w:rPr>
          <w:rFonts w:ascii="Times New Roman" w:cs="Times New Roman" w:eastAsia="Times New Roman" w:hAnsi="Times New Roman"/>
          <w:sz w:val="18"/>
          <w:szCs w:val="18"/>
          <w:color w:val="auto"/>
        </w:rPr>
        <w:t>Changes in assets and liabilities, net of acquisitions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10" w:lineRule="exact"/>
        <w:rPr>
          <w:sz w:val="20"/>
          <w:szCs w:val="20"/>
          <w:color w:val="auto"/>
        </w:rPr>
      </w:pPr>
    </w:p>
    <w:p>
      <w:pPr>
        <w:ind w:left="140" w:right="1400" w:hanging="107"/>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CASH FLOWS FROM FINANCING ACTIVITIES </w:t>
      </w: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1517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Effect of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19" w:lineRule="exact"/>
        <w:rPr>
          <w:sz w:val="20"/>
          <w:szCs w:val="20"/>
          <w:color w:val="auto"/>
        </w:rPr>
      </w:pPr>
    </w:p>
    <w:p>
      <w:pPr>
        <w:ind w:left="20" w:right="580"/>
        <w:spacing w:after="0" w:line="344" w:lineRule="auto"/>
        <w:rPr>
          <w:sz w:val="20"/>
          <w:szCs w:val="20"/>
          <w:color w:val="auto"/>
        </w:rPr>
      </w:pPr>
      <w:r>
        <w:rPr>
          <w:rFonts w:ascii="Times New Roman" w:cs="Times New Roman" w:eastAsia="Times New Roman" w:hAnsi="Times New Roman"/>
          <w:sz w:val="18"/>
          <w:szCs w:val="18"/>
          <w:color w:val="auto"/>
        </w:rPr>
        <w:t>Cash and cash equivalents and restricted cash, beginning of period Cash and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1517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2580" w:type="dxa"/>
        <w:tblCellMar>
          <w:top w:w="0" w:type="dxa"/>
          <w:left w:w="0" w:type="dxa"/>
          <w:bottom w:w="0" w:type="dxa"/>
          <w:right w:w="0" w:type="dxa"/>
        </w:tblCellMar>
      </w:tblPr>
      <w:tr>
        <w:trPr>
          <w:trHeight w:val="234"/>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454"/>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8"/>
        </w:trPr>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670"/>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675"/>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445"/>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445"/>
        </w:trPr>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192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9"/>
                <w:szCs w:val="9"/>
                <w:b w:val="1"/>
                <w:bCs w:val="1"/>
                <w:color w:val="auto"/>
              </w:rPr>
              <w:t>(1)</w:t>
            </w:r>
          </w:p>
        </w:tc>
        <w:tc>
          <w:tcPr>
            <w:tcW w:w="780" w:type="dxa"/>
            <w:vAlign w:val="bottom"/>
          </w:tcPr>
          <w:p>
            <w:pPr>
              <w:spacing w:after="0"/>
              <w:rPr>
                <w:sz w:val="16"/>
                <w:szCs w:val="16"/>
                <w:color w:val="auto"/>
              </w:rPr>
            </w:pPr>
          </w:p>
        </w:tc>
        <w:tc>
          <w:tcPr>
            <w:tcW w:w="166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2680" w:type="dxa"/>
            <w:vAlign w:val="bottom"/>
            <w:gridSpan w:val="3"/>
          </w:tcPr>
          <w:p>
            <w:pPr>
              <w:spacing w:after="0"/>
              <w:rPr>
                <w:sz w:val="2"/>
                <w:szCs w:val="2"/>
                <w:color w:val="auto"/>
              </w:rPr>
            </w:pPr>
          </w:p>
        </w:tc>
        <w:tc>
          <w:tcPr>
            <w:tcW w:w="2440" w:type="dxa"/>
            <w:vAlign w:val="bottom"/>
            <w:gridSpan w:val="2"/>
          </w:tcPr>
          <w:p>
            <w:pPr>
              <w:spacing w:after="0"/>
              <w:rPr>
                <w:sz w:val="2"/>
                <w:szCs w:val="2"/>
                <w:color w:val="auto"/>
              </w:rPr>
            </w:pPr>
          </w:p>
        </w:tc>
      </w:tr>
      <w:tr>
        <w:trPr>
          <w:trHeight w:val="131"/>
        </w:trPr>
        <w:tc>
          <w:tcPr>
            <w:tcW w:w="244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1"/>
                <w:szCs w:val="11"/>
                <w:color w:val="auto"/>
              </w:rPr>
            </w:pPr>
          </w:p>
        </w:tc>
        <w:tc>
          <w:tcPr>
            <w:tcW w:w="244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760" w:type="dxa"/>
            <w:vAlign w:val="bottom"/>
          </w:tcPr>
          <w:p>
            <w:pPr>
              <w:spacing w:after="0"/>
              <w:rPr>
                <w:sz w:val="16"/>
                <w:szCs w:val="16"/>
                <w:color w:val="auto"/>
              </w:rPr>
            </w:pPr>
          </w:p>
        </w:tc>
        <w:tc>
          <w:tcPr>
            <w:tcW w:w="192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6"/>
                <w:szCs w:val="16"/>
                <w:color w:val="auto"/>
              </w:rPr>
            </w:pPr>
          </w:p>
        </w:tc>
        <w:tc>
          <w:tcPr>
            <w:tcW w:w="166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9"/>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p>
      <w:pPr>
        <w:sectPr>
          <w:pgSz w:w="11900" w:h="16838" w:orient="portrait"/>
          <w:cols w:equalWidth="0" w:num="2">
            <w:col w:w="5400" w:space="720"/>
            <w:col w:w="51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4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r>
      <w:tr>
        <w:trPr>
          <w:trHeight w:val="230"/>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 capital expenditures</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3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Excludes expenditures attributable to noncontrolling interests.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Computation of Basic and Diluted Adjusted Net Income Per Common Unit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p>
    <w:p>
      <w:pPr>
        <w:spacing w:after="0" w:line="226"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 per Common Unit</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6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88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net income attributable to PAA </w:t>
            </w:r>
            <w:r>
              <w:rPr>
                <w:rFonts w:ascii="Times New Roman" w:cs="Times New Roman" w:eastAsia="Times New Roman" w:hAnsi="Times New Roman"/>
                <w:sz w:val="23"/>
                <w:szCs w:val="23"/>
                <w:color w:val="auto"/>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6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(3) (4)</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70"/>
        </w:trPr>
        <w:tc>
          <w:tcPr>
            <w:tcW w:w="8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4"/>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2459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right="420" w:hanging="332"/>
        <w:spacing w:after="0" w:line="239"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“Selected Items Impacting Comparability” table for additional information.</w:t>
      </w:r>
    </w:p>
    <w:p>
      <w:pPr>
        <w:spacing w:after="0" w:line="50" w:lineRule="exact"/>
        <w:rPr>
          <w:rFonts w:ascii="Times New Roman" w:cs="Times New Roman" w:eastAsia="Times New Roman" w:hAnsi="Times New Roman"/>
          <w:sz w:val="21"/>
          <w:szCs w:val="21"/>
          <w:color w:val="auto"/>
          <w:vertAlign w:val="superscript"/>
        </w:rPr>
      </w:pPr>
    </w:p>
    <w:p>
      <w:pPr>
        <w:ind w:left="340" w:right="140" w:hanging="332"/>
        <w:spacing w:after="0" w:line="215"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adjusted net income per common unit for the three months ended March 31, 2024 and 2023 as the effect was antidilutive.</w:t>
      </w:r>
    </w:p>
    <w:p>
      <w:pPr>
        <w:spacing w:after="0" w:line="46" w:lineRule="exact"/>
        <w:rPr>
          <w:rFonts w:ascii="Times New Roman" w:cs="Times New Roman" w:eastAsia="Times New Roman" w:hAnsi="Times New Roman"/>
          <w:sz w:val="21"/>
          <w:szCs w:val="21"/>
          <w:color w:val="auto"/>
          <w:vertAlign w:val="superscript"/>
        </w:rPr>
      </w:pPr>
    </w:p>
    <w:p>
      <w:pPr>
        <w:ind w:left="340" w:right="140" w:hanging="332"/>
        <w:spacing w:after="0" w:line="239"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Adjusted Net Income Per Common Unit Reconciliation:</w:t>
      </w:r>
    </w:p>
    <w:p>
      <w:pPr>
        <w:spacing w:after="0" w:line="290"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9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5"/>
              </w:rPr>
              <w:t>0.52</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rPr>
              <w:t>(0.11)</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5"/>
              </w:rPr>
              <w:t>0.41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4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135" w:lineRule="exact"/>
        <w:rPr>
          <w:sz w:val="20"/>
          <w:szCs w:val="20"/>
          <w:color w:val="auto"/>
        </w:rPr>
      </w:pPr>
    </w:p>
    <w:p>
      <w:pPr>
        <w:ind w:left="340" w:right="720" w:hanging="332"/>
        <w:spacing w:after="0" w:line="225"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“Selected Items Impacting Comparability” and the “Computation of Basic and Diluted Adjusted Net Income Per Common Unit” tables for additional information.</w:t>
      </w:r>
    </w:p>
    <w:p>
      <w:pPr>
        <w:spacing w:after="0" w:line="163"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282"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7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8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8740" w:type="dxa"/>
            <w:vAlign w:val="bottom"/>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Depreciation and amortization of unconsolidated entities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7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EBITDA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2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Adjusted EBITDA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8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EBITDA attributable to PAA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8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29"/>
        </w:trPr>
        <w:tc>
          <w:tcPr>
            <w:tcW w:w="87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Interest expense, net of certain non-cash items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8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Maintenance capital</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7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Investment capital of noncontrolling interests </w:t>
            </w:r>
            <w:r>
              <w:rPr>
                <w:rFonts w:ascii="Times New Roman" w:cs="Times New Roman" w:eastAsia="Times New Roman" w:hAnsi="Times New Roman"/>
                <w:sz w:val="22"/>
                <w:szCs w:val="22"/>
                <w:color w:val="auto"/>
                <w:vertAlign w:val="superscript"/>
              </w:rPr>
              <w:t>(4)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7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Distributions from unconsolidated entities in excess of/(less than) adjusted equity earnings </w:t>
            </w:r>
            <w:r>
              <w:rPr>
                <w:rFonts w:ascii="Times New Roman" w:cs="Times New Roman" w:eastAsia="Times New Roman" w:hAnsi="Times New Roman"/>
                <w:sz w:val="22"/>
                <w:szCs w:val="22"/>
                <w:color w:val="auto"/>
                <w:vertAlign w:val="superscript"/>
              </w:rPr>
              <w:t>(5)</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74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Distributions to noncontrolling interests </w:t>
            </w:r>
            <w:r>
              <w:rPr>
                <w:rFonts w:ascii="Times New Roman" w:cs="Times New Roman" w:eastAsia="Times New Roman" w:hAnsi="Times New Roman"/>
                <w:sz w:val="22"/>
                <w:szCs w:val="22"/>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8740" w:type="dxa"/>
            <w:vAlign w:val="bottom"/>
            <w:tcBorders>
              <w:bottom w:val="single" w:sz="8" w:color="CCEEFF"/>
            </w:tcBorders>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Preferred unit distributions paid </w:t>
            </w:r>
            <w:r>
              <w:rPr>
                <w:rFonts w:ascii="Times New Roman" w:cs="Times New Roman" w:eastAsia="Times New Roman" w:hAnsi="Times New Roman"/>
                <w:sz w:val="22"/>
                <w:szCs w:val="22"/>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Available to Common Unitholders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and Common Unit Equivalents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8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74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w:t>
            </w:r>
            <w:r>
              <w:rPr>
                <w:rFonts w:ascii="Times New Roman" w:cs="Times New Roman" w:eastAsia="Times New Roman" w:hAnsi="Times New Roman"/>
                <w:sz w:val="22"/>
                <w:szCs w:val="22"/>
                <w:color w:val="auto"/>
                <w:vertAlign w:val="superscript"/>
              </w:rPr>
              <w:t>(7)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30"/>
        </w:trPr>
        <w:tc>
          <w:tcPr>
            <w:tcW w:w="87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and Common Unit Equivalent </w:t>
            </w:r>
            <w:r>
              <w:rPr>
                <w:rFonts w:ascii="Times New Roman" w:cs="Times New Roman" w:eastAsia="Times New Roman" w:hAnsi="Times New Roman"/>
                <w:sz w:val="22"/>
                <w:szCs w:val="22"/>
                <w:color w:val="auto"/>
                <w:vertAlign w:val="superscript"/>
              </w:rPr>
              <w:t>(8)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162"/>
        </w:trPr>
        <w:tc>
          <w:tcPr>
            <w:tcW w:w="8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Distribution Paid per Common Unit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0.2675</w:t>
            </w:r>
          </w:p>
        </w:tc>
      </w:tr>
      <w:tr>
        <w:trPr>
          <w:trHeight w:val="229"/>
        </w:trPr>
        <w:tc>
          <w:tcPr>
            <w:tcW w:w="874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Common Unit Cash Distributions </w:t>
            </w:r>
            <w:r>
              <w:rPr>
                <w:rFonts w:ascii="Times New Roman" w:cs="Times New Roman" w:eastAsia="Times New Roman" w:hAnsi="Times New Roman"/>
                <w:sz w:val="22"/>
                <w:szCs w:val="22"/>
                <w:color w:val="auto"/>
                <w:vertAlign w:val="superscript"/>
              </w:rPr>
              <w:t>(6)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Unit Distribution Coverage Ratio</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2.11x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2.37x</w:t>
            </w:r>
          </w:p>
        </w:tc>
      </w:tr>
      <w:tr>
        <w:trPr>
          <w:trHeight w:val="216"/>
        </w:trPr>
        <w:tc>
          <w:tcPr>
            <w:tcW w:w="8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Excess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459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9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Adjustment to exclude our proportionate share of depreciation and amortization expense (including write-downs related to cancelled projects and impairments) of unconsolidated entities.</w:t>
      </w:r>
    </w:p>
    <w:p>
      <w:pPr>
        <w:spacing w:after="0" w:line="30"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11" w:lineRule="exact"/>
        <w:rPr>
          <w:rFonts w:ascii="Times New Roman" w:cs="Times New Roman" w:eastAsia="Times New Roman" w:hAnsi="Times New Roman"/>
          <w:sz w:val="9"/>
          <w:szCs w:val="9"/>
          <w:color w:val="auto"/>
        </w:rPr>
      </w:pPr>
    </w:p>
    <w:p>
      <w:pPr>
        <w:ind w:left="320" w:hanging="312"/>
        <w:spacing w:after="0" w:line="237" w:lineRule="auto"/>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certain non-cash items impacting interest expense such as amortization of debt issuance costs and terminated interest rate swaps.</w:t>
      </w:r>
    </w:p>
    <w:p>
      <w:pPr>
        <w:spacing w:after="0" w:line="30"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Investment capital expenditures attributable to noncontrolling interests that reduce Implied DCF available to PAA common unitholders.</w:t>
      </w:r>
    </w:p>
    <w:p>
      <w:pPr>
        <w:spacing w:after="0" w:line="39" w:lineRule="exact"/>
        <w:rPr>
          <w:rFonts w:ascii="Times New Roman" w:cs="Times New Roman" w:eastAsia="Times New Roman" w:hAnsi="Times New Roman"/>
          <w:sz w:val="9"/>
          <w:szCs w:val="9"/>
          <w:color w:val="auto"/>
        </w:rPr>
      </w:pPr>
    </w:p>
    <w:p>
      <w:pPr>
        <w:ind w:left="340" w:right="100" w:hanging="332"/>
        <w:spacing w:after="0" w:line="230" w:lineRule="auto"/>
        <w:tabs>
          <w:tab w:leader="none" w:pos="327"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ind w:left="320" w:hanging="312"/>
        <w:spacing w:after="0" w:line="222" w:lineRule="auto"/>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Cash distributions paid during the period presented.</w:t>
      </w:r>
    </w:p>
    <w:p>
      <w:pPr>
        <w:spacing w:after="0" w:line="30"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Implied DCF Available to Common Unitholders for the period divided by the weighted average common units outstanding for the period.</w:t>
      </w:r>
    </w:p>
    <w:p>
      <w:pPr>
        <w:spacing w:after="0" w:line="39" w:lineRule="exact"/>
        <w:rPr>
          <w:rFonts w:ascii="Times New Roman" w:cs="Times New Roman" w:eastAsia="Times New Roman" w:hAnsi="Times New Roman"/>
          <w:sz w:val="9"/>
          <w:szCs w:val="9"/>
          <w:color w:val="auto"/>
        </w:rPr>
      </w:pPr>
    </w:p>
    <w:p>
      <w:pPr>
        <w:ind w:left="340" w:right="20" w:hanging="332"/>
        <w:spacing w:after="0" w:line="239" w:lineRule="auto"/>
        <w:tabs>
          <w:tab w:leader="none" w:pos="327"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Implied DCF Per Common Unit and Common Unit Equivalent Reconciliation:</w:t>
      </w:r>
    </w:p>
    <w:p>
      <w:pPr>
        <w:spacing w:after="0" w:line="282"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20" w:type="dxa"/>
            <w:vAlign w:val="bottom"/>
          </w:tcPr>
          <w:p>
            <w:pPr>
              <w:spacing w:after="0"/>
              <w:rPr>
                <w:sz w:val="19"/>
                <w:szCs w:val="19"/>
                <w:color w:val="auto"/>
              </w:rPr>
            </w:pPr>
          </w:p>
        </w:tc>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30"/>
        </w:trPr>
        <w:tc>
          <w:tcPr>
            <w:tcW w:w="20" w:type="dxa"/>
            <w:vAlign w:val="bottom"/>
          </w:tcPr>
          <w:p>
            <w:pPr>
              <w:spacing w:after="0"/>
              <w:rPr>
                <w:sz w:val="19"/>
                <w:szCs w:val="19"/>
                <w:color w:val="auto"/>
              </w:rPr>
            </w:pPr>
          </w:p>
        </w:tc>
        <w:tc>
          <w:tcPr>
            <w:tcW w:w="86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48"/>
        </w:trPr>
        <w:tc>
          <w:tcPr>
            <w:tcW w:w="20" w:type="dxa"/>
            <w:vAlign w:val="bottom"/>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29"/>
        </w:trPr>
        <w:tc>
          <w:tcPr>
            <w:tcW w:w="20" w:type="dxa"/>
            <w:vAlign w:val="bottom"/>
          </w:tcPr>
          <w:p>
            <w:pPr>
              <w:spacing w:after="0"/>
              <w:rPr>
                <w:sz w:val="19"/>
                <w:szCs w:val="19"/>
                <w:color w:val="auto"/>
              </w:rPr>
            </w:pPr>
          </w:p>
        </w:tc>
        <w:tc>
          <w:tcPr>
            <w:tcW w:w="86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unit equivalent </w:t>
            </w:r>
            <w:r>
              <w:rPr>
                <w:rFonts w:ascii="Times New Roman" w:cs="Times New Roman" w:eastAsia="Times New Roman" w:hAnsi="Times New Roman"/>
                <w:sz w:val="23"/>
                <w:szCs w:val="23"/>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48"/>
        </w:trPr>
        <w:tc>
          <w:tcPr>
            <w:tcW w:w="20" w:type="dxa"/>
            <w:vAlign w:val="bottom"/>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30" w:lineRule="exact"/>
        <w:rPr>
          <w:sz w:val="20"/>
          <w:szCs w:val="20"/>
          <w:color w:val="auto"/>
        </w:rPr>
      </w:pPr>
    </w:p>
    <w:p>
      <w:pPr>
        <w:ind w:left="340" w:right="420" w:hanging="332"/>
        <w:spacing w:after="0" w:line="22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of 701 million and 698 million, respectively.</w:t>
      </w:r>
    </w:p>
    <w:p>
      <w:pPr>
        <w:spacing w:after="0" w:line="55" w:lineRule="exact"/>
        <w:rPr>
          <w:rFonts w:ascii="Times New Roman" w:cs="Times New Roman" w:eastAsia="Times New Roman" w:hAnsi="Times New Roman"/>
          <w:sz w:val="23"/>
          <w:szCs w:val="23"/>
          <w:color w:val="auto"/>
          <w:vertAlign w:val="superscript"/>
        </w:rPr>
      </w:pPr>
    </w:p>
    <w:p>
      <w:pPr>
        <w:ind w:left="340" w:right="60" w:hanging="332"/>
        <w:spacing w:after="0" w:line="21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as well as weighted average Series A preferred units outstanding of 71 million for each of the periods presented.</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60"/>
          </w:cols>
          <w:pgMar w:left="320" w:top="364"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to Non-GAAP Financial Liquidity Measures Reconciliation:</w:t>
      </w:r>
    </w:p>
    <w:p>
      <w:pPr>
        <w:spacing w:after="0" w:line="282"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 Cash Flow:</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(1)</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(2)</w:t>
            </w: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(287)</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(2)</w:t>
            </w: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(217)</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4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8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(2)</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Changes in assets and liabilities, net of acquisitions </w:t>
            </w:r>
            <w:r>
              <w:rPr>
                <w:rFonts w:ascii="Times New Roman" w:cs="Times New Roman" w:eastAsia="Times New Roman" w:hAnsi="Times New Roman"/>
                <w:sz w:val="23"/>
                <w:szCs w:val="23"/>
                <w:color w:val="auto"/>
                <w:vertAlign w:val="superscript"/>
              </w:rPr>
              <w:t>(4)</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(5)</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740" w:type="dxa"/>
            <w:vAlign w:val="bottom"/>
            <w:tcBorders>
              <w:bottom w:val="single" w:sz="8" w:color="CCEEFF"/>
            </w:tcBorders>
            <w:gridSpan w:val="2"/>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(287)</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(242)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(Excluding Changes in Assets &amp; Liabilities) </w:t>
            </w:r>
            <w:r>
              <w:rPr>
                <w:rFonts w:ascii="Times New Roman" w:cs="Times New Roman" w:eastAsia="Times New Roman" w:hAnsi="Times New Roman"/>
                <w:sz w:val="23"/>
                <w:szCs w:val="23"/>
                <w:color w:val="auto"/>
                <w:vertAlign w:val="superscript"/>
              </w:rPr>
              <w:t>(5)</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4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50" w:lineRule="exact"/>
        <w:rPr>
          <w:rFonts w:ascii="Times New Roman" w:cs="Times New Roman" w:eastAsia="Times New Roman" w:hAnsi="Times New Roman"/>
          <w:sz w:val="21"/>
          <w:szCs w:val="21"/>
          <w:color w:val="auto"/>
          <w:vertAlign w:val="superscript"/>
        </w:rPr>
      </w:pPr>
    </w:p>
    <w:p>
      <w:pPr>
        <w:ind w:left="340" w:right="120" w:hanging="332"/>
        <w:spacing w:after="0" w:line="222"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4"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“Condensed Consolidated Statements of Cash Flows” table.</w:t>
      </w:r>
    </w:p>
    <w:p>
      <w:pPr>
        <w:spacing w:after="0" w:line="50" w:lineRule="exact"/>
        <w:rPr>
          <w:rFonts w:ascii="Times New Roman" w:cs="Times New Roman" w:eastAsia="Times New Roman" w:hAnsi="Times New Roman"/>
          <w:sz w:val="21"/>
          <w:szCs w:val="21"/>
          <w:color w:val="auto"/>
          <w:vertAlign w:val="superscript"/>
        </w:rPr>
      </w:pPr>
    </w:p>
    <w:p>
      <w:pPr>
        <w:jc w:val="both"/>
        <w:ind w:left="340" w:right="300" w:hanging="332"/>
        <w:spacing w:after="0" w:line="229"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Derivative activities and inventory valuation adjustments </w:t>
            </w:r>
            <w:r>
              <w:rPr>
                <w:rFonts w:ascii="Times New Roman" w:cs="Times New Roman" w:eastAsia="Times New Roman" w:hAnsi="Times New Roman"/>
                <w:sz w:val="22"/>
                <w:szCs w:val="22"/>
                <w:color w:val="auto"/>
                <w:vertAlign w:val="superscript"/>
              </w:rPr>
              <w:t>(2)</w:t>
            </w:r>
          </w:p>
        </w:tc>
        <w:tc>
          <w:tcPr>
            <w:tcW w:w="76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Long-term inventory costing adjustments </w:t>
            </w:r>
            <w:r>
              <w:rPr>
                <w:rFonts w:ascii="Times New Roman" w:cs="Times New Roman" w:eastAsia="Times New Roman" w:hAnsi="Times New Roman"/>
                <w:sz w:val="22"/>
                <w:szCs w:val="22"/>
                <w:color w:val="auto"/>
                <w:vertAlign w:val="superscript"/>
              </w:rPr>
              <w:t>(3)</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30"/>
        </w:trPr>
        <w:tc>
          <w:tcPr>
            <w:tcW w:w="20" w:type="dxa"/>
            <w:vAlign w:val="bottom"/>
          </w:tcPr>
          <w:p>
            <w:pPr>
              <w:spacing w:after="0"/>
              <w:rPr>
                <w:sz w:val="19"/>
                <w:szCs w:val="19"/>
                <w:color w:val="auto"/>
              </w:rPr>
            </w:pPr>
          </w:p>
        </w:tc>
        <w:tc>
          <w:tcPr>
            <w:tcW w:w="87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Deficiencies under minimum volume commitments, net </w:t>
            </w:r>
            <w:r>
              <w:rPr>
                <w:rFonts w:ascii="Times New Roman" w:cs="Times New Roman" w:eastAsia="Times New Roman" w:hAnsi="Times New Roman"/>
                <w:sz w:val="22"/>
                <w:szCs w:val="22"/>
                <w:color w:val="auto"/>
                <w:vertAlign w:val="superscript"/>
              </w:rPr>
              <w:t>(4)</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Equity-indexed compensation expense </w:t>
            </w:r>
            <w:r>
              <w:rPr>
                <w:rFonts w:ascii="Times New Roman" w:cs="Times New Roman" w:eastAsia="Times New Roman" w:hAnsi="Times New Roman"/>
                <w:sz w:val="22"/>
                <w:szCs w:val="22"/>
                <w:color w:val="auto"/>
                <w:vertAlign w:val="superscript"/>
              </w:rPr>
              <w:t>(5)</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0"/>
        </w:trPr>
        <w:tc>
          <w:tcPr>
            <w:tcW w:w="20" w:type="dxa"/>
            <w:vAlign w:val="bottom"/>
          </w:tcPr>
          <w:p>
            <w:pPr>
              <w:spacing w:after="0"/>
              <w:rPr>
                <w:sz w:val="19"/>
                <w:szCs w:val="19"/>
                <w:color w:val="auto"/>
              </w:rPr>
            </w:pPr>
          </w:p>
        </w:tc>
        <w:tc>
          <w:tcPr>
            <w:tcW w:w="8740" w:type="dxa"/>
            <w:vAlign w:val="bottom"/>
            <w:tcBorders>
              <w:bottom w:val="single" w:sz="8" w:color="CCEEFF"/>
            </w:tcBorders>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Foreign currency revaluation </w:t>
            </w:r>
            <w:r>
              <w:rPr>
                <w:rFonts w:ascii="Times New Roman" w:cs="Times New Roman" w:eastAsia="Times New Roman" w:hAnsi="Times New Roman"/>
                <w:sz w:val="22"/>
                <w:szCs w:val="22"/>
                <w:color w:val="auto"/>
                <w:vertAlign w:val="superscript"/>
              </w:rPr>
              <w:t>(6)</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20" w:type="dxa"/>
            <w:vAlign w:val="bottom"/>
          </w:tcPr>
          <w:p>
            <w:pPr>
              <w:spacing w:after="0"/>
              <w:rPr>
                <w:sz w:val="19"/>
                <w:szCs w:val="19"/>
                <w:color w:val="auto"/>
              </w:rPr>
            </w:pPr>
          </w:p>
        </w:tc>
        <w:tc>
          <w:tcPr>
            <w:tcW w:w="8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EBITDA</w:t>
            </w:r>
          </w:p>
        </w:tc>
        <w:tc>
          <w:tcPr>
            <w:tcW w:w="76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30"/>
        </w:trPr>
        <w:tc>
          <w:tcPr>
            <w:tcW w:w="20" w:type="dxa"/>
            <w:vAlign w:val="bottom"/>
          </w:tcPr>
          <w:p>
            <w:pPr>
              <w:spacing w:after="0"/>
              <w:rPr>
                <w:sz w:val="19"/>
                <w:szCs w:val="19"/>
                <w:color w:val="auto"/>
              </w:rPr>
            </w:pPr>
          </w:p>
        </w:tc>
        <w:tc>
          <w:tcPr>
            <w:tcW w:w="8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7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on selected items impacting comparability</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6"/>
        </w:trPr>
        <w:tc>
          <w:tcPr>
            <w:tcW w:w="20" w:type="dxa"/>
            <w:vAlign w:val="bottom"/>
          </w:tcPr>
          <w:p>
            <w:pPr>
              <w:spacing w:after="0"/>
              <w:rPr>
                <w:sz w:val="19"/>
                <w:szCs w:val="19"/>
                <w:color w:val="auto"/>
              </w:rPr>
            </w:pPr>
          </w:p>
        </w:tc>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Aggregate selected items impacting noncontrolling interests</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2"/>
        </w:trPr>
        <w:tc>
          <w:tcPr>
            <w:tcW w:w="20" w:type="dxa"/>
            <w:vAlign w:val="bottom"/>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net income attributable to PAA</w:t>
            </w:r>
          </w:p>
        </w:tc>
        <w:tc>
          <w:tcPr>
            <w:tcW w:w="76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4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77" w:lineRule="exact"/>
        <w:rPr>
          <w:sz w:val="20"/>
          <w:szCs w:val="20"/>
          <w:color w:val="auto"/>
        </w:rPr>
      </w:pPr>
    </w:p>
    <w:p>
      <w:pPr>
        <w:ind w:left="340" w:right="40" w:hanging="332"/>
        <w:spacing w:after="0" w:line="234" w:lineRule="auto"/>
        <w:tabs>
          <w:tab w:leader="none" w:pos="334"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19" w:lineRule="exact"/>
        <w:rPr>
          <w:rFonts w:ascii="Times New Roman" w:cs="Times New Roman" w:eastAsia="Times New Roman" w:hAnsi="Times New Roman"/>
          <w:sz w:val="20"/>
          <w:szCs w:val="20"/>
          <w:color w:val="auto"/>
          <w:vertAlign w:val="superscript"/>
        </w:rPr>
      </w:pPr>
    </w:p>
    <w:p>
      <w:pPr>
        <w:ind w:left="340" w:right="20" w:hanging="332"/>
        <w:spacing w:after="0" w:line="248" w:lineRule="auto"/>
        <w:tabs>
          <w:tab w:leader="none" w:pos="334"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15" w:lineRule="exact"/>
        <w:rPr>
          <w:rFonts w:ascii="Times New Roman" w:cs="Times New Roman" w:eastAsia="Times New Roman" w:hAnsi="Times New Roman"/>
          <w:sz w:val="20"/>
          <w:szCs w:val="20"/>
          <w:color w:val="auto"/>
          <w:vertAlign w:val="superscript"/>
        </w:rPr>
      </w:pPr>
    </w:p>
    <w:p>
      <w:pPr>
        <w:ind w:left="340" w:right="80" w:hanging="332"/>
        <w:spacing w:after="0" w:line="246" w:lineRule="auto"/>
        <w:tabs>
          <w:tab w:leader="none" w:pos="334"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5" w:lineRule="exact"/>
        <w:rPr>
          <w:rFonts w:ascii="Times New Roman" w:cs="Times New Roman" w:eastAsia="Times New Roman" w:hAnsi="Times New Roman"/>
          <w:sz w:val="20"/>
          <w:szCs w:val="20"/>
          <w:color w:val="auto"/>
          <w:vertAlign w:val="superscript"/>
        </w:rPr>
      </w:pPr>
    </w:p>
    <w:p>
      <w:pPr>
        <w:ind w:left="340" w:hanging="332"/>
        <w:spacing w:after="0" w:line="249" w:lineRule="auto"/>
        <w:tabs>
          <w:tab w:leader="none" w:pos="334"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7" w:lineRule="exact"/>
        <w:rPr>
          <w:rFonts w:ascii="Times New Roman" w:cs="Times New Roman" w:eastAsia="Times New Roman" w:hAnsi="Times New Roman"/>
          <w:sz w:val="20"/>
          <w:szCs w:val="20"/>
          <w:color w:val="auto"/>
          <w:vertAlign w:val="superscript"/>
        </w:rPr>
      </w:pPr>
    </w:p>
    <w:p>
      <w:pPr>
        <w:ind w:left="340" w:right="100" w:hanging="332"/>
        <w:spacing w:after="0" w:line="241" w:lineRule="auto"/>
        <w:tabs>
          <w:tab w:leader="none" w:pos="334"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18" w:lineRule="exact"/>
        <w:rPr>
          <w:rFonts w:ascii="Times New Roman" w:cs="Times New Roman" w:eastAsia="Times New Roman" w:hAnsi="Times New Roman"/>
          <w:sz w:val="20"/>
          <w:szCs w:val="20"/>
          <w:color w:val="auto"/>
          <w:vertAlign w:val="superscript"/>
        </w:rPr>
      </w:pPr>
    </w:p>
    <w:p>
      <w:pPr>
        <w:jc w:val="both"/>
        <w:ind w:left="340" w:right="40" w:hanging="332"/>
        <w:spacing w:after="0" w:line="234" w:lineRule="auto"/>
        <w:tabs>
          <w:tab w:leader="none" w:pos="334"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167" w:lineRule="exact"/>
        <w:rPr>
          <w:rFonts w:ascii="Times New Roman" w:cs="Times New Roman" w:eastAsia="Times New Roman" w:hAnsi="Times New Roman"/>
          <w:sz w:val="20"/>
          <w:szCs w:val="20"/>
          <w:color w:val="auto"/>
          <w:vertAlign w:val="superscript"/>
        </w:rPr>
      </w:pPr>
    </w:p>
    <w:p>
      <w:pPr>
        <w:ind w:left="5440" w:hanging="106"/>
        <w:spacing w:after="0"/>
        <w:tabs>
          <w:tab w:leader="none" w:pos="5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740" w:type="dxa"/>
            <w:vAlign w:val="bottom"/>
            <w:tcBorders>
              <w:bottom w:val="single" w:sz="8" w:color="auto"/>
            </w:tcBorders>
          </w:tcPr>
          <w:p>
            <w:pPr>
              <w:spacing w:after="0"/>
              <w:rPr>
                <w:sz w:val="17"/>
                <w:szCs w:val="17"/>
                <w:color w:val="auto"/>
              </w:rPr>
            </w:pPr>
          </w:p>
        </w:tc>
      </w:tr>
      <w:tr>
        <w:trPr>
          <w:trHeight w:val="202"/>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7"/>
                <w:szCs w:val="17"/>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w w:val="92"/>
              </w:rPr>
              <w:t>NGL</w:t>
            </w:r>
          </w:p>
        </w:tc>
        <w:tc>
          <w:tcPr>
            <w:tcW w:w="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7"/>
                <w:szCs w:val="17"/>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w w:val="92"/>
              </w:rPr>
              <w:t>NGL</w:t>
            </w:r>
          </w:p>
        </w:tc>
      </w:tr>
      <w:tr>
        <w:trPr>
          <w:trHeight w:val="223"/>
        </w:trPr>
        <w:tc>
          <w:tcPr>
            <w:tcW w:w="61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14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55"/>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 BY SEGMENT</w:t>
      </w:r>
    </w:p>
    <w:p>
      <w:pPr>
        <w:spacing w:after="0" w:line="282"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Crude Oil Segment Volumes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7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Crude oil pipeline tariff volumes (by region) </w:t>
            </w:r>
            <w:r>
              <w:rPr>
                <w:rFonts w:ascii="Times New Roman" w:cs="Times New Roman" w:eastAsia="Times New Roman" w:hAnsi="Times New Roman"/>
                <w:sz w:val="23"/>
                <w:szCs w:val="23"/>
                <w:color w:val="auto"/>
                <w:vertAlign w:val="superscript"/>
              </w:rPr>
              <w:t>(1)</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7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30"/>
        </w:trPr>
        <w:tc>
          <w:tcPr>
            <w:tcW w:w="40" w:type="dxa"/>
            <w:vAlign w:val="bottom"/>
          </w:tcPr>
          <w:p>
            <w:pPr>
              <w:spacing w:after="0"/>
              <w:rPr>
                <w:sz w:val="19"/>
                <w:szCs w:val="19"/>
                <w:color w:val="auto"/>
              </w:rPr>
            </w:pPr>
          </w:p>
        </w:tc>
        <w:tc>
          <w:tcPr>
            <w:tcW w:w="87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40" w:type="dxa"/>
            <w:vAlign w:val="bottom"/>
          </w:tcPr>
          <w:p>
            <w:pPr>
              <w:spacing w:after="0"/>
              <w:rPr>
                <w:sz w:val="19"/>
                <w:szCs w:val="19"/>
                <w:color w:val="auto"/>
              </w:rPr>
            </w:pPr>
          </w:p>
        </w:tc>
        <w:tc>
          <w:tcPr>
            <w:tcW w:w="87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Mid-Continent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40" w:type="dxa"/>
            <w:vAlign w:val="bottom"/>
          </w:tcPr>
          <w:p>
            <w:pPr>
              <w:spacing w:after="0"/>
              <w:rPr>
                <w:sz w:val="19"/>
                <w:szCs w:val="19"/>
                <w:color w:val="auto"/>
              </w:rPr>
            </w:pPr>
          </w:p>
        </w:tc>
        <w:tc>
          <w:tcPr>
            <w:tcW w:w="87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40" w:type="dxa"/>
            <w:vAlign w:val="bottom"/>
          </w:tcPr>
          <w:p>
            <w:pPr>
              <w:spacing w:after="0"/>
              <w:rPr>
                <w:sz w:val="19"/>
                <w:szCs w:val="19"/>
                <w:color w:val="auto"/>
              </w:rPr>
            </w:pPr>
          </w:p>
        </w:tc>
        <w:tc>
          <w:tcPr>
            <w:tcW w:w="87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40" w:type="dxa"/>
            <w:vAlign w:val="bottom"/>
          </w:tcPr>
          <w:p>
            <w:pPr>
              <w:spacing w:after="0"/>
              <w:rPr>
                <w:sz w:val="19"/>
                <w:szCs w:val="19"/>
                <w:color w:val="auto"/>
              </w:rPr>
            </w:pPr>
          </w:p>
        </w:tc>
        <w:tc>
          <w:tcPr>
            <w:tcW w:w="8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Western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40" w:type="dxa"/>
            <w:vAlign w:val="bottom"/>
          </w:tcPr>
          <w:p>
            <w:pPr>
              <w:spacing w:after="0"/>
              <w:rPr>
                <w:sz w:val="19"/>
                <w:szCs w:val="19"/>
                <w:color w:val="auto"/>
              </w:rPr>
            </w:pPr>
          </w:p>
        </w:tc>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3"/>
        </w:trPr>
        <w:tc>
          <w:tcPr>
            <w:tcW w:w="40" w:type="dxa"/>
            <w:vAlign w:val="bottom"/>
          </w:tcPr>
          <w:p>
            <w:pPr>
              <w:spacing w:after="0"/>
              <w:rPr>
                <w:sz w:val="19"/>
                <w:szCs w:val="19"/>
                <w:color w:val="auto"/>
              </w:rPr>
            </w:pPr>
          </w:p>
        </w:tc>
        <w:tc>
          <w:tcPr>
            <w:tcW w:w="872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crude oil pipeline tariff volumes </w:t>
            </w:r>
            <w:r>
              <w:rPr>
                <w:rFonts w:ascii="Times New Roman" w:cs="Times New Roman" w:eastAsia="Times New Roman" w:hAnsi="Times New Roman"/>
                <w:sz w:val="23"/>
                <w:szCs w:val="23"/>
                <w:color w:val="auto"/>
                <w:vertAlign w:val="superscript"/>
              </w:rPr>
              <w:t>(1) (2)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r>
      <w:tr>
        <w:trPr>
          <w:trHeight w:val="257"/>
        </w:trPr>
        <w:tc>
          <w:tcPr>
            <w:tcW w:w="40" w:type="dxa"/>
            <w:vAlign w:val="bottom"/>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48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87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(2) (3)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40" w:type="dxa"/>
            <w:vAlign w:val="bottom"/>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48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87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56"/>
        </w:trPr>
        <w:tc>
          <w:tcPr>
            <w:tcW w:w="40" w:type="dxa"/>
            <w:vAlign w:val="bottom"/>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48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87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NGL Segment Volumes </w:t>
            </w:r>
            <w:r>
              <w:rPr>
                <w:rFonts w:ascii="Times New Roman" w:cs="Times New Roman" w:eastAsia="Times New Roman" w:hAnsi="Times New Roman"/>
                <w:sz w:val="23"/>
                <w:szCs w:val="23"/>
                <w:color w:val="auto"/>
                <w:vertAlign w:val="superscript"/>
              </w:rPr>
              <w:t>(1)</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NGL fractionation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40" w:type="dxa"/>
            <w:vAlign w:val="bottom"/>
          </w:tcPr>
          <w:p>
            <w:pPr>
              <w:spacing w:after="0"/>
              <w:rPr>
                <w:sz w:val="19"/>
                <w:szCs w:val="19"/>
                <w:color w:val="auto"/>
              </w:rPr>
            </w:pPr>
          </w:p>
        </w:tc>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NGL pipeline tariff volumes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40" w:type="dxa"/>
            <w:vAlign w:val="bottom"/>
          </w:tcPr>
          <w:p>
            <w:pPr>
              <w:spacing w:after="0"/>
              <w:rPr>
                <w:sz w:val="19"/>
                <w:szCs w:val="19"/>
                <w:color w:val="auto"/>
              </w:rPr>
            </w:pPr>
          </w:p>
        </w:tc>
        <w:tc>
          <w:tcPr>
            <w:tcW w:w="8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Propane and butane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162"/>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4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30" w:lineRule="exact"/>
        <w:rPr>
          <w:sz w:val="20"/>
          <w:szCs w:val="20"/>
          <w:color w:val="auto"/>
        </w:rPr>
      </w:pPr>
    </w:p>
    <w:p>
      <w:pPr>
        <w:ind w:left="340" w:hanging="332"/>
        <w:spacing w:after="0" w:line="235"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monthly capacity in millions of barrels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SEGMENT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Adjusted EBITDA attributable to PAA Reconciliation:</w:t>
      </w:r>
    </w:p>
    <w:p>
      <w:pPr>
        <w:spacing w:after="0" w:line="28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w:t>
            </w: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NGL Segment Adjusted EBITDA</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8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income/(expense), net </w:t>
            </w:r>
            <w:r>
              <w:rPr>
                <w:rFonts w:ascii="Times New Roman" w:cs="Times New Roman" w:eastAsia="Times New Roman" w:hAnsi="Times New Roman"/>
                <w:sz w:val="23"/>
                <w:szCs w:val="23"/>
                <w:color w:val="auto"/>
                <w:vertAlign w:val="superscript"/>
              </w:rPr>
              <w:t>(1)</w:t>
            </w:r>
          </w:p>
        </w:tc>
        <w:tc>
          <w:tcPr>
            <w:tcW w:w="7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64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3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3880" w:type="dxa"/>
            <w:vAlign w:val="bottom"/>
            <w:tcBorders>
              <w:bottom w:val="single" w:sz="8" w:color="auto"/>
            </w:tcBorders>
          </w:tcPr>
          <w:p>
            <w:pPr>
              <w:spacing w:after="0"/>
              <w:rPr>
                <w:sz w:val="18"/>
                <w:szCs w:val="18"/>
                <w:color w:val="auto"/>
              </w:rPr>
            </w:pPr>
          </w:p>
        </w:tc>
        <w:tc>
          <w:tcPr>
            <w:tcW w:w="4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130" w:lineRule="exact"/>
        <w:rPr>
          <w:sz w:val="20"/>
          <w:szCs w:val="20"/>
          <w:color w:val="auto"/>
        </w:rPr>
      </w:pPr>
    </w:p>
    <w:p>
      <w:pPr>
        <w:ind w:left="340" w:right="80" w:hanging="332"/>
        <w:spacing w:after="0" w:line="235"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income/(expense), net” as reported on our Condensed Consolidated Statements of Operations, excluding other income/(expense), net attributable to noncontrolling interests, adjusted for selected items impacting comparability. See the “Selected Items Impacting Comparability” table for additional information.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80"/>
          </w:cols>
          <w:pgMar w:left="320" w:top="364"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155"/>
        </w:trPr>
        <w:tc>
          <w:tcPr>
            <w:tcW w:w="3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8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48"/>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176"/>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r>
      <w:tr>
        <w:trPr>
          <w:trHeight w:val="270"/>
        </w:trPr>
        <w:tc>
          <w:tcPr>
            <w:tcW w:w="3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13,424</w:t>
            </w:r>
          </w:p>
        </w:tc>
      </w:tr>
      <w:tr>
        <w:trPr>
          <w:trHeight w:val="22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w:t>
            </w:r>
          </w:p>
        </w:tc>
      </w:tr>
      <w:tr>
        <w:trPr>
          <w:trHeight w:val="26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ind w:right="46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212"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7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57"/>
        </w:trPr>
        <w:tc>
          <w:tcPr>
            <w:tcW w:w="8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4"/>
        </w:trPr>
        <w:tc>
          <w:tcPr>
            <w:tcW w:w="8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31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43" w:lineRule="exact"/>
        <w:rPr>
          <w:sz w:val="20"/>
          <w:szCs w:val="20"/>
          <w:color w:val="auto"/>
        </w:rPr>
      </w:pPr>
    </w:p>
    <w:p>
      <w:pPr>
        <w:ind w:left="660" w:right="140" w:hanging="328"/>
        <w:spacing w:after="0" w:line="248"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25" w:lineRule="exact"/>
        <w:rPr>
          <w:rFonts w:ascii="Arial" w:cs="Arial" w:eastAsia="Arial" w:hAnsi="Arial"/>
          <w:sz w:val="22"/>
          <w:szCs w:val="22"/>
          <w:color w:val="auto"/>
        </w:rPr>
      </w:pPr>
    </w:p>
    <w:p>
      <w:pPr>
        <w:ind w:left="660" w:right="60" w:hanging="328"/>
        <w:spacing w:after="0" w:line="245"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29" w:lineRule="exact"/>
        <w:rPr>
          <w:rFonts w:ascii="Arial" w:cs="Arial" w:eastAsia="Arial" w:hAnsi="Arial"/>
          <w:sz w:val="22"/>
          <w:szCs w:val="22"/>
          <w:color w:val="auto"/>
        </w:rPr>
      </w:pPr>
    </w:p>
    <w:p>
      <w:pPr>
        <w:ind w:left="660" w:right="46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30"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32"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43" w:lineRule="exact"/>
        <w:rPr>
          <w:rFonts w:ascii="Arial" w:cs="Arial" w:eastAsia="Arial" w:hAnsi="Arial"/>
          <w:sz w:val="22"/>
          <w:szCs w:val="22"/>
          <w:color w:val="auto"/>
        </w:rPr>
      </w:pPr>
    </w:p>
    <w:p>
      <w:pPr>
        <w:ind w:left="660" w:right="70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130" w:lineRule="exact"/>
        <w:rPr>
          <w:rFonts w:ascii="Arial" w:cs="Arial" w:eastAsia="Arial" w:hAnsi="Arial"/>
          <w:sz w:val="22"/>
          <w:szCs w:val="22"/>
          <w:color w:val="auto"/>
        </w:rPr>
      </w:pPr>
    </w:p>
    <w:p>
      <w:pPr>
        <w:ind w:left="660" w:right="140" w:hanging="328"/>
        <w:spacing w:after="0" w:line="258" w:lineRule="auto"/>
        <w:tabs>
          <w:tab w:leader="none" w:pos="65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spacing w:after="0" w:line="116" w:lineRule="exact"/>
        <w:rPr>
          <w:rFonts w:ascii="Arial" w:cs="Arial" w:eastAsia="Arial" w:hAnsi="Arial"/>
          <w:sz w:val="21"/>
          <w:szCs w:val="21"/>
          <w:color w:val="auto"/>
        </w:rPr>
      </w:pPr>
    </w:p>
    <w:p>
      <w:pPr>
        <w:ind w:left="660" w:right="240" w:hanging="328"/>
        <w:spacing w:after="0" w:line="246"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30" w:lineRule="exact"/>
        <w:rPr>
          <w:rFonts w:ascii="Arial" w:cs="Arial" w:eastAsia="Arial" w:hAnsi="Arial"/>
          <w:sz w:val="22"/>
          <w:szCs w:val="22"/>
          <w:color w:val="auto"/>
        </w:rPr>
      </w:pPr>
    </w:p>
    <w:p>
      <w:pPr>
        <w:ind w:left="660" w:right="500" w:hanging="328"/>
        <w:spacing w:after="0" w:line="234"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shortages or cost increases of supplies, materials or labor;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143"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w:t>
      </w:r>
    </w:p>
    <w:p>
      <w:pPr>
        <w:spacing w:after="0" w:line="130"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27" w:lineRule="exact"/>
        <w:rPr>
          <w:rFonts w:ascii="Arial" w:cs="Arial" w:eastAsia="Arial" w:hAnsi="Arial"/>
          <w:sz w:val="22"/>
          <w:szCs w:val="22"/>
          <w:color w:val="auto"/>
        </w:rPr>
      </w:pPr>
    </w:p>
    <w:p>
      <w:pPr>
        <w:ind w:left="660" w:right="160" w:hanging="328"/>
        <w:spacing w:after="0" w:line="239"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incurrence of costs and expenses related to unexpected or unplanned capital expenditures, third-party claims or other factors;</w:t>
      </w:r>
    </w:p>
    <w:p>
      <w:pPr>
        <w:spacing w:after="0" w:line="130" w:lineRule="exact"/>
        <w:rPr>
          <w:rFonts w:ascii="Arial" w:cs="Arial" w:eastAsia="Arial" w:hAnsi="Arial"/>
          <w:sz w:val="22"/>
          <w:szCs w:val="22"/>
          <w:color w:val="auto"/>
        </w:rPr>
      </w:pPr>
    </w:p>
    <w:p>
      <w:pPr>
        <w:ind w:left="660" w:right="340" w:hanging="328"/>
        <w:spacing w:after="0" w:line="244"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126" w:lineRule="exact"/>
        <w:rPr>
          <w:rFonts w:ascii="Arial" w:cs="Arial" w:eastAsia="Arial" w:hAnsi="Arial"/>
          <w:sz w:val="22"/>
          <w:szCs w:val="22"/>
          <w:color w:val="auto"/>
        </w:rPr>
      </w:pPr>
    </w:p>
    <w:p>
      <w:pPr>
        <w:ind w:left="660" w:right="20" w:hanging="328"/>
        <w:spacing w:after="0" w:line="256" w:lineRule="auto"/>
        <w:tabs>
          <w:tab w:leader="none" w:pos="65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95" w:lineRule="exact"/>
        <w:rPr>
          <w:rFonts w:ascii="Arial" w:cs="Arial" w:eastAsia="Arial" w:hAnsi="Arial"/>
          <w:sz w:val="21"/>
          <w:szCs w:val="21"/>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amplification of other risks caused by volatile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00" w:lineRule="exact"/>
        <w:rPr>
          <w:sz w:val="20"/>
          <w:szCs w:val="20"/>
          <w:color w:val="auto"/>
        </w:rPr>
      </w:pPr>
    </w:p>
    <w:p>
      <w:pPr>
        <w:spacing w:after="0" w:line="282" w:lineRule="exact"/>
        <w:rPr>
          <w:sz w:val="20"/>
          <w:szCs w:val="20"/>
          <w:color w:val="auto"/>
        </w:rPr>
      </w:pPr>
    </w:p>
    <w:p>
      <w:pPr>
        <w:ind w:left="66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costs, or lack of availability, of insurance;</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the development and operation of our assets;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pace of development of natural gas infrastructure and its impact on expected crude oil production growth in the Permian Basin; and</w:t>
      </w:r>
    </w:p>
    <w:p>
      <w:pPr>
        <w:spacing w:after="0" w:line="130" w:lineRule="exact"/>
        <w:rPr>
          <w:rFonts w:ascii="Arial" w:cs="Arial" w:eastAsia="Arial" w:hAnsi="Arial"/>
          <w:sz w:val="22"/>
          <w:szCs w:val="22"/>
          <w:color w:val="auto"/>
        </w:rPr>
      </w:pPr>
    </w:p>
    <w:p>
      <w:pPr>
        <w:ind w:left="660" w:right="500" w:hanging="328"/>
        <w:spacing w:after="0" w:line="239"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080"/>
      </w:cols>
      <w:pgMar w:left="320" w:top="36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04"/>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lvl w:ilvl="1">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lvl w:ilvl="1">
      <w:lvlJc w:val="left"/>
      <w:lvlText w:val="-"/>
      <w:numFmt w:val="bullet"/>
      <w:start w:val="1"/>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2024-05-03T07:25:12Z</dcterms:created>
  <dcterms:modified xsi:type="dcterms:W3CDTF">2024-05-03T07:25:12Z</dcterms:modified>
</cp:coreProperties>
</file>