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8)*</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 w:lineRule="exact"/>
        <w:rPr>
          <w:sz w:val="24"/>
          <w:szCs w:val="24"/>
          <w:color w:val="auto"/>
        </w:rPr>
      </w:pPr>
    </w:p>
    <w:p>
      <w:pPr>
        <w:jc w:val="both"/>
        <w:ind w:right="9720" w:firstLine="8"/>
        <w:spacing w:after="0" w:line="242" w:lineRule="auto"/>
        <w:tabs>
          <w:tab w:leader="none" w:pos="351"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13d-1(b) [ ] Rule 13d-1(c) [ ] Rule 13d-1(d)</w:t>
      </w:r>
    </w:p>
    <w:p>
      <w:pPr>
        <w:spacing w:after="0" w:line="200" w:lineRule="exact"/>
        <w:rPr>
          <w:sz w:val="24"/>
          <w:szCs w:val="24"/>
          <w:color w:val="auto"/>
        </w:rPr>
      </w:pPr>
    </w:p>
    <w:p>
      <w:pPr>
        <w:jc w:val="both"/>
        <w:ind w:left="360" w:right="140" w:hanging="352"/>
        <w:spacing w:after="0" w:line="295" w:lineRule="auto"/>
        <w:tabs>
          <w:tab w:leader="none" w:pos="3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464"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00" w:hanging="561"/>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ALPS Advisors, Inc. (Tax ID: 84-1583423)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00" w:hanging="561"/>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07" w:lineRule="exact"/>
        <w:rPr>
          <w:rFonts w:ascii="Times New Roman" w:cs="Times New Roman" w:eastAsia="Times New Roman" w:hAnsi="Times New Roman"/>
          <w:sz w:val="20"/>
          <w:szCs w:val="20"/>
          <w:color w:val="auto"/>
        </w:rPr>
      </w:pPr>
    </w:p>
    <w:p>
      <w:pPr>
        <w:spacing w:after="0"/>
        <w:tabs>
          <w:tab w:leader="none" w:pos="0" w:val="left"/>
        </w:tabs>
        <w:numPr>
          <w:ilvl w:val="1"/>
          <w:numId w:val="4"/>
        </w:numPr>
        <w:rPr>
          <w:rFonts w:ascii="Times New Roman" w:cs="Times New Roman" w:eastAsia="Times New Roman" w:hAnsi="Times New Roman"/>
          <w:sz w:val="20"/>
          <w:szCs w:val="20"/>
          <w:color w:val="auto"/>
        </w:rPr>
      </w:pPr>
    </w:p>
    <w:p>
      <w:pPr>
        <w:spacing w:after="0" w:line="107" w:lineRule="exact"/>
        <w:rPr>
          <w:rFonts w:ascii="Times New Roman" w:cs="Times New Roman" w:eastAsia="Times New Roman" w:hAnsi="Times New Roman"/>
          <w:sz w:val="20"/>
          <w:szCs w:val="20"/>
          <w:color w:val="auto"/>
        </w:rPr>
      </w:pPr>
    </w:p>
    <w:p>
      <w:pPr>
        <w:ind w:left="1580" w:hanging="674"/>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p>
    <w:p>
      <w:pPr>
        <w:spacing w:after="0" w:line="121" w:lineRule="exact"/>
        <w:rPr>
          <w:rFonts w:ascii="Times New Roman" w:cs="Times New Roman" w:eastAsia="Times New Roman" w:hAnsi="Times New Roman"/>
          <w:sz w:val="20"/>
          <w:szCs w:val="20"/>
          <w:color w:val="auto"/>
        </w:rPr>
      </w:pPr>
    </w:p>
    <w:p>
      <w:pPr>
        <w:ind w:left="900" w:hanging="561"/>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121" w:lineRule="exact"/>
        <w:rPr>
          <w:rFonts w:ascii="Times New Roman" w:cs="Times New Roman" w:eastAsia="Times New Roman" w:hAnsi="Times New Roman"/>
          <w:sz w:val="20"/>
          <w:szCs w:val="20"/>
          <w:color w:val="auto"/>
        </w:rPr>
      </w:pPr>
    </w:p>
    <w:p>
      <w:pPr>
        <w:ind w:left="900" w:hanging="561"/>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-396875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-173990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2140" w:hanging="559"/>
        <w:spacing w:after="0"/>
        <w:tabs>
          <w:tab w:leader="none" w:pos="21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48"/>
        </w:trPr>
        <w:tc>
          <w:tcPr>
            <w:tcW w:w="1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Number of</w:t>
            </w:r>
          </w:p>
        </w:tc>
        <w:tc>
          <w:tcPr>
            <w:tcW w:w="420" w:type="dxa"/>
            <w:vAlign w:val="bottom"/>
            <w:tcBorders>
              <w:bottom w:val="single" w:sz="8" w:color="auto"/>
            </w:tcBorders>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520" w:type="dxa"/>
            <w:vAlign w:val="bottom"/>
            <w:vMerge w:val="continue"/>
          </w:tcPr>
          <w:p>
            <w:pPr>
              <w:spacing w:after="0"/>
              <w:rPr>
                <w:sz w:val="19"/>
                <w:szCs w:val="19"/>
                <w:color w:val="auto"/>
              </w:rPr>
            </w:pPr>
          </w:p>
        </w:tc>
        <w:tc>
          <w:tcPr>
            <w:tcW w:w="42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6.</w:t>
            </w:r>
          </w:p>
        </w:tc>
        <w:tc>
          <w:tcPr>
            <w:tcW w:w="92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07"/>
        </w:trPr>
        <w:tc>
          <w:tcPr>
            <w:tcW w:w="15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Shares</w:t>
            </w:r>
          </w:p>
        </w:tc>
        <w:tc>
          <w:tcPr>
            <w:tcW w:w="420" w:type="dxa"/>
            <w:vAlign w:val="bottom"/>
          </w:tcPr>
          <w:p>
            <w:pPr>
              <w:spacing w:after="0"/>
              <w:rPr>
                <w:sz w:val="17"/>
                <w:szCs w:val="17"/>
                <w:color w:val="auto"/>
              </w:rPr>
            </w:pPr>
          </w:p>
        </w:tc>
        <w:tc>
          <w:tcPr>
            <w:tcW w:w="9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420" w:type="dxa"/>
            <w:vAlign w:val="bottom"/>
          </w:tcPr>
          <w:p>
            <w:pPr>
              <w:spacing w:after="0"/>
              <w:rPr>
                <w:sz w:val="21"/>
                <w:szCs w:val="21"/>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62,866,116 **see Note 1**</w:t>
            </w:r>
          </w:p>
        </w:tc>
        <w:tc>
          <w:tcPr>
            <w:tcW w:w="0" w:type="dxa"/>
            <w:vAlign w:val="bottom"/>
          </w:tcPr>
          <w:p>
            <w:pPr>
              <w:spacing w:after="0"/>
              <w:rPr>
                <w:sz w:val="1"/>
                <w:szCs w:val="1"/>
                <w:color w:val="auto"/>
              </w:rPr>
            </w:pPr>
          </w:p>
        </w:tc>
      </w:tr>
      <w:tr>
        <w:trPr>
          <w:trHeight w:val="108"/>
        </w:trPr>
        <w:tc>
          <w:tcPr>
            <w:tcW w:w="1520" w:type="dxa"/>
            <w:vAlign w:val="bottom"/>
            <w:vMerge w:val="restart"/>
          </w:tcPr>
          <w:p>
            <w:pPr>
              <w:spacing w:after="0" w:line="207" w:lineRule="exact"/>
              <w:rPr>
                <w:sz w:val="20"/>
                <w:szCs w:val="20"/>
                <w:color w:val="auto"/>
              </w:rPr>
            </w:pPr>
            <w:r>
              <w:rPr>
                <w:rFonts w:ascii="Times New Roman" w:cs="Times New Roman" w:eastAsia="Times New Roman" w:hAnsi="Times New Roman"/>
                <w:sz w:val="20"/>
                <w:szCs w:val="20"/>
                <w:color w:val="auto"/>
              </w:rPr>
              <w:t>Owned by</w:t>
            </w:r>
          </w:p>
        </w:tc>
        <w:tc>
          <w:tcPr>
            <w:tcW w:w="420" w:type="dxa"/>
            <w:vAlign w:val="bottom"/>
            <w:tcBorders>
              <w:bottom w:val="single" w:sz="8" w:color="auto"/>
            </w:tcBorders>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520" w:type="dxa"/>
            <w:vAlign w:val="bottom"/>
            <w:vMerge w:val="continue"/>
          </w:tcPr>
          <w:p>
            <w:pPr>
              <w:spacing w:after="0"/>
              <w:rPr>
                <w:sz w:val="6"/>
                <w:szCs w:val="6"/>
                <w:color w:val="auto"/>
              </w:rPr>
            </w:pPr>
          </w:p>
        </w:tc>
        <w:tc>
          <w:tcPr>
            <w:tcW w:w="4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rPr>
              <w:t>7.</w:t>
            </w:r>
          </w:p>
        </w:tc>
        <w:tc>
          <w:tcPr>
            <w:tcW w:w="92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Each Reporting</w:t>
            </w:r>
          </w:p>
        </w:tc>
        <w:tc>
          <w:tcPr>
            <w:tcW w:w="420" w:type="dxa"/>
            <w:vAlign w:val="bottom"/>
            <w:vMerge w:val="continue"/>
          </w:tcPr>
          <w:p>
            <w:pPr>
              <w:spacing w:after="0"/>
              <w:rPr>
                <w:sz w:val="19"/>
                <w:szCs w:val="19"/>
                <w:color w:val="auto"/>
              </w:rPr>
            </w:pPr>
          </w:p>
        </w:tc>
        <w:tc>
          <w:tcPr>
            <w:tcW w:w="9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420" w:type="dxa"/>
            <w:vAlign w:val="bottom"/>
          </w:tcPr>
          <w:p>
            <w:pPr>
              <w:spacing w:after="0"/>
              <w:rPr>
                <w:sz w:val="22"/>
                <w:szCs w:val="22"/>
                <w:color w:val="auto"/>
              </w:rPr>
            </w:pPr>
          </w:p>
        </w:tc>
        <w:tc>
          <w:tcPr>
            <w:tcW w:w="9240" w:type="dxa"/>
            <w:vAlign w:val="bottom"/>
            <w:vMerge w:val="restart"/>
          </w:tcPr>
          <w:p>
            <w:pPr>
              <w:ind w:left="8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4"/>
                <w:szCs w:val="24"/>
                <w:color w:val="auto"/>
              </w:rPr>
            </w:pPr>
          </w:p>
        </w:tc>
        <w:tc>
          <w:tcPr>
            <w:tcW w:w="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8.</w:t>
            </w:r>
          </w:p>
        </w:tc>
        <w:tc>
          <w:tcPr>
            <w:tcW w:w="9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62,866,116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900" w:hanging="561"/>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62,866,116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00" w:hanging="561"/>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00" w:hanging="561"/>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00" w:hanging="561"/>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1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40" w:hanging="614"/>
        <w:spacing w:after="0"/>
        <w:tabs>
          <w:tab w:leader="none" w:pos="9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Alerian MLP ETF (Tax ID: 27-3041076)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40" w:hanging="614"/>
        <w:spacing w:after="0"/>
        <w:tabs>
          <w:tab w:leader="none" w:pos="9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07" w:lineRule="exact"/>
        <w:rPr>
          <w:rFonts w:ascii="Times New Roman" w:cs="Times New Roman" w:eastAsia="Times New Roman" w:hAnsi="Times New Roman"/>
          <w:sz w:val="20"/>
          <w:szCs w:val="20"/>
          <w:color w:val="auto"/>
        </w:rPr>
      </w:pPr>
    </w:p>
    <w:p>
      <w:pPr>
        <w:spacing w:after="0"/>
        <w:tabs>
          <w:tab w:leader="none" w:pos="0" w:val="left"/>
        </w:tabs>
        <w:numPr>
          <w:ilvl w:val="1"/>
          <w:numId w:val="11"/>
        </w:numPr>
        <w:rPr>
          <w:rFonts w:ascii="Times New Roman" w:cs="Times New Roman" w:eastAsia="Times New Roman" w:hAnsi="Times New Roman"/>
          <w:sz w:val="20"/>
          <w:szCs w:val="20"/>
          <w:color w:val="auto"/>
        </w:rPr>
      </w:pPr>
    </w:p>
    <w:p>
      <w:pPr>
        <w:spacing w:after="0" w:line="107" w:lineRule="exact"/>
        <w:rPr>
          <w:rFonts w:ascii="Times New Roman" w:cs="Times New Roman" w:eastAsia="Times New Roman" w:hAnsi="Times New Roman"/>
          <w:sz w:val="20"/>
          <w:szCs w:val="20"/>
          <w:color w:val="auto"/>
        </w:rPr>
      </w:pPr>
    </w:p>
    <w:p>
      <w:pPr>
        <w:ind w:left="1600" w:hanging="667"/>
        <w:spacing w:after="0"/>
        <w:tabs>
          <w:tab w:leader="none" w:pos="16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p>
    <w:p>
      <w:pPr>
        <w:spacing w:after="0" w:line="121" w:lineRule="exact"/>
        <w:rPr>
          <w:rFonts w:ascii="Times New Roman" w:cs="Times New Roman" w:eastAsia="Times New Roman" w:hAnsi="Times New Roman"/>
          <w:sz w:val="20"/>
          <w:szCs w:val="20"/>
          <w:color w:val="auto"/>
        </w:rPr>
      </w:pPr>
    </w:p>
    <w:p>
      <w:pPr>
        <w:ind w:left="940" w:hanging="614"/>
        <w:spacing w:after="0"/>
        <w:tabs>
          <w:tab w:leader="none" w:pos="9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121" w:lineRule="exact"/>
        <w:rPr>
          <w:rFonts w:ascii="Times New Roman" w:cs="Times New Roman" w:eastAsia="Times New Roman" w:hAnsi="Times New Roman"/>
          <w:sz w:val="20"/>
          <w:szCs w:val="20"/>
          <w:color w:val="auto"/>
        </w:rPr>
      </w:pPr>
    </w:p>
    <w:p>
      <w:pPr>
        <w:ind w:left="940" w:hanging="614"/>
        <w:spacing w:after="0"/>
        <w:tabs>
          <w:tab w:leader="none" w:pos="9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-396875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-173990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2140" w:hanging="545"/>
        <w:spacing w:after="0"/>
        <w:tabs>
          <w:tab w:leader="none" w:pos="2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48"/>
        </w:trPr>
        <w:tc>
          <w:tcPr>
            <w:tcW w:w="1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Number of</w:t>
            </w:r>
          </w:p>
        </w:tc>
        <w:tc>
          <w:tcPr>
            <w:tcW w:w="400" w:type="dxa"/>
            <w:vAlign w:val="bottom"/>
            <w:tcBorders>
              <w:bottom w:val="single" w:sz="8" w:color="auto"/>
            </w:tcBorders>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540" w:type="dxa"/>
            <w:vAlign w:val="bottom"/>
            <w:vMerge w:val="continue"/>
          </w:tcPr>
          <w:p>
            <w:pPr>
              <w:spacing w:after="0"/>
              <w:rPr>
                <w:sz w:val="19"/>
                <w:szCs w:val="19"/>
                <w:color w:val="auto"/>
              </w:rPr>
            </w:pPr>
          </w:p>
        </w:tc>
        <w:tc>
          <w:tcPr>
            <w:tcW w:w="40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6.</w:t>
            </w:r>
          </w:p>
        </w:tc>
        <w:tc>
          <w:tcPr>
            <w:tcW w:w="92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07"/>
        </w:trPr>
        <w:tc>
          <w:tcPr>
            <w:tcW w:w="15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Shares</w:t>
            </w:r>
          </w:p>
        </w:tc>
        <w:tc>
          <w:tcPr>
            <w:tcW w:w="400" w:type="dxa"/>
            <w:vAlign w:val="bottom"/>
          </w:tcPr>
          <w:p>
            <w:pPr>
              <w:spacing w:after="0"/>
              <w:rPr>
                <w:sz w:val="17"/>
                <w:szCs w:val="17"/>
                <w:color w:val="auto"/>
              </w:rPr>
            </w:pPr>
          </w:p>
        </w:tc>
        <w:tc>
          <w:tcPr>
            <w:tcW w:w="9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400" w:type="dxa"/>
            <w:vAlign w:val="bottom"/>
          </w:tcPr>
          <w:p>
            <w:pPr>
              <w:spacing w:after="0"/>
              <w:rPr>
                <w:sz w:val="21"/>
                <w:szCs w:val="21"/>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62,866,116 **see Note 1**</w:t>
            </w:r>
          </w:p>
        </w:tc>
        <w:tc>
          <w:tcPr>
            <w:tcW w:w="0" w:type="dxa"/>
            <w:vAlign w:val="bottom"/>
          </w:tcPr>
          <w:p>
            <w:pPr>
              <w:spacing w:after="0"/>
              <w:rPr>
                <w:sz w:val="1"/>
                <w:szCs w:val="1"/>
                <w:color w:val="auto"/>
              </w:rPr>
            </w:pPr>
          </w:p>
        </w:tc>
      </w:tr>
      <w:tr>
        <w:trPr>
          <w:trHeight w:val="108"/>
        </w:trPr>
        <w:tc>
          <w:tcPr>
            <w:tcW w:w="1540" w:type="dxa"/>
            <w:vAlign w:val="bottom"/>
            <w:vMerge w:val="restart"/>
          </w:tcPr>
          <w:p>
            <w:pPr>
              <w:spacing w:after="0" w:line="207" w:lineRule="exact"/>
              <w:rPr>
                <w:sz w:val="20"/>
                <w:szCs w:val="20"/>
                <w:color w:val="auto"/>
              </w:rPr>
            </w:pPr>
            <w:r>
              <w:rPr>
                <w:rFonts w:ascii="Times New Roman" w:cs="Times New Roman" w:eastAsia="Times New Roman" w:hAnsi="Times New Roman"/>
                <w:sz w:val="20"/>
                <w:szCs w:val="20"/>
                <w:color w:val="auto"/>
              </w:rPr>
              <w:t>Owned by</w:t>
            </w:r>
          </w:p>
        </w:tc>
        <w:tc>
          <w:tcPr>
            <w:tcW w:w="400" w:type="dxa"/>
            <w:vAlign w:val="bottom"/>
            <w:tcBorders>
              <w:bottom w:val="single" w:sz="8" w:color="auto"/>
            </w:tcBorders>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540" w:type="dxa"/>
            <w:vAlign w:val="bottom"/>
            <w:vMerge w:val="continue"/>
          </w:tcPr>
          <w:p>
            <w:pPr>
              <w:spacing w:after="0"/>
              <w:rPr>
                <w:sz w:val="6"/>
                <w:szCs w:val="6"/>
                <w:color w:val="auto"/>
              </w:rPr>
            </w:pPr>
          </w:p>
        </w:tc>
        <w:tc>
          <w:tcPr>
            <w:tcW w:w="40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rPr>
              <w:t>7.</w:t>
            </w:r>
          </w:p>
        </w:tc>
        <w:tc>
          <w:tcPr>
            <w:tcW w:w="92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Each Reporting</w:t>
            </w:r>
          </w:p>
        </w:tc>
        <w:tc>
          <w:tcPr>
            <w:tcW w:w="400" w:type="dxa"/>
            <w:vAlign w:val="bottom"/>
            <w:vMerge w:val="continue"/>
          </w:tcPr>
          <w:p>
            <w:pPr>
              <w:spacing w:after="0"/>
              <w:rPr>
                <w:sz w:val="19"/>
                <w:szCs w:val="19"/>
                <w:color w:val="auto"/>
              </w:rPr>
            </w:pPr>
          </w:p>
        </w:tc>
        <w:tc>
          <w:tcPr>
            <w:tcW w:w="9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400" w:type="dxa"/>
            <w:vAlign w:val="bottom"/>
          </w:tcPr>
          <w:p>
            <w:pPr>
              <w:spacing w:after="0"/>
              <w:rPr>
                <w:sz w:val="22"/>
                <w:szCs w:val="22"/>
                <w:color w:val="auto"/>
              </w:rPr>
            </w:pPr>
          </w:p>
        </w:tc>
        <w:tc>
          <w:tcPr>
            <w:tcW w:w="9240" w:type="dxa"/>
            <w:vAlign w:val="bottom"/>
            <w:vMerge w:val="restart"/>
          </w:tcPr>
          <w:p>
            <w:pPr>
              <w:ind w:left="8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4"/>
                <w:szCs w:val="24"/>
                <w:color w:val="auto"/>
              </w:rPr>
            </w:pP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8.</w:t>
            </w:r>
          </w:p>
        </w:tc>
        <w:tc>
          <w:tcPr>
            <w:tcW w:w="9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62,866,116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940" w:hanging="614"/>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62,866,116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40" w:hanging="614"/>
        <w:spacing w:after="0"/>
        <w:tabs>
          <w:tab w:leader="none" w:pos="9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w:t>
      </w:r>
    </w:p>
    <w:p>
      <w:pPr>
        <w:spacing w:after="0" w:line="2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40" w:hanging="614"/>
        <w:spacing w:after="0"/>
        <w:tabs>
          <w:tab w:leader="none" w:pos="9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940" w:hanging="614"/>
        <w:spacing w:after="0"/>
        <w:tabs>
          <w:tab w:leader="none" w:pos="9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1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08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Item 1.</w:t>
      </w:r>
    </w:p>
    <w:p>
      <w:pPr>
        <w:spacing w:after="0" w:line="22" w:lineRule="exact"/>
        <w:rPr>
          <w:sz w:val="20"/>
          <w:szCs w:val="20"/>
          <w:color w:val="auto"/>
        </w:rPr>
      </w:pPr>
    </w:p>
    <w:p>
      <w:pPr>
        <w:ind w:left="1620" w:hanging="532"/>
        <w:spacing w:after="0"/>
        <w:tabs>
          <w:tab w:leader="none" w:pos="16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07" w:lineRule="exact"/>
        <w:rPr>
          <w:rFonts w:ascii="Times New Roman" w:cs="Times New Roman" w:eastAsia="Times New Roman" w:hAnsi="Times New Roman"/>
          <w:sz w:val="20"/>
          <w:szCs w:val="20"/>
          <w:color w:val="auto"/>
        </w:rPr>
      </w:pPr>
    </w:p>
    <w:p>
      <w:pPr>
        <w:ind w:left="1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Plains All American Pipeline LP</w:t>
      </w:r>
    </w:p>
    <w:p>
      <w:pPr>
        <w:spacing w:after="0" w:line="229" w:lineRule="exact"/>
        <w:rPr>
          <w:rFonts w:ascii="Times New Roman" w:cs="Times New Roman" w:eastAsia="Times New Roman" w:hAnsi="Times New Roman"/>
          <w:sz w:val="20"/>
          <w:szCs w:val="20"/>
          <w:color w:val="auto"/>
        </w:rPr>
      </w:pPr>
    </w:p>
    <w:p>
      <w:pPr>
        <w:ind w:left="1620" w:hanging="532"/>
        <w:spacing w:after="0"/>
        <w:tabs>
          <w:tab w:leader="none" w:pos="16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9" w:lineRule="exact"/>
        <w:rPr>
          <w:rFonts w:ascii="Times New Roman" w:cs="Times New Roman" w:eastAsia="Times New Roman" w:hAnsi="Times New Roman"/>
          <w:sz w:val="20"/>
          <w:szCs w:val="20"/>
          <w:color w:val="auto"/>
        </w:rPr>
      </w:pPr>
    </w:p>
    <w:p>
      <w:pPr>
        <w:ind w:left="1620" w:right="69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333 Clay Street Suite 1600 Houston, TX 77002</w:t>
      </w:r>
    </w:p>
    <w:p>
      <w:pPr>
        <w:spacing w:after="0" w:line="173" w:lineRule="exact"/>
        <w:rPr>
          <w:sz w:val="20"/>
          <w:szCs w:val="20"/>
          <w:color w:val="auto"/>
        </w:rPr>
      </w:pPr>
    </w:p>
    <w:p>
      <w:pPr>
        <w:ind w:left="1620" w:hanging="532"/>
        <w:spacing w:after="0"/>
        <w:tabs>
          <w:tab w:leader="none" w:pos="16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Person Filing</w:t>
      </w:r>
    </w:p>
    <w:p>
      <w:pPr>
        <w:spacing w:after="0" w:line="229" w:lineRule="exact"/>
        <w:rPr>
          <w:rFonts w:ascii="Times New Roman" w:cs="Times New Roman" w:eastAsia="Times New Roman" w:hAnsi="Times New Roman"/>
          <w:sz w:val="20"/>
          <w:szCs w:val="20"/>
          <w:color w:val="auto"/>
        </w:rPr>
      </w:pPr>
    </w:p>
    <w:p>
      <w:pPr>
        <w:ind w:left="2600" w:hanging="324"/>
        <w:spacing w:after="0"/>
        <w:tabs>
          <w:tab w:leader="none" w:pos="26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ALPS Advisors, Inc.</w:t>
      </w:r>
    </w:p>
    <w:p>
      <w:pPr>
        <w:spacing w:after="0" w:line="21" w:lineRule="exact"/>
        <w:rPr>
          <w:rFonts w:ascii="Times New Roman" w:cs="Times New Roman" w:eastAsia="Times New Roman" w:hAnsi="Times New Roman"/>
          <w:sz w:val="20"/>
          <w:szCs w:val="20"/>
          <w:color w:val="auto"/>
        </w:rPr>
      </w:pPr>
    </w:p>
    <w:p>
      <w:pPr>
        <w:ind w:left="2600" w:hanging="324"/>
        <w:spacing w:after="0"/>
        <w:tabs>
          <w:tab w:leader="none" w:pos="26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Alerian MLP ETF</w:t>
      </w:r>
    </w:p>
    <w:p>
      <w:pPr>
        <w:spacing w:after="0" w:line="207" w:lineRule="exact"/>
        <w:rPr>
          <w:rFonts w:ascii="Times New Roman" w:cs="Times New Roman" w:eastAsia="Times New Roman" w:hAnsi="Times New Roman"/>
          <w:sz w:val="20"/>
          <w:szCs w:val="20"/>
          <w:color w:val="auto"/>
        </w:rPr>
      </w:pPr>
    </w:p>
    <w:p>
      <w:pPr>
        <w:ind w:left="1620" w:hanging="532"/>
        <w:spacing w:after="0"/>
        <w:tabs>
          <w:tab w:leader="none" w:pos="16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Principal Business Office or, if none, Residence</w:t>
      </w:r>
    </w:p>
    <w:p>
      <w:pPr>
        <w:spacing w:after="0" w:line="229" w:lineRule="exact"/>
        <w:rPr>
          <w:rFonts w:ascii="Times New Roman" w:cs="Times New Roman" w:eastAsia="Times New Roman" w:hAnsi="Times New Roman"/>
          <w:sz w:val="20"/>
          <w:szCs w:val="20"/>
          <w:color w:val="auto"/>
        </w:rPr>
      </w:pPr>
    </w:p>
    <w:p>
      <w:pPr>
        <w:ind w:left="2600" w:hanging="324"/>
        <w:spacing w:after="0"/>
        <w:tabs>
          <w:tab w:leader="none" w:pos="26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1290 Broadway, Suite 1000, Denver, CO 80203</w:t>
      </w:r>
    </w:p>
    <w:p>
      <w:pPr>
        <w:spacing w:after="0" w:line="21" w:lineRule="exact"/>
        <w:rPr>
          <w:rFonts w:ascii="Times New Roman" w:cs="Times New Roman" w:eastAsia="Times New Roman" w:hAnsi="Times New Roman"/>
          <w:sz w:val="20"/>
          <w:szCs w:val="20"/>
          <w:color w:val="auto"/>
        </w:rPr>
      </w:pPr>
    </w:p>
    <w:p>
      <w:pPr>
        <w:ind w:left="2600" w:hanging="324"/>
        <w:spacing w:after="0"/>
        <w:tabs>
          <w:tab w:leader="none" w:pos="26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1290 Broadway, Suite 1000, Denver, CO 80203</w:t>
      </w:r>
    </w:p>
    <w:p>
      <w:pPr>
        <w:spacing w:after="0" w:line="203" w:lineRule="exact"/>
        <w:rPr>
          <w:rFonts w:ascii="Times New Roman" w:cs="Times New Roman" w:eastAsia="Times New Roman" w:hAnsi="Times New Roman"/>
          <w:sz w:val="20"/>
          <w:szCs w:val="20"/>
          <w:color w:val="auto"/>
        </w:rPr>
      </w:pPr>
    </w:p>
    <w:p>
      <w:pPr>
        <w:ind w:left="1620" w:hanging="532"/>
        <w:spacing w:after="0"/>
        <w:tabs>
          <w:tab w:leader="none" w:pos="16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Citizenship</w:t>
      </w:r>
    </w:p>
    <w:p>
      <w:pPr>
        <w:spacing w:after="0" w:line="233" w:lineRule="exact"/>
        <w:rPr>
          <w:rFonts w:ascii="Times New Roman" w:cs="Times New Roman" w:eastAsia="Times New Roman" w:hAnsi="Times New Roman"/>
          <w:sz w:val="20"/>
          <w:szCs w:val="20"/>
          <w:color w:val="auto"/>
        </w:rPr>
      </w:pPr>
    </w:p>
    <w:p>
      <w:pPr>
        <w:ind w:left="2600" w:hanging="324"/>
        <w:spacing w:after="0"/>
        <w:tabs>
          <w:tab w:leader="none" w:pos="26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Colorado</w:t>
      </w:r>
    </w:p>
    <w:p>
      <w:pPr>
        <w:spacing w:after="0" w:line="21" w:lineRule="exact"/>
        <w:rPr>
          <w:rFonts w:ascii="Times New Roman" w:cs="Times New Roman" w:eastAsia="Times New Roman" w:hAnsi="Times New Roman"/>
          <w:sz w:val="20"/>
          <w:szCs w:val="20"/>
          <w:color w:val="auto"/>
        </w:rPr>
      </w:pPr>
    </w:p>
    <w:p>
      <w:pPr>
        <w:ind w:left="2600" w:hanging="324"/>
        <w:spacing w:after="0"/>
        <w:tabs>
          <w:tab w:leader="none" w:pos="26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Delaware</w:t>
      </w:r>
    </w:p>
    <w:p>
      <w:pPr>
        <w:spacing w:after="0" w:line="207" w:lineRule="exact"/>
        <w:rPr>
          <w:rFonts w:ascii="Times New Roman" w:cs="Times New Roman" w:eastAsia="Times New Roman" w:hAnsi="Times New Roman"/>
          <w:sz w:val="20"/>
          <w:szCs w:val="20"/>
          <w:color w:val="auto"/>
        </w:rPr>
      </w:pPr>
    </w:p>
    <w:p>
      <w:pPr>
        <w:ind w:left="1620" w:hanging="532"/>
        <w:spacing w:after="0"/>
        <w:tabs>
          <w:tab w:leader="none" w:pos="16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80" w:right="7520" w:hanging="1192"/>
        <w:spacing w:after="0" w:line="511" w:lineRule="auto"/>
        <w:tabs>
          <w:tab w:leader="none" w:pos="1632"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CUSIP Number 726503105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10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w w:val="98"/>
              </w:rPr>
              <w:t>If this statement is filed pursuant to §§240.13d-1(b) or 240.13d-2(b) or (c), check whether the person filing is a:</w:t>
            </w:r>
          </w:p>
        </w:tc>
      </w:tr>
      <w:tr>
        <w:trPr>
          <w:trHeight w:val="459"/>
        </w:trPr>
        <w:tc>
          <w:tcPr>
            <w:tcW w:w="8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7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 (15 U.S.C. 78o);</w:t>
            </w:r>
          </w:p>
        </w:tc>
      </w:tr>
      <w:tr>
        <w:trPr>
          <w:trHeight w:val="459"/>
        </w:trPr>
        <w:tc>
          <w:tcPr>
            <w:tcW w:w="8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7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Bank as defined in section 3(a)(6) of the Act (15 U.S.C. 78c);</w:t>
            </w:r>
          </w:p>
        </w:tc>
      </w:tr>
      <w:tr>
        <w:trPr>
          <w:trHeight w:val="459"/>
        </w:trPr>
        <w:tc>
          <w:tcPr>
            <w:tcW w:w="8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7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 (15 U.S.C. 78c);</w:t>
            </w:r>
          </w:p>
        </w:tc>
      </w:tr>
    </w:tbl>
    <w:p>
      <w:pPr>
        <w:spacing w:after="0" w:line="201" w:lineRule="exact"/>
        <w:rPr>
          <w:sz w:val="20"/>
          <w:szCs w:val="20"/>
          <w:color w:val="auto"/>
        </w:rPr>
      </w:pPr>
    </w:p>
    <w:p>
      <w:pPr>
        <w:ind w:left="2160" w:hanging="1072"/>
        <w:spacing w:after="0" w:line="269" w:lineRule="auto"/>
        <w:tabs>
          <w:tab w:leader="none" w:pos="16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Investment company registered under section 8 of the Investment Company Act of 1940 (15 U.S.C 80a-8) - </w:t>
      </w:r>
      <w:r>
        <w:rPr>
          <w:rFonts w:ascii="Times New Roman" w:cs="Times New Roman" w:eastAsia="Times New Roman" w:hAnsi="Times New Roman"/>
          <w:sz w:val="20"/>
          <w:szCs w:val="20"/>
          <w:b w:val="1"/>
          <w:bCs w:val="1"/>
          <w:color w:val="auto"/>
        </w:rPr>
        <w:t>Alerian MLP ETF</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left="1620" w:hanging="532"/>
        <w:spacing w:after="0"/>
        <w:tabs>
          <w:tab w:leader="none" w:pos="16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An investment adviser in accordance with §240.13d-1(b)(1)(ii)(E) – </w:t>
      </w:r>
      <w:r>
        <w:rPr>
          <w:rFonts w:ascii="Times New Roman" w:cs="Times New Roman" w:eastAsia="Times New Roman" w:hAnsi="Times New Roman"/>
          <w:sz w:val="20"/>
          <w:szCs w:val="20"/>
          <w:b w:val="1"/>
          <w:bCs w:val="1"/>
          <w:color w:val="auto"/>
        </w:rPr>
        <w:t>ALPS Advisors, Inc.;</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(f)</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§240.13d-1(b)(1)(ii)(F);</w:t>
            </w:r>
          </w:p>
        </w:tc>
      </w:tr>
      <w:tr>
        <w:trPr>
          <w:trHeight w:val="45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(g)</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 240.13d-1(b)(1)(ii)(G);</w:t>
            </w:r>
          </w:p>
        </w:tc>
      </w:tr>
      <w:tr>
        <w:trPr>
          <w:trHeight w:val="45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(h)</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 savings associations as defined in Section 3(b) of the Federal Deposit Insurance Act (12 U.S.C. 1813);</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A church plan that is excluded from the definition of an investment company under section 3(c)(14) of the</w:t>
            </w:r>
          </w:p>
        </w:tc>
      </w:tr>
      <w:tr>
        <w:trPr>
          <w:trHeight w:val="258"/>
        </w:trPr>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Company Act of 1940 (15 U.S.C. 80a-3);</w:t>
            </w:r>
          </w:p>
        </w:tc>
      </w:tr>
      <w:tr>
        <w:trPr>
          <w:trHeight w:val="45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(j)</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 non-U.S. institution in accordance with § 240.13d-1(b)(1)(ii)(J);</w:t>
            </w:r>
          </w:p>
        </w:tc>
      </w:tr>
      <w:tr>
        <w:trPr>
          <w:trHeight w:val="45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(k)</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Group, in accordance with §240.13d-1(b)(1)(ii)(J).</w:t>
            </w:r>
          </w:p>
        </w:tc>
      </w:tr>
    </w:tbl>
    <w:p>
      <w:pPr>
        <w:sectPr>
          <w:pgSz w:w="11900" w:h="16838" w:orient="portrait"/>
          <w:cols w:equalWidth="0" w:num="1">
            <w:col w:w="10680"/>
          </w:cols>
          <w:pgMar w:left="320" w:top="468" w:right="899" w:bottom="1440" w:gutter="0" w:footer="0" w:header="0"/>
        </w:sectPr>
      </w:pPr>
    </w:p>
    <w:bookmarkStart w:id="4" w:name="page5"/>
    <w:bookmarkEnd w:id="4"/>
    <w:p>
      <w:pPr>
        <w:ind w:left="60"/>
        <w:spacing w:after="0"/>
        <w:tabs>
          <w:tab w:leader="none" w:pos="14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Ownership.</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Provide the following information regarding the aggregate number and percentage of the class of securities of the issuer identified in Item 1.</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u w:val="single" w:color="auto"/>
          <w:color w:val="auto"/>
        </w:rPr>
        <w:t>ALPS Advisors, Inc.</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(a)  Amount beneficially owned:</w:t>
      </w:r>
    </w:p>
    <w:p>
      <w:pPr>
        <w:spacing w:after="0" w:line="2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62,866,116 **see Note 1**</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(b) Percent of class:</w:t>
      </w:r>
    </w:p>
    <w:p>
      <w:pPr>
        <w:spacing w:after="0" w:line="2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8.96%</w:t>
      </w:r>
    </w:p>
    <w:p>
      <w:pPr>
        <w:spacing w:after="0" w:line="108" w:lineRule="exact"/>
        <w:rPr>
          <w:sz w:val="20"/>
          <w:szCs w:val="20"/>
          <w:color w:val="auto"/>
        </w:rPr>
      </w:pPr>
    </w:p>
    <w:p>
      <w:pPr>
        <w:ind w:left="1420" w:hanging="346"/>
        <w:spacing w:after="0"/>
        <w:tabs>
          <w:tab w:leader="none" w:pos="14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107" w:lineRule="exact"/>
        <w:rPr>
          <w:rFonts w:ascii="Times New Roman" w:cs="Times New Roman" w:eastAsia="Times New Roman" w:hAnsi="Times New Roman"/>
          <w:sz w:val="20"/>
          <w:szCs w:val="20"/>
          <w:color w:val="auto"/>
        </w:rPr>
      </w:pPr>
    </w:p>
    <w:p>
      <w:pPr>
        <w:ind w:left="2080" w:hanging="655"/>
        <w:spacing w:after="0"/>
        <w:tabs>
          <w:tab w:leader="none" w:pos="20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0</w:t>
      </w:r>
    </w:p>
    <w:p>
      <w:pPr>
        <w:spacing w:after="0" w:line="108" w:lineRule="exact"/>
        <w:rPr>
          <w:sz w:val="20"/>
          <w:szCs w:val="20"/>
          <w:color w:val="auto"/>
        </w:rPr>
      </w:pPr>
    </w:p>
    <w:p>
      <w:pPr>
        <w:ind w:left="2080" w:hanging="655"/>
        <w:spacing w:after="0"/>
        <w:tabs>
          <w:tab w:leader="none" w:pos="2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62,866,116**see Note 1**</w:t>
      </w:r>
    </w:p>
    <w:p>
      <w:pPr>
        <w:spacing w:after="0" w:line="108" w:lineRule="exact"/>
        <w:rPr>
          <w:sz w:val="20"/>
          <w:szCs w:val="20"/>
          <w:color w:val="auto"/>
        </w:rPr>
      </w:pPr>
    </w:p>
    <w:p>
      <w:pPr>
        <w:ind w:left="2080" w:hanging="655"/>
        <w:spacing w:after="0"/>
        <w:tabs>
          <w:tab w:leader="none" w:pos="2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0</w:t>
      </w:r>
    </w:p>
    <w:p>
      <w:pPr>
        <w:spacing w:after="0" w:line="108" w:lineRule="exact"/>
        <w:rPr>
          <w:sz w:val="20"/>
          <w:szCs w:val="20"/>
          <w:color w:val="auto"/>
        </w:rPr>
      </w:pPr>
    </w:p>
    <w:p>
      <w:pPr>
        <w:ind w:left="2080" w:hanging="655"/>
        <w:spacing w:after="0"/>
        <w:tabs>
          <w:tab w:leader="none" w:pos="2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62,866,116 **see Note 1**</w:t>
      </w:r>
    </w:p>
    <w:p>
      <w:pPr>
        <w:spacing w:after="0" w:line="2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u w:val="single" w:color="auto"/>
          <w:color w:val="auto"/>
        </w:rPr>
        <w:t>Alerian MLP ETF</w:t>
      </w:r>
    </w:p>
    <w:p>
      <w:pPr>
        <w:spacing w:after="0" w:line="3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(a)  Amount beneficially owned:</w:t>
      </w:r>
    </w:p>
    <w:p>
      <w:pPr>
        <w:spacing w:after="0" w:line="2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62,866,116 **see Note 1**</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(b) Percent of class:</w:t>
      </w:r>
    </w:p>
    <w:p>
      <w:pPr>
        <w:spacing w:after="0" w:line="2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8.96%</w:t>
      </w:r>
    </w:p>
    <w:p>
      <w:pPr>
        <w:spacing w:after="0" w:line="108" w:lineRule="exact"/>
        <w:rPr>
          <w:sz w:val="20"/>
          <w:szCs w:val="20"/>
          <w:color w:val="auto"/>
        </w:rPr>
      </w:pPr>
    </w:p>
    <w:p>
      <w:pPr>
        <w:ind w:left="1420" w:hanging="346"/>
        <w:spacing w:after="0"/>
        <w:tabs>
          <w:tab w:leader="none" w:pos="14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107" w:lineRule="exact"/>
        <w:rPr>
          <w:rFonts w:ascii="Times New Roman" w:cs="Times New Roman" w:eastAsia="Times New Roman" w:hAnsi="Times New Roman"/>
          <w:sz w:val="20"/>
          <w:szCs w:val="20"/>
          <w:color w:val="auto"/>
        </w:rPr>
      </w:pPr>
    </w:p>
    <w:p>
      <w:pPr>
        <w:ind w:left="2080" w:hanging="655"/>
        <w:spacing w:after="0"/>
        <w:tabs>
          <w:tab w:leader="none" w:pos="20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0</w:t>
      </w:r>
    </w:p>
    <w:p>
      <w:pPr>
        <w:spacing w:after="0" w:line="108" w:lineRule="exact"/>
        <w:rPr>
          <w:sz w:val="20"/>
          <w:szCs w:val="20"/>
          <w:color w:val="auto"/>
        </w:rPr>
      </w:pPr>
    </w:p>
    <w:p>
      <w:pPr>
        <w:ind w:left="2080" w:hanging="655"/>
        <w:spacing w:after="0"/>
        <w:tabs>
          <w:tab w:leader="none" w:pos="2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62,866,116 **see Note 1**</w:t>
      </w:r>
    </w:p>
    <w:p>
      <w:pPr>
        <w:spacing w:after="0" w:line="108" w:lineRule="exact"/>
        <w:rPr>
          <w:sz w:val="20"/>
          <w:szCs w:val="20"/>
          <w:color w:val="auto"/>
        </w:rPr>
      </w:pPr>
    </w:p>
    <w:p>
      <w:pPr>
        <w:ind w:left="2080" w:hanging="655"/>
        <w:spacing w:after="0"/>
        <w:tabs>
          <w:tab w:leader="none" w:pos="2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0</w:t>
      </w:r>
    </w:p>
    <w:p>
      <w:pPr>
        <w:spacing w:after="0" w:line="108" w:lineRule="exact"/>
        <w:rPr>
          <w:sz w:val="20"/>
          <w:szCs w:val="20"/>
          <w:color w:val="auto"/>
        </w:rPr>
      </w:pPr>
    </w:p>
    <w:p>
      <w:pPr>
        <w:ind w:left="2740" w:right="4820" w:hanging="1315"/>
        <w:spacing w:after="0" w:line="508" w:lineRule="auto"/>
        <w:tabs>
          <w:tab w:leader="none" w:pos="209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 62,866,116**see Note 1**</w:t>
      </w:r>
    </w:p>
    <w:p>
      <w:pPr>
        <w:spacing w:after="0" w:line="11" w:lineRule="exact"/>
        <w:rPr>
          <w:rFonts w:ascii="Times New Roman" w:cs="Times New Roman" w:eastAsia="Times New Roman" w:hAnsi="Times New Roman"/>
          <w:sz w:val="20"/>
          <w:szCs w:val="20"/>
          <w:color w:val="auto"/>
        </w:rPr>
      </w:pPr>
    </w:p>
    <w:p>
      <w:pPr>
        <w:jc w:val="both"/>
        <w:ind w:left="360" w:hanging="352"/>
        <w:spacing w:after="0" w:line="244" w:lineRule="auto"/>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 1 ** 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99"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Alerian MLP ETF is an investment company registered under the Investment Company Act of 1940 and is one of the Funds to which AAI provides investment advice.</w:t>
      </w:r>
    </w:p>
    <w:p>
      <w:pPr>
        <w:spacing w:after="0" w:line="17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ectPr>
          <w:pgSz w:w="11900" w:h="16838" w:orient="portrait"/>
          <w:cols w:equalWidth="0" w:num="1">
            <w:col w:w="11240"/>
          </w:cols>
          <w:pgMar w:left="320" w:top="859" w:right="339" w:bottom="0" w:gutter="0" w:footer="0" w:header="0"/>
        </w:sectPr>
      </w:pPr>
    </w:p>
    <w:bookmarkStart w:id="5" w:name="page6"/>
    <w:bookmarkEnd w:id="5"/>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Ownership of More than Five Percent on Behalf of Another Person.</w:t>
      </w:r>
    </w:p>
    <w:p>
      <w:pPr>
        <w:spacing w:after="0" w:line="2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Funds described in Note 1 above have the right to receive or the power to direct the receipt of dividends from, or the proceeds from the sale of the securities held in their respective accounts. AAI disclaims beneficial ownership of all such securities. The interest of one person, Alerian MLP ETF, an investment company registered under the Investment Company Act of 1940, in Plains All American Pipeline LP Common Unit amounted to 62,866,116 shares or 8.96% of the total outstanding Common Units.</w:t>
      </w:r>
    </w:p>
    <w:p>
      <w:pPr>
        <w:spacing w:after="0" w:line="193" w:lineRule="exact"/>
        <w:rPr>
          <w:sz w:val="20"/>
          <w:szCs w:val="20"/>
          <w:color w:val="auto"/>
        </w:rPr>
      </w:pPr>
    </w:p>
    <w:p>
      <w:pPr>
        <w:ind w:left="1080" w:right="300" w:hanging="1079"/>
        <w:spacing w:after="0" w:line="269" w:lineRule="auto"/>
        <w:tabs>
          <w:tab w:leader="none" w:pos="10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 or Control Person.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ectPr>
          <w:pgSz w:w="11900" w:h="16838" w:orient="portrait"/>
          <w:cols w:equalWidth="0" w:num="1">
            <w:col w:w="11060"/>
          </w:cols>
          <w:pgMar w:left="320" w:top="118" w:right="519" w:bottom="1440" w:gutter="0" w:footer="0" w:header="0"/>
        </w:sectPr>
      </w:pPr>
    </w:p>
    <w:bookmarkStart w:id="6" w:name="page7"/>
    <w:bookmarkEnd w:id="6"/>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29" w:lineRule="exact"/>
        <w:rPr>
          <w:sz w:val="20"/>
          <w:szCs w:val="20"/>
          <w:color w:val="auto"/>
        </w:rPr>
      </w:pPr>
    </w:p>
    <w:p>
      <w:pPr>
        <w:ind w:left="144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ALPS ADVISORS,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November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Title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ALERIAN MLP ETF</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November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Title</w:t>
      </w:r>
    </w:p>
    <w:sectPr>
      <w:pgSz w:w="11900" w:h="16838" w:orient="portrait"/>
      <w:cols w:equalWidth="0" w:num="1">
        <w:col w:w="11200"/>
      </w:cols>
      <w:pgMar w:left="320" w:top="46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lvl w:ilvl="1">
      <w:lvlJc w:val="left"/>
      <w:lvlText w:val="(%2)"/>
      <w:numFmt w:val="lowerLetter"/>
      <w:start w:val="1"/>
    </w:lvl>
  </w:abstractNum>
  <w:abstractNum w:abstractNumId="4">
    <w:nsid w:val="4E6AFB66"/>
    <w:multiLevelType w:val="hybridMultilevel"/>
    <w:lvl w:ilvl="0">
      <w:lvlJc w:val="left"/>
      <w:lvlText w:val="%1."/>
      <w:numFmt w:val="decimal"/>
      <w:start w:val="5"/>
    </w:lvl>
  </w:abstractNum>
  <w:abstractNum w:abstractNumId="5">
    <w:nsid w:val="25E45D32"/>
    <w:multiLevelType w:val="hybridMultilevel"/>
    <w:lvl w:ilvl="0">
      <w:lvlJc w:val="left"/>
      <w:lvlText w:val="%1."/>
      <w:numFmt w:val="decimal"/>
      <w:start w:val="9"/>
    </w:lvl>
  </w:abstractNum>
  <w:abstractNum w:abstractNumId="6">
    <w:nsid w:val="519B500D"/>
    <w:multiLevelType w:val="hybridMultilevel"/>
    <w:lvl w:ilvl="0">
      <w:lvlJc w:val="left"/>
      <w:lvlText w:val="%1."/>
      <w:numFmt w:val="decimal"/>
      <w:start w:val="10"/>
    </w:lvl>
  </w:abstractNum>
  <w:abstractNum w:abstractNumId="7">
    <w:nsid w:val="431BD7B7"/>
    <w:multiLevelType w:val="hybridMultilevel"/>
    <w:lvl w:ilvl="0">
      <w:lvlJc w:val="left"/>
      <w:lvlText w:val="%1."/>
      <w:numFmt w:val="decimal"/>
      <w:start w:val="11"/>
    </w:lvl>
  </w:abstractNum>
  <w:abstractNum w:abstractNumId="8">
    <w:nsid w:val="3F2DBA31"/>
    <w:multiLevelType w:val="hybridMultilevel"/>
    <w:lvl w:ilvl="0">
      <w:lvlJc w:val="left"/>
      <w:lvlText w:val="%1."/>
      <w:numFmt w:val="decimal"/>
      <w:start w:val="12"/>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2"/>
    </w:lvl>
    <w:lvl w:ilvl="1">
      <w:lvlJc w:val="left"/>
      <w:lvlText w:val="(%2)"/>
      <w:numFmt w:val="lowerLetter"/>
      <w:start w:val="1"/>
    </w:lvl>
  </w:abstractNum>
  <w:abstractNum w:abstractNumId="11">
    <w:nsid w:val="62BBD95A"/>
    <w:multiLevelType w:val="hybridMultilevel"/>
    <w:lvl w:ilvl="0">
      <w:lvlJc w:val="left"/>
      <w:lvlText w:val="%1."/>
      <w:numFmt w:val="decimal"/>
      <w:start w:val="5"/>
    </w:lvl>
  </w:abstractNum>
  <w:abstractNum w:abstractNumId="12">
    <w:nsid w:val="436C6125"/>
    <w:multiLevelType w:val="hybridMultilevel"/>
    <w:lvl w:ilvl="0">
      <w:lvlJc w:val="left"/>
      <w:lvlText w:val="%1."/>
      <w:numFmt w:val="decimal"/>
      <w:start w:val="9"/>
    </w:lvl>
  </w:abstractNum>
  <w:abstractNum w:abstractNumId="13">
    <w:nsid w:val="628C895D"/>
    <w:multiLevelType w:val="hybridMultilevel"/>
    <w:lvl w:ilvl="0">
      <w:lvlJc w:val="left"/>
      <w:lvlText w:val="%1."/>
      <w:numFmt w:val="decimal"/>
      <w:start w:val="10"/>
    </w:lvl>
  </w:abstractNum>
  <w:abstractNum w:abstractNumId="14">
    <w:nsid w:val="333AB105"/>
    <w:multiLevelType w:val="hybridMultilevel"/>
    <w:lvl w:ilvl="0">
      <w:lvlJc w:val="left"/>
      <w:lvlText w:val="%1."/>
      <w:numFmt w:val="decimal"/>
      <w:start w:val="11"/>
    </w:lvl>
  </w:abstractNum>
  <w:abstractNum w:abstractNumId="15">
    <w:nsid w:val="721DA317"/>
    <w:multiLevelType w:val="hybridMultilevel"/>
    <w:lvl w:ilvl="0">
      <w:lvlJc w:val="left"/>
      <w:lvlText w:val="%1."/>
      <w:numFmt w:val="decimal"/>
      <w:start w:val="1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lvl w:ilvl="1">
      <w:lvlJc w:val="left"/>
      <w:lvlText w:val="(%2)"/>
      <w:numFmt w:val="decimal"/>
      <w:start w:val="1"/>
    </w:lvl>
  </w:abstractNum>
  <w:abstractNum w:abstractNumId="18">
    <w:nsid w:val="6763845E"/>
    <w:multiLevelType w:val="hybridMultilevel"/>
    <w:lvl w:ilvl="0">
      <w:lvlJc w:val="left"/>
      <w:lvlText w:val="(%1)"/>
      <w:numFmt w:val="lowerLetter"/>
      <w:start w:val="5"/>
    </w:lvl>
  </w:abstractNum>
  <w:abstractNum w:abstractNumId="19">
    <w:nsid w:val="75A2A8D4"/>
    <w:multiLevelType w:val="hybridMultilevel"/>
    <w:lvl w:ilvl="0">
      <w:lvlJc w:val="left"/>
      <w:lvlText w:val="(%1)"/>
      <w:numFmt w:val="lowerLetter"/>
      <w:start w:val="4"/>
    </w:lvl>
  </w:abstractNum>
  <w:abstractNum w:abstractNumId="20">
    <w:nsid w:val="8EDBDAB"/>
    <w:multiLevelType w:val="hybridMultilevel"/>
    <w:lvl w:ilvl="0">
      <w:lvlJc w:val="left"/>
      <w:lvlText w:val="(%1)"/>
      <w:numFmt w:val="lowerLetter"/>
      <w:start w:val="3"/>
    </w:lvl>
    <w:lvl w:ilvl="1">
      <w:lvlJc w:val="left"/>
      <w:lvlText w:val="(%2)"/>
      <w:numFmt w:val="lowerLetter"/>
      <w:start w:val="9"/>
    </w:lvl>
  </w:abstractNum>
  <w:abstractNum w:abstractNumId="21">
    <w:nsid w:val="79838CB2"/>
    <w:multiLevelType w:val="hybridMultilevel"/>
    <w:lvl w:ilvl="0">
      <w:lvlJc w:val="left"/>
      <w:lvlText w:val="(%1)"/>
      <w:numFmt w:val="lowerRoman"/>
      <w:start w:val="2"/>
    </w:lvl>
  </w:abstractNum>
  <w:abstractNum w:abstractNumId="22">
    <w:nsid w:val="4353D0CD"/>
    <w:multiLevelType w:val="hybridMultilevel"/>
    <w:lvl w:ilvl="0">
      <w:lvlJc w:val="left"/>
      <w:lvlText w:val="(%1)"/>
      <w:numFmt w:val="lowerRoman"/>
      <w:start w:val="3"/>
    </w:lvl>
  </w:abstractNum>
  <w:abstractNum w:abstractNumId="23">
    <w:nsid w:val="B03E0C6"/>
    <w:multiLevelType w:val="hybridMultilevel"/>
    <w:lvl w:ilvl="0">
      <w:lvlJc w:val="left"/>
      <w:lvlText w:val="(%1)"/>
      <w:numFmt w:val="lowerRoman"/>
      <w:start w:val="4"/>
    </w:lvl>
  </w:abstractNum>
  <w:abstractNum w:abstractNumId="24">
    <w:nsid w:val="189A769B"/>
    <w:multiLevelType w:val="hybridMultilevel"/>
    <w:lvl w:ilvl="0">
      <w:lvlJc w:val="left"/>
      <w:lvlText w:val="(%1)"/>
      <w:numFmt w:val="lowerLetter"/>
      <w:start w:val="3"/>
    </w:lvl>
    <w:lvl w:ilvl="1">
      <w:lvlJc w:val="left"/>
      <w:lvlText w:val="(%2)"/>
      <w:numFmt w:val="lowerLetter"/>
      <w:start w:val="9"/>
    </w:lvl>
  </w:abstractNum>
  <w:abstractNum w:abstractNumId="25">
    <w:nsid w:val="54E49EB4"/>
    <w:multiLevelType w:val="hybridMultilevel"/>
    <w:lvl w:ilvl="0">
      <w:lvlJc w:val="left"/>
      <w:lvlText w:val="(%1)"/>
      <w:numFmt w:val="lowerRoman"/>
      <w:start w:val="2"/>
    </w:lvl>
  </w:abstractNum>
  <w:abstractNum w:abstractNumId="26">
    <w:nsid w:val="71F32454"/>
    <w:multiLevelType w:val="hybridMultilevel"/>
    <w:lvl w:ilvl="0">
      <w:lvlJc w:val="left"/>
      <w:lvlText w:val="(%1)"/>
      <w:numFmt w:val="lowerRoman"/>
      <w:start w:val="3"/>
    </w:lvl>
  </w:abstractNum>
  <w:abstractNum w:abstractNumId="27">
    <w:nsid w:val="2CA88611"/>
    <w:multiLevelType w:val="hybridMultilevel"/>
    <w:lvl w:ilvl="0">
      <w:lvlJc w:val="left"/>
      <w:lvlText w:val="**"/>
      <w:numFmt w:val="bullet"/>
      <w:start w:val="1"/>
    </w:lvl>
    <w:lvl w:ilvl="1">
      <w:lvlJc w:val="left"/>
      <w:lvlText w:val="(%2)"/>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2024-11-13T08:29:28Z</dcterms:created>
  <dcterms:modified xsi:type="dcterms:W3CDTF">2024-11-13T08:29:28Z</dcterms:modified>
</cp:coreProperties>
</file>