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4991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99173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08/30/2016</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40" w:hanging="4"/>
        <w:spacing w:after="0" w:line="23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4"/>
        <w:spacing w:after="0"/>
        <w:rPr>
          <w:sz w:val="20"/>
          <w:szCs w:val="20"/>
          <w:color w:val="auto"/>
        </w:rPr>
      </w:pPr>
      <w:r>
        <w:rPr>
          <w:rFonts w:ascii="Arial" w:cs="Arial" w:eastAsia="Arial" w:hAnsi="Arial"/>
          <w:sz w:val="17"/>
          <w:szCs w:val="17"/>
          <w:color w:val="0000FF"/>
        </w:rPr>
        <w:t>EVP &amp; COO (U.S.)</w:t>
      </w:r>
    </w:p>
    <w:p>
      <w:pPr>
        <w:spacing w:after="0" w:line="329" w:lineRule="exact"/>
        <w:rPr>
          <w:sz w:val="24"/>
          <w:szCs w:val="24"/>
          <w:color w:val="auto"/>
        </w:rPr>
      </w:pPr>
    </w:p>
    <w:p>
      <w:pPr>
        <w:sectPr>
          <w:pgSz w:w="11900" w:h="16838" w:orient="portrait"/>
          <w:cols w:equalWidth="0" w:num="3">
            <w:col w:w="3340" w:space="720"/>
            <w:col w:w="3276" w:space="720"/>
            <w:col w:w="3464"/>
          </w:cols>
          <w:pgMar w:left="240" w:top="221" w:right="139" w:bottom="1440" w:gutter="0" w:footer="0" w:header="0"/>
          <w:type w:val="continuous"/>
        </w:sectPr>
      </w:pP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40" w:type="dxa"/>
            <w:vAlign w:val="bottom"/>
            <w:tcBorders>
              <w:top w:val="single" w:sz="8" w:color="2C2C2C"/>
            </w:tcBorders>
            <w:gridSpan w:val="7"/>
            <w:vMerge w:val="restart"/>
          </w:tcPr>
          <w:p>
            <w:pPr>
              <w:jc w:val="center"/>
              <w:ind w:right="280"/>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tcBorders>
              <w:top w:val="single" w:sz="8" w:color="2C2C2C"/>
            </w:tcBorders>
            <w:gridSpan w:val="7"/>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60" w:type="dxa"/>
            <w:vAlign w:val="bottom"/>
            <w:gridSpan w:val="2"/>
            <w:vMerge w:val="restart"/>
          </w:tcPr>
          <w:p>
            <w:pPr>
              <w:ind w:left="40"/>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160"/>
              <w:spacing w:after="0"/>
              <w:rPr>
                <w:sz w:val="20"/>
                <w:szCs w:val="20"/>
                <w:color w:val="auto"/>
              </w:rPr>
            </w:pPr>
            <w:r>
              <w:rPr>
                <w:rFonts w:ascii="Arial" w:cs="Arial" w:eastAsia="Arial" w:hAnsi="Arial"/>
                <w:sz w:val="17"/>
                <w:szCs w:val="17"/>
                <w:color w:val="0000FF"/>
              </w:rPr>
              <w:t>77002</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7"/>
            <w:vMerge w:val="continue"/>
          </w:tcPr>
          <w:p>
            <w:pPr>
              <w:spacing w:after="0"/>
              <w:rPr>
                <w:sz w:val="4"/>
                <w:szCs w:val="4"/>
                <w:color w:val="auto"/>
              </w:rPr>
            </w:pPr>
          </w:p>
        </w:tc>
        <w:tc>
          <w:tcPr>
            <w:tcW w:w="3680" w:type="dxa"/>
            <w:vAlign w:val="bottom"/>
            <w:gridSpan w:val="7"/>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gridSpan w:val="6"/>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16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00" w:type="dxa"/>
            <w:vAlign w:val="bottom"/>
            <w:tcBorders>
              <w:top w:val="single" w:sz="8" w:color="2C2C2C"/>
            </w:tcBorders>
            <w:gridSpan w:val="13"/>
          </w:tcPr>
          <w:p>
            <w:pPr>
              <w:jc w:val="center"/>
              <w:ind w:right="16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4"/>
          </w:tcPr>
          <w:p>
            <w:pPr>
              <w:ind w:left="1000"/>
              <w:spacing w:after="0" w:line="126"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4"/>
          </w:tcPr>
          <w:p>
            <w:pPr>
              <w:ind w:left="10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6"/>
          </w:tcPr>
          <w:p>
            <w:pPr>
              <w:spacing w:after="0"/>
              <w:rPr>
                <w:sz w:val="7"/>
                <w:szCs w:val="7"/>
                <w:color w:val="auto"/>
              </w:rPr>
            </w:pPr>
          </w:p>
        </w:tc>
        <w:tc>
          <w:tcPr>
            <w:tcW w:w="2780" w:type="dxa"/>
            <w:vAlign w:val="bottom"/>
            <w:tcBorders>
              <w:bottom w:val="single" w:sz="8" w:color="2C2C2C"/>
            </w:tcBorders>
            <w:gridSpan w:val="5"/>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3"/>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2"/>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6"/>
              </w:rPr>
              <w:t>Derivative Securities</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Security (Instr. 3</w:t>
            </w: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left="23"/>
              <w:spacing w:after="0" w:line="129"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Units in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(2)(3)</w:t>
            </w:r>
          </w:p>
        </w:tc>
        <w:tc>
          <w:tcPr>
            <w:tcW w:w="760" w:type="dxa"/>
            <w:vAlign w:val="bottom"/>
            <w:vMerge w:val="restart"/>
          </w:tcPr>
          <w:p>
            <w:pPr>
              <w:jc w:val="center"/>
              <w:ind w:left="23"/>
              <w:spacing w:after="0"/>
              <w:rPr>
                <w:sz w:val="20"/>
                <w:szCs w:val="20"/>
                <w:color w:val="auto"/>
              </w:rPr>
            </w:pPr>
            <w:r>
              <w:rPr>
                <w:rFonts w:ascii="Arial" w:cs="Arial" w:eastAsia="Arial" w:hAnsi="Arial"/>
                <w:sz w:val="11"/>
                <w:szCs w:val="11"/>
                <w:color w:val="008000"/>
                <w:w w:val="89"/>
              </w:rPr>
              <w:t>(2)(3)</w:t>
            </w:r>
          </w:p>
        </w:tc>
        <w:tc>
          <w:tcPr>
            <w:tcW w:w="500" w:type="dxa"/>
            <w:vAlign w:val="bottom"/>
          </w:tcPr>
          <w:p>
            <w:pPr>
              <w:jc w:val="center"/>
              <w:spacing w:after="0" w:line="142" w:lineRule="exact"/>
              <w:rPr>
                <w:sz w:val="20"/>
                <w:szCs w:val="20"/>
                <w:color w:val="auto"/>
              </w:rPr>
            </w:pPr>
            <w:r>
              <w:rPr>
                <w:rFonts w:ascii="Arial" w:cs="Arial" w:eastAsia="Arial" w:hAnsi="Arial"/>
                <w:sz w:val="13"/>
                <w:szCs w:val="13"/>
                <w:color w:val="0000FF"/>
                <w:w w:val="86"/>
              </w:rPr>
              <w:t>Class</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941,332</w:t>
            </w:r>
          </w:p>
        </w:tc>
        <w:tc>
          <w:tcPr>
            <w:tcW w:w="20" w:type="dxa"/>
            <w:vAlign w:val="bottom"/>
          </w:tcPr>
          <w:p>
            <w:pPr>
              <w:spacing w:after="0"/>
              <w:rPr>
                <w:sz w:val="12"/>
                <w:szCs w:val="12"/>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Plains</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08/30/2016</w:t>
            </w:r>
          </w:p>
        </w:tc>
        <w:tc>
          <w:tcPr>
            <w:tcW w:w="1140" w:type="dxa"/>
            <w:vAlign w:val="bottom"/>
          </w:tcPr>
          <w:p>
            <w:pPr>
              <w:spacing w:after="0"/>
              <w:rPr>
                <w:sz w:val="12"/>
                <w:szCs w:val="12"/>
                <w:color w:val="auto"/>
              </w:rPr>
            </w:pPr>
          </w:p>
        </w:tc>
        <w:tc>
          <w:tcPr>
            <w:tcW w:w="840" w:type="dxa"/>
            <w:vAlign w:val="bottom"/>
            <w:gridSpan w:val="3"/>
          </w:tcPr>
          <w:p>
            <w:pPr>
              <w:ind w:left="1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2"/>
                <w:szCs w:val="12"/>
                <w:color w:val="auto"/>
              </w:rPr>
            </w:pPr>
          </w:p>
        </w:tc>
        <w:tc>
          <w:tcPr>
            <w:tcW w:w="580" w:type="dxa"/>
            <w:vAlign w:val="bottom"/>
            <w:gridSpan w:val="2"/>
          </w:tcPr>
          <w:p>
            <w:pPr>
              <w:ind w:left="60"/>
              <w:spacing w:after="0" w:line="142" w:lineRule="exact"/>
              <w:rPr>
                <w:sz w:val="20"/>
                <w:szCs w:val="20"/>
                <w:color w:val="auto"/>
              </w:rPr>
            </w:pPr>
            <w:r>
              <w:rPr>
                <w:rFonts w:ascii="Arial" w:cs="Arial" w:eastAsia="Arial" w:hAnsi="Arial"/>
                <w:sz w:val="13"/>
                <w:szCs w:val="13"/>
                <w:color w:val="0000FF"/>
                <w:w w:val="86"/>
              </w:rPr>
              <w:t>1,000,000</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80" w:type="dxa"/>
            <w:vAlign w:val="bottom"/>
          </w:tcPr>
          <w:p>
            <w:pPr>
              <w:jc w:val="right"/>
              <w:ind w:right="21"/>
              <w:spacing w:after="0" w:line="142"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AAP, L.P.</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w w:val="97"/>
              </w:rPr>
              <w:t>Shares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gridSpan w:val="3"/>
          </w:tcPr>
          <w:p>
            <w:pPr>
              <w:ind w:left="80"/>
              <w:spacing w:after="0"/>
              <w:rPr>
                <w:sz w:val="20"/>
                <w:szCs w:val="20"/>
                <w:color w:val="auto"/>
              </w:rPr>
            </w:pPr>
            <w:r>
              <w:rPr>
                <w:rFonts w:ascii="Arial" w:cs="Arial" w:eastAsia="Arial" w:hAnsi="Arial"/>
                <w:sz w:val="11"/>
                <w:szCs w:val="11"/>
                <w:color w:val="008000"/>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Units in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(2)(3)</w:t>
            </w:r>
          </w:p>
        </w:tc>
        <w:tc>
          <w:tcPr>
            <w:tcW w:w="760" w:type="dxa"/>
            <w:vAlign w:val="bottom"/>
            <w:vMerge w:val="restart"/>
          </w:tcPr>
          <w:p>
            <w:pPr>
              <w:jc w:val="center"/>
              <w:ind w:left="23"/>
              <w:spacing w:after="0"/>
              <w:rPr>
                <w:sz w:val="20"/>
                <w:szCs w:val="20"/>
                <w:color w:val="auto"/>
              </w:rPr>
            </w:pPr>
            <w:r>
              <w:rPr>
                <w:rFonts w:ascii="Arial" w:cs="Arial" w:eastAsia="Arial" w:hAnsi="Arial"/>
                <w:sz w:val="11"/>
                <w:szCs w:val="11"/>
                <w:color w:val="008000"/>
                <w:w w:val="89"/>
              </w:rPr>
              <w:t>(2)(3)</w:t>
            </w:r>
          </w:p>
        </w:tc>
        <w:tc>
          <w:tcPr>
            <w:tcW w:w="500" w:type="dxa"/>
            <w:vAlign w:val="bottom"/>
          </w:tcPr>
          <w:p>
            <w:pPr>
              <w:jc w:val="center"/>
              <w:spacing w:after="0" w:line="142" w:lineRule="exact"/>
              <w:rPr>
                <w:sz w:val="20"/>
                <w:szCs w:val="20"/>
                <w:color w:val="auto"/>
              </w:rPr>
            </w:pPr>
            <w:r>
              <w:rPr>
                <w:rFonts w:ascii="Arial" w:cs="Arial" w:eastAsia="Arial" w:hAnsi="Arial"/>
                <w:sz w:val="13"/>
                <w:szCs w:val="13"/>
                <w:color w:val="0000FF"/>
                <w:w w:val="86"/>
              </w:rPr>
              <w:t>Class</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941,332</w:t>
            </w:r>
          </w:p>
        </w:tc>
        <w:tc>
          <w:tcPr>
            <w:tcW w:w="20" w:type="dxa"/>
            <w:vAlign w:val="bottom"/>
          </w:tcPr>
          <w:p>
            <w:pPr>
              <w:spacing w:after="0"/>
              <w:rPr>
                <w:sz w:val="12"/>
                <w:szCs w:val="12"/>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Plains</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08/30/2016</w:t>
            </w:r>
          </w:p>
        </w:tc>
        <w:tc>
          <w:tcPr>
            <w:tcW w:w="1140" w:type="dxa"/>
            <w:vAlign w:val="bottom"/>
          </w:tcPr>
          <w:p>
            <w:pPr>
              <w:spacing w:after="0"/>
              <w:rPr>
                <w:sz w:val="12"/>
                <w:szCs w:val="12"/>
                <w:color w:val="auto"/>
              </w:rPr>
            </w:pPr>
          </w:p>
        </w:tc>
        <w:tc>
          <w:tcPr>
            <w:tcW w:w="840" w:type="dxa"/>
            <w:vAlign w:val="bottom"/>
            <w:gridSpan w:val="3"/>
          </w:tcPr>
          <w:p>
            <w:pPr>
              <w:ind w:left="160"/>
              <w:spacing w:after="0" w:line="142" w:lineRule="exact"/>
              <w:rPr>
                <w:sz w:val="20"/>
                <w:szCs w:val="20"/>
                <w:color w:val="auto"/>
              </w:rPr>
            </w:pPr>
            <w:r>
              <w:rPr>
                <w:rFonts w:ascii="Arial" w:cs="Arial" w:eastAsia="Arial" w:hAnsi="Arial"/>
                <w:sz w:val="13"/>
                <w:szCs w:val="13"/>
                <w:color w:val="0000FF"/>
              </w:rPr>
              <w:t>A</w:t>
            </w:r>
          </w:p>
        </w:tc>
        <w:tc>
          <w:tcPr>
            <w:tcW w:w="620" w:type="dxa"/>
            <w:vAlign w:val="bottom"/>
          </w:tcPr>
          <w:p>
            <w:pPr>
              <w:ind w:left="40"/>
              <w:spacing w:after="0" w:line="142" w:lineRule="exact"/>
              <w:rPr>
                <w:sz w:val="20"/>
                <w:szCs w:val="20"/>
                <w:color w:val="auto"/>
              </w:rPr>
            </w:pPr>
            <w:r>
              <w:rPr>
                <w:rFonts w:ascii="Arial" w:cs="Arial" w:eastAsia="Arial" w:hAnsi="Arial"/>
                <w:sz w:val="13"/>
                <w:szCs w:val="13"/>
                <w:color w:val="0000FF"/>
                <w:w w:val="96"/>
              </w:rPr>
              <w:t>1,000,000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gridSpan w:val="2"/>
          </w:tcPr>
          <w:p>
            <w:pPr>
              <w:jc w:val="right"/>
              <w:ind w:right="142"/>
              <w:spacing w:after="0" w:line="142" w:lineRule="exact"/>
              <w:rPr>
                <w:sz w:val="20"/>
                <w:szCs w:val="20"/>
                <w:color w:val="auto"/>
              </w:rPr>
            </w:pPr>
            <w:r>
              <w:rPr>
                <w:rFonts w:ascii="Arial" w:cs="Arial" w:eastAsia="Arial" w:hAnsi="Arial"/>
                <w:sz w:val="13"/>
                <w:szCs w:val="13"/>
                <w:color w:val="0000FF"/>
              </w:rPr>
              <w:t>1,000,000</w:t>
            </w:r>
          </w:p>
        </w:tc>
        <w:tc>
          <w:tcPr>
            <w:tcW w:w="64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AAP, L.P.</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w w:val="97"/>
              </w:rPr>
              <w:t>Shares</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 w:type="dxa"/>
            <w:vAlign w:val="bottom"/>
            <w:gridSpan w:val="3"/>
          </w:tcPr>
          <w:p>
            <w:pPr>
              <w:ind w:left="80"/>
              <w:spacing w:after="0"/>
              <w:rPr>
                <w:sz w:val="20"/>
                <w:szCs w:val="20"/>
                <w:color w:val="auto"/>
              </w:rPr>
            </w:pPr>
            <w:r>
              <w:rPr>
                <w:rFonts w:ascii="Arial" w:cs="Arial" w:eastAsia="Arial" w:hAnsi="Arial"/>
                <w:sz w:val="11"/>
                <w:szCs w:val="11"/>
                <w:color w:val="008000"/>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terms of the Class B Units in Plains AAP, L.P., which represent a profits interest, have been modified, resulting (for reporting and accounting purposes) in the deemed cancellation of the original Class B Units and deemed grant of replacement Class B Units described in footnotes (2) and (3) below. The original Class B Units were granted on August 24, 2015.</w:t>
      </w:r>
    </w:p>
    <w:p>
      <w:pPr>
        <w:spacing w:after="0" w:line="25" w:lineRule="exact"/>
        <w:rPr>
          <w:rFonts w:ascii="Arial" w:cs="Arial" w:eastAsia="Arial" w:hAnsi="Arial"/>
          <w:sz w:val="13"/>
          <w:szCs w:val="13"/>
          <w:color w:val="008000"/>
        </w:rPr>
      </w:pPr>
    </w:p>
    <w:p>
      <w:pPr>
        <w:ind w:left="40" w:right="22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modified, the Class B Units become earned (entitled to receive distributions) as follows: (i) subsequent to March 31, 2017, 50% upon the payment by Plains All American Pipeline, L.P. ("PAA") of an annualized quarterly distribution of $2.20 per common unit and the generation by PAA of distributable cash flow of $1.5 billion or more on a trailing four quarter basis (subject to adjustment under certain circumstances to account for significant asset sales); (ii) 25% upon the payment by PAA of an annualized quarterly distribution of $2.50 per common unit; and (iii) 25% upon the payment by PAA of an annualized quarterly distribution of $2.80 per common unit.</w:t>
      </w:r>
    </w:p>
    <w:p>
      <w:pPr>
        <w:spacing w:after="0" w:line="31" w:lineRule="exact"/>
        <w:rPr>
          <w:rFonts w:ascii="Arial" w:cs="Arial" w:eastAsia="Arial" w:hAnsi="Arial"/>
          <w:sz w:val="13"/>
          <w:szCs w:val="13"/>
          <w:color w:val="008000"/>
        </w:rPr>
      </w:pPr>
    </w:p>
    <w:p>
      <w:pPr>
        <w:ind w:left="40" w:right="16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Class B Units are subject to a call right in the event Reporting Person's employment is terminated under certain circumstances prior to December 31, 2022. If Reporting Person remains employed after such date or his employment is terminated under certain circumstances prior to December 31, 2018, the Class B Units will be deemed to have vested. Reporting Person has the right to convert his vested Class B Units into a number of Class A Units in Plains AAP, L.P. and Class B Shares in Plains GP Holdings, L.P. equal to the number of Class B Units converted times a conversion factor of approximately 0.941:1. Following any such conversion, the resulting Class A Units and Class B Shares are exchangeable for Class A Shares of PAGP on a one-for-one basis.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w w:val="99"/>
              </w:rPr>
              <w:t>/s/ Ann F. Gullion,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08/31/2016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4"/>
              </w:rPr>
              <w:t>in-fact for Willie CW Chiang</w:t>
            </w:r>
          </w:p>
        </w:tc>
        <w:tc>
          <w:tcPr>
            <w:tcW w:w="1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2020-01-19T09:01:29Z</dcterms:created>
  <dcterms:modified xsi:type="dcterms:W3CDTF">2020-01-19T09:01:29Z</dcterms:modified>
</cp:coreProperties>
</file>