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1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2"/>
          <w:szCs w:val="22"/>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95"/>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Arial" w:cs="Arial" w:eastAsia="Arial" w:hAnsi="Arial"/>
                <w:sz w:val="16"/>
                <w:szCs w:val="16"/>
                <w:color w:val="auto"/>
                <w:w w:val="93"/>
              </w:rPr>
              <w:t>(State or other jurisdiction of</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3"/>
              </w:rPr>
              <w:t>incorporation or organization)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411"/>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20" w:type="dxa"/>
            <w:vAlign w:val="bottom"/>
          </w:tcPr>
          <w:p>
            <w:pPr>
              <w:jc w:val="right"/>
              <w:ind w:right="295"/>
              <w:spacing w:after="0"/>
              <w:rPr>
                <w:sz w:val="20"/>
                <w:szCs w:val="20"/>
                <w:color w:val="auto"/>
              </w:rPr>
            </w:pPr>
            <w:r>
              <w:rPr>
                <w:rFonts w:ascii="Arial" w:cs="Arial" w:eastAsia="Arial" w:hAnsi="Arial"/>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4"/>
              </w:rPr>
              <w:t>(Address of principal executive offices)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383"/>
        </w:trPr>
        <w:tc>
          <w:tcPr>
            <w:tcW w:w="6680" w:type="dxa"/>
            <w:vAlign w:val="bottom"/>
          </w:tcPr>
          <w:p>
            <w:pPr>
              <w:jc w:val="right"/>
              <w:ind w:right="1253"/>
              <w:spacing w:after="0"/>
              <w:rPr>
                <w:sz w:val="20"/>
                <w:szCs w:val="20"/>
                <w:color w:val="auto"/>
              </w:rPr>
            </w:pPr>
            <w:r>
              <w:rPr>
                <w:rFonts w:ascii="Arial" w:cs="Arial" w:eastAsia="Arial" w:hAnsi="Arial"/>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Arial" w:cs="Arial" w:eastAsia="Arial" w:hAnsi="Arial"/>
                <w:sz w:val="18"/>
                <w:szCs w:val="18"/>
                <w:color w:val="auto"/>
                <w:w w:val="89"/>
              </w:rPr>
              <w:t>(Registrant’s telephone number, including area code)</w:t>
            </w:r>
          </w:p>
        </w:tc>
        <w:tc>
          <w:tcPr>
            <w:tcW w:w="122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340"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31, 2018, there were 725,582,739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8"/>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2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and December 31, 2017</w:t>
              </w:r>
            </w:hyperlink>
          </w:p>
        </w:tc>
        <w:tc>
          <w:tcPr>
            <w:tcW w:w="39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4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2018 and 2017</w:t>
              </w:r>
            </w:hyperlink>
          </w:p>
        </w:tc>
        <w:tc>
          <w:tcPr>
            <w:tcW w:w="218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96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2018 and 2017</w:t>
              </w:r>
            </w:hyperlink>
          </w:p>
        </w:tc>
        <w:tc>
          <w:tcPr>
            <w:tcW w:w="12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6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3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 and 2017</w:t>
              </w:r>
            </w:hyperlink>
          </w:p>
        </w:tc>
        <w:tc>
          <w:tcPr>
            <w:tcW w:w="102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2018 and 2017</w:t>
              </w:r>
            </w:hyperlink>
          </w:p>
        </w:tc>
        <w:tc>
          <w:tcPr>
            <w:tcW w:w="284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0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six months ended June 30, 2018 and 2017</w:t>
              </w:r>
            </w:hyperlink>
          </w:p>
        </w:tc>
        <w:tc>
          <w:tcPr>
            <w:tcW w:w="162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92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6"/>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680" w:type="dxa"/>
            <w:vAlign w:val="bottom"/>
            <w:gridSpan w:val="16"/>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4. Net Income Per Common Unit</w:t>
              </w:r>
            </w:hyperlink>
          </w:p>
        </w:tc>
        <w:tc>
          <w:tcPr>
            <w:tcW w:w="762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224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Accounts Receivable, Net</w:t>
              </w:r>
            </w:hyperlink>
          </w:p>
        </w:tc>
        <w:tc>
          <w:tcPr>
            <w:tcW w:w="7620" w:type="dxa"/>
            <w:vAlign w:val="bottom"/>
            <w:gridSpan w:val="2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860" w:type="dxa"/>
            <w:vAlign w:val="bottom"/>
            <w:gridSpan w:val="4"/>
          </w:tcPr>
          <w:p>
            <w:pPr>
              <w:ind w:left="20"/>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Divestitures</w:t>
              </w:r>
            </w:hyperlink>
          </w:p>
        </w:tc>
        <w:tc>
          <w:tcPr>
            <w:tcW w:w="3380" w:type="dxa"/>
            <w:vAlign w:val="bottom"/>
            <w:gridSpan w:val="17"/>
          </w:tcPr>
          <w:p>
            <w:pPr>
              <w:spacing w:after="0"/>
              <w:rPr>
                <w:sz w:val="21"/>
                <w:szCs w:val="21"/>
                <w:color w:val="auto"/>
              </w:rPr>
            </w:pPr>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860" w:type="dxa"/>
            <w:vAlign w:val="bottom"/>
            <w:gridSpan w:val="4"/>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916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10. Partners’ Capital and Distributions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3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11. Derivatives and Risk Management Activities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12. Related Party Transactions</w:t>
              </w:r>
            </w:hyperlink>
          </w:p>
        </w:tc>
        <w:tc>
          <w:tcPr>
            <w:tcW w:w="65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13. Commitments and Contingencies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14. Operating Segments</w:t>
              </w:r>
            </w:hyperlink>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3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9"/>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6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4"/>
          </w:tcPr>
          <w:p>
            <w:pPr>
              <w:spacing w:after="0"/>
              <w:rPr>
                <w:sz w:val="24"/>
                <w:szCs w:val="24"/>
                <w:color w:val="auto"/>
              </w:rPr>
            </w:pPr>
          </w:p>
        </w:tc>
        <w:tc>
          <w:tcPr>
            <w:tcW w:w="718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1A. RISK FACTORS</w:t>
              </w:r>
            </w:hyperlink>
          </w:p>
        </w:tc>
        <w:tc>
          <w:tcPr>
            <w:tcW w:w="794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0"/>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74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1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 EXHIBITS</w:t>
              </w:r>
            </w:hyperlink>
          </w:p>
        </w:tc>
        <w:tc>
          <w:tcPr>
            <w:tcW w:w="792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260" w:type="dxa"/>
            <w:vAlign w:val="bottom"/>
            <w:gridSpan w:val="20"/>
          </w:tcPr>
          <w:p>
            <w:pPr>
              <w:jc w:val="right"/>
              <w:ind w:right="6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w w:val="94"/>
              </w:rPr>
              <w:t>December 31,</w:t>
            </w:r>
          </w:p>
        </w:tc>
      </w:tr>
      <w:tr>
        <w:trPr>
          <w:trHeight w:val="222"/>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31"/>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4"/>
          </w:tcPr>
          <w:p>
            <w:pPr>
              <w:jc w:val="right"/>
              <w:ind w:right="1015"/>
              <w:spacing w:after="0"/>
              <w:rPr>
                <w:sz w:val="20"/>
                <w:szCs w:val="20"/>
                <w:color w:val="auto"/>
              </w:rPr>
            </w:pPr>
            <w:r>
              <w:rPr>
                <w:rFonts w:ascii="Arial" w:cs="Arial" w:eastAsia="Arial" w:hAnsi="Arial"/>
                <w:sz w:val="17"/>
                <w:szCs w:val="17"/>
                <w:b w:val="1"/>
                <w:bCs w:val="1"/>
                <w:color w:val="auto"/>
              </w:rPr>
              <w:t>(unaudited)</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37</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accounts receivable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3,029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713</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current assets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4,000</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PROPERTY AND EQUIPMENT</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17,176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16,862</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(2,773)</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14,089</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OTHER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2,756</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Linefill and base gas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872</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164</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904</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25,699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25,351</w:t>
            </w:r>
          </w:p>
        </w:tc>
      </w:tr>
      <w:tr>
        <w:trPr>
          <w:trHeight w:val="203"/>
        </w:trPr>
        <w:tc>
          <w:tcPr>
            <w:tcW w:w="8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LIABILITIES AND PARTNERS’ CAPITAL</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3,457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Short-term debt</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737</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4,531</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LONG-TERM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8,933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long-term debt</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250</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liabilities and deferred credits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679</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long-term liabilities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9,753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9,862</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COMMITMENTS AND CONTINGENCIES (NOTE 13)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PARTNERS’ CAPITAL</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Series A preferred unitholders (71,090,468 and 69,696,542 units outstanding,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788</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unitholders (725,582,739 and 725,189,138 units outstanding,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8,665</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10,958</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25,351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15,892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12,176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12,745</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10,912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11,897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848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3"/>
              </w:rPr>
              <w:t>Interest expense (net of capitalized interest of $7, $9, $13 and $15,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0.78</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743</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r>
      <w:tr>
        <w:trPr>
          <w:trHeight w:val="223"/>
        </w:trPr>
        <w:tc>
          <w:tcPr>
            <w:tcW w:w="83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commercial paper program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senior unsecured revolving credit facility (Note 9)</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senior secured hedged inventory facility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senior notes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sales of common units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Series A preferred unitholders (Note 10)</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Series B preferred unitholders (Note 10)</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10)</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r>
      <w:tr>
        <w:trPr>
          <w:trHeight w:val="203"/>
        </w:trPr>
        <w:tc>
          <w:tcPr>
            <w:tcW w:w="8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6"/>
          </w:tcPr>
          <w:p>
            <w:pPr>
              <w:jc w:val="right"/>
              <w:ind w:right="579"/>
              <w:spacing w:after="0"/>
              <w:rPr>
                <w:sz w:val="20"/>
                <w:szCs w:val="20"/>
                <w:color w:val="auto"/>
              </w:rPr>
            </w:pPr>
            <w:r>
              <w:rPr>
                <w:rFonts w:ascii="Arial" w:cs="Arial" w:eastAsia="Arial" w:hAnsi="Arial"/>
                <w:sz w:val="14"/>
                <w:szCs w:val="14"/>
                <w:b w:val="1"/>
                <w:bCs w:val="1"/>
                <w:color w:val="auto"/>
              </w:rPr>
              <w:t>Preferred Unitholders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left="517"/>
              <w:spacing w:after="0" w:line="139" w:lineRule="exact"/>
              <w:rPr>
                <w:sz w:val="20"/>
                <w:szCs w:val="20"/>
                <w:color w:val="auto"/>
              </w:rPr>
            </w:pPr>
            <w:r>
              <w:rPr>
                <w:rFonts w:ascii="Arial" w:cs="Arial" w:eastAsia="Arial" w:hAnsi="Arial"/>
                <w:sz w:val="14"/>
                <w:szCs w:val="14"/>
                <w:b w:val="1"/>
                <w:bCs w:val="1"/>
                <w:color w:val="auto"/>
                <w:w w:val="92"/>
              </w:rPr>
              <w:t>Common</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5"/>
            <w:vMerge w:val="restart"/>
          </w:tcPr>
          <w:p>
            <w:pPr>
              <w:jc w:val="center"/>
              <w:ind w:right="660"/>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Series A</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4"/>
                <w:szCs w:val="14"/>
                <w:b w:val="1"/>
                <w:bCs w:val="1"/>
                <w:color w:val="auto"/>
                <w:w w:val="92"/>
              </w:rPr>
              <w:t>Unitholders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420" w:type="dxa"/>
            <w:vAlign w:val="bottom"/>
            <w:tcBorders>
              <w:bottom w:val="single" w:sz="8" w:color="auto"/>
            </w:tcBorders>
            <w:gridSpan w:val="2"/>
            <w:shd w:val="clear" w:color="auto" w:fill="CCEEFF"/>
          </w:tcPr>
          <w:p>
            <w:pPr>
              <w:jc w:val="right"/>
              <w:ind w:right="124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w w:val="95"/>
              </w:rPr>
              <w:t>Impact of adoption of ASU 2017-05 (Note</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January 1, 2018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(Note 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Balance at June 30, 2018</w:t>
            </w:r>
          </w:p>
        </w:tc>
        <w:tc>
          <w:tcPr>
            <w:tcW w:w="1420" w:type="dxa"/>
            <w:vAlign w:val="bottom"/>
            <w:tcBorders>
              <w:top w:val="single" w:sz="8" w:color="auto"/>
              <w:bottom w:val="single" w:sz="8" w:color="auto"/>
            </w:tcBorders>
            <w:gridSpan w:val="2"/>
          </w:tcPr>
          <w:p>
            <w:pPr>
              <w:jc w:val="right"/>
              <w:ind w:right="124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1,505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787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8,532</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4"/>
                <w:szCs w:val="14"/>
                <w:b w:val="1"/>
                <w:bCs w:val="1"/>
                <w:color w:val="auto"/>
                <w:w w:val="99"/>
              </w:rPr>
              <w:t>Limited Partners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Partners’ Capital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463"/>
              <w:spacing w:after="0" w:line="153" w:lineRule="exact"/>
              <w:rPr>
                <w:sz w:val="20"/>
                <w:szCs w:val="20"/>
                <w:color w:val="auto"/>
              </w:rPr>
            </w:pPr>
            <w:r>
              <w:rPr>
                <w:rFonts w:ascii="Arial" w:cs="Arial" w:eastAsia="Arial" w:hAnsi="Arial"/>
                <w:sz w:val="14"/>
                <w:szCs w:val="14"/>
                <w:b w:val="1"/>
                <w:bCs w:val="1"/>
                <w:color w:val="auto"/>
                <w:w w:val="89"/>
              </w:rPr>
              <w:t>Series A</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Excluding</w:t>
            </w:r>
          </w:p>
        </w:tc>
        <w:tc>
          <w:tcPr>
            <w:tcW w:w="13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443"/>
              <w:spacing w:after="0" w:line="149" w:lineRule="exact"/>
              <w:rPr>
                <w:sz w:val="20"/>
                <w:szCs w:val="20"/>
                <w:color w:val="auto"/>
              </w:rPr>
            </w:pPr>
            <w:r>
              <w:rPr>
                <w:rFonts w:ascii="Arial" w:cs="Arial" w:eastAsia="Arial" w:hAnsi="Arial"/>
                <w:sz w:val="14"/>
                <w:szCs w:val="14"/>
                <w:b w:val="1"/>
                <w:bCs w:val="1"/>
                <w:color w:val="auto"/>
                <w:w w:val="96"/>
              </w:rPr>
              <w:t>Preferred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left="443"/>
              <w:spacing w:after="0"/>
              <w:rPr>
                <w:sz w:val="20"/>
                <w:szCs w:val="20"/>
                <w:color w:val="auto"/>
              </w:rPr>
            </w:pPr>
            <w:r>
              <w:rPr>
                <w:rFonts w:ascii="Arial" w:cs="Arial" w:eastAsia="Arial" w:hAnsi="Arial"/>
                <w:sz w:val="14"/>
                <w:szCs w:val="14"/>
                <w:b w:val="1"/>
                <w:bCs w:val="1"/>
                <w:color w:val="auto"/>
                <w:w w:val="92"/>
              </w:rPr>
              <w:t>Unitholders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Unitholders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3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(unaudited)</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2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7,251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Sales of common units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Acquisition of interest in Advantage Joint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Venture</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Balance at June 30, 2017</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2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1,507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8,937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10,444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June 30, 2018, AAP also owned a limited partner interest in us through its ownership of approximately 281.2 million of our common units (approximately 35% of our total outstanding common units and Series A preferred units combined). Plains All American GP LLC (“GP LLC”), a Delaware limited liability company, is AAP’s general partner. Plains GP Holdings, L.P. (“PAGP”) is the sole and managing member of GP LLC, and, at June 30, 2018, owned an approximate 56% limited partner interest in AAP. PAA GP Holdings LLC (“PAGP GP”) is the general partner of PAGP.</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and six months ended June 30, 2018 should not be taken as indicative of results to be expected for the entire year.</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Except as discussed below and in our 2017 Annual Report on Form 10-K, there have been no new accounting pronouncements that have become effective or have been issued during the six months ended June 30, 2018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8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15, 2017. We adopted this ASU on January 1, 2018. Our adoption did not have an impact on our statement of cash flows.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awards to nonemployees and eliminates the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employee and nonemployee share-based payment awards. This guidance is effective for interim and annual periods beginning after December 15, 2018, with early adoption permitted. We expect to adopt this guidance on January 1, 2019, and we do not currently anticipate that our adoption will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are assessing the use of optional practical expedients.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three and six months ended June 30, 2018 as a result of applying Topic 606.</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7"/>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14,672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8,124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16,298</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Condensed Consolidated Balance Sheet until all of our performance obligations are complete. At that time, the inventory that has been sold is removed from our Condensed Consolidated Balance Sheet and recorded as “Purchases and Related Costs” in our Condensed Consolidated Statement of Operations. At June 30, 2018, other current assets and deferred revenue associated with these agreements was approximately $197 million and $197 million, respectively. See Contract Balances below for further discussion of contract liabilities associated with these agreements.</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51</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Trucking</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68</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337</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Supply and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40" w:type="dxa"/>
            <w:vAlign w:val="bottom"/>
            <w:vMerge w:val="restart"/>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Trade Accounts Receivable and Other Receivables. </w:t>
      </w:r>
      <w:r>
        <w:rPr>
          <w:rFonts w:ascii="Arial" w:cs="Arial" w:eastAsia="Arial" w:hAnsi="Arial"/>
          <w:sz w:val="18"/>
          <w:szCs w:val="18"/>
          <w:color w:val="auto"/>
        </w:rPr>
        <w:t>We generally invoice customers in the month following that in which products or services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and generally require payment within 30 days of the invoice date. The following is a reconciliation of trade accounts receivable from revenues from contracts with customers to total Trade accounts receivable and other receivables, net as presented on our Condensed Consolidated Balance Sheet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due to contractual rights of offset with counterparties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Trade accounts receivable and other receivables,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xml:space="preserve">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7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At June 30, 2018 and December 31, 2017, counterparty deficiencies associated with agreements (under Topic 606 and Topic 845) that include minimum volume commitments totaled $62 million and $57 million, respectively, of which $44 million and $37 million, respectively, was recorded as a contract liability, which we refer to as deferred revenue. The remaining balance of $18 million and $20 million at June 30, 2018 and December 31, 2017, respectively, was related to deficiencies for which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counterparties had not met their contractual minimum commitments and were not reflected in our Condensed Consolidated Financial Statements as we had not yet billed or collected such amounts.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six months ended June 30, 2018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$197 million associated with crude oil sales agreements that are entered into in conjunction with storage arrangements and future inventory exchanges. Such amount is expected to be recognized as revenue in the second half of 2018.</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Includes $100 million associated with long-term capacity agreements with Cactus II Pipeline LLC. See Note 12 for additional information.</w:t>
      </w:r>
    </w:p>
    <w:p>
      <w:pPr>
        <w:spacing w:after="0" w:line="20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Pipeline revenues supported by minimum volume commitments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and long-term capacity agreements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Long-term storage, terminalling and throughput agreements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16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and Diamond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right="36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contracts within the scope of Topic 845 — Contracts include buy/sell arrangements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8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calculate basic and diluted net income per common unit by dividing net income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14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(which include LTIP awards and AAP Management Units). When applying the if-converted method prescribed by FASB guidance, the possible conversion of our Series A preferred units was excluded from the calculation of diluted net income per common unit for the three and six months ended June 30, 2018 and 2017 as the effect was antidilutive. 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were deemed to be dilutive during the three and six months ended June 30, 2018 and 2017 were reduced by a hypothetical common unit repurchase based on the remaining unamortized fair value, as prescribed by the treasury stock method in guidance issued by the FASB. See Note 16 to our Consolidated Financial Statements included in Part IV of our 2017 Annual Report on Form 10-K for a complete discussion of our LTIP awards and the AAP Management Units.</w:t>
      </w: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632</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632</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Equity-indexed compensation plan awards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9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710</w:t>
            </w: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60" w:type="dxa"/>
            <w:vAlign w:val="bottom"/>
          </w:tcPr>
          <w:p>
            <w:pPr>
              <w:ind w:left="200"/>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1"/>
              </w:rPr>
              <w:t>0.07</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0.21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0.78</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32"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 Net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June 30, 2018 and December 31, 2017, we had received $164 million and $117 million, respectively, of advance cash payments from third parties to mitigate credit risk. We also received $42 million and $54 million as of June 30,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2018 and December 31, 2017, substantially all of our trade accounts receivable (net of allowance for doubtful accounts) were less than 30 days past their scheduled invoice date. Our allowance for doubtful accounts receivable totaled $3 million at both June 30, 2018 and December 31, 2017.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69.20</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10,583</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12,410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57.70</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59.38</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three and six months ended June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on our accompanying Condensed Consolidated Statements of Operations. See Note 11 for discussion of our derivative and risk management activities. We did not record such charges during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During the six months ended June 30, 2018, we received proceeds from asset sales of $426 million. The assets sold primarily included non-core property and equipment or are associated with the formation of strategic joint ventures and were previously reported in our Facilities and Transportation segments. We recognized a net gain related to these asset sales of approximately $81 million during the three and six months ended June 30, 2018, which is included in “Depreciation and amortization” on our Condensed Consolidated Statements of Operations. Such amount is comprised of gains of $105 million and losses of $24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2,535</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goodwill impairment test as of June 30, 2018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8580" w:type="dxa"/>
            <w:vAlign w:val="bottom"/>
          </w:tcPr>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3.1% and 2.4%, respectively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 xml:space="preserve">Senior secured hedged inventory facility, bearing a weighted-average interest rate of 3.1% and 2.6%, respectively </w:t>
            </w:r>
            <w:r>
              <w:rPr>
                <w:rFonts w:ascii="Arial" w:cs="Arial" w:eastAsia="Arial" w:hAnsi="Arial"/>
                <w:sz w:val="25"/>
                <w:szCs w:val="25"/>
                <w:color w:val="auto"/>
                <w:w w:val="91"/>
                <w:vertAlign w:val="superscript"/>
              </w:rPr>
              <w:t>(1)</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r>
      <w:tr>
        <w:trPr>
          <w:trHeight w:val="324"/>
        </w:trPr>
        <w:tc>
          <w:tcPr>
            <w:tcW w:w="8580" w:type="dxa"/>
            <w:vAlign w:val="bottom"/>
          </w:tcPr>
          <w:p>
            <w:pPr>
              <w:ind w:left="40"/>
              <w:spacing w:after="0"/>
              <w:rPr>
                <w:sz w:val="20"/>
                <w:szCs w:val="20"/>
                <w:color w:val="auto"/>
              </w:rPr>
            </w:pPr>
            <w:r>
              <w:rPr>
                <w:rFonts w:ascii="Arial" w:cs="Arial" w:eastAsia="Arial" w:hAnsi="Arial"/>
                <w:sz w:val="18"/>
                <w:szCs w:val="18"/>
                <w:color w:val="auto"/>
              </w:rPr>
              <w:t xml:space="preserve">Senior unsecured revolving credit facility, bearing a weighted-average interest rate of 3.4%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4"/>
        </w:trPr>
        <w:tc>
          <w:tcPr>
            <w:tcW w:w="8580" w:type="dxa"/>
            <w:vAlign w:val="bottom"/>
          </w:tcPr>
          <w:p>
            <w:pPr>
              <w:ind w:left="3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r>
      <w:tr>
        <w:trPr>
          <w:trHeight w:val="284"/>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 of $63 and $67,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8,933</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Commercial paper notes and senior secured hedged inventory facility borrowings </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247</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unsecured revolving credit facility, bearing a weighted-average interest rate of 3.4%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9,183</w:t>
            </w:r>
          </w:p>
        </w:tc>
      </w:tr>
      <w:tr>
        <w:trPr>
          <w:trHeight w:val="264"/>
        </w:trPr>
        <w:tc>
          <w:tcPr>
            <w:tcW w:w="8580" w:type="dxa"/>
            <w:vAlign w:val="bottom"/>
          </w:tcPr>
          <w:p>
            <w:pPr>
              <w:ind w:left="5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9,920</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June 30,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June 30, 2018 and December 31, 2017, balance includes borrowings of $426 million and $212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2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June 30, 2018 and December 31, 2017, we classified a portion of our commercial paper notes and credit facility borrowings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20" w:hanging="652"/>
        <w:spacing w:after="0" w:line="273"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Our fixed-rate senior notes had a face value of approximately $9.0 billion at both June 30, 2018 and December 31, 2017. We estimated the aggregate fair value of these notes as of June 30, 2018 and December 31, 2017 to be approximately $8.7 billion and $9.1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borrowings under our credit facilities and commercial paper program for the six months ended June 30, 2018 and 2017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$23.5 billion and $36.8 billion, respectively. Total repayments under our credit facilities and commercial paper program were approximately $23.6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$37.2 billion for the six months ended June 30, 2018 and 2017, respectively. The variance in total gross borrowings and repayments is impacted by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financial factors including, but not limited to, the timing, average term and method of general partnership borrowing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 related margin obligations and construction activities. At June 30, 2018 and December 31, 2017, we had outstanding letters of credit of $168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Series A Preferred Units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Series B Preferred Units</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69,696,542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520" w:type="dxa"/>
            <w:vAlign w:val="bottom"/>
            <w:gridSpan w:val="2"/>
          </w:tcPr>
          <w:p>
            <w:pPr>
              <w:jc w:val="right"/>
              <w:ind w:right="2"/>
              <w:spacing w:after="0"/>
              <w:rPr>
                <w:sz w:val="20"/>
                <w:szCs w:val="20"/>
                <w:color w:val="auto"/>
              </w:rPr>
            </w:pPr>
            <w:r>
              <w:rPr>
                <w:rFonts w:ascii="Arial" w:cs="Arial" w:eastAsia="Arial" w:hAnsi="Arial"/>
                <w:sz w:val="18"/>
                <w:szCs w:val="18"/>
                <w:color w:val="auto"/>
              </w:rPr>
              <w:t>1,393,926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393,601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Outstanding at June 30, 2018</w:t>
            </w:r>
          </w:p>
        </w:tc>
        <w:tc>
          <w:tcPr>
            <w:tcW w:w="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725,582,739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gridSpan w:val="2"/>
            <w:vMerge w:val="restart"/>
          </w:tcPr>
          <w:p>
            <w:pPr>
              <w:jc w:val="right"/>
              <w:ind w:right="634"/>
              <w:spacing w:after="0"/>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gridSpan w:val="6"/>
          </w:tcPr>
          <w:p>
            <w:pPr>
              <w:jc w:val="right"/>
              <w:ind w:right="1450"/>
              <w:spacing w:after="0"/>
              <w:rPr>
                <w:sz w:val="20"/>
                <w:szCs w:val="20"/>
                <w:color w:val="auto"/>
              </w:rPr>
            </w:pPr>
            <w:r>
              <w:rPr>
                <w:rFonts w:ascii="Arial" w:cs="Arial" w:eastAsia="Arial" w:hAnsi="Arial"/>
                <w:sz w:val="14"/>
                <w:szCs w:val="14"/>
                <w:b w:val="1"/>
                <w:bCs w:val="1"/>
                <w:color w:val="auto"/>
              </w:rPr>
              <w:t>Preferred Units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w w:val="90"/>
              </w:rPr>
              <w:t>64,388,853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669,194,419</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Issuances of Series A preferred units in connection with in-kind distributions</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gridSpan w:val="3"/>
          </w:tcPr>
          <w:p>
            <w:pPr>
              <w:jc w:val="right"/>
              <w:ind w:right="17"/>
              <w:spacing w:after="0"/>
              <w:rPr>
                <w:sz w:val="20"/>
                <w:szCs w:val="20"/>
                <w:color w:val="auto"/>
              </w:rPr>
            </w:pPr>
            <w:r>
              <w:rPr>
                <w:rFonts w:ascii="Arial" w:cs="Arial" w:eastAsia="Arial" w:hAnsi="Arial"/>
                <w:sz w:val="18"/>
                <w:szCs w:val="18"/>
                <w:color w:val="auto"/>
              </w:rPr>
              <w:t>2,601,300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54,119,893</w:t>
            </w:r>
          </w:p>
        </w:tc>
        <w:tc>
          <w:tcPr>
            <w:tcW w:w="0" w:type="dxa"/>
            <w:vAlign w:val="bottom"/>
          </w:tcPr>
          <w:p>
            <w:pPr>
              <w:spacing w:after="0"/>
              <w:rPr>
                <w:sz w:val="1"/>
                <w:szCs w:val="1"/>
                <w:color w:val="auto"/>
              </w:rPr>
            </w:pPr>
          </w:p>
        </w:tc>
      </w:tr>
      <w:tr>
        <w:trPr>
          <w:trHeight w:val="229"/>
        </w:trPr>
        <w:tc>
          <w:tcPr>
            <w:tcW w:w="6460" w:type="dxa"/>
            <w:vAlign w:val="bottom"/>
            <w:gridSpan w:val="2"/>
          </w:tcPr>
          <w:p>
            <w:pPr>
              <w:ind w:left="180"/>
              <w:spacing w:after="0"/>
              <w:rPr>
                <w:sz w:val="20"/>
                <w:szCs w:val="20"/>
                <w:color w:val="auto"/>
              </w:rPr>
            </w:pPr>
            <w:r>
              <w:rPr>
                <w:rFonts w:ascii="Arial" w:cs="Arial" w:eastAsia="Arial" w:hAnsi="Arial"/>
                <w:sz w:val="18"/>
                <w:szCs w:val="18"/>
                <w:color w:val="auto"/>
                <w:w w:val="91"/>
              </w:rPr>
              <w:t>Issuance of common units in connection with acquisition of interest in Advantage Joint</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340"/>
              <w:spacing w:after="0"/>
              <w:rPr>
                <w:sz w:val="20"/>
                <w:szCs w:val="20"/>
                <w:color w:val="auto"/>
              </w:rPr>
            </w:pPr>
            <w:r>
              <w:rPr>
                <w:rFonts w:ascii="Arial" w:cs="Arial" w:eastAsia="Arial" w:hAnsi="Arial"/>
                <w:sz w:val="18"/>
                <w:szCs w:val="18"/>
                <w:color w:val="auto"/>
              </w:rPr>
              <w:t>Venture</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130,154</w:t>
            </w:r>
          </w:p>
        </w:tc>
        <w:tc>
          <w:tcPr>
            <w:tcW w:w="0" w:type="dxa"/>
            <w:vAlign w:val="bottom"/>
          </w:tcPr>
          <w:p>
            <w:pPr>
              <w:spacing w:after="0"/>
              <w:rPr>
                <w:sz w:val="1"/>
                <w:szCs w:val="1"/>
                <w:color w:val="auto"/>
              </w:rPr>
            </w:pPr>
          </w:p>
        </w:tc>
      </w:tr>
      <w:tr>
        <w:trPr>
          <w:trHeight w:val="25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2017</w:t>
            </w:r>
          </w:p>
        </w:tc>
        <w:tc>
          <w:tcPr>
            <w:tcW w:w="60" w:type="dxa"/>
            <w:vAlign w:val="bottom"/>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3"/>
          </w:tcPr>
          <w:p>
            <w:pPr>
              <w:jc w:val="right"/>
              <w:ind w:right="17"/>
              <w:spacing w:after="0"/>
              <w:rPr>
                <w:sz w:val="20"/>
                <w:szCs w:val="20"/>
                <w:color w:val="auto"/>
              </w:rPr>
            </w:pPr>
            <w:r>
              <w:rPr>
                <w:rFonts w:ascii="Arial" w:cs="Arial" w:eastAsia="Arial" w:hAnsi="Arial"/>
                <w:sz w:val="18"/>
                <w:szCs w:val="18"/>
                <w:color w:val="auto"/>
                <w:w w:val="90"/>
              </w:rPr>
              <w:t>66,990,153</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724,696,735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paid to our Series A preferred unitholders during or pertaining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2018 (in millions, except unit and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Series A Preferred Unitholders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(2)</w:t>
            </w:r>
          </w:p>
        </w:tc>
        <w:tc>
          <w:tcPr>
            <w:tcW w:w="24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2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Distribution per Unit</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4120" w:type="dxa"/>
            <w:vAlign w:val="bottom"/>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7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May 15, 2018</w:t>
            </w:r>
          </w:p>
        </w:tc>
        <w:tc>
          <w:tcPr>
            <w:tcW w:w="412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14, 2018</w:t>
            </w:r>
          </w:p>
        </w:tc>
        <w:tc>
          <w:tcPr>
            <w:tcW w:w="412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1,393,926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57"/>
        </w:trPr>
        <w:tc>
          <w:tcPr>
            <w:tcW w:w="3200" w:type="dxa"/>
            <w:vAlign w:val="bottom"/>
            <w:tcBorders>
              <w:bottom w:val="single" w:sz="8" w:color="auto"/>
            </w:tcBorders>
          </w:tcPr>
          <w:p>
            <w:pPr>
              <w:spacing w:after="0"/>
              <w:rPr>
                <w:sz w:val="22"/>
                <w:szCs w:val="22"/>
                <w:color w:val="auto"/>
              </w:rPr>
            </w:pPr>
          </w:p>
        </w:tc>
        <w:tc>
          <w:tcPr>
            <w:tcW w:w="2920" w:type="dxa"/>
            <w:vAlign w:val="bottom"/>
            <w:vMerge w:val="restart"/>
          </w:tcPr>
          <w:p>
            <w:pPr>
              <w:jc w:val="right"/>
              <w:ind w:right="2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60" w:hanging="652"/>
        <w:spacing w:after="0" w:line="252"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July 31, 2018 for the period from April 1, 2018 through June 30, 2018. At June 30, 2018, such amount was accrued to distributions payable in “Accounts payable and accrued liabilities” on our Condensed Consolidated Balance Sheet.</w:t>
      </w:r>
    </w:p>
    <w:p>
      <w:pPr>
        <w:spacing w:after="0" w:line="27" w:lineRule="exact"/>
        <w:rPr>
          <w:rFonts w:ascii="Arial" w:cs="Arial" w:eastAsia="Arial" w:hAnsi="Arial"/>
          <w:sz w:val="22"/>
          <w:szCs w:val="22"/>
          <w:color w:val="auto"/>
          <w:vertAlign w:val="superscript"/>
        </w:rPr>
      </w:pPr>
    </w:p>
    <w:p>
      <w:pPr>
        <w:ind w:left="660" w:right="140" w:hanging="652"/>
        <w:spacing w:after="0" w:line="268"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On February 14, 2018, we issued additional Series A preferred units in lieu of a cash distribution of $37 million. With respect to any quarter ending on or prior to December 31, 2017 (the “Initial Distribution Period”), we were able to elect to pay distributions on our Series A preferred units in additional Series A preferred units, in cash or a combination of both. The Initial Distribution Period ended with the February 2018 distribution; as such, with respect to any quarter ending after the Initial Distribution Period, we must pay distributions on our Series A preferred units in cash.</w:t>
      </w:r>
    </w:p>
    <w:p>
      <w:pPr>
        <w:spacing w:after="0" w:line="18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Series B Preferred Unit Distributions</w:t>
      </w:r>
      <w:r>
        <w:rPr>
          <w:rFonts w:ascii="Arial" w:cs="Arial" w:eastAsia="Arial" w:hAnsi="Arial"/>
          <w:sz w:val="18"/>
          <w:szCs w:val="18"/>
          <w:color w:val="auto"/>
        </w:rPr>
        <w:t>. Distributions on our Series B preferred units are payable semiannually in arrears on the 15th day of May and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The following table details distributions paid to our Series B preferred unitholders during the first six months of 2018 (in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7"/>
              </w:rPr>
              <w:t>Cash Distribution</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43"/>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30.625</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June 30, 2018, we had accrued approximately $6 million of distributions payable to our Series B preferred unitholders in “Accounts payable and accrued liabilities” on our Condensed Consolidated Balance Sheet.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paid during or pertaining to the first six months of 2018 (in millions, except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w w:val="92"/>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May 15, 2018</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2018</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2018 for the period from April 1, 2018 through June 30,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2018, net derivative positions related to these activities included:</w:t>
      </w:r>
    </w:p>
    <w:p>
      <w:pPr>
        <w:spacing w:after="0" w:line="147" w:lineRule="exact"/>
        <w:rPr>
          <w:sz w:val="20"/>
          <w:szCs w:val="20"/>
          <w:color w:val="auto"/>
        </w:rPr>
      </w:pPr>
    </w:p>
    <w:p>
      <w:pPr>
        <w:ind w:left="980" w:right="5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long position of 4.0 million barrels associated with our crude oil purchases, which was unwound ratably during July 2018 to match monthly average pricing.</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short time spread position of 8.8 million barrels, which hedges a portion of our anticipated crude oil lease gathering purchases through December 2019.</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crude oil grade basis position of 55.4 million barrels through December 2020.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net short position of 11.0 million barrels through December 2020 related to anticipated net sales of our crude oil and NGL inventory.</w:t>
      </w:r>
    </w:p>
    <w:p>
      <w:pPr>
        <w:spacing w:after="0" w:line="23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June 30, 2018, our PLA hedges included a short position consisting of crude oil futures of 1.0 million barrels through June 2019 and a long call option position of 1.0 million barrels through December 2019.</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2018, we had a long natural gas position of 62.1 Bcf which hedges a portion of our natural gas processing and operational needs through December 2020. We also had a short propane position of 12.9 million barrels through December 2020, a short butane position of 3.9 million barrels through December 2020 and a short WTI position of 2.4 million barrels through December 2020. In addition, we had a long power position of 0.2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2018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6/15/2020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5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June 30, 2018, our outstanding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343</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43"/>
        </w:trPr>
        <w:tc>
          <w:tcPr>
            <w:tcW w:w="66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76</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$1.00 - $1.29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See Note 11 to our Consolidated Financial Statements included in Part IV of our 2017 Annual Report on Form 10-K for additional information regarding our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30, 2018</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June 30,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31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8"/>
              </w:rPr>
              <w:t>Six Months Ended June 30, 2018</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8"/>
              </w:rPr>
              <w:t>Six Months Ended June 30,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76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74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Hedging</w:t>
            </w:r>
          </w:p>
        </w:tc>
        <w:tc>
          <w:tcPr>
            <w:tcW w:w="17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Hedging</w:t>
            </w:r>
          </w:p>
        </w:tc>
        <w:tc>
          <w:tcPr>
            <w:tcW w:w="17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76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as a Hedge</w:t>
            </w:r>
          </w:p>
        </w:tc>
        <w:tc>
          <w:tcPr>
            <w:tcW w:w="104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7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as a Hedge</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4193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35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Commodity Derivatives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w w:val="94"/>
              </w:rPr>
              <w:t>Supply and Logistics segment revenues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Field operating costs</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Rate Derivatives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180" w:type="dxa"/>
            <w:vAlign w:val="bottom"/>
          </w:tcPr>
          <w:p>
            <w:pPr>
              <w:spacing w:after="0"/>
              <w:rPr>
                <w:sz w:val="20"/>
                <w:szCs w:val="20"/>
                <w:color w:val="auto"/>
              </w:rPr>
            </w:pPr>
            <w:r>
              <w:rPr>
                <w:rFonts w:ascii="Arial" w:cs="Arial" w:eastAsia="Arial" w:hAnsi="Arial"/>
                <w:sz w:val="18"/>
                <w:szCs w:val="18"/>
                <w:b w:val="1"/>
                <w:bCs w:val="1"/>
                <w:color w:val="auto"/>
              </w:rPr>
              <w:t>Foreign Currency Derivatives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w w:val="94"/>
              </w:rPr>
              <w:t>Supply and Logistics segment revenues</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3180" w:type="dxa"/>
            <w:vAlign w:val="bottom"/>
          </w:tcPr>
          <w:p>
            <w:pPr>
              <w:spacing w:after="0"/>
              <w:rPr>
                <w:sz w:val="20"/>
                <w:szCs w:val="20"/>
                <w:color w:val="auto"/>
              </w:rPr>
            </w:pPr>
            <w:r>
              <w:rPr>
                <w:rFonts w:ascii="Arial" w:cs="Arial" w:eastAsia="Arial" w:hAnsi="Arial"/>
                <w:sz w:val="18"/>
                <w:szCs w:val="18"/>
                <w:b w:val="1"/>
                <w:bCs w:val="1"/>
                <w:color w:val="auto"/>
              </w:rPr>
              <w:t>Preferred Distribution Rate Reset</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Option</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Other income/(expense), net</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Total Gain/(Loss) on Derivatives</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80" w:type="dxa"/>
            <w:vAlign w:val="bottom"/>
            <w:vMerge w:val="continue"/>
          </w:tcPr>
          <w:p>
            <w:pPr>
              <w:spacing w:after="0"/>
              <w:rPr>
                <w:sz w:val="17"/>
                <w:szCs w:val="17"/>
                <w:color w:val="auto"/>
              </w:rPr>
            </w:pPr>
          </w:p>
        </w:tc>
        <w:tc>
          <w:tcPr>
            <w:tcW w:w="6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6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w w:val="90"/>
              </w:rPr>
              <w:t>(384)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594"/>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594"/>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420" w:type="dxa"/>
            <w:vAlign w:val="bottom"/>
            <w:gridSpan w:val="2"/>
          </w:tcPr>
          <w:p>
            <w:pPr>
              <w:jc w:val="right"/>
              <w:ind w:right="610"/>
              <w:spacing w:after="0"/>
              <w:rPr>
                <w:sz w:val="20"/>
                <w:szCs w:val="20"/>
                <w:color w:val="auto"/>
              </w:rPr>
            </w:pPr>
            <w:r>
              <w:rPr>
                <w:rFonts w:ascii="Arial" w:cs="Arial" w:eastAsia="Arial" w:hAnsi="Arial"/>
                <w:sz w:val="18"/>
                <w:szCs w:val="18"/>
                <w:color w:val="auto"/>
              </w:rPr>
              <w:t>(3)</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280" w:type="dxa"/>
            <w:vAlign w:val="bottom"/>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87"/>
              </w:rPr>
              <w:t>(12)</w:t>
            </w: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1540" w:type="dxa"/>
            <w:vAlign w:val="bottom"/>
          </w:tcPr>
          <w:p>
            <w:pPr>
              <w:ind w:left="6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42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90"/>
              </w:rPr>
              <w:t>(390)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7"/>
        </w:trPr>
        <w:tc>
          <w:tcPr>
            <w:tcW w:w="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-8255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5680" w:type="dxa"/>
            <w:vAlign w:val="bottom"/>
            <w:tcBorders>
              <w:bottom w:val="single" w:sz="8" w:color="CCEEFF"/>
            </w:tcBorders>
            <w:gridSpan w:val="2"/>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366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4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357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 of credit</w:t>
            </w:r>
          </w:p>
        </w:tc>
        <w:tc>
          <w:tcPr>
            <w:tcW w:w="4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Arial" w:cs="Arial" w:eastAsia="Arial" w:hAnsi="Arial"/>
                <w:sz w:val="18"/>
                <w:szCs w:val="18"/>
                <w:color w:val="auto"/>
              </w:rPr>
              <w:t>Net broker receivable</w:t>
            </w:r>
          </w:p>
        </w:tc>
        <w:tc>
          <w:tcPr>
            <w:tcW w:w="46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426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20" w:type="dxa"/>
            <w:vAlign w:val="bottom"/>
            <w:vMerge w:val="restart"/>
          </w:tcPr>
          <w:p>
            <w:pPr>
              <w:jc w:val="right"/>
              <w:ind w:right="2430"/>
              <w:spacing w:after="0"/>
              <w:rPr>
                <w:sz w:val="20"/>
                <w:szCs w:val="20"/>
                <w:color w:val="auto"/>
              </w:rPr>
            </w:pPr>
            <w:r>
              <w:rPr>
                <w:rFonts w:ascii="Arial" w:cs="Arial" w:eastAsia="Arial" w:hAnsi="Arial"/>
                <w:sz w:val="18"/>
                <w:szCs w:val="18"/>
                <w:color w:val="auto"/>
              </w:rPr>
              <w:t>26</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June 30, 2018</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June 30, 2018, there was a net loss of $173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June 30, 2018, we expect to reclassify a net loss of $8 million to earnings in the next twelve months. We estimate that substantially all of the remaining deferred loss will be reclassified to earnings through 2050 as the underlying hedged transactions impact earnings. A portion of these amounts is based on market prices as of June 30, 2018;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left="382"/>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594"/>
        <w:spacing w:after="0" w:line="264" w:lineRule="auto"/>
        <w:rPr>
          <w:sz w:val="20"/>
          <w:szCs w:val="20"/>
          <w:color w:val="auto"/>
        </w:rPr>
      </w:pPr>
      <w:r>
        <w:rPr>
          <w:rFonts w:ascii="Arial" w:cs="Arial" w:eastAsia="Arial" w:hAnsi="Arial"/>
          <w:sz w:val="18"/>
          <w:szCs w:val="18"/>
          <w:color w:val="auto"/>
        </w:rPr>
        <w:t>At June 30, 2018 and December 31, 2017,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Fair Value as of June 30,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Level 1 of the fair value hierarchy includes exchange-traded commodity derivatives and over-the-counter commodity contracts such as futures and options. The fair value of exchange-traded commodity derivatives and over-the-counter commodity contracts are based on unadjusted quoted prices in active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over-the-counter financial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78"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2017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As of June 30, 2018 and December 31, 2017, we owned 515,460,375 and 510,925,432,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June 30, 2018, Oxy had a representative on the board of directors of PAGP GP and owned approximately 11% of the limited partner interests in AAP (which represents an approximate 4% indirect ownership interest in PAA). During the three and six months ended June 30,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r>
      <w:tr>
        <w:trPr>
          <w:trHeight w:val="297"/>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also have transactions with companies in which we hold an investment accounted for under the equity method of accounting. We recorded revenues of $3 million and $1 million during the three months ended June 30, 2018 and 2017, respectively, and $5 million and $2 million during the six months ended June 30, 2018 and 2017, respectively, primarily related to transportation services. In addition, we utilized transportation services and purchased petroleum products provided by these companies. Costs related to these services and product purchases totaled $135 million and $108 million for the three months ended June 30, 2018 and 2017, respectively, and $265 million and $193 million for the six months ended June 30, 2018 and 2017, respectively. These costs include amounts associated with a joint tariff administered by an equity method investee, of which $71 million and $52 million for the three months ended June 30, 2018 and 2017, respectively, and $139 million and $93 million for the six months ended June 30, 2018 and 2017, respectively, were associated with a PAA wholly-owned pipeline. These transactions were conducted at posted tariff rates or contracted rates or prices that we believe approximate market.</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Receivables from our equity method investees totaled $46 million and $26 million at June 30, 2018 and December 31, 2017, respectively, and primarily included amounts related to transportation services and amounts owed to us related to expansion projects where we serve as construction manager. Accounts payable to our equity method investees were $106 million and $41 million at June 30, 2018 and December 31, 2017, respectively, and primarily included amounts related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services utilized and amounts advanced to us related to expansion projects where we serve as construction manager.</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2018, we made net investments in our equity method investees of $216 million (including amounts contributed to and received from Cactus II Pipeline LLC subsequent to its formation, as discussed further below). Such net investments are primarily related to funding our portion of the development, construction or capital expansion projects of such entities and are reflected in “Investments in unconsolidated entities” on our Condensed Consolidated Statement of Cash Flows.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Cactus II JV Formation. </w:t>
      </w:r>
      <w:r>
        <w:rPr>
          <w:rFonts w:ascii="Arial" w:cs="Arial" w:eastAsia="Arial" w:hAnsi="Arial"/>
          <w:sz w:val="18"/>
          <w:szCs w:val="18"/>
          <w:color w:val="auto"/>
        </w:rPr>
        <w:t>In the second quarter of 2018, a subsidiary of Oxy and another third party each exercised their purchase options for a 20%</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a 15% interest, respectively, in Cactus II Pipeline LLC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Condensed Consolidated Balance Sheet. Such amount will be recognized in revenue ratably over the life of the contracts beginning once the Cactus II pipeline system has been placed into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2018, our estimated undiscounted reserve for environmental liabilities (including liabilities related to the Line 901 incident, as discussed further below) totaled $138 million, of which $53 million was classified as short-term and $85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2018, we had recorded receivables totaling $49 million for amounts probable of recovery under insurance and from third parties under indemnification agreements, of which $23 million was reflected in “Trade accounts receivable and other receivables, net” and $26 million was reflected in “Other long-term assets, net” on our Condensed Consolidated Balance Sheet. At December 31, 2017, we had recorded $55 million of such receivables, of which $29 million was reflected in “Trade accounts receivable and other receivables, net” and $26 million was reflected in “Other long-term assets, net” on our Condensed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31 of the criminal charges against PAA (including one felony charge) and all of the criminal charges against our employee, have been dismissed. Nine of the remaining 15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A jury trial regarding the remaining charges is currently taking place and PAA continues to vigorously defend itself against the charges.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filed notice of intent to file an appeal of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8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the Partnership against the Partnership,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remaining lawsuit claim that the Partnership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Taking the foregoing into account, as of June 30,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June 30, 2018, we had a remaining undiscounted gross liability of $76 million related to this event, of which approximately $44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2018, we had collected, subject to customary reservations, $180 million out of the approximate $220 million of release costs that we believe are probable of recovery from insurance carriers, net of deductibles. Therefore, as of June 30, 2018, we have recognized a receivable of approximately $40 million for the portion of the release costs that we believe is probable of recovery from insurance, net of deductibles and amounts already collected. Of this amount, approximately $16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7,781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7,781</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360</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5,781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6,078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425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5,783</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298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80" w:type="dxa"/>
            <w:vAlign w:val="bottom"/>
            <w:vMerge w:val="restart"/>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517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412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929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695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4"/>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12,176</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3"/>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331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814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50"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86" w:lineRule="exact"/>
        <w:rPr>
          <w:rFonts w:ascii="Arial" w:cs="Arial" w:eastAsia="Arial" w:hAnsi="Arial"/>
          <w:sz w:val="24"/>
          <w:szCs w:val="24"/>
          <w:color w:val="auto"/>
          <w:vertAlign w:val="superscript"/>
        </w:rPr>
      </w:pPr>
    </w:p>
    <w:p>
      <w:pPr>
        <w:ind w:left="660" w:right="160" w:hanging="652"/>
        <w:spacing w:after="0" w:line="262"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ectPr>
          <w:pgSz w:w="11900" w:h="16838" w:orient="portrait"/>
          <w:cols w:equalWidth="0" w:num="1">
            <w:col w:w="11420"/>
          </w:cols>
          <w:pgMar w:left="240" w:top="125"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Gains/(losses) from derivative activities net of inventory valuation adjustments</w:t>
            </w:r>
          </w:p>
        </w:tc>
        <w:tc>
          <w:tcPr>
            <w:tcW w:w="80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5"/>
              </w:rPr>
              <w:t>(240)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63"/>
        </w:trPr>
        <w:tc>
          <w:tcPr>
            <w:tcW w:w="6060" w:type="dxa"/>
            <w:vAlign w:val="bottom"/>
          </w:tcPr>
          <w:p>
            <w:pPr>
              <w:ind w:left="36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50"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60"/>
        <w:spacing w:after="0" w:line="323" w:lineRule="auto"/>
        <w:rPr>
          <w:sz w:val="20"/>
          <w:szCs w:val="20"/>
          <w:color w:val="auto"/>
        </w:rPr>
      </w:pPr>
      <w:r>
        <w:rPr>
          <w:rFonts w:ascii="Arial" w:cs="Arial" w:eastAsia="Arial" w:hAnsi="Arial"/>
          <w:sz w:val="17"/>
          <w:szCs w:val="17"/>
          <w:color w:val="auto"/>
        </w:rPr>
        <w:t>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ind w:left="660" w:hanging="652"/>
        <w:spacing w:after="0" w:line="227"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14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00" w:hanging="652"/>
        <w:spacing w:after="0" w:line="214"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hanging="652"/>
        <w:spacing w:after="0" w:line="252" w:lineRule="auto"/>
        <w:tabs>
          <w:tab w:leader="none" w:pos="66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six months of 2018, we recognized net income attributable to PAA of $388 million as compared to net income attributable to PAA of $632 million recognized during the first six months of 2017. The year-over-year decrease reflects a $511 million negative impact associated with the difference between losses recognized in the 2018 period from the mark-to-market of certain derivative instruments, as compared to gains recognized in the prior period. The 2018 period was also negatively impacted compared to the 2017 period by asset sales completed during 2017 and 2018. These decreases were partially offset by:</w:t>
      </w:r>
    </w:p>
    <w:p>
      <w:pPr>
        <w:spacing w:after="0" w:line="188" w:lineRule="exact"/>
        <w:rPr>
          <w:sz w:val="20"/>
          <w:szCs w:val="20"/>
          <w:color w:val="auto"/>
        </w:rPr>
      </w:pPr>
    </w:p>
    <w:p>
      <w:pPr>
        <w:ind w:left="1300" w:right="12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results from our Transportation segment, primarily from our pipelines in the Permian Basin region, driven by higher volumes from increased production and our recently completed capital expansion projects;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depreciation and amortization expense due to net gains recognized during the 2018 period associated with asset sales;</w:t>
      </w:r>
    </w:p>
    <w:p>
      <w:pPr>
        <w:spacing w:after="0" w:line="225" w:lineRule="exact"/>
        <w:rPr>
          <w:rFonts w:ascii="Arial" w:cs="Arial" w:eastAsia="Arial" w:hAnsi="Arial"/>
          <w:sz w:val="18"/>
          <w:szCs w:val="18"/>
          <w:color w:val="auto"/>
        </w:rPr>
      </w:pPr>
    </w:p>
    <w:p>
      <w:pPr>
        <w:ind w:left="1300" w:right="200" w:hanging="320"/>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interest expense driven by a lower weighted average debt balance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 and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700" w:hanging="320"/>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Lower income tax expense primarily due to lower year-over-year income as impacted by fluctuations in derivative mark-to-market valuations in our Canadian operations, partially offset by higher taxable earnings in our Canadian operations.</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invested $832 million in midstream infrastructure projects during the six months ended June 30, 2018, and we expect expansion capital for the full year of 2018 to be approximately $1.95 billion, which will be primarily focused in the Permian Basin. See the “—Acquisitions and Capital Projects” section below for additional information.</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continued to advance our divestiture program, completing asset sales for total proceeds of approximately $426 million during the six months ended June 30, 2018. We also paid approximately $435 million of cash distributions to our common unitholders during the six months ended June 30, 2018. In addition, we paid distributions of $74 million to our Series A preferred unitholders (of which $37 million was paid in kind and $37 million was paid in cash), and we paid a semi-annual cash distribution of $24.5 million to our Series B preferred unitholders. In July 2018, we declared a quarterly cash distribution of $0.30 per common unit (a total distribution of $218 million) and a quarterly cash distribution of $0.525 per Series A preferred unit (a total distribution of $37 million) to be paid on August 14,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614</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37"/>
        </w:trPr>
        <w:tc>
          <w:tcPr>
            <w:tcW w:w="834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2,070</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six months of 2017 primarily relates to the ACC Acquisition.</w:t>
      </w:r>
    </w:p>
    <w:p>
      <w:pPr>
        <w:spacing w:after="0" w:line="14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2018 and the estimated cost for the year ending December 31, 2018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2018 Expansion Capital Expenditures </w:t>
            </w:r>
            <w:r>
              <w:rPr>
                <w:rFonts w:ascii="Arial" w:cs="Arial" w:eastAsia="Arial" w:hAnsi="Arial"/>
                <w:sz w:val="25"/>
                <w:szCs w:val="25"/>
                <w:color w:val="auto"/>
                <w:vertAlign w:val="superscript"/>
              </w:rPr>
              <w:t>(2)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5620" w:right="5180" w:hanging="5612"/>
        <w:spacing w:after="0" w:line="710" w:lineRule="auto"/>
        <w:tabs>
          <w:tab w:leader="none" w:pos="65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projects at our St. James, Fort Saskatchewan and Cushing terminals.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700" w:hanging="652"/>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have increased our 2018/2019 expansion capital program primarily due to demand for additional Permian Basin infrastructure, and we expect a majority of this increase to occur in 2018. We have also accelerated into 2018 the construction of some projects initially scheduled for 2019 and have increased costs on certain projects. A portion of the cost increase is attributable to the imposition of steel tariffs on the Cactus II pipeline project.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Transportation segment adjusted EBITDA</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70"/>
        </w:trPr>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2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 -</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220" w:type="dxa"/>
            <w:vAlign w:val="bottom"/>
          </w:tcPr>
          <w:p>
            <w:pPr>
              <w:ind w:left="200"/>
              <w:spacing w:after="0"/>
              <w:rPr>
                <w:sz w:val="20"/>
                <w:szCs w:val="20"/>
                <w:color w:val="auto"/>
              </w:rPr>
            </w:pPr>
            <w:r>
              <w:rPr>
                <w:rFonts w:ascii="Arial" w:cs="Arial" w:eastAsia="Arial" w:hAnsi="Arial"/>
                <w:sz w:val="18"/>
                <w:szCs w:val="18"/>
                <w:color w:val="auto"/>
                <w:w w:val="93"/>
              </w:rPr>
              <w:t>Net income attributable to noncontrolling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8"/>
              </w:rPr>
              <w:t>Diluted weighted average common units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60" w:hanging="652"/>
        <w:spacing w:after="0" w:line="257"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0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(10)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equity earnings in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entities, net of</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distributions </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w w:val="93"/>
              </w:rPr>
              <w:t>Distributions to noncontrolling interests</w:t>
            </w:r>
          </w:p>
        </w:tc>
        <w:tc>
          <w:tcPr>
            <w:tcW w:w="220" w:type="dxa"/>
            <w:vAlign w:val="bottom"/>
          </w:tcPr>
          <w:p>
            <w:pPr>
              <w:spacing w:after="0"/>
              <w:rPr>
                <w:sz w:val="19"/>
                <w:szCs w:val="19"/>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63"/>
        </w:trPr>
        <w:tc>
          <w:tcPr>
            <w:tcW w:w="3100" w:type="dxa"/>
            <w:vAlign w:val="bottom"/>
          </w:tcPr>
          <w:p>
            <w:pPr>
              <w:ind w:left="360"/>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5"/>
                <w:szCs w:val="25"/>
                <w:color w:val="auto"/>
                <w:vertAlign w:val="superscript"/>
              </w:rPr>
              <w:t>(15)</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Implied DCF Available to Common</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Unitholders</w:t>
            </w:r>
          </w:p>
        </w:tc>
        <w:tc>
          <w:tcPr>
            <w:tcW w:w="2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tcBorders>
              <w:bottom w:val="single" w:sz="8" w:color="CCEEFF"/>
            </w:tcBorders>
          </w:tcPr>
          <w:p>
            <w:pPr>
              <w:ind w:left="200"/>
              <w:spacing w:after="0" w:line="257"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5"/>
                <w:szCs w:val="25"/>
                <w:color w:val="auto"/>
                <w:vertAlign w:val="superscript"/>
              </w:rPr>
              <w:t>(13)</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5"/>
                <w:szCs w:val="25"/>
                <w:color w:val="auto"/>
                <w:vertAlign w:val="superscript"/>
              </w:rPr>
              <w:t>(16)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40" w:hanging="652"/>
        <w:spacing w:after="0" w:line="22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and losses on significant asset sales of such unconsolidated entities when reviewing Adjusted EBITDA, similar to our consolidated assets.</w:t>
      </w:r>
    </w:p>
    <w:p>
      <w:pPr>
        <w:spacing w:after="0" w:line="149" w:lineRule="exact"/>
        <w:rPr>
          <w:rFonts w:ascii="Arial" w:cs="Arial" w:eastAsia="Arial" w:hAnsi="Arial"/>
          <w:sz w:val="25"/>
          <w:szCs w:val="25"/>
          <w:color w:val="auto"/>
          <w:vertAlign w:val="superscript"/>
        </w:rPr>
      </w:pPr>
    </w:p>
    <w:p>
      <w:pPr>
        <w:ind w:left="660" w:right="20" w:hanging="652"/>
        <w:spacing w:after="0" w:line="257"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11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hanging="652"/>
        <w:spacing w:after="0" w:line="273"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80" w:hanging="652"/>
        <w:spacing w:after="0" w:line="238"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11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jc w:val="both"/>
        <w:ind w:left="660" w:right="240" w:hanging="652"/>
        <w:spacing w:after="0" w:line="22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to our Consolidated Financial Statements included in Part IV of our 2017 Annual Report on Form 10-K for additional information regarding the Line 901 incident.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(“Adjusted Other income/(expense), net”). Segment adjusted EBITDA does not include Adjusted Other income/(expense), net.</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hanging="652"/>
        <w:spacing w:after="0" w:line="214"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0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during the period presented.</w:t>
      </w:r>
    </w:p>
    <w:p>
      <w:pPr>
        <w:spacing w:after="0" w:line="98" w:lineRule="exact"/>
        <w:rPr>
          <w:rFonts w:ascii="Arial" w:cs="Arial" w:eastAsia="Arial" w:hAnsi="Arial"/>
          <w:sz w:val="25"/>
          <w:szCs w:val="25"/>
          <w:color w:val="auto"/>
          <w:vertAlign w:val="superscript"/>
        </w:rPr>
      </w:pPr>
    </w:p>
    <w:p>
      <w:pPr>
        <w:ind w:left="660" w:right="280" w:hanging="652"/>
        <w:spacing w:after="0" w:line="236"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Including net costs recognized during the period related to the Line 901 incident that occurred in May 2015, Implied DCF would have been $278 million and $580 million for the three and six months ended June 30, 2017, respectively. See Note 17 to our Consolidated Financial Statements included in Part IV of our 2017 Annual Report on Form 10-K for additional information regarding the Line 901 incident.</w:t>
      </w:r>
    </w:p>
    <w:p>
      <w:pPr>
        <w:spacing w:after="0" w:line="95" w:lineRule="exact"/>
        <w:rPr>
          <w:rFonts w:ascii="Arial" w:cs="Arial" w:eastAsia="Arial" w:hAnsi="Arial"/>
          <w:sz w:val="24"/>
          <w:szCs w:val="24"/>
          <w:color w:val="auto"/>
          <w:vertAlign w:val="superscript"/>
        </w:rPr>
      </w:pPr>
    </w:p>
    <w:p>
      <w:pPr>
        <w:ind w:left="660" w:right="100" w:hanging="652"/>
        <w:spacing w:after="0" w:line="237"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 See Note 11 to our Consolidated Financial Statements included in Part IV of our 2017 Annual Report on Form 10-K for additional information regarding our preferred units.</w:t>
      </w:r>
    </w:p>
    <w:p>
      <w:pPr>
        <w:spacing w:after="0" w:line="98" w:lineRule="exact"/>
        <w:rPr>
          <w:rFonts w:ascii="Arial" w:cs="Arial" w:eastAsia="Arial" w:hAnsi="Arial"/>
          <w:sz w:val="25"/>
          <w:szCs w:val="25"/>
          <w:color w:val="auto"/>
          <w:vertAlign w:val="superscript"/>
        </w:rPr>
      </w:pPr>
    </w:p>
    <w:p>
      <w:pPr>
        <w:ind w:left="660" w:right="340" w:hanging="652"/>
        <w:spacing w:after="0" w:line="252"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w:t>
      </w:r>
    </w:p>
    <w:p>
      <w:pPr>
        <w:spacing w:after="0" w:line="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4"/>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84"/>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21"/>
                <w:szCs w:val="21"/>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Significant acquisition-related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gridSpan w:val="4"/>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3"/>
                <w:szCs w:val="23"/>
                <w:color w:val="auto"/>
              </w:rPr>
            </w:pPr>
          </w:p>
        </w:tc>
        <w:tc>
          <w:tcPr>
            <w:tcW w:w="12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120" w:type="dxa"/>
            <w:vAlign w:val="bottom"/>
            <w:gridSpan w:val="3"/>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53"/>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Crude oil pipelines (by region):</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gridSpan w:val="4"/>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3140" w:type="dxa"/>
            <w:vAlign w:val="bottom"/>
            <w:gridSpan w:val="4"/>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3140" w:type="dxa"/>
            <w:vAlign w:val="bottom"/>
            <w:gridSpan w:val="4"/>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Gulf Coast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gridSpan w:val="4"/>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120" w:type="dxa"/>
            <w:vAlign w:val="bottom"/>
            <w:gridSpan w:val="3"/>
          </w:tcPr>
          <w:p>
            <w:pPr>
              <w:ind w:left="200"/>
              <w:spacing w:after="0"/>
              <w:rPr>
                <w:sz w:val="20"/>
                <w:szCs w:val="20"/>
                <w:color w:val="auto"/>
              </w:rPr>
            </w:pPr>
            <w:r>
              <w:rPr>
                <w:rFonts w:ascii="Arial" w:cs="Arial" w:eastAsia="Arial" w:hAnsi="Arial"/>
                <w:sz w:val="18"/>
                <w:szCs w:val="18"/>
                <w:color w:val="auto"/>
              </w:rPr>
              <w:t>Crude oil pipelines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3"/>
          </w:tcPr>
          <w:p>
            <w:pPr>
              <w:ind w:left="40"/>
              <w:spacing w:after="0"/>
              <w:rPr>
                <w:sz w:val="20"/>
                <w:szCs w:val="20"/>
                <w:color w:val="auto"/>
              </w:rPr>
            </w:pPr>
            <w:r>
              <w:rPr>
                <w:rFonts w:ascii="Arial" w:cs="Arial" w:eastAsia="Arial" w:hAnsi="Arial"/>
                <w:sz w:val="18"/>
                <w:szCs w:val="18"/>
                <w:color w:val="auto"/>
              </w:rPr>
              <w:t>Tariff activities total volumes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120" w:type="dxa"/>
            <w:vAlign w:val="bottom"/>
            <w:gridSpan w:val="3"/>
          </w:tcPr>
          <w:p>
            <w:pPr>
              <w:ind w:left="40"/>
              <w:spacing w:after="0"/>
              <w:rPr>
                <w:sz w:val="20"/>
                <w:szCs w:val="20"/>
                <w:color w:val="auto"/>
              </w:rPr>
            </w:pPr>
            <w:r>
              <w:rPr>
                <w:rFonts w:ascii="Arial" w:cs="Arial" w:eastAsia="Arial" w:hAnsi="Arial"/>
                <w:sz w:val="18"/>
                <w:szCs w:val="18"/>
                <w:color w:val="auto"/>
              </w:rPr>
              <w:t>Transportation segment total volumes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60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4"/>
              </w:rPr>
              <w:t>Favorable/(Unfavorable) Variance</w:t>
            </w:r>
          </w:p>
        </w:tc>
        <w:tc>
          <w:tcPr>
            <w:tcW w:w="180" w:type="dxa"/>
            <w:vAlign w:val="bottom"/>
          </w:tcPr>
          <w:p>
            <w:pPr>
              <w:spacing w:after="0"/>
              <w:rPr>
                <w:sz w:val="14"/>
                <w:szCs w:val="14"/>
                <w:color w:val="auto"/>
              </w:rPr>
            </w:pPr>
          </w:p>
        </w:tc>
        <w:tc>
          <w:tcPr>
            <w:tcW w:w="336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gridSpan w:val="9"/>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2"/>
                <w:szCs w:val="12"/>
                <w:color w:val="auto"/>
              </w:rPr>
            </w:pPr>
          </w:p>
        </w:tc>
        <w:tc>
          <w:tcPr>
            <w:tcW w:w="2480" w:type="dxa"/>
            <w:vAlign w:val="bottom"/>
            <w:gridSpan w:val="6"/>
          </w:tcPr>
          <w:p>
            <w:pPr>
              <w:jc w:val="center"/>
              <w:ind w:left="635"/>
              <w:spacing w:after="0" w:line="149" w:lineRule="exact"/>
              <w:rPr>
                <w:sz w:val="20"/>
                <w:szCs w:val="20"/>
                <w:color w:val="auto"/>
              </w:rPr>
            </w:pPr>
            <w:r>
              <w:rPr>
                <w:rFonts w:ascii="Arial" w:cs="Arial" w:eastAsia="Arial" w:hAnsi="Arial"/>
                <w:sz w:val="14"/>
                <w:szCs w:val="14"/>
                <w:b w:val="1"/>
                <w:bCs w:val="1"/>
                <w:color w:val="auto"/>
                <w:w w:val="92"/>
              </w:rPr>
              <w:t>Six Months Ended June 30,</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3"/>
              </w:rPr>
              <w:t>Revenues</w:t>
            </w:r>
          </w:p>
        </w:tc>
        <w:tc>
          <w:tcPr>
            <w:tcW w:w="100" w:type="dxa"/>
            <w:vAlign w:val="bottom"/>
            <w:vMerge w:val="restart"/>
          </w:tcPr>
          <w:p>
            <w:pPr>
              <w:spacing w:after="0"/>
              <w:rPr>
                <w:sz w:val="13"/>
                <w:szCs w:val="13"/>
                <w:color w:val="auto"/>
              </w:rPr>
            </w:pPr>
          </w:p>
        </w:tc>
        <w:tc>
          <w:tcPr>
            <w:tcW w:w="12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200" w:type="dxa"/>
            <w:vAlign w:val="bottom"/>
          </w:tcPr>
          <w:p>
            <w:pPr>
              <w:spacing w:after="0"/>
              <w:rPr>
                <w:sz w:val="13"/>
                <w:szCs w:val="13"/>
                <w:color w:val="auto"/>
              </w:rPr>
            </w:pPr>
          </w:p>
        </w:tc>
        <w:tc>
          <w:tcPr>
            <w:tcW w:w="114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vMerge w:val="restart"/>
          </w:tcPr>
          <w:p>
            <w:pPr>
              <w:spacing w:after="0"/>
              <w:rPr>
                <w:sz w:val="13"/>
                <w:szCs w:val="13"/>
                <w:color w:val="auto"/>
              </w:rPr>
            </w:pPr>
          </w:p>
        </w:tc>
        <w:tc>
          <w:tcPr>
            <w:tcW w:w="12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240" w:type="dxa"/>
            <w:vAlign w:val="bottom"/>
          </w:tcPr>
          <w:p>
            <w:pPr>
              <w:spacing w:after="0"/>
              <w:rPr>
                <w:sz w:val="13"/>
                <w:szCs w:val="13"/>
                <w:color w:val="auto"/>
              </w:rPr>
            </w:pPr>
          </w:p>
        </w:tc>
        <w:tc>
          <w:tcPr>
            <w:tcW w:w="8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2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(including trucking and</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Arial" w:cs="Arial" w:eastAsia="Arial" w:hAnsi="Arial"/>
                <w:sz w:val="18"/>
                <w:szCs w:val="18"/>
                <w:color w:val="auto"/>
                <w:w w:val="96"/>
              </w:rPr>
              <w:t>pipeline loss allowance revenue)</w:t>
            </w:r>
          </w:p>
        </w:tc>
        <w:tc>
          <w:tcPr>
            <w:tcW w:w="20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Total revenues, net of purchases and related costs, and equity earnings in unconsolidated entities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$57 million and $112 million, respectively, for the three and six month comparative periods primarily due to higher volumes from increased production and our recently completed capital expansion projects. For the three and six months ended June 30, 2018, these increases included (i) higher volumes of approximately 360,000 and 333,000 barrels per day, respectively, on our gathering systems, including our ACC system acquired in February 2017, (ii) higher volumes of approximately 424,000 and 367,000 barrels per day, respectively, on our intra-basin pipelines and (iii) a volume increase of approximately 189,000 and 175,000 barrels per day, respectively, on our long-haul pipelines, including our 50% equity interest in BridgeTex.</w:t>
      </w:r>
    </w:p>
    <w:p>
      <w:pPr>
        <w:spacing w:after="0" w:line="189"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increased for each of the comparative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presented primarily due to higher volumes from our Cactus pipeline.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for each of the comparative periods was primarily due to the sale of certain of our Mid-Continent Area</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assets in the fourth quarter of 2017, including the sale of a portion of our interest in our Midway pipeline for which our remaining interest is now accounted for under the equity method of accounting.</w:t>
      </w:r>
    </w:p>
    <w:p>
      <w:pPr>
        <w:spacing w:after="0" w:line="181" w:lineRule="exact"/>
        <w:rPr>
          <w:rFonts w:ascii="Arial" w:cs="Arial" w:eastAsia="Arial" w:hAnsi="Arial"/>
          <w:sz w:val="18"/>
          <w:szCs w:val="18"/>
          <w:color w:val="auto"/>
        </w:rPr>
      </w:pPr>
    </w:p>
    <w:p>
      <w:pPr>
        <w:ind w:left="980"/>
        <w:spacing w:after="0" w:line="264" w:lineRule="auto"/>
        <w:rPr>
          <w:rFonts w:ascii="Arial" w:cs="Arial" w:eastAsia="Arial" w:hAnsi="Arial"/>
          <w:sz w:val="18"/>
          <w:szCs w:val="18"/>
          <w:color w:val="auto"/>
        </w:rPr>
      </w:pPr>
      <w:r>
        <w:rPr>
          <w:rFonts w:ascii="Arial" w:cs="Arial" w:eastAsia="Arial" w:hAnsi="Arial"/>
          <w:sz w:val="18"/>
          <w:szCs w:val="18"/>
          <w:color w:val="auto"/>
        </w:rPr>
        <w:t>Equity earnings increased for each of the comparative periods from (i) our 50% interest in the Diamond joint venture pipeline, which was placed in service in late 2017, and (ii) our 50% interest in Midway pipeline, which we now account for under the equity method of accounting following the sale of a portion of our interest in the pipeline in the fourth quarter of 2017, as discussed above.</w:t>
      </w:r>
    </w:p>
    <w:p>
      <w:pPr>
        <w:spacing w:after="0" w:line="181"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Region. </w:t>
      </w:r>
      <w:r>
        <w:rPr>
          <w:rFonts w:ascii="Arial" w:cs="Arial" w:eastAsia="Arial" w:hAnsi="Arial"/>
          <w:sz w:val="17"/>
          <w:szCs w:val="17"/>
          <w:color w:val="auto"/>
        </w:rPr>
        <w:t>The decrease in revenues for each of the comparative periods was primarily due to lower volumes on the Capline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the movement of volumes to the Diamond joint venture pipeline, which was placed in service in late 2017.</w:t>
      </w:r>
    </w:p>
    <w:p>
      <w:pPr>
        <w:spacing w:after="0" w:line="146"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each of the comparative periods was primarily due to the sale of certain pipelines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assets in the fourth quarter of 2017 and the second quarter of 2018.</w:t>
      </w:r>
    </w:p>
    <w:p>
      <w:pPr>
        <w:spacing w:after="0" w:line="170" w:lineRule="exact"/>
        <w:rPr>
          <w:rFonts w:ascii="Arial" w:cs="Arial" w:eastAsia="Arial" w:hAnsi="Arial"/>
          <w:sz w:val="18"/>
          <w:szCs w:val="18"/>
          <w:i w:val="1"/>
          <w:iCs w:val="1"/>
          <w:color w:val="auto"/>
        </w:rPr>
      </w:pPr>
    </w:p>
    <w:p>
      <w:pPr>
        <w:ind w:left="980" w:right="6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increase in other revenue for each of the comparative periods was primarily due to greater pipeline loss allowance revenue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in the 2018 periods. The impact on revenues from the decrease in volumes on our Canadian crude oil pipelines for the comparative periods was partially offset by increased tariff rates on certain of our Canadian crude oil pipelines as well as favorable foreign exchange impacts.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 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2018 periods presented in the table above, we had net collections for deficiencies under minimum volume commitments resulting in deferred revenues and an increase to Segment Adjusted EBITDA. In the 2017 periods, (i) shippers utilized credits associated with previous deficiencies or (ii) credits expired resulting in the recognition of previously deferred revenue, which were partially offset by collections for deficiencies under minimum volume commitments resulting in a net decrease to segment adjusted EBITDA.</w:t>
      </w:r>
    </w:p>
    <w:p>
      <w:pPr>
        <w:spacing w:after="0" w:line="1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for the three and six months ended June 30, 2018 compared to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2017 were impacted by an increase in power costs resulting from higher volumes, and increases in compensation costs, which were fully offset in the three-month comparative period and partially offset in the six-month comparative period by the impact of an increase of estimated costs recognized in the second quarter of 2017 associated with the Line 901 incident (which impact our field operating costs but are excluded from segment adjusted EBITDA and thus are reflected as an “Adjustment” in the table above) as well as the sale of assets in the Rocky Mountain region in the fourth quarter of 2017 and the second quarter of 2018. To a much lesser extent, the increase for the six-month period ended June 30, 2018 was also due to a full period of operations from the ACC gathering system acquired in February 2017.</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increase in segment general and administrative expenses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2018 compared to the three and six months ended June 30, 2017 was primarily driven by an increase in equity-indexed compensation expense due to the impact of an increase in unit price for the 2018 periods compared to a decrease in unit price for the 2017 periods. The increase for the six-month comparative period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and/or refurbishment of partially or fully depreciated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 order to maintain the operating and/or earnings capacity of our existing assets. The increase in maintenance capital for the three and six months ended June 30, 2018 compared to the same periods in 2017 was primarily due to an operational tank replacement project.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4"/>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1"/>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3"/>
                <w:szCs w:val="23"/>
                <w:color w:val="auto"/>
              </w:rPr>
            </w:pPr>
          </w:p>
        </w:tc>
        <w:tc>
          <w:tcPr>
            <w:tcW w:w="12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w:t>
            </w: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capacity in millions of barrels)</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Natural gas storage (average monthly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NGL fractionation (average volumes in</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Facilities segment total volumes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w w:val="98"/>
              </w:rPr>
              <w:t>(average monthly volumes in millions</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5"/>
                <w:szCs w:val="25"/>
                <w:color w:val="auto"/>
                <w:vertAlign w:val="superscript"/>
              </w:rPr>
              <w:t>(6)</w:t>
            </w: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2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5" w:lineRule="exact"/>
        <w:rPr>
          <w:rFonts w:ascii="Arial" w:cs="Arial" w:eastAsia="Arial" w:hAnsi="Arial"/>
          <w:sz w:val="25"/>
          <w:szCs w:val="25"/>
          <w:color w:val="auto"/>
          <w:vertAlign w:val="superscript"/>
        </w:rPr>
      </w:pPr>
    </w:p>
    <w:p>
      <w:pPr>
        <w:ind w:left="660" w:right="340" w:hanging="652"/>
        <w:spacing w:after="0" w:line="262"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driven by:</w:t>
      </w:r>
    </w:p>
    <w:p>
      <w:pPr>
        <w:spacing w:after="0" w:line="170" w:lineRule="exact"/>
        <w:rPr>
          <w:sz w:val="20"/>
          <w:szCs w:val="20"/>
          <w:color w:val="auto"/>
        </w:rPr>
      </w:pPr>
    </w:p>
    <w:p>
      <w:pPr>
        <w:ind w:left="980" w:right="60" w:hanging="324"/>
        <w:spacing w:after="0" w:line="273"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Revenues increased by $1 million and $13 million for the three and six months ended June 30, 2018, respectively,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in 2017 primarily due to (i) increased volumes and fees associated with placing an additional 1.6 million barrels of NGL storage capacity into service in the second half of 2017 at our Fort Saskatchewan facility, (ii) higher volumetric gains at certain facilities in the 2018 periods, (iii) a favorable foreign exchange impact of approximately $4 million and $9 million for the three and six month comparative periods, respectively. Such increases were partially offset by (i) decreases in fees at certain of our storage and fractionation facilities and (ii) the sale of a natural gas processing facility in the second quarter of 2018.</w:t>
      </w:r>
    </w:p>
    <w:p>
      <w:pPr>
        <w:spacing w:after="0" w:line="178"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Rail Terminals. </w:t>
      </w:r>
      <w:r>
        <w:rPr>
          <w:rFonts w:ascii="Arial" w:cs="Arial" w:eastAsia="Arial" w:hAnsi="Arial"/>
          <w:sz w:val="17"/>
          <w:szCs w:val="17"/>
          <w:color w:val="auto"/>
        </w:rPr>
        <w:t>Revenues increased by $2 million and $10 million for the three and six months ended June 30, 2018, respectively, over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2017 primarily due to higher activity at certain of our rail terminals resulting from more favorable market conditions.</w:t>
      </w:r>
    </w:p>
    <w:p>
      <w:pPr>
        <w:spacing w:after="0" w:line="146"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$5 million and $13 million for the three and six months ended June 30, 2018,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periods in 2017 primarily due to the sale of certain of our Bay Area, California terminal assets in December 2017. These negative results were partially offset in both comparative periods by higher revenues from our Cushing terminal largely driven by increased throughout and capacity expansions of approximately 1 million barrels.</w:t>
      </w:r>
    </w:p>
    <w:p>
      <w:pPr>
        <w:spacing w:after="0" w:line="186" w:lineRule="exact"/>
        <w:rPr>
          <w:rFonts w:ascii="Arial" w:cs="Arial" w:eastAsia="Arial" w:hAnsi="Arial"/>
          <w:sz w:val="18"/>
          <w:szCs w:val="18"/>
          <w:color w:val="auto"/>
        </w:rPr>
      </w:pPr>
    </w:p>
    <w:p>
      <w:pPr>
        <w:jc w:val="both"/>
        <w:ind w:left="980" w:right="6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Natural Gas Storage</w:t>
      </w:r>
      <w:r>
        <w:rPr>
          <w:rFonts w:ascii="Arial" w:cs="Arial" w:eastAsia="Arial" w:hAnsi="Arial"/>
          <w:sz w:val="18"/>
          <w:szCs w:val="18"/>
          <w:color w:val="auto"/>
        </w:rPr>
        <w:t>. Revenues, net of purchases and related costs, decreased by $8 million for the six-month comparative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 the June 2017 sale of our Bluewater natural gas storage facility and (ii) the absence of a one-time fee recognized during the first quarter of 2017 related to the early termination of a storage contract at our Pine Prairie facility.</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2018 compared to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2017 was primarily due to an increase in personnel costs, partially offset by lower costs due to the sale of assets.</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compared to the three and six months ended June 30, 2017 was primarily driven by an increase in equity-indexed compensation expense due to the impact of an increase in unit price for the 2018 periods compared to a decrease in unit price for the 2017 periods.</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for the three and six months ended June 30, 2018 compared to the same periods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higher expenditures related to our integrity management program in 2017, primarily on assets at our Southern California terminals. Total maintenance costs related to our integrity management program at these terminals decreased by approximately $18 million and $31 million for the three and six months ended June 30, 2018, respectively, compared to the same periods in 2017. We expect to continue to see significant reductions to our maintenance capital costs compared to 2017 at these terminals going forward as we complete a number of maintenance projects in this area.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12,184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(11,678)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1"/>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4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320" w:hanging="652"/>
        <w:spacing w:after="0" w:line="440" w:lineRule="auto"/>
        <w:tabs>
          <w:tab w:leader="none" w:pos="646"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2018</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June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Six months ended June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 2017</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2018 compared to the same periods in 2017 primarily due to higher crude oil prices. Additionally,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Our Supply and Logistics Segment Adjusted EBITDA increased by $2 million and $22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2018, respectively, compared to the three and six months ended June 30, 2017. The following summarizes the significant items impacting the comparative periods:</w:t>
      </w:r>
    </w:p>
    <w:p>
      <w:pPr>
        <w:spacing w:after="0" w:line="181" w:lineRule="exact"/>
        <w:rPr>
          <w:sz w:val="20"/>
          <w:szCs w:val="20"/>
          <w:color w:val="auto"/>
        </w:rPr>
      </w:pPr>
    </w:p>
    <w:p>
      <w:pPr>
        <w:ind w:left="980" w:right="12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and six months ended June 30, 2018,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2017, after offsetting lower volumes in each period, primarily due to (i) lower supply costs at our straddle plants relative to NGL values, (ii) favorable impacts from a wider isobutane/normal butane differential and (iii) modifications made to our contracting strategies in the 2017-2018 heating season.</w:t>
      </w:r>
    </w:p>
    <w:p>
      <w:pPr>
        <w:spacing w:after="0" w:line="186"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supply and logistics operations were relatively consistent for the comparative three-month periods and the comparative six-month periods presented, as arbitrage opportunities in certain markets during the 2018 periods were substantially offset by lower lease gathering margins resulting from competition for wellhead volumes, as well as the absence of the contango market conditions experienced in 2017.</w:t>
      </w:r>
    </w:p>
    <w:p>
      <w:pPr>
        <w:spacing w:after="0" w:line="186" w:lineRule="exact"/>
        <w:rPr>
          <w:rFonts w:ascii="Arial" w:cs="Arial" w:eastAsia="Arial" w:hAnsi="Arial"/>
          <w:sz w:val="18"/>
          <w:szCs w:val="18"/>
          <w:color w:val="auto"/>
        </w:rPr>
      </w:pPr>
    </w:p>
    <w:p>
      <w:pPr>
        <w:ind w:left="980" w:right="100" w:hanging="324"/>
        <w:spacing w:after="0" w:line="255" w:lineRule="auto"/>
        <w:tabs>
          <w:tab w:leader="none" w:pos="9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11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compared to the three and six months ended June 30, 2017 was primarily driven by (i) an increase in equity-indexed compensation expense due to the impact of an increase in unit price for the 2018 periods compared to a decrease in unit price for the 2017 periods and (ii) cost increases across various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Depreciation and amortization expense decreased for the three and six months ended June 30, 2018 compared to the three and six months ended June 30, 2017 primarily due to net gains of approximately $81 million recognized during the second quarter of 2018, which were primarily associated with asset sales during the periods.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decrease in interest expense for the three and six months ended June 30, 2018 compared to the three and six months ended June 30, 2017 was primarily due to a lower weighted average debt balance during the 2018 periods resulting from the repayment of an aggregate of $950 million senior notes in December 2017.</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28"/>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Gain/(loss) related to mark-to-market adjustment of our Preferred Distribution Rate</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Reset Option </w:t>
            </w:r>
            <w:r>
              <w:rPr>
                <w:rFonts w:ascii="Arial" w:cs="Arial" w:eastAsia="Arial" w:hAnsi="Arial"/>
                <w:sz w:val="25"/>
                <w:szCs w:val="25"/>
                <w:color w:val="auto"/>
                <w:vertAlign w:val="superscript"/>
              </w:rPr>
              <w:t>(1)</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See Note 11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Income tax expense decreased for the three and six months ended June 30, 2018 as compared to the three and six months ended June 30, 2017, primarily due to lower year-over-year income as impacted by fluctuations in derivative mark-to-market valuations in our Canadian operations, partially offset by higher taxable earnings in our Canadian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7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As of June 30, 2018, we had a working capital deficit of $1.3 billion, which we anticipate will decrease in future quarters. We do not expect that the decrease will result in the use of a significant amount of our credit facility borrowing capacity to meet the obligations as a large portion of the anticipated decrease will be funded from incremental cash flow from our operations. In addition, as of June 30, 2018, we had over $3.0 billion of liquidity available to meet our ongoing operating, investing and financing needs, subject to continued covenant compliance, as noted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2018</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922</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364-day revolving credit facility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3,032</w:t>
            </w:r>
          </w:p>
        </w:tc>
      </w:tr>
      <w:tr>
        <w:trPr>
          <w:trHeight w:val="20"/>
        </w:trPr>
        <w:tc>
          <w:tcPr>
            <w:tcW w:w="9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$140 million and $28 million, respectively.</w:t>
      </w:r>
    </w:p>
    <w:p>
      <w:pPr>
        <w:spacing w:after="0" w:line="9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The senior unsecured 364-day revolving credit facility matures in mid-August 2018.</w:t>
      </w:r>
    </w:p>
    <w:p>
      <w:pPr>
        <w:spacing w:after="0" w:line="161"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June 30, 2018, we were in compliance with all such covenants. Also, see Item 1A. “Risk Factors” of our 2017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2018 and 2017 was $1.015 billion and $1.461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2018, net cash provided by operating activities was positively impacted by approximately $300 million of cash received for transactions for which the revenue has been deferred pending the completion of future performance obligations. See Note 3 to our Condensed Consolidated Financial Statements for additional information. That positive impact was partially offset by increases in the margin balances required as part of our hedging activities, which were funded by short-term debt.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six months ended June 30, 2017, we decreased both the volume of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prices for NGL and crude oil inventory that was purchased and stored at the end of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Divestitures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$832 million in midstream infrastructure during the six months ended June 30, 2018, and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approximately $1.95 billion during the full year ended December 31, 2018. See “—Acquisitions and Capital Projects” for detail of our projected capital expenditures for the year ending December 31, 2018. We expect to fund our 2018 capital program with retained cash flow and proceeds from our divestiture program, as discussed further below.</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part of our funding plans for our 2018 expansion capital program, we set a target to raise $700 million through divestitures in 2018. We received proceeds of $426 million during the first six months of 2018, and we continue to advance efforts with respect to a number of additional transactions and believe successful consummation of such efforts will enable us to meet and potentially exceed our targeted amounts for 2018. Any excess proceeds above our targeted amounts would be used to reduce debt or fund incremental expansion opportunities.</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 “Risk Factors—Risks Related to Our Business” of our 2017 Annual Report on Form 10-K for further discussion regarding risks related to our acquisitions and divestitures.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At June 30, 2018,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2018.</w:t>
      </w:r>
    </w:p>
    <w:p>
      <w:pPr>
        <w:spacing w:after="0" w:line="193" w:lineRule="exact"/>
        <w:rPr>
          <w:sz w:val="20"/>
          <w:szCs w:val="20"/>
          <w:color w:val="auto"/>
        </w:rPr>
      </w:pPr>
    </w:p>
    <w:p>
      <w:pPr>
        <w:ind w:right="120" w:firstLine="675"/>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Our credit agreements (which impact our ability to access our commercial paper</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because they provide the financial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June 30, 2018, we were in compliance with the covenants contained in our credit agreements and indentures.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six months ended June 30, 2018, we had net repayments on our credit facilities and commercial paper program of $72 million. The net repayments resulted primarily from cash flow from operating activities, partially offset by borrowings during the period related to funding needs for inventory purchases and related margin activities.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June 30, 2017, we had net repayments on our credit facilities and commercial paper program of $425 million. The net repayments resulted primarily from cash flow from operating activities and cash received from our equity activities, which offset borrowings during the period related to funding needs for (i) acquisition and capital investments, (ii) repayment of our $400 million, 6.13% senior notes in January 2017 and (iii) other general partnership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On August 14, 2018 we will pay a cash distribution of $37 million ($0.525 per unit)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July 31, 2018, the record date for such distribution for the period from April 1, 2018 through June 30, 2018. See Note 10 to our Condensed Consolidated Financial Statements for details of distributions made during or pertaining to the first six months of 2018.</w:t>
      </w:r>
    </w:p>
    <w:p>
      <w:pPr>
        <w:spacing w:after="0" w:line="147"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i w:val="1"/>
          <w:iCs w:val="1"/>
          <w:color w:val="auto"/>
        </w:rPr>
        <w:t xml:space="preserve">Distributions to Series B preferred unitholders. </w:t>
      </w:r>
      <w:r>
        <w:rPr>
          <w:rFonts w:ascii="Arial" w:cs="Arial" w:eastAsia="Arial" w:hAnsi="Arial"/>
          <w:sz w:val="16"/>
          <w:szCs w:val="16"/>
          <w:color w:val="auto"/>
        </w:rPr>
        <w:t>Distributions on our Series B preferred units are payable semiannually in arrears on the 15th day of</w:t>
      </w:r>
      <w:r>
        <w:rPr>
          <w:rFonts w:ascii="Arial" w:cs="Arial" w:eastAsia="Arial" w:hAnsi="Arial"/>
          <w:sz w:val="16"/>
          <w:szCs w:val="16"/>
          <w:i w:val="1"/>
          <w:iCs w:val="1"/>
          <w:color w:val="auto"/>
        </w:rPr>
        <w:t xml:space="preserve"> </w:t>
      </w:r>
      <w:r>
        <w:rPr>
          <w:rFonts w:ascii="Arial" w:cs="Arial" w:eastAsia="Arial" w:hAnsi="Arial"/>
          <w:sz w:val="16"/>
          <w:szCs w:val="16"/>
          <w:color w:val="auto"/>
        </w:rPr>
        <w:t>May and November. See Note 10 to our Condensed Consolidated Financial Statements for details of distributions made during the first six months of 2018.</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In accordance with our partnership agreement, after making distributions to holders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August 14, 2018, we will pay a quarterly distribution of $0.30 per common unit ($1.20 per common unit on an annualized basis), which is unchanged from our prior three quarterly distributions, but represents a year-over-year distribution decrease of approximately 45% compared to the quarterly distribution of $0.55 per common unit ($2.20 per common unit on an annualized basis) paid in August 2017. See Note 10 to our Condensed Consolidated Financial Statements for details of distributions paid during or pertaining to the first six months of 2018. Also, see Item 5. “Market for Registrant’s Common Units, Related Unitholder Matters and Issuer Purchases of Equity Securities—Cash Distribution Policy” included in our 2017 Annual Report on Form 10-K for additional discussion regarding distributions.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 The following table includes our best estimate of the amount and timing of these payments as well as other amounts due under the specified contractual obligations as of June 30, 2018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2023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31,897</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20,867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20" w:hanging="652"/>
        <w:spacing w:after="0" w:line="271"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senior notes and the commitment fee on assumed available capacity under our credit facilities, as well as long-term borrowings under our credit facilities and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9 to our Condensed Consolidated Financial Statements.</w:t>
      </w:r>
    </w:p>
    <w:p>
      <w:pPr>
        <w:spacing w:after="0" w:line="71" w:lineRule="exact"/>
        <w:rPr>
          <w:rFonts w:ascii="Arial" w:cs="Arial" w:eastAsia="Arial" w:hAnsi="Arial"/>
          <w:sz w:val="22"/>
          <w:szCs w:val="22"/>
          <w:color w:val="auto"/>
          <w:vertAlign w:val="superscript"/>
        </w:rPr>
      </w:pPr>
    </w:p>
    <w:p>
      <w:pPr>
        <w:ind w:left="660" w:right="48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20" w:hanging="652"/>
        <w:spacing w:after="0" w:line="235"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$785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220" w:hanging="652"/>
        <w:spacing w:after="0" w:line="238" w:lineRule="auto"/>
        <w:tabs>
          <w:tab w:leader="none" w:pos="66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June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 related margin obligations and construction activities. At June 30, 2018 and December 31, 2017, we had outstanding letters of credit of approximately $168 million and $166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2018, the Federal Energy Regulatory Commission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2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214" w:lineRule="exact"/>
        <w:rPr>
          <w:sz w:val="20"/>
          <w:szCs w:val="20"/>
          <w:color w:val="auto"/>
        </w:rPr>
      </w:pPr>
    </w:p>
    <w:p>
      <w:pPr>
        <w:ind w:left="1360" w:hanging="704"/>
        <w:spacing w:after="0"/>
        <w:tabs>
          <w:tab w:leader="none" w:pos="13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208" w:lineRule="exact"/>
        <w:rPr>
          <w:sz w:val="20"/>
          <w:szCs w:val="20"/>
          <w:color w:val="auto"/>
        </w:rPr>
      </w:pPr>
    </w:p>
    <w:p>
      <w:pPr>
        <w:ind w:left="1360" w:hanging="7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Condensed Consolidated Financial Statements for further discussion regarding our hedging strategies and objectives.</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2018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certain cases, outstanding debt instruments. All of our senior notes are fixed rate notes and thus are not subject to interest rate risk. Our variable rate debt outstanding at June 30, 2018, approximately $835 million, was subject to interest rate re-sets that range from one day to approximately one week. The average interest rate on variable rate debt that was outstanding during the six months ended June 30, 2018 was 2.8%, based upon rates in effect during such period. The fair value of our interest rate derivatives was a liability of less than $1 million as of June 30, 2018. A 10% increase in the forward LIBOR curve as of June 30, 2018 would have resulted in an increase of $22 million to the fair value of our interest rate derivatives. A 10% decrease in the forward LIBOR curve as of June 30, 2018 would have resulted in a decrease of $22 million to the fair value of our interest rate derivatives. See Note 11 to our Condensed Consolidated Financial Statements for a discussion of our interest rate risk hedging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$7 million as of June 30, 2018. A 10% increase in the exchange rate (USD-to-CAD) would have resulted in an increase of $18 million to the fair value of our foreign currency derivatives. A 10% decrease in the exchange rate (USD-to-CAD) would have resulted in a decrease of $18 million to the fair value of our foreign currency derivatives. See Note 11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$17 million as of June 30, 2018. A 10% increase or decrease in the fair value would have an impact of $2 million. See Note 11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2018,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Omnibus Agreement entered into in November 2016 by and among us, our general partner, GP LLC, AAP, PAGP and its general partner as part of the Simplification Transactions, we agreed to issue common units to AAP upon any AAP Management Units becoming earned that were not earned as of the date of the closing of the Simplification Transactions. See Note 1 to our Consolidated Financial Statements included in Part IV of our 2017 Annual Report on Form 10-K for information regarding the Simplification Transactions.</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quarter ended June 30, 2018, we issued 375,835 common units to AAP associated with AAP Management Units that became earned as of March 31, 2018. This issuance was exempt from the registration requirements of the Securities Act of 1933, as amended, pursuant to Section 4(a)(2) thereof.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p>
      <w:pPr>
        <w:ind w:left="240"/>
        <w:spacing w:after="0"/>
        <w:tabs>
          <w:tab w:leader="none" w:pos="62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520"/>
        <w:spacing w:after="0"/>
        <w:tabs>
          <w:tab w:leader="none" w:pos="1440" w:val="left"/>
          <w:tab w:leader="none" w:pos="18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39">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spacing w:after="0" w:line="23" w:lineRule="exact"/>
        <w:rPr>
          <w:sz w:val="20"/>
          <w:szCs w:val="20"/>
          <w:color w:val="auto"/>
        </w:rPr>
      </w:pPr>
    </w:p>
    <w:p>
      <w:pPr>
        <w:ind w:left="1880"/>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319" w:lineRule="exact"/>
        <w:rPr>
          <w:sz w:val="20"/>
          <w:szCs w:val="20"/>
          <w:color w:val="auto"/>
        </w:rPr>
      </w:pPr>
    </w:p>
    <w:p>
      <w:pPr>
        <w:ind w:left="1460" w:right="14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279" w:lineRule="exact"/>
        <w:rPr>
          <w:sz w:val="20"/>
          <w:szCs w:val="20"/>
          <w:color w:val="auto"/>
        </w:rPr>
      </w:pPr>
    </w:p>
    <w:p>
      <w:pPr>
        <w:ind w:left="1460" w:right="30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22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30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34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8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279" w:lineRule="exact"/>
        <w:rPr>
          <w:sz w:val="20"/>
          <w:szCs w:val="20"/>
          <w:color w:val="auto"/>
        </w:rPr>
      </w:pPr>
    </w:p>
    <w:p>
      <w:pPr>
        <w:ind w:left="1460" w:right="20" w:hanging="1347"/>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 xml:space="preserve">— </w:t>
      </w:r>
      <w:hyperlink r:id="rId46">
        <w:r>
          <w:rPr>
            <w:rFonts w:ascii="Arial" w:cs="Arial" w:eastAsia="Arial" w:hAnsi="Arial"/>
            <w:sz w:val="16"/>
            <w:szCs w:val="16"/>
            <w:u w:val="single" w:color="auto"/>
            <w:color w:val="0000FF"/>
          </w:rPr>
          <w:t>Amendment No. 1 dated January 1, 2013 to the Third Amended and Restated Agreement of Limited Partnership of Plains Pipeline,</w:t>
        </w:r>
      </w:hyperlink>
      <w:r>
        <w:rPr>
          <w:rFonts w:ascii="Arial" w:cs="Arial" w:eastAsia="Arial" w:hAnsi="Arial"/>
          <w:sz w:val="16"/>
          <w:szCs w:val="16"/>
          <w:color w:val="auto"/>
        </w:rPr>
        <w:t xml:space="preserve"> </w:t>
      </w:r>
      <w:hyperlink r:id="rId46">
        <w:r>
          <w:rPr>
            <w:rFonts w:ascii="Arial" w:cs="Arial" w:eastAsia="Arial" w:hAnsi="Arial"/>
            <w:sz w:val="16"/>
            <w:szCs w:val="16"/>
            <w:u w:val="single" w:color="auto"/>
            <w:color w:val="0000FF"/>
          </w:rPr>
          <w:t>L.P. (incorporated by reference to Exhibit 3.10 to our Annual Report on Form 10-K for the year ended December 31, 2013).</w:t>
        </w:r>
      </w:hyperlink>
    </w:p>
    <w:p>
      <w:pPr>
        <w:spacing w:after="0" w:line="232" w:lineRule="exact"/>
        <w:rPr>
          <w:sz w:val="20"/>
          <w:szCs w:val="20"/>
          <w:color w:val="auto"/>
        </w:rPr>
      </w:pPr>
    </w:p>
    <w:p>
      <w:pPr>
        <w:ind w:left="1460" w:right="2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Seventh Amended and Restated Limited Liability Company Agreement of Plains All American GP LLC dated November 15, 2016</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(incorporated by reference to Exhibit 3.3 to our Current Report on Form 8-K filed November 21, 2016).</w:t>
        </w:r>
      </w:hyperlink>
    </w:p>
    <w:p>
      <w:pPr>
        <w:spacing w:after="0" w:line="279" w:lineRule="exact"/>
        <w:rPr>
          <w:sz w:val="20"/>
          <w:szCs w:val="20"/>
          <w:color w:val="auto"/>
        </w:rPr>
      </w:pPr>
    </w:p>
    <w:p>
      <w:pPr>
        <w:ind w:left="1460" w:right="36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reference to Exhibit 3.4 to our Current Report on Form 8-K filed November 21, 2016).</w:t>
        </w:r>
      </w:hyperlink>
    </w:p>
    <w:p>
      <w:pPr>
        <w:spacing w:after="0" w:line="279" w:lineRule="exact"/>
        <w:rPr>
          <w:sz w:val="20"/>
          <w:szCs w:val="20"/>
          <w:color w:val="auto"/>
        </w:rPr>
      </w:pPr>
    </w:p>
    <w:p>
      <w:pPr>
        <w:ind w:left="1460" w:hanging="1389"/>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FF"/>
          </w:rPr>
          <w:t>Certificate of Incorporation of PAA Finance Corp. (f/k/a Pacific Energy Finance Corporation, successor-by-merger to PAA Finance</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FF"/>
          </w:rPr>
          <w:t>Corp.) (incorporated by reference to Exhibit 3.10 to our Annual Report on Form 10-K for the year ended December 31, 2006).</w:t>
        </w:r>
      </w:hyperlink>
    </w:p>
    <w:p>
      <w:pPr>
        <w:spacing w:after="0" w:line="83" w:lineRule="exact"/>
        <w:rPr>
          <w:sz w:val="20"/>
          <w:szCs w:val="20"/>
          <w:color w:val="auto"/>
        </w:rPr>
      </w:pPr>
    </w:p>
    <w:p>
      <w:pPr>
        <w:jc w:val="right"/>
        <w:ind w:left="480" w:right="88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   </w:t>
      </w:r>
      <w:hyperlink r:id="rId50">
        <w:r>
          <w:rPr>
            <w:rFonts w:ascii="Arial" w:cs="Arial" w:eastAsia="Arial" w:hAnsi="Arial"/>
            <w:sz w:val="18"/>
            <w:szCs w:val="18"/>
            <w:u w:val="single" w:color="auto"/>
            <w:color w:val="0000FF"/>
          </w:rPr>
          <w:t>Bylaws of PAA Finance Corp. (f/k/a Pacific Energy Finance Corporation, successor-by-merger to PAA Finance Corp.)</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(incorporated by reference to Exhibit 3.11 to our Annual Report on Form 10-K for the year ended December 31, 2006).</w:t>
        </w:r>
      </w:hyperlink>
    </w:p>
    <w:p>
      <w:pPr>
        <w:spacing w:after="0" w:line="2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3.13</w:t>
            </w:r>
          </w:p>
        </w:tc>
        <w:tc>
          <w:tcPr>
            <w:tcW w:w="10160" w:type="dxa"/>
            <w:vAlign w:val="bottom"/>
            <w:gridSpan w:val="3"/>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1">
              <w:r>
                <w:rPr>
                  <w:rFonts w:ascii="Arial" w:cs="Arial" w:eastAsia="Arial" w:hAnsi="Arial"/>
                  <w:sz w:val="18"/>
                  <w:szCs w:val="18"/>
                  <w:color w:val="0000FF"/>
                  <w:w w:val="93"/>
                </w:rPr>
                <w:t>Limited Liability Company Agreement of PAA GP LLC dated December 28, 2007 (incorporated by reference to Exhibit 3.3 to our</w:t>
              </w:r>
            </w:hyperlink>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Current Report on Form 8-K filed January 4, 2008).</w:t>
              </w:r>
            </w:hyperlink>
          </w:p>
        </w:tc>
        <w:tc>
          <w:tcPr>
            <w:tcW w:w="5660" w:type="dxa"/>
            <w:vAlign w:val="bottom"/>
            <w:tcBorders>
              <w:top w:val="single" w:sz="8" w:color="0000FF"/>
            </w:tcBorders>
          </w:tcPr>
          <w:p>
            <w:pPr>
              <w:spacing w:after="0"/>
              <w:rPr>
                <w:sz w:val="17"/>
                <w:szCs w:val="17"/>
                <w:color w:val="auto"/>
              </w:rPr>
            </w:pPr>
          </w:p>
        </w:tc>
      </w:tr>
    </w:tbl>
    <w:p>
      <w:pPr>
        <w:spacing w:after="0" w:line="337" w:lineRule="exact"/>
        <w:rPr>
          <w:sz w:val="20"/>
          <w:szCs w:val="20"/>
          <w:color w:val="auto"/>
        </w:rPr>
      </w:pPr>
    </w:p>
    <w:p>
      <w:pPr>
        <w:ind w:left="1460" w:right="30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Statement on Form S-1 (333-190227) filed July 29, 2013).</w:t>
        </w:r>
      </w:hyperlink>
    </w:p>
    <w:p>
      <w:pPr>
        <w:spacing w:after="0" w:line="130" w:lineRule="exact"/>
        <w:rPr>
          <w:sz w:val="20"/>
          <w:szCs w:val="20"/>
          <w:color w:val="auto"/>
        </w:rPr>
      </w:pPr>
    </w:p>
    <w:p>
      <w:pPr>
        <w:ind w:left="1460" w:right="760" w:hanging="1392"/>
        <w:spacing w:after="0" w:line="308" w:lineRule="auto"/>
        <w:tabs>
          <w:tab w:leader="none" w:pos="1440" w:val="left"/>
        </w:tabs>
        <w:rPr>
          <w:rFonts w:ascii="Arial" w:cs="Arial" w:eastAsia="Arial" w:hAnsi="Arial"/>
          <w:sz w:val="17"/>
          <w:szCs w:val="17"/>
          <w:u w:val="single" w:color="auto"/>
          <w:color w:val="0000FF"/>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106" w:lineRule="exact"/>
        <w:rPr>
          <w:sz w:val="20"/>
          <w:szCs w:val="20"/>
          <w:color w:val="auto"/>
        </w:rPr>
      </w:pPr>
    </w:p>
    <w:p>
      <w:pPr>
        <w:ind w:left="1460" w:right="8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Form S-1 (333-190227) filed July 29, 2013).</w:t>
        </w:r>
      </w:hyperlink>
    </w:p>
    <w:p>
      <w:pPr>
        <w:spacing w:after="0" w:line="130" w:lineRule="exact"/>
        <w:rPr>
          <w:sz w:val="20"/>
          <w:szCs w:val="20"/>
          <w:color w:val="auto"/>
        </w:rPr>
      </w:pPr>
    </w:p>
    <w:p>
      <w:pPr>
        <w:ind w:left="1460" w:right="34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(incorporated by reference to Exhibit 3.1 to our Current Report on Form 8-K filed February 21, 2017).</w:t>
        </w:r>
      </w:hyperlink>
    </w:p>
    <w:p>
      <w:pPr>
        <w:sectPr>
          <w:pgSz w:w="11900" w:h="16838" w:orient="portrait"/>
          <w:cols w:equalWidth="0" w:num="1">
            <w:col w:w="11340"/>
          </w:cols>
          <w:pgMar w:left="240" w:top="125" w:right="319" w:bottom="1440" w:gutter="0" w:footer="0" w:header="0"/>
        </w:sect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40"/>
          </w:cols>
          <w:pgMar w:left="240" w:top="125" w:right="31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6">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Association, as trustee (incorporated by reference to Exhibit 4.1 to our Quarterly Report on Form 10-Q for the quarter ended</w:t>
              </w:r>
            </w:hyperlink>
          </w:p>
        </w:tc>
        <w:tc>
          <w:tcPr>
            <w:tcW w:w="400" w:type="dxa"/>
            <w:vAlign w:val="bottom"/>
            <w:tcBorders>
              <w:top w:val="single" w:sz="8" w:color="0000FF"/>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September 30, 2002).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7">
              <w:r>
                <w:rPr>
                  <w:rFonts w:ascii="Arial" w:cs="Arial" w:eastAsia="Arial" w:hAnsi="Arial"/>
                  <w:sz w:val="18"/>
                  <w:szCs w:val="18"/>
                  <w:color w:val="0000FF"/>
                  <w:w w:val="97"/>
                </w:rPr>
                <w:t>Sixth Supplemental Indenture (Series A and Series B 6.70% Senior Notes due 2036) dated May 12, 2006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American Pipeline, L.P., PAA Finance Corp., the Subsidiary Guarantors named therein and Wachovia Bank, National Association,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as trustee (incorporated by reference to Exhibit 4.1 to our Current Report on Form 8-K filed May 12, 2006).</w:t>
              </w:r>
            </w:hyperlink>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8">
              <w:r>
                <w:rPr>
                  <w:rFonts w:ascii="Arial" w:cs="Arial" w:eastAsia="Arial" w:hAnsi="Arial"/>
                  <w:sz w:val="18"/>
                  <w:szCs w:val="18"/>
                  <w:color w:val="0000FF"/>
                  <w:w w:val="93"/>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American Pipeline, L.P., PAA Finance Corp., the Subsidiary Guarantors named therein and U.S. Bank National Association, as</w:t>
              </w:r>
            </w:hyperlink>
          </w:p>
        </w:tc>
        <w:tc>
          <w:tcPr>
            <w:tcW w:w="80" w:type="dxa"/>
            <w:vAlign w:val="bottom"/>
            <w:tcBorders>
              <w:top w:val="single" w:sz="8" w:color="0000FF"/>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trustee (incorporated by reference to Exhibit 4.2 to our Current Report on Form 8-K filed October 30, 2006).</w:t>
              </w:r>
            </w:hyperlink>
          </w:p>
        </w:tc>
        <w:tc>
          <w:tcPr>
            <w:tcW w:w="1640" w:type="dxa"/>
            <w:vAlign w:val="bottom"/>
            <w:gridSpan w:val="17"/>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9">
              <w:r>
                <w:rPr>
                  <w:rFonts w:ascii="Arial" w:cs="Arial" w:eastAsia="Arial" w:hAnsi="Arial"/>
                  <w:sz w:val="18"/>
                  <w:szCs w:val="18"/>
                  <w:color w:val="0000FF"/>
                  <w:w w:val="97"/>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Pipeline, L.P., PAA Finance Corp., the Subsidiary Guarantors named therein and U.S. Bank National Association, as trustee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(incorporated by reference to Exhibit 4.1 to our Current Report on Form 8-K filed September 4, 2009).</w:t>
              </w:r>
            </w:hyperlink>
          </w:p>
        </w:tc>
        <w:tc>
          <w:tcPr>
            <w:tcW w:w="1500" w:type="dxa"/>
            <w:vAlign w:val="bottom"/>
            <w:tcBorders>
              <w:top w:val="single" w:sz="8" w:color="0000FF"/>
            </w:tcBorders>
            <w:gridSpan w:val="7"/>
          </w:tcPr>
          <w:p>
            <w:pPr>
              <w:spacing w:after="0"/>
              <w:rPr>
                <w:sz w:val="17"/>
                <w:szCs w:val="17"/>
                <w:color w:val="auto"/>
              </w:rPr>
            </w:pPr>
          </w:p>
        </w:tc>
        <w:tc>
          <w:tcPr>
            <w:tcW w:w="560" w:type="dxa"/>
            <w:vAlign w:val="bottom"/>
            <w:gridSpan w:val="1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0">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61">
              <w:r>
                <w:rPr>
                  <w:rFonts w:ascii="Arial" w:cs="Arial" w:eastAsia="Arial" w:hAnsi="Arial"/>
                  <w:sz w:val="18"/>
                  <w:szCs w:val="18"/>
                  <w:color w:val="0000FF"/>
                  <w:w w:val="94"/>
                </w:rPr>
                <w:t>Twentieth Supplemental Indenture (3.65% Senior Notes due 2022)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L.P., PAA Finance Corp. and U.S. Bank National Association, as trustee (incorporated by reference to Exhibit 4.1 to our Current</w:t>
              </w:r>
            </w:hyperlink>
          </w:p>
        </w:tc>
        <w:tc>
          <w:tcPr>
            <w:tcW w:w="1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Report on Form 8-K filed March 26, 2012).</w:t>
              </w:r>
            </w:hyperlink>
          </w:p>
        </w:tc>
        <w:tc>
          <w:tcPr>
            <w:tcW w:w="6320" w:type="dxa"/>
            <w:vAlign w:val="bottom"/>
            <w:gridSpan w:val="2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2">
              <w:r>
                <w:rPr>
                  <w:rFonts w:ascii="Arial" w:cs="Arial" w:eastAsia="Arial" w:hAnsi="Arial"/>
                  <w:sz w:val="18"/>
                  <w:szCs w:val="18"/>
                  <w:color w:val="0000FF"/>
                  <w:w w:val="93"/>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6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Report on Form 8-K filed March 26, 2012).</w:t>
              </w:r>
            </w:hyperlink>
          </w:p>
        </w:tc>
        <w:tc>
          <w:tcPr>
            <w:tcW w:w="6320" w:type="dxa"/>
            <w:vAlign w:val="bottom"/>
            <w:gridSpan w:val="2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3">
              <w:r>
                <w:rPr>
                  <w:rFonts w:ascii="Arial" w:cs="Arial" w:eastAsia="Arial" w:hAnsi="Arial"/>
                  <w:sz w:val="18"/>
                  <w:szCs w:val="18"/>
                  <w:color w:val="0000FF"/>
                  <w:w w:val="95"/>
                </w:rPr>
                <w:t>Twenty-Second Supplemental Indenture (2.85% Senior Notes due 2023)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tcBorders>
              <w:top w:val="single" w:sz="8" w:color="0000FF"/>
            </w:tcBorders>
            <w:gridSpan w:val="6"/>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4.1 to our Current Report on Form 8-K filed December 12, 2012).</w:t>
              </w:r>
            </w:hyperlink>
          </w:p>
        </w:tc>
        <w:tc>
          <w:tcPr>
            <w:tcW w:w="4140" w:type="dxa"/>
            <w:vAlign w:val="bottom"/>
            <w:gridSpan w:val="2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4">
              <w:r>
                <w:rPr>
                  <w:rFonts w:ascii="Arial" w:cs="Arial" w:eastAsia="Arial" w:hAnsi="Arial"/>
                  <w:sz w:val="18"/>
                  <w:szCs w:val="18"/>
                  <w:color w:val="0000FF"/>
                  <w:w w:val="97"/>
                </w:rPr>
                <w:t>Twenty-Third Supplemental Indenture (4.30% Senior Notes due 2043)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tcBorders>
              <w:top w:val="single" w:sz="8" w:color="0000FF"/>
            </w:tcBorders>
            <w:gridSpan w:val="2"/>
          </w:tcPr>
          <w:p>
            <w:pPr>
              <w:spacing w:after="0"/>
              <w:rPr>
                <w:sz w:val="17"/>
                <w:szCs w:val="17"/>
                <w:color w:val="auto"/>
              </w:rPr>
            </w:pPr>
          </w:p>
        </w:tc>
        <w:tc>
          <w:tcPr>
            <w:tcW w:w="62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Exhibit 4.3 to our Current Report on Form 8-K filed December 12, 2012).</w:t>
              </w:r>
            </w:hyperlink>
          </w:p>
        </w:tc>
        <w:tc>
          <w:tcPr>
            <w:tcW w:w="4140" w:type="dxa"/>
            <w:vAlign w:val="bottom"/>
            <w:gridSpan w:val="22"/>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65">
              <w:r>
                <w:rPr>
                  <w:rFonts w:ascii="Arial" w:cs="Arial" w:eastAsia="Arial" w:hAnsi="Arial"/>
                  <w:sz w:val="18"/>
                  <w:szCs w:val="18"/>
                  <w:color w:val="0000FF"/>
                  <w:w w:val="91"/>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top w:val="single" w:sz="8" w:color="0000FF"/>
            </w:tcBorders>
            <w:gridSpan w:val="28"/>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Current Report on Form 8-K filed August 15, 2013).</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6">
              <w:r>
                <w:rPr>
                  <w:rFonts w:ascii="Arial" w:cs="Arial" w:eastAsia="Arial" w:hAnsi="Arial"/>
                  <w:sz w:val="18"/>
                  <w:szCs w:val="18"/>
                  <w:color w:val="0000FF"/>
                  <w:w w:val="95"/>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67">
              <w:r>
                <w:rPr>
                  <w:rFonts w:ascii="Arial" w:cs="Arial" w:eastAsia="Arial" w:hAnsi="Arial"/>
                  <w:sz w:val="18"/>
                  <w:szCs w:val="18"/>
                  <w:color w:val="0000FF"/>
                  <w:w w:val="98"/>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8">
              <w:r>
                <w:rPr>
                  <w:rFonts w:ascii="Arial" w:cs="Arial" w:eastAsia="Arial" w:hAnsi="Arial"/>
                  <w:sz w:val="18"/>
                  <w:szCs w:val="18"/>
                  <w:color w:val="0000FF"/>
                  <w:w w:val="96"/>
                </w:rPr>
                <w:t>Twenty-Seventh Supplemental Indenture (2.60% Senior Notes due 2019)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and U.S. Bank National Association, as trustee (incorporated by reference to</w:t>
              </w:r>
            </w:hyperlink>
          </w:p>
        </w:tc>
        <w:tc>
          <w:tcPr>
            <w:tcW w:w="160" w:type="dxa"/>
            <w:vAlign w:val="bottom"/>
            <w:tcBorders>
              <w:top w:val="single" w:sz="8" w:color="0000FF"/>
            </w:tcBorders>
            <w:gridSpan w:val="4"/>
          </w:tcPr>
          <w:p>
            <w:pPr>
              <w:spacing w:after="0"/>
              <w:rPr>
                <w:sz w:val="17"/>
                <w:szCs w:val="17"/>
                <w:color w:val="auto"/>
              </w:rPr>
            </w:pPr>
          </w:p>
        </w:tc>
        <w:tc>
          <w:tcPr>
            <w:tcW w:w="5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4.1 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3540" w:type="dxa"/>
            <w:vAlign w:val="bottom"/>
            <w:gridSpan w:val="9"/>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9">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tcBorders>
              <w:top w:val="single" w:sz="8" w:color="0000FF"/>
            </w:tcBorders>
          </w:tcPr>
          <w:p>
            <w:pPr>
              <w:spacing w:after="0"/>
              <w:rPr>
                <w:sz w:val="17"/>
                <w:szCs w:val="17"/>
                <w:color w:val="auto"/>
              </w:rPr>
            </w:pPr>
          </w:p>
        </w:tc>
        <w:tc>
          <w:tcPr>
            <w:tcW w:w="62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Exhibit 4.3 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080" w:type="dxa"/>
            <w:vAlign w:val="bottom"/>
            <w:gridSpan w:val="2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0">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Current Report on Form 8-K filed August 26, 2015).</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838"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40"/>
          </w:cols>
          <w:pgMar w:left="240" w:top="108" w:right="319" w:bottom="838"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1">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2">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40" w:type="dxa"/>
            <w:vAlign w:val="bottom"/>
            <w:tcBorders>
              <w:top w:val="single" w:sz="8" w:color="0000FF"/>
            </w:tcBorders>
            <w:gridSpan w:val="13"/>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Storage LLC (incorporated by reference to Exhibit 4.1 to our Registration Statement on Form S-3, File No. 333-162477).</w:t>
              </w:r>
            </w:hyperlink>
          </w:p>
        </w:tc>
        <w:tc>
          <w:tcPr>
            <w:tcW w:w="480" w:type="dxa"/>
            <w:vAlign w:val="bottom"/>
            <w:gridSpan w:val="8"/>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3">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therein (incorporated by reference to Exhibit 4.1 to our Current Report on Form 8-K filed February 2, 2016).</w:t>
              </w:r>
            </w:hyperlink>
          </w:p>
        </w:tc>
        <w:tc>
          <w:tcPr>
            <w:tcW w:w="1500" w:type="dxa"/>
            <w:vAlign w:val="bottom"/>
            <w:tcBorders>
              <w:top w:val="single" w:sz="8" w:color="0000FF"/>
            </w:tcBorders>
            <w:gridSpan w:val="6"/>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4">
              <w:r>
                <w:rPr>
                  <w:rFonts w:ascii="Arial" w:cs="Arial" w:eastAsia="Arial" w:hAnsi="Arial"/>
                  <w:sz w:val="18"/>
                  <w:szCs w:val="18"/>
                  <w:color w:val="0000FF"/>
                  <w:w w:val="91"/>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15, 2016 (incorporated by reference to Exhibit 10.4 to our Current Report on Form 8-K filed November 21, 2016).</w:t>
              </w:r>
            </w:hyperlink>
          </w:p>
        </w:tc>
        <w:tc>
          <w:tcPr>
            <w:tcW w:w="1180" w:type="dxa"/>
            <w:vAlign w:val="bottom"/>
            <w:tcBorders>
              <w:top w:val="single" w:sz="8" w:color="0000FF"/>
            </w:tcBorders>
            <w:gridSpan w:val="10"/>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 *</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5">
              <w:r>
                <w:rPr>
                  <w:rFonts w:ascii="Arial" w:cs="Arial" w:eastAsia="Arial" w:hAnsi="Arial"/>
                  <w:sz w:val="18"/>
                  <w:szCs w:val="18"/>
                  <w:color w:val="0000FF"/>
                  <w:w w:val="92"/>
                </w:rPr>
                <w:t>Second Amendment dated March 22, 2018 to Plains AAP, L.P. Class B Restricted Units Agreement (Willie Chiang) (incorporated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by reference to Exhibit 10.1 to our Quarterly Report on Form 10-Q for the quarter ended March 31, 2018).</w:t>
              </w:r>
            </w:hyperlink>
          </w:p>
        </w:tc>
        <w:tc>
          <w:tcPr>
            <w:tcW w:w="6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10.2 *</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6">
              <w:r>
                <w:rPr>
                  <w:rFonts w:ascii="Arial" w:cs="Arial" w:eastAsia="Arial" w:hAnsi="Arial"/>
                  <w:sz w:val="18"/>
                  <w:szCs w:val="18"/>
                  <w:color w:val="0000FF"/>
                  <w:w w:val="92"/>
                </w:rPr>
                <w:t>Form of First Amendment dated March 22, 2018 to Amended and Restated Plains AAP, L.P. Class B Restricted Units Agreement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76">
              <w:r>
                <w:rPr>
                  <w:rFonts w:ascii="Arial" w:cs="Arial" w:eastAsia="Arial" w:hAnsi="Arial"/>
                  <w:sz w:val="18"/>
                  <w:szCs w:val="18"/>
                  <w:color w:val="0000FF"/>
                  <w:w w:val="88"/>
                </w:rPr>
                <w:t>ended March 31, 2018).</w:t>
              </w:r>
            </w:hyperlink>
          </w:p>
        </w:tc>
        <w:tc>
          <w:tcPr>
            <w:tcW w:w="7700" w:type="dxa"/>
            <w:vAlign w:val="bottom"/>
            <w:gridSpan w:val="19"/>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10.3 *</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7">
              <w:r>
                <w:rPr>
                  <w:rFonts w:ascii="Arial" w:cs="Arial" w:eastAsia="Arial" w:hAnsi="Arial"/>
                  <w:sz w:val="18"/>
                  <w:szCs w:val="18"/>
                  <w:color w:val="0000FF"/>
                  <w:w w:val="92"/>
                </w:rPr>
                <w:t>Amendment dated March 22, 2018 to PAA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Exhibit 10.3 to our Quarterly Report on Form 10-Q for the quarter ended March 31, 2018).</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10.4 *</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8">
              <w:r>
                <w:rPr>
                  <w:rFonts w:ascii="Arial" w:cs="Arial" w:eastAsia="Arial" w:hAnsi="Arial"/>
                  <w:sz w:val="18"/>
                  <w:szCs w:val="18"/>
                  <w:color w:val="0000FF"/>
                  <w:w w:val="92"/>
                </w:rPr>
                <w:t>Form of Amendment dated March 22, 2018 to PAA LTIP Grant Letter dated August 25, 2016 (Officers) (incorporated by reference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to Exhibit 10.4 to our Quarterly Report on Form 10-Q for the quarter ended March 31, 2018).</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10.5 *</w:t>
            </w:r>
          </w:p>
        </w:tc>
        <w:tc>
          <w:tcPr>
            <w:tcW w:w="100" w:type="dxa"/>
            <w:vAlign w:val="bottom"/>
          </w:tcPr>
          <w:p>
            <w:pPr>
              <w:spacing w:after="0"/>
              <w:rPr>
                <w:sz w:val="24"/>
                <w:szCs w:val="24"/>
                <w:color w:val="auto"/>
              </w:rPr>
            </w:pPr>
          </w:p>
        </w:tc>
        <w:tc>
          <w:tcPr>
            <w:tcW w:w="9920" w:type="dxa"/>
            <w:vAlign w:val="bottom"/>
            <w:gridSpan w:val="22"/>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9">
              <w:r>
                <w:rPr>
                  <w:rFonts w:ascii="Arial" w:cs="Arial" w:eastAsia="Arial" w:hAnsi="Arial"/>
                  <w:sz w:val="18"/>
                  <w:szCs w:val="18"/>
                  <w:color w:val="0000FF"/>
                  <w:w w:val="94"/>
                </w:rPr>
                <w:t>Form of PAA LTIP Grant Letter for Officers (March 2018) (incorporated by reference to Exhibit 10.5 to our Quarterly Report 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Form 10-Q for the quarter ended March 31, 2018).</w:t>
              </w:r>
            </w:hyperlink>
          </w:p>
        </w:tc>
        <w:tc>
          <w:tcPr>
            <w:tcW w:w="120" w:type="dxa"/>
            <w:vAlign w:val="bottom"/>
            <w:gridSpan w:val="6"/>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12.1 †</w:t>
            </w:r>
          </w:p>
        </w:tc>
        <w:tc>
          <w:tcPr>
            <w:tcW w:w="9920" w:type="dxa"/>
            <w:vAlign w:val="bottom"/>
            <w:gridSpan w:val="22"/>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66">
              <w:r>
                <w:rPr>
                  <w:rFonts w:ascii="Arial" w:cs="Arial" w:eastAsia="Arial" w:hAnsi="Arial"/>
                  <w:sz w:val="18"/>
                  <w:szCs w:val="18"/>
                  <w:color w:val="0000FF"/>
                  <w:w w:val="91"/>
                </w:rPr>
                <w:t>Statement of Computation of Ratio of Earnings to Fixed Charges and Ratio of Earnings to Combined Fixed Charges and Preferred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Unit Distributions.</w:t>
              </w:r>
            </w:hyperlink>
          </w:p>
        </w:tc>
        <w:tc>
          <w:tcPr>
            <w:tcW w:w="40" w:type="dxa"/>
            <w:vAlign w:val="bottom"/>
            <w:gridSpan w:val="2"/>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140" w:type="dxa"/>
            <w:vAlign w:val="bottom"/>
            <w:gridSpan w:val="13"/>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31.1 †</w:t>
            </w:r>
          </w:p>
        </w:tc>
        <w:tc>
          <w:tcPr>
            <w:tcW w:w="9920" w:type="dxa"/>
            <w:vAlign w:val="bottom"/>
            <w:gridSpan w:val="22"/>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tcBorders>
              <w:left w:val="single" w:sz="8" w:color="0000FF"/>
            </w:tcBorders>
            <w:gridSpan w:val="13"/>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31.2 †</w:t>
            </w:r>
          </w:p>
        </w:tc>
        <w:tc>
          <w:tcPr>
            <w:tcW w:w="9920" w:type="dxa"/>
            <w:vAlign w:val="bottom"/>
            <w:gridSpan w:val="22"/>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8">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140" w:type="dxa"/>
            <w:vAlign w:val="bottom"/>
            <w:gridSpan w:val="13"/>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32.1 ††</w:t>
            </w:r>
          </w:p>
        </w:tc>
        <w:tc>
          <w:tcPr>
            <w:tcW w:w="9920" w:type="dxa"/>
            <w:vAlign w:val="bottom"/>
            <w:gridSpan w:val="22"/>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FF"/>
                </w:rPr>
                <w:t>Certification of Principal Executive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300" w:type="dxa"/>
            <w:vAlign w:val="bottom"/>
            <w:tcBorders>
              <w:left w:val="single" w:sz="8" w:color="0000FF"/>
            </w:tcBorders>
            <w:gridSpan w:val="16"/>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32.2 ††</w:t>
            </w:r>
          </w:p>
        </w:tc>
        <w:tc>
          <w:tcPr>
            <w:tcW w:w="9920" w:type="dxa"/>
            <w:vAlign w:val="bottom"/>
            <w:gridSpan w:val="22"/>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0">
              <w:r>
                <w:rPr>
                  <w:rFonts w:ascii="Arial" w:cs="Arial" w:eastAsia="Arial" w:hAnsi="Arial"/>
                  <w:sz w:val="18"/>
                  <w:szCs w:val="18"/>
                  <w:color w:val="0000FF"/>
                </w:rPr>
                <w:t>Certification of Principal Financial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300" w:type="dxa"/>
            <w:vAlign w:val="bottom"/>
            <w:gridSpan w:val="16"/>
          </w:tcPr>
          <w:p>
            <w:pPr>
              <w:spacing w:after="0" w:line="20" w:lineRule="exact"/>
              <w:rPr>
                <w:sz w:val="1"/>
                <w:szCs w:val="1"/>
                <w:color w:val="auto"/>
              </w:rPr>
            </w:pPr>
          </w:p>
        </w:tc>
      </w:tr>
      <w:tr>
        <w:trPr>
          <w:trHeight w:val="41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101.INS†</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Instance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101.SCH†</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101.DEF†</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101.LAB†</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101.PRE†</w:t>
            </w:r>
          </w:p>
        </w:tc>
        <w:tc>
          <w:tcPr>
            <w:tcW w:w="9920" w:type="dxa"/>
            <w:vAlign w:val="bottom"/>
            <w:gridSpan w:val="22"/>
          </w:tcPr>
          <w:p>
            <w:pPr>
              <w:ind w:left="8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83"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ectPr>
          <w:pgSz w:w="11900" w:h="16838" w:orient="portrait"/>
          <w:cols w:equalWidth="0" w:num="1">
            <w:col w:w="11300"/>
          </w:cols>
          <w:pgMar w:left="24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00"/>
          </w:cols>
          <w:pgMar w:left="240" w:top="108" w:right="3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Plains All</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260" w:right="1540"/>
        <w:spacing w:after="0" w:line="266"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Fixed Charges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Series A preferred unit distributions </w:t>
            </w:r>
            <w:r>
              <w:rPr>
                <w:rFonts w:ascii="Arial" w:cs="Arial" w:eastAsia="Arial" w:hAnsi="Arial"/>
                <w:sz w:val="25"/>
                <w:szCs w:val="25"/>
                <w:color w:val="auto"/>
                <w:vertAlign w:val="superscript"/>
              </w:rPr>
              <w:t>(2)(3)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Series B preferred unit distributions </w:t>
            </w:r>
            <w:r>
              <w:rPr>
                <w:rFonts w:ascii="Arial" w:cs="Arial" w:eastAsia="Arial" w:hAnsi="Arial"/>
                <w:sz w:val="25"/>
                <w:szCs w:val="25"/>
                <w:color w:val="auto"/>
                <w:vertAlign w:val="superscript"/>
              </w:rPr>
              <w:t>(2)(4)</w:t>
            </w:r>
          </w:p>
        </w:tc>
        <w:tc>
          <w:tcPr>
            <w:tcW w:w="12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Combined Fixed Charges and Preferred Unit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(5)</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2.76x</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2.45x</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2.80x</w:t>
            </w:r>
          </w:p>
        </w:tc>
        <w:tc>
          <w:tcPr>
            <w:tcW w:w="2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4.30x</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4.41x</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COMBINED FIXED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CHARGES AND PREFERRED UNIT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shd w:val="clear" w:color="auto" w:fill="CCEEFF"/>
          </w:tcPr>
          <w:p>
            <w:pPr>
              <w:ind w:left="200"/>
              <w:spacing w:after="0" w:line="262" w:lineRule="exact"/>
              <w:rPr>
                <w:sz w:val="20"/>
                <w:szCs w:val="20"/>
                <w:color w:val="auto"/>
              </w:rPr>
            </w:pPr>
            <w:r>
              <w:rPr>
                <w:rFonts w:ascii="Arial" w:cs="Arial" w:eastAsia="Arial" w:hAnsi="Arial"/>
                <w:sz w:val="18"/>
                <w:szCs w:val="18"/>
                <w:b w:val="1"/>
                <w:bCs w:val="1"/>
                <w:color w:val="auto"/>
              </w:rPr>
              <w:t xml:space="preserve">DISTRIBUTIONS </w:t>
            </w:r>
            <w:r>
              <w:rPr>
                <w:rFonts w:ascii="Arial" w:cs="Arial" w:eastAsia="Arial" w:hAnsi="Arial"/>
                <w:sz w:val="25"/>
                <w:szCs w:val="25"/>
                <w:b w:val="1"/>
                <w:bCs w:val="1"/>
                <w:color w:val="auto"/>
                <w:vertAlign w:val="superscript"/>
              </w:rPr>
              <w:t>(2)(5)</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2.00x</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1.96x</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1.86x</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35"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96" w:lineRule="exact"/>
        <w:rPr>
          <w:rFonts w:ascii="Arial" w:cs="Arial" w:eastAsia="Arial" w:hAnsi="Arial"/>
          <w:sz w:val="25"/>
          <w:szCs w:val="25"/>
          <w:color w:val="auto"/>
          <w:vertAlign w:val="superscript"/>
        </w:rPr>
      </w:pPr>
    </w:p>
    <w:p>
      <w:pPr>
        <w:ind w:left="660" w:right="280" w:hanging="652"/>
        <w:spacing w:after="0" w:line="216"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95" w:lineRule="exact"/>
        <w:rPr>
          <w:rFonts w:ascii="Arial" w:cs="Arial" w:eastAsia="Arial" w:hAnsi="Arial"/>
          <w:sz w:val="25"/>
          <w:szCs w:val="25"/>
          <w:color w:val="auto"/>
          <w:vertAlign w:val="superscript"/>
        </w:rPr>
      </w:pPr>
    </w:p>
    <w:p>
      <w:pPr>
        <w:jc w:val="both"/>
        <w:ind w:left="660" w:right="360" w:hanging="652"/>
        <w:spacing w:after="0" w:line="268" w:lineRule="auto"/>
        <w:tabs>
          <w:tab w:leader="none" w:pos="660" w:val="left"/>
        </w:tabs>
        <w:numPr>
          <w:ilvl w:val="0"/>
          <w:numId w:val="54"/>
        </w:numPr>
        <w:rPr>
          <w:rFonts w:ascii="Arial" w:cs="Arial" w:eastAsia="Arial" w:hAnsi="Arial"/>
          <w:sz w:val="22"/>
          <w:szCs w:val="22"/>
          <w:color w:val="auto"/>
          <w:vertAlign w:val="superscript"/>
        </w:rPr>
      </w:pPr>
      <w:r>
        <w:rPr>
          <w:rFonts w:ascii="Arial" w:cs="Arial" w:eastAsia="Arial" w:hAnsi="Arial"/>
          <w:sz w:val="16"/>
          <w:szCs w:val="16"/>
          <w:color w:val="auto"/>
        </w:rPr>
        <w:t>Distributions on our Series A convertible preferred units (the “Series A preferred units”) were paid in additional Series A preferred units for the years ended December 31, 2017 and 2016.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73" w:lineRule="exact"/>
        <w:rPr>
          <w:rFonts w:ascii="Arial" w:cs="Arial" w:eastAsia="Arial" w:hAnsi="Arial"/>
          <w:sz w:val="22"/>
          <w:szCs w:val="22"/>
          <w:color w:val="auto"/>
          <w:vertAlign w:val="superscript"/>
        </w:rPr>
      </w:pPr>
    </w:p>
    <w:p>
      <w:pPr>
        <w:ind w:left="660" w:right="340" w:hanging="652"/>
        <w:spacing w:after="0" w:line="216" w:lineRule="auto"/>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Distributions on our Series B perpetual preferred units accrue and are cumulative at a rate of 6.125% per year from October 10, 2017, the date of original issue, and are payable in cash semiannually.</w:t>
      </w:r>
    </w:p>
    <w:p>
      <w:pPr>
        <w:spacing w:after="0" w:line="7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2018</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6"/>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2"/>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9"/>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5"/>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4"/>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lowerRoman"/>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39" Type="http://schemas.openxmlformats.org/officeDocument/2006/relationships/hyperlink" Target="http://www.sec.gov/Archives/edgar/data/1070423/000110465917061889/a17-22685_5ex3d1.htm#Exhibit3_1_122228" TargetMode="External"/><Relationship Id="rId40" Type="http://schemas.openxmlformats.org/officeDocument/2006/relationships/hyperlink" Target="http://www.sec.gov/Archives/edgar/data/1070423/000104746904016502/a2135501zex-3_2.htm" TargetMode="External"/><Relationship Id="rId41" Type="http://schemas.openxmlformats.org/officeDocument/2006/relationships/hyperlink" Target="http://www.sec.gov/Archives/edgar/data/1070423/000110465911010359/a11-2319_1ex3d9.htm" TargetMode="External"/><Relationship Id="rId42" Type="http://schemas.openxmlformats.org/officeDocument/2006/relationships/hyperlink" Target="http://www.sec.gov/Archives/edgar/data/1070423/000110465911010359/a11-2319_1ex3d10.htm" TargetMode="External"/><Relationship Id="rId43" Type="http://schemas.openxmlformats.org/officeDocument/2006/relationships/hyperlink" Target="http://www.sec.gov/Archives/edgar/data/1070423/000110465914014322/a13-25941_1ex3d7.htm" TargetMode="External"/><Relationship Id="rId44" Type="http://schemas.openxmlformats.org/officeDocument/2006/relationships/hyperlink" Target="http://www.sec.gov/Archives/edgar/data/1070423/000110465914014322/a13-25941_1ex3d8.htm" TargetMode="External"/><Relationship Id="rId45" Type="http://schemas.openxmlformats.org/officeDocument/2006/relationships/hyperlink" Target="http://www.sec.gov/Archives/edgar/data/1070423/000104746904016502/a2135501zex-3_3.htm" TargetMode="External"/><Relationship Id="rId46" Type="http://schemas.openxmlformats.org/officeDocument/2006/relationships/hyperlink" Target="http://www.sec.gov/Archives/edgar/data/1070423/000110465914014322/a13-25941_1ex3d10.htm" TargetMode="External"/><Relationship Id="rId47" Type="http://schemas.openxmlformats.org/officeDocument/2006/relationships/hyperlink" Target="http://www.sec.gov/Archives/edgar/data/1070423/000110465916158355/a16-21841_1ex3d3.htm" TargetMode="External"/><Relationship Id="rId48" Type="http://schemas.openxmlformats.org/officeDocument/2006/relationships/hyperlink" Target="http://www.sec.gov/Archives/edgar/data/1070423/000110465916158355/a16-21841_1ex3d4.htm" TargetMode="External"/><Relationship Id="rId49" Type="http://schemas.openxmlformats.org/officeDocument/2006/relationships/hyperlink" Target="http://www.sec.gov/Archives/edgar/data/1070423/000095012907001096/h43224exv3w10.htm" TargetMode="External"/><Relationship Id="rId50" Type="http://schemas.openxmlformats.org/officeDocument/2006/relationships/hyperlink" Target="http://www.sec.gov/Archives/edgar/data/1070423/000095012907001096/h43224exv3w11.htm" TargetMode="External"/><Relationship Id="rId51" Type="http://schemas.openxmlformats.org/officeDocument/2006/relationships/hyperlink" Target="http://www.sec.gov/Archives/edgar/data/1070423/000095012908000071/h52770exv3w3.htm" TargetMode="External"/><Relationship Id="rId52" Type="http://schemas.openxmlformats.org/officeDocument/2006/relationships/hyperlink" Target="http://www.sec.gov/Archives/edgar/data/1581990/000104746913007875/a2216069zex-3_1.htm" TargetMode="External"/><Relationship Id="rId53" Type="http://schemas.openxmlformats.org/officeDocument/2006/relationships/hyperlink" Target="http://www.sec.gov/Archives/edgar/data/1581990/000110465916158356/a16-21845_1ex3d2.htm" TargetMode="External"/><Relationship Id="rId54" Type="http://schemas.openxmlformats.org/officeDocument/2006/relationships/hyperlink" Target="http://www.sec.gov/Archives/edgar/data/1581990/000104746913007875/a2216069zex-3_3.htm" TargetMode="External"/><Relationship Id="rId55" Type="http://schemas.openxmlformats.org/officeDocument/2006/relationships/hyperlink" Target="http://www.sec.gov/Archives/edgar/data/1070423/000110465917010601/a17-6891_1ex3d1.htm" TargetMode="External"/><Relationship Id="rId56" Type="http://schemas.openxmlformats.org/officeDocument/2006/relationships/hyperlink" Target="http://www.sec.gov/Archives/edgar/data/1070423/000089924302002834/dex41.txt" TargetMode="External"/><Relationship Id="rId57" Type="http://schemas.openxmlformats.org/officeDocument/2006/relationships/hyperlink" Target="http://www.sec.gov/Archives/edgar/data/1070423/000110465906034368/a06-11663_1ex4d1.htm" TargetMode="External"/><Relationship Id="rId58" Type="http://schemas.openxmlformats.org/officeDocument/2006/relationships/hyperlink" Target="http://www.sec.gov/Archives/edgar/data/1070423/000095012906009235/h40667exv4w2.htm" TargetMode="External"/><Relationship Id="rId59" Type="http://schemas.openxmlformats.org/officeDocument/2006/relationships/hyperlink" Target="http://www.sec.gov/Archives/edgar/data/1070423/000095012309041075/h67912exv4w1.htm" TargetMode="External"/><Relationship Id="rId60" Type="http://schemas.openxmlformats.org/officeDocument/2006/relationships/hyperlink" Target="http://www.sec.gov/Archives/edgar/data/1070423/000095012311002051/h78739exv4w1.htm" TargetMode="External"/><Relationship Id="rId61" Type="http://schemas.openxmlformats.org/officeDocument/2006/relationships/hyperlink" Target="http://www.sec.gov/Archives/edgar/data/1070423/000119312512132295/d321017dex41.htm" TargetMode="External"/><Relationship Id="rId62" Type="http://schemas.openxmlformats.org/officeDocument/2006/relationships/hyperlink" Target="http://www.sec.gov/Archives/edgar/data/1070423/000119312512132295/d321017dex43.htm" TargetMode="External"/><Relationship Id="rId63" Type="http://schemas.openxmlformats.org/officeDocument/2006/relationships/hyperlink" Target="http://www.sec.gov/Archives/edgar/data/1070423/000119312512499932/d453762dex41.htm" TargetMode="External"/><Relationship Id="rId64" Type="http://schemas.openxmlformats.org/officeDocument/2006/relationships/hyperlink" Target="http://www.sec.gov/Archives/edgar/data/1070423/000119312512499932/d453762dex43.htm" TargetMode="External"/><Relationship Id="rId65" Type="http://schemas.openxmlformats.org/officeDocument/2006/relationships/hyperlink" Target="http://www.sec.gov/Archives/edgar/data/1070423/000119312513336066/d581734dex41.htm" TargetMode="External"/><Relationship Id="rId66" Type="http://schemas.openxmlformats.org/officeDocument/2006/relationships/hyperlink" Target="http://www.sec.gov/Archives/edgar/data/1070423/000119312514164183/d713938dex41.htm" TargetMode="External"/><Relationship Id="rId67" Type="http://schemas.openxmlformats.org/officeDocument/2006/relationships/hyperlink" Target="http://www.sec.gov/Archives/edgar/data/1070423/000119312514338289/d787160dex41.htm" TargetMode="External"/><Relationship Id="rId68" Type="http://schemas.openxmlformats.org/officeDocument/2006/relationships/hyperlink" Target="http://www.sec.gov/Archives/edgar/data/1070423/000119312514440007/d833885dex41.htm" TargetMode="External"/><Relationship Id="rId69" Type="http://schemas.openxmlformats.org/officeDocument/2006/relationships/hyperlink" Target="http://www.sec.gov/Archives/edgar/data/1070423/000119312514440007/d833885dex43.htm" TargetMode="External"/><Relationship Id="rId70" Type="http://schemas.openxmlformats.org/officeDocument/2006/relationships/hyperlink" Target="http://www.sec.gov/Archives/edgar/data/1070423/000119312515302829/d45393dex41.htm" TargetMode="External"/><Relationship Id="rId71" Type="http://schemas.openxmlformats.org/officeDocument/2006/relationships/hyperlink" Target="http://www.sec.gov/Archives/edgar/data/1070423/000110465916159593/a16-22232_1ex4d1.htm" TargetMode="External"/><Relationship Id="rId72" Type="http://schemas.openxmlformats.org/officeDocument/2006/relationships/hyperlink" Target="http://www.sec.gov/Archives/edgar/data/1070423/000095012309050401/h68193exv4w1.htm" TargetMode="External"/><Relationship Id="rId73" Type="http://schemas.openxmlformats.org/officeDocument/2006/relationships/hyperlink" Target="http://www.sec.gov/Archives/edgar/data/1070423/000110465916093299/a16-3362_1ex4d1.htm" TargetMode="External"/><Relationship Id="rId74" Type="http://schemas.openxmlformats.org/officeDocument/2006/relationships/hyperlink" Target="http://www.sec.gov/Archives/edgar/data/1070423/000110465916158355/a16-21841_1ex10d4.htm" TargetMode="External"/><Relationship Id="rId75" Type="http://schemas.openxmlformats.org/officeDocument/2006/relationships/hyperlink" Target="http://www.sec.gov/Archives/edgar/data/1070423/000107042318000009/paaq12018exhibit101.htm" TargetMode="External"/><Relationship Id="rId76" Type="http://schemas.openxmlformats.org/officeDocument/2006/relationships/hyperlink" Target="http://www.sec.gov/Archives/edgar/data/1070423/000107042318000009/paaq12018exhibit102.htm" TargetMode="External"/><Relationship Id="rId77" Type="http://schemas.openxmlformats.org/officeDocument/2006/relationships/hyperlink" Target="http://www.sec.gov/Archives/edgar/data/1070423/000107042318000009/paaq12018exhibit103.htm" TargetMode="External"/><Relationship Id="rId78" Type="http://schemas.openxmlformats.org/officeDocument/2006/relationships/hyperlink" Target="http://www.sec.gov/Archives/edgar/data/1070423/000107042318000009/paaq12018exhibit104.htm" TargetMode="External"/><Relationship Id="rId79" Type="http://schemas.openxmlformats.org/officeDocument/2006/relationships/hyperlink" Target="http://www.sec.gov/Archives/edgar/data/1070423/000107042318000009/paaq12018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2020-01-13T07:10:33Z</dcterms:created>
  <dcterms:modified xsi:type="dcterms:W3CDTF">2020-01-13T07:10:33Z</dcterms:modified>
</cp:coreProperties>
</file>