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No. 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726503105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1" w:lineRule="exact"/>
        <w:rPr>
          <w:sz w:val="24"/>
          <w:szCs w:val="24"/>
          <w:color w:val="auto"/>
        </w:rPr>
      </w:pPr>
    </w:p>
    <w:p>
      <w:pPr>
        <w:ind w:left="660" w:hanging="652"/>
        <w:spacing w:after="0"/>
        <w:tabs>
          <w:tab w:leader="none" w:pos="6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13d-1(b)</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19"/>
          <w:szCs w:val="19"/>
          <w:color w:val="auto"/>
        </w:rPr>
        <w:t>Rule 13d-1(c)</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19"/>
          <w:szCs w:val="19"/>
          <w:color w:val="auto"/>
        </w:rPr>
        <w:t>Rule 13d-1(d)</w:t>
      </w:r>
    </w:p>
    <w:p>
      <w:pPr>
        <w:spacing w:after="0" w:line="221" w:lineRule="exact"/>
        <w:rPr>
          <w:sz w:val="24"/>
          <w:szCs w:val="24"/>
          <w:color w:val="auto"/>
        </w:rPr>
      </w:pPr>
    </w:p>
    <w:p>
      <w:pPr>
        <w:ind w:left="340" w:hanging="332"/>
        <w:spacing w:after="0" w:line="269" w:lineRule="auto"/>
        <w:tabs>
          <w:tab w:leader="none" w:pos="3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2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348615</wp:posOffset>
            </wp:positionV>
            <wp:extent cx="7132320" cy="6454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645477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560" w:hanging="394"/>
        <w:spacing w:after="0"/>
        <w:tabs>
          <w:tab w:leader="none" w:pos="5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1" w:lineRule="exact"/>
        <w:rPr>
          <w:rFonts w:ascii="Times New Roman" w:cs="Times New Roman" w:eastAsia="Times New Roman" w:hAnsi="Times New Roman"/>
          <w:sz w:val="20"/>
          <w:szCs w:val="20"/>
          <w:color w:val="auto"/>
        </w:rPr>
      </w:pPr>
    </w:p>
    <w:p>
      <w:pPr>
        <w:ind w:left="560" w:right="6020"/>
        <w:spacing w:after="0" w:line="51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 ALPS Advisors, Inc. (Tax ID: 84-1583423)</w:t>
      </w:r>
    </w:p>
    <w:p>
      <w:pPr>
        <w:spacing w:after="0" w:line="1" w:lineRule="exact"/>
        <w:rPr>
          <w:rFonts w:ascii="Times New Roman" w:cs="Times New Roman" w:eastAsia="Times New Roman" w:hAnsi="Times New Roman"/>
          <w:sz w:val="20"/>
          <w:szCs w:val="20"/>
          <w:color w:val="auto"/>
        </w:rPr>
      </w:pPr>
    </w:p>
    <w:p>
      <w:pPr>
        <w:ind w:left="560" w:hanging="394"/>
        <w:spacing w:after="0"/>
        <w:tabs>
          <w:tab w:leader="none" w:pos="5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spacing w:after="0"/>
        <w:tabs>
          <w:tab w:leader="none" w:pos="0" w:val="left"/>
        </w:tabs>
        <w:numPr>
          <w:ilvl w:val="1"/>
          <w:numId w:val="3"/>
        </w:numPr>
        <w:rPr>
          <w:rFonts w:ascii="Times New Roman" w:cs="Times New Roman" w:eastAsia="Times New Roman" w:hAnsi="Times New Roman"/>
          <w:sz w:val="20"/>
          <w:szCs w:val="20"/>
          <w:color w:val="auto"/>
        </w:rPr>
      </w:pPr>
    </w:p>
    <w:p>
      <w:pPr>
        <w:spacing w:after="0" w:line="21" w:lineRule="exact"/>
        <w:rPr>
          <w:rFonts w:ascii="Times New Roman" w:cs="Times New Roman" w:eastAsia="Times New Roman" w:hAnsi="Times New Roman"/>
          <w:sz w:val="20"/>
          <w:szCs w:val="20"/>
          <w:color w:val="auto"/>
        </w:rPr>
      </w:pPr>
    </w:p>
    <w:p>
      <w:pPr>
        <w:ind w:left="940" w:hanging="371"/>
        <w:spacing w:after="0"/>
        <w:tabs>
          <w:tab w:leader="none" w:pos="9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w:t>
      </w:r>
    </w:p>
    <w:p>
      <w:pPr>
        <w:spacing w:after="0" w:line="99" w:lineRule="exact"/>
        <w:rPr>
          <w:rFonts w:ascii="Times New Roman" w:cs="Times New Roman" w:eastAsia="Times New Roman" w:hAnsi="Times New Roman"/>
          <w:sz w:val="20"/>
          <w:szCs w:val="20"/>
          <w:color w:val="auto"/>
        </w:rPr>
      </w:pPr>
    </w:p>
    <w:p>
      <w:pPr>
        <w:ind w:left="560" w:hanging="394"/>
        <w:spacing w:after="0"/>
        <w:tabs>
          <w:tab w:leader="none" w:pos="5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350" w:lineRule="exact"/>
        <w:rPr>
          <w:rFonts w:ascii="Times New Roman" w:cs="Times New Roman" w:eastAsia="Times New Roman" w:hAnsi="Times New Roman"/>
          <w:sz w:val="20"/>
          <w:szCs w:val="20"/>
          <w:color w:val="auto"/>
        </w:rPr>
      </w:pPr>
    </w:p>
    <w:p>
      <w:pPr>
        <w:ind w:left="560" w:hanging="394"/>
        <w:spacing w:after="0"/>
        <w:tabs>
          <w:tab w:leader="none" w:pos="5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Colorado</w:t>
      </w:r>
    </w:p>
    <w:p>
      <w:pPr>
        <w:spacing w:after="0" w:line="121" w:lineRule="exact"/>
        <w:rPr>
          <w:sz w:val="20"/>
          <w:szCs w:val="20"/>
          <w:color w:val="auto"/>
        </w:rPr>
      </w:pPr>
    </w:p>
    <w:tbl>
      <w:tblPr>
        <w:tblLayout w:type="fixed"/>
        <w:tblInd w:w="360" w:type="dxa"/>
        <w:tblCellMar>
          <w:top w:w="0" w:type="dxa"/>
          <w:left w:w="0" w:type="dxa"/>
          <w:bottom w:w="0" w:type="dxa"/>
          <w:right w:w="0" w:type="dxa"/>
        </w:tblCellMar>
      </w:tblPr>
      <w:tr>
        <w:trPr>
          <w:trHeight w:val="258"/>
        </w:trPr>
        <w:tc>
          <w:tcPr>
            <w:tcW w:w="1620" w:type="dxa"/>
            <w:vAlign w:val="bottom"/>
          </w:tcPr>
          <w:p>
            <w:pPr>
              <w:spacing w:after="0"/>
              <w:rPr>
                <w:sz w:val="22"/>
                <w:szCs w:val="22"/>
                <w:color w:val="auto"/>
              </w:rPr>
            </w:pP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w:t>
            </w:r>
          </w:p>
        </w:tc>
        <w:tc>
          <w:tcPr>
            <w:tcW w:w="8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Sole Voting Power</w:t>
            </w: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48"/>
        </w:trPr>
        <w:tc>
          <w:tcPr>
            <w:tcW w:w="16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1620" w:type="dxa"/>
            <w:vAlign w:val="bottom"/>
          </w:tcPr>
          <w:p>
            <w:pPr>
              <w:jc w:val="center"/>
              <w:ind w:right="301"/>
              <w:spacing w:after="0"/>
              <w:rPr>
                <w:sz w:val="20"/>
                <w:szCs w:val="20"/>
                <w:color w:val="auto"/>
              </w:rPr>
            </w:pPr>
            <w:r>
              <w:rPr>
                <w:rFonts w:ascii="Times New Roman" w:cs="Times New Roman" w:eastAsia="Times New Roman" w:hAnsi="Times New Roman"/>
                <w:sz w:val="20"/>
                <w:szCs w:val="20"/>
                <w:color w:val="auto"/>
                <w:w w:val="98"/>
              </w:rPr>
              <w:t>Number of</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w:t>
            </w:r>
          </w:p>
        </w:tc>
        <w:tc>
          <w:tcPr>
            <w:tcW w:w="8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229"/>
        </w:trPr>
        <w:tc>
          <w:tcPr>
            <w:tcW w:w="1620" w:type="dxa"/>
            <w:vAlign w:val="bottom"/>
          </w:tcPr>
          <w:p>
            <w:pPr>
              <w:jc w:val="center"/>
              <w:ind w:right="301"/>
              <w:spacing w:after="0"/>
              <w:rPr>
                <w:sz w:val="20"/>
                <w:szCs w:val="20"/>
                <w:color w:val="auto"/>
              </w:rPr>
            </w:pPr>
            <w:r>
              <w:rPr>
                <w:rFonts w:ascii="Times New Roman" w:cs="Times New Roman" w:eastAsia="Times New Roman" w:hAnsi="Times New Roman"/>
                <w:sz w:val="20"/>
                <w:szCs w:val="20"/>
                <w:color w:val="auto"/>
              </w:rPr>
              <w:t>Shares</w:t>
            </w:r>
          </w:p>
        </w:tc>
        <w:tc>
          <w:tcPr>
            <w:tcW w:w="480" w:type="dxa"/>
            <w:vAlign w:val="bottom"/>
          </w:tcPr>
          <w:p>
            <w:pPr>
              <w:spacing w:after="0"/>
              <w:rPr>
                <w:sz w:val="19"/>
                <w:szCs w:val="19"/>
                <w:color w:val="auto"/>
              </w:rPr>
            </w:pPr>
          </w:p>
        </w:tc>
        <w:tc>
          <w:tcPr>
            <w:tcW w:w="87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51,894,828**see Note 1**</w:t>
            </w:r>
          </w:p>
        </w:tc>
        <w:tc>
          <w:tcPr>
            <w:tcW w:w="0" w:type="dxa"/>
            <w:vAlign w:val="bottom"/>
          </w:tcPr>
          <w:p>
            <w:pPr>
              <w:spacing w:after="0"/>
              <w:rPr>
                <w:sz w:val="1"/>
                <w:szCs w:val="1"/>
                <w:color w:val="auto"/>
              </w:rPr>
            </w:pPr>
          </w:p>
        </w:tc>
      </w:tr>
      <w:tr>
        <w:trPr>
          <w:trHeight w:val="229"/>
        </w:trPr>
        <w:tc>
          <w:tcPr>
            <w:tcW w:w="1620" w:type="dxa"/>
            <w:vAlign w:val="bottom"/>
          </w:tcPr>
          <w:p>
            <w:pPr>
              <w:jc w:val="center"/>
              <w:ind w:right="301"/>
              <w:spacing w:after="0"/>
              <w:rPr>
                <w:sz w:val="20"/>
                <w:szCs w:val="20"/>
                <w:color w:val="auto"/>
              </w:rPr>
            </w:pPr>
            <w:r>
              <w:rPr>
                <w:rFonts w:ascii="Times New Roman" w:cs="Times New Roman" w:eastAsia="Times New Roman" w:hAnsi="Times New Roman"/>
                <w:sz w:val="20"/>
                <w:szCs w:val="20"/>
                <w:color w:val="auto"/>
              </w:rPr>
              <w:t>Beneficially</w:t>
            </w:r>
          </w:p>
        </w:tc>
        <w:tc>
          <w:tcPr>
            <w:tcW w:w="480" w:type="dxa"/>
            <w:vAlign w:val="bottom"/>
          </w:tcPr>
          <w:p>
            <w:pPr>
              <w:spacing w:after="0"/>
              <w:rPr>
                <w:sz w:val="19"/>
                <w:szCs w:val="19"/>
                <w:color w:val="auto"/>
              </w:rPr>
            </w:pPr>
          </w:p>
        </w:tc>
        <w:tc>
          <w:tcPr>
            <w:tcW w:w="8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620" w:type="dxa"/>
            <w:vAlign w:val="bottom"/>
            <w:vMerge w:val="restart"/>
          </w:tcPr>
          <w:p>
            <w:pPr>
              <w:jc w:val="center"/>
              <w:ind w:right="301"/>
              <w:spacing w:after="0"/>
              <w:rPr>
                <w:sz w:val="20"/>
                <w:szCs w:val="20"/>
                <w:color w:val="auto"/>
              </w:rPr>
            </w:pPr>
            <w:r>
              <w:rPr>
                <w:rFonts w:ascii="Times New Roman" w:cs="Times New Roman" w:eastAsia="Times New Roman" w:hAnsi="Times New Roman"/>
                <w:sz w:val="20"/>
                <w:szCs w:val="20"/>
                <w:color w:val="auto"/>
                <w:w w:val="99"/>
              </w:rPr>
              <w:t>Owned by</w:t>
            </w:r>
          </w:p>
        </w:tc>
        <w:tc>
          <w:tcPr>
            <w:tcW w:w="480" w:type="dxa"/>
            <w:vAlign w:val="bottom"/>
            <w:tcBorders>
              <w:bottom w:val="single" w:sz="8" w:color="auto"/>
            </w:tcBorders>
          </w:tcPr>
          <w:p>
            <w:pPr>
              <w:spacing w:after="0" w:line="20" w:lineRule="exact"/>
              <w:rPr>
                <w:sz w:val="1"/>
                <w:szCs w:val="1"/>
                <w:color w:val="auto"/>
              </w:rPr>
            </w:pPr>
          </w:p>
        </w:tc>
        <w:tc>
          <w:tcPr>
            <w:tcW w:w="8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620" w:type="dxa"/>
            <w:vAlign w:val="bottom"/>
            <w:vMerge w:val="continue"/>
          </w:tcPr>
          <w:p>
            <w:pPr>
              <w:spacing w:after="0"/>
              <w:rPr>
                <w:sz w:val="16"/>
                <w:szCs w:val="16"/>
                <w:color w:val="auto"/>
              </w:rPr>
            </w:pPr>
          </w:p>
        </w:tc>
        <w:tc>
          <w:tcPr>
            <w:tcW w:w="4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c>
          <w:tcPr>
            <w:tcW w:w="872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r>
        <w:trPr>
          <w:trHeight w:val="96"/>
        </w:trPr>
        <w:tc>
          <w:tcPr>
            <w:tcW w:w="1620" w:type="dxa"/>
            <w:vAlign w:val="bottom"/>
            <w:vMerge w:val="restart"/>
          </w:tcPr>
          <w:p>
            <w:pPr>
              <w:jc w:val="center"/>
              <w:ind w:right="301"/>
              <w:spacing w:after="0"/>
              <w:rPr>
                <w:sz w:val="20"/>
                <w:szCs w:val="20"/>
                <w:color w:val="auto"/>
              </w:rPr>
            </w:pPr>
            <w:r>
              <w:rPr>
                <w:rFonts w:ascii="Times New Roman" w:cs="Times New Roman" w:eastAsia="Times New Roman" w:hAnsi="Times New Roman"/>
                <w:sz w:val="20"/>
                <w:szCs w:val="20"/>
                <w:color w:val="auto"/>
                <w:w w:val="97"/>
              </w:rPr>
              <w:t>Each Reporting</w:t>
            </w:r>
          </w:p>
        </w:tc>
        <w:tc>
          <w:tcPr>
            <w:tcW w:w="480" w:type="dxa"/>
            <w:vAlign w:val="bottom"/>
            <w:vMerge w:val="continue"/>
          </w:tcPr>
          <w:p>
            <w:pPr>
              <w:spacing w:after="0"/>
              <w:rPr>
                <w:sz w:val="8"/>
                <w:szCs w:val="8"/>
                <w:color w:val="auto"/>
              </w:rPr>
            </w:pPr>
          </w:p>
        </w:tc>
        <w:tc>
          <w:tcPr>
            <w:tcW w:w="8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6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1620" w:type="dxa"/>
            <w:vAlign w:val="bottom"/>
          </w:tcPr>
          <w:p>
            <w:pPr>
              <w:jc w:val="center"/>
              <w:ind w:right="301"/>
              <w:spacing w:after="0"/>
              <w:rPr>
                <w:sz w:val="20"/>
                <w:szCs w:val="20"/>
                <w:color w:val="auto"/>
              </w:rPr>
            </w:pPr>
            <w:r>
              <w:rPr>
                <w:rFonts w:ascii="Times New Roman" w:cs="Times New Roman" w:eastAsia="Times New Roman" w:hAnsi="Times New Roman"/>
                <w:sz w:val="20"/>
                <w:szCs w:val="20"/>
                <w:color w:val="auto"/>
                <w:w w:val="98"/>
              </w:rPr>
              <w:t>Person With</w:t>
            </w:r>
          </w:p>
        </w:tc>
        <w:tc>
          <w:tcPr>
            <w:tcW w:w="480" w:type="dxa"/>
            <w:vAlign w:val="bottom"/>
          </w:tcPr>
          <w:p>
            <w:pPr>
              <w:spacing w:after="0"/>
              <w:rPr>
                <w:sz w:val="22"/>
                <w:szCs w:val="22"/>
                <w:color w:val="auto"/>
              </w:rPr>
            </w:pPr>
          </w:p>
        </w:tc>
        <w:tc>
          <w:tcPr>
            <w:tcW w:w="87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6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4"/>
                <w:szCs w:val="24"/>
                <w:color w:val="auto"/>
              </w:rPr>
            </w:pP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w:t>
            </w:r>
          </w:p>
        </w:tc>
        <w:tc>
          <w:tcPr>
            <w:tcW w:w="8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Shared Dispositive Power</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51,894,828**see Note 1**</w:t>
      </w:r>
    </w:p>
    <w:p>
      <w:pPr>
        <w:spacing w:after="0" w:line="121" w:lineRule="exact"/>
        <w:rPr>
          <w:sz w:val="20"/>
          <w:szCs w:val="20"/>
          <w:color w:val="auto"/>
        </w:rPr>
      </w:pPr>
    </w:p>
    <w:p>
      <w:pPr>
        <w:ind w:left="560" w:hanging="394"/>
        <w:spacing w:after="0"/>
        <w:tabs>
          <w:tab w:leader="none" w:pos="5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51,894,828**see Note 1**</w:t>
      </w:r>
    </w:p>
    <w:p>
      <w:pPr>
        <w:spacing w:after="0" w:line="121" w:lineRule="exact"/>
        <w:rPr>
          <w:sz w:val="20"/>
          <w:szCs w:val="20"/>
          <w:color w:val="auto"/>
        </w:rPr>
      </w:pPr>
    </w:p>
    <w:p>
      <w:pPr>
        <w:ind w:left="560" w:right="3740" w:hanging="443"/>
        <w:spacing w:after="0" w:line="422" w:lineRule="auto"/>
        <w:tabs>
          <w:tab w:leader="none" w:pos="5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(9) Excludes Certain Shares (See Instructions) N/A</w:t>
      </w:r>
    </w:p>
    <w:p>
      <w:pPr>
        <w:spacing w:after="0" w:line="1" w:lineRule="exact"/>
        <w:rPr>
          <w:rFonts w:ascii="Times New Roman" w:cs="Times New Roman" w:eastAsia="Times New Roman" w:hAnsi="Times New Roman"/>
          <w:sz w:val="20"/>
          <w:szCs w:val="20"/>
          <w:color w:val="auto"/>
        </w:rPr>
      </w:pPr>
    </w:p>
    <w:p>
      <w:pPr>
        <w:ind w:left="560" w:hanging="439"/>
        <w:spacing w:after="0"/>
        <w:tabs>
          <w:tab w:leader="none" w:pos="5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7.12%</w:t>
      </w:r>
    </w:p>
    <w:p>
      <w:pPr>
        <w:spacing w:after="0" w:line="121" w:lineRule="exact"/>
        <w:rPr>
          <w:sz w:val="20"/>
          <w:szCs w:val="20"/>
          <w:color w:val="auto"/>
        </w:rPr>
      </w:pPr>
    </w:p>
    <w:p>
      <w:pPr>
        <w:ind w:left="560" w:hanging="443"/>
        <w:spacing w:after="0"/>
        <w:tabs>
          <w:tab w:leader="none" w:pos="5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29" w:lineRule="exact"/>
        <w:rPr>
          <w:rFonts w:ascii="Times New Roman" w:cs="Times New Roman" w:eastAsia="Times New Roman" w:hAnsi="Times New Roman"/>
          <w:sz w:val="20"/>
          <w:szCs w:val="20"/>
          <w:color w:val="auto"/>
        </w:rPr>
      </w:pPr>
    </w:p>
    <w:p>
      <w:pPr>
        <w:ind w:left="5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IA</w:t>
      </w:r>
    </w:p>
    <w:p>
      <w:pPr>
        <w:sectPr>
          <w:pgSz w:w="11900" w:h="16838" w:orient="portrait"/>
          <w:cols w:equalWidth="0" w:num="1">
            <w:col w:w="11180"/>
          </w:cols>
          <w:pgMar w:left="380" w:top="7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348615</wp:posOffset>
            </wp:positionV>
            <wp:extent cx="7132320" cy="6454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45477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560" w:hanging="394"/>
        <w:spacing w:after="0"/>
        <w:tabs>
          <w:tab w:leader="none" w:pos="5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1" w:lineRule="exact"/>
        <w:rPr>
          <w:rFonts w:ascii="Times New Roman" w:cs="Times New Roman" w:eastAsia="Times New Roman" w:hAnsi="Times New Roman"/>
          <w:sz w:val="20"/>
          <w:szCs w:val="20"/>
          <w:color w:val="auto"/>
        </w:rPr>
      </w:pPr>
    </w:p>
    <w:p>
      <w:pPr>
        <w:ind w:left="560" w:right="6020"/>
        <w:spacing w:after="0" w:line="51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 Alerian MLP ETF (Tax ID: 27-3041076)</w:t>
      </w:r>
    </w:p>
    <w:p>
      <w:pPr>
        <w:spacing w:after="0" w:line="1" w:lineRule="exact"/>
        <w:rPr>
          <w:rFonts w:ascii="Times New Roman" w:cs="Times New Roman" w:eastAsia="Times New Roman" w:hAnsi="Times New Roman"/>
          <w:sz w:val="20"/>
          <w:szCs w:val="20"/>
          <w:color w:val="auto"/>
        </w:rPr>
      </w:pPr>
    </w:p>
    <w:p>
      <w:pPr>
        <w:ind w:left="560" w:hanging="394"/>
        <w:spacing w:after="0"/>
        <w:tabs>
          <w:tab w:leader="none" w:pos="5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spacing w:after="0"/>
        <w:tabs>
          <w:tab w:leader="none" w:pos="0" w:val="left"/>
        </w:tabs>
        <w:numPr>
          <w:ilvl w:val="1"/>
          <w:numId w:val="7"/>
        </w:numPr>
        <w:rPr>
          <w:rFonts w:ascii="Times New Roman" w:cs="Times New Roman" w:eastAsia="Times New Roman" w:hAnsi="Times New Roman"/>
          <w:sz w:val="20"/>
          <w:szCs w:val="20"/>
          <w:color w:val="auto"/>
        </w:rPr>
      </w:pPr>
    </w:p>
    <w:p>
      <w:pPr>
        <w:spacing w:after="0" w:line="21" w:lineRule="exact"/>
        <w:rPr>
          <w:rFonts w:ascii="Times New Roman" w:cs="Times New Roman" w:eastAsia="Times New Roman" w:hAnsi="Times New Roman"/>
          <w:sz w:val="20"/>
          <w:szCs w:val="20"/>
          <w:color w:val="auto"/>
        </w:rPr>
      </w:pPr>
    </w:p>
    <w:p>
      <w:pPr>
        <w:ind w:left="940" w:hanging="371"/>
        <w:spacing w:after="0"/>
        <w:tabs>
          <w:tab w:leader="none" w:pos="9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w:t>
      </w:r>
    </w:p>
    <w:p>
      <w:pPr>
        <w:spacing w:after="0" w:line="99" w:lineRule="exact"/>
        <w:rPr>
          <w:rFonts w:ascii="Times New Roman" w:cs="Times New Roman" w:eastAsia="Times New Roman" w:hAnsi="Times New Roman"/>
          <w:sz w:val="20"/>
          <w:szCs w:val="20"/>
          <w:color w:val="auto"/>
        </w:rPr>
      </w:pPr>
    </w:p>
    <w:p>
      <w:pPr>
        <w:ind w:left="560" w:hanging="394"/>
        <w:spacing w:after="0"/>
        <w:tabs>
          <w:tab w:leader="none" w:pos="5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350" w:lineRule="exact"/>
        <w:rPr>
          <w:rFonts w:ascii="Times New Roman" w:cs="Times New Roman" w:eastAsia="Times New Roman" w:hAnsi="Times New Roman"/>
          <w:sz w:val="20"/>
          <w:szCs w:val="20"/>
          <w:color w:val="auto"/>
        </w:rPr>
      </w:pPr>
    </w:p>
    <w:p>
      <w:pPr>
        <w:ind w:left="560" w:hanging="394"/>
        <w:spacing w:after="0"/>
        <w:tabs>
          <w:tab w:leader="none" w:pos="5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Delaware</w:t>
      </w:r>
    </w:p>
    <w:p>
      <w:pPr>
        <w:spacing w:after="0" w:line="121" w:lineRule="exact"/>
        <w:rPr>
          <w:sz w:val="20"/>
          <w:szCs w:val="20"/>
          <w:color w:val="auto"/>
        </w:rPr>
      </w:pPr>
    </w:p>
    <w:tbl>
      <w:tblPr>
        <w:tblLayout w:type="fixed"/>
        <w:tblInd w:w="360" w:type="dxa"/>
        <w:tblCellMar>
          <w:top w:w="0" w:type="dxa"/>
          <w:left w:w="0" w:type="dxa"/>
          <w:bottom w:w="0" w:type="dxa"/>
          <w:right w:w="0" w:type="dxa"/>
        </w:tblCellMar>
      </w:tblPr>
      <w:tr>
        <w:trPr>
          <w:trHeight w:val="258"/>
        </w:trPr>
        <w:tc>
          <w:tcPr>
            <w:tcW w:w="1620" w:type="dxa"/>
            <w:vAlign w:val="bottom"/>
          </w:tcPr>
          <w:p>
            <w:pPr>
              <w:spacing w:after="0"/>
              <w:rPr>
                <w:sz w:val="22"/>
                <w:szCs w:val="22"/>
                <w:color w:val="auto"/>
              </w:rPr>
            </w:pP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w:t>
            </w:r>
          </w:p>
        </w:tc>
        <w:tc>
          <w:tcPr>
            <w:tcW w:w="8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Sole Voting Power</w:t>
            </w: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48"/>
        </w:trPr>
        <w:tc>
          <w:tcPr>
            <w:tcW w:w="16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1620" w:type="dxa"/>
            <w:vAlign w:val="bottom"/>
          </w:tcPr>
          <w:p>
            <w:pPr>
              <w:jc w:val="center"/>
              <w:ind w:right="301"/>
              <w:spacing w:after="0"/>
              <w:rPr>
                <w:sz w:val="20"/>
                <w:szCs w:val="20"/>
                <w:color w:val="auto"/>
              </w:rPr>
            </w:pPr>
            <w:r>
              <w:rPr>
                <w:rFonts w:ascii="Times New Roman" w:cs="Times New Roman" w:eastAsia="Times New Roman" w:hAnsi="Times New Roman"/>
                <w:sz w:val="20"/>
                <w:szCs w:val="20"/>
                <w:color w:val="auto"/>
                <w:w w:val="98"/>
              </w:rPr>
              <w:t>Number of</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w:t>
            </w:r>
          </w:p>
        </w:tc>
        <w:tc>
          <w:tcPr>
            <w:tcW w:w="87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230"/>
        </w:trPr>
        <w:tc>
          <w:tcPr>
            <w:tcW w:w="1620" w:type="dxa"/>
            <w:vAlign w:val="bottom"/>
          </w:tcPr>
          <w:p>
            <w:pPr>
              <w:jc w:val="center"/>
              <w:ind w:right="301"/>
              <w:spacing w:after="0"/>
              <w:rPr>
                <w:sz w:val="20"/>
                <w:szCs w:val="20"/>
                <w:color w:val="auto"/>
              </w:rPr>
            </w:pPr>
            <w:r>
              <w:rPr>
                <w:rFonts w:ascii="Times New Roman" w:cs="Times New Roman" w:eastAsia="Times New Roman" w:hAnsi="Times New Roman"/>
                <w:sz w:val="20"/>
                <w:szCs w:val="20"/>
                <w:color w:val="auto"/>
              </w:rPr>
              <w:t>Shares</w:t>
            </w:r>
          </w:p>
        </w:tc>
        <w:tc>
          <w:tcPr>
            <w:tcW w:w="480" w:type="dxa"/>
            <w:vAlign w:val="bottom"/>
          </w:tcPr>
          <w:p>
            <w:pPr>
              <w:spacing w:after="0"/>
              <w:rPr>
                <w:sz w:val="19"/>
                <w:szCs w:val="19"/>
                <w:color w:val="auto"/>
              </w:rPr>
            </w:pPr>
          </w:p>
        </w:tc>
        <w:tc>
          <w:tcPr>
            <w:tcW w:w="872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51,891,738**see Note 1**</w:t>
            </w:r>
          </w:p>
        </w:tc>
        <w:tc>
          <w:tcPr>
            <w:tcW w:w="0" w:type="dxa"/>
            <w:vAlign w:val="bottom"/>
          </w:tcPr>
          <w:p>
            <w:pPr>
              <w:spacing w:after="0"/>
              <w:rPr>
                <w:sz w:val="1"/>
                <w:szCs w:val="1"/>
                <w:color w:val="auto"/>
              </w:rPr>
            </w:pPr>
          </w:p>
        </w:tc>
      </w:tr>
      <w:tr>
        <w:trPr>
          <w:trHeight w:val="229"/>
        </w:trPr>
        <w:tc>
          <w:tcPr>
            <w:tcW w:w="1620" w:type="dxa"/>
            <w:vAlign w:val="bottom"/>
          </w:tcPr>
          <w:p>
            <w:pPr>
              <w:jc w:val="center"/>
              <w:ind w:right="301"/>
              <w:spacing w:after="0"/>
              <w:rPr>
                <w:sz w:val="20"/>
                <w:szCs w:val="20"/>
                <w:color w:val="auto"/>
              </w:rPr>
            </w:pPr>
            <w:r>
              <w:rPr>
                <w:rFonts w:ascii="Times New Roman" w:cs="Times New Roman" w:eastAsia="Times New Roman" w:hAnsi="Times New Roman"/>
                <w:sz w:val="20"/>
                <w:szCs w:val="20"/>
                <w:color w:val="auto"/>
              </w:rPr>
              <w:t>Beneficially</w:t>
            </w:r>
          </w:p>
        </w:tc>
        <w:tc>
          <w:tcPr>
            <w:tcW w:w="480" w:type="dxa"/>
            <w:vAlign w:val="bottom"/>
          </w:tcPr>
          <w:p>
            <w:pPr>
              <w:spacing w:after="0"/>
              <w:rPr>
                <w:sz w:val="19"/>
                <w:szCs w:val="19"/>
                <w:color w:val="auto"/>
              </w:rPr>
            </w:pPr>
          </w:p>
        </w:tc>
        <w:tc>
          <w:tcPr>
            <w:tcW w:w="8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620" w:type="dxa"/>
            <w:vAlign w:val="bottom"/>
            <w:vMerge w:val="restart"/>
          </w:tcPr>
          <w:p>
            <w:pPr>
              <w:jc w:val="center"/>
              <w:ind w:right="301"/>
              <w:spacing w:after="0"/>
              <w:rPr>
                <w:sz w:val="20"/>
                <w:szCs w:val="20"/>
                <w:color w:val="auto"/>
              </w:rPr>
            </w:pPr>
            <w:r>
              <w:rPr>
                <w:rFonts w:ascii="Times New Roman" w:cs="Times New Roman" w:eastAsia="Times New Roman" w:hAnsi="Times New Roman"/>
                <w:sz w:val="20"/>
                <w:szCs w:val="20"/>
                <w:color w:val="auto"/>
                <w:w w:val="99"/>
              </w:rPr>
              <w:t>Owned by</w:t>
            </w:r>
          </w:p>
        </w:tc>
        <w:tc>
          <w:tcPr>
            <w:tcW w:w="480" w:type="dxa"/>
            <w:vAlign w:val="bottom"/>
            <w:tcBorders>
              <w:bottom w:val="single" w:sz="8" w:color="auto"/>
            </w:tcBorders>
          </w:tcPr>
          <w:p>
            <w:pPr>
              <w:spacing w:after="0" w:line="20" w:lineRule="exact"/>
              <w:rPr>
                <w:sz w:val="1"/>
                <w:szCs w:val="1"/>
                <w:color w:val="auto"/>
              </w:rPr>
            </w:pPr>
          </w:p>
        </w:tc>
        <w:tc>
          <w:tcPr>
            <w:tcW w:w="8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620" w:type="dxa"/>
            <w:vAlign w:val="bottom"/>
            <w:vMerge w:val="continue"/>
          </w:tcPr>
          <w:p>
            <w:pPr>
              <w:spacing w:after="0"/>
              <w:rPr>
                <w:sz w:val="16"/>
                <w:szCs w:val="16"/>
                <w:color w:val="auto"/>
              </w:rPr>
            </w:pPr>
          </w:p>
        </w:tc>
        <w:tc>
          <w:tcPr>
            <w:tcW w:w="4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c>
          <w:tcPr>
            <w:tcW w:w="872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r>
        <w:trPr>
          <w:trHeight w:val="96"/>
        </w:trPr>
        <w:tc>
          <w:tcPr>
            <w:tcW w:w="1620" w:type="dxa"/>
            <w:vAlign w:val="bottom"/>
            <w:vMerge w:val="restart"/>
          </w:tcPr>
          <w:p>
            <w:pPr>
              <w:jc w:val="center"/>
              <w:ind w:right="301"/>
              <w:spacing w:after="0"/>
              <w:rPr>
                <w:sz w:val="20"/>
                <w:szCs w:val="20"/>
                <w:color w:val="auto"/>
              </w:rPr>
            </w:pPr>
            <w:r>
              <w:rPr>
                <w:rFonts w:ascii="Times New Roman" w:cs="Times New Roman" w:eastAsia="Times New Roman" w:hAnsi="Times New Roman"/>
                <w:sz w:val="20"/>
                <w:szCs w:val="20"/>
                <w:color w:val="auto"/>
                <w:w w:val="97"/>
              </w:rPr>
              <w:t>Each Reporting</w:t>
            </w:r>
          </w:p>
        </w:tc>
        <w:tc>
          <w:tcPr>
            <w:tcW w:w="480" w:type="dxa"/>
            <w:vAlign w:val="bottom"/>
            <w:vMerge w:val="continue"/>
          </w:tcPr>
          <w:p>
            <w:pPr>
              <w:spacing w:after="0"/>
              <w:rPr>
                <w:sz w:val="8"/>
                <w:szCs w:val="8"/>
                <w:color w:val="auto"/>
              </w:rPr>
            </w:pPr>
          </w:p>
        </w:tc>
        <w:tc>
          <w:tcPr>
            <w:tcW w:w="8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62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244"/>
        </w:trPr>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Person With</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60"/>
        </w:trPr>
        <w:tc>
          <w:tcPr>
            <w:tcW w:w="15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2600" w:right="6460" w:hanging="418"/>
        <w:spacing w:after="0" w:line="444" w:lineRule="auto"/>
        <w:tabs>
          <w:tab w:leader="none" w:pos="2600" w:val="left"/>
        </w:tabs>
        <w:numPr>
          <w:ilvl w:val="1"/>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Shared Dispositive Power 51,891,738**see Note 1**</w:t>
      </w:r>
    </w:p>
    <w:p>
      <w:pPr>
        <w:spacing w:after="0" w:line="1" w:lineRule="exact"/>
        <w:rPr>
          <w:rFonts w:ascii="Times New Roman" w:cs="Times New Roman" w:eastAsia="Times New Roman" w:hAnsi="Times New Roman"/>
          <w:sz w:val="19"/>
          <w:szCs w:val="19"/>
          <w:color w:val="auto"/>
        </w:rPr>
      </w:pPr>
    </w:p>
    <w:p>
      <w:pPr>
        <w:ind w:left="560" w:hanging="394"/>
        <w:spacing w:after="0"/>
        <w:tabs>
          <w:tab w:leader="none" w:pos="5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51,891,738**see Note 1**</w:t>
      </w:r>
    </w:p>
    <w:p>
      <w:pPr>
        <w:spacing w:after="0" w:line="121" w:lineRule="exact"/>
        <w:rPr>
          <w:sz w:val="20"/>
          <w:szCs w:val="20"/>
          <w:color w:val="auto"/>
        </w:rPr>
      </w:pPr>
    </w:p>
    <w:p>
      <w:pPr>
        <w:ind w:left="560" w:right="3740" w:hanging="443"/>
        <w:spacing w:after="0" w:line="422" w:lineRule="auto"/>
        <w:tabs>
          <w:tab w:leader="none" w:pos="5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(9) Excludes Certain Shares (See Instructions) N/A</w:t>
      </w:r>
    </w:p>
    <w:p>
      <w:pPr>
        <w:spacing w:after="0" w:line="1" w:lineRule="exact"/>
        <w:rPr>
          <w:rFonts w:ascii="Times New Roman" w:cs="Times New Roman" w:eastAsia="Times New Roman" w:hAnsi="Times New Roman"/>
          <w:sz w:val="20"/>
          <w:szCs w:val="20"/>
          <w:color w:val="auto"/>
        </w:rPr>
      </w:pPr>
    </w:p>
    <w:p>
      <w:pPr>
        <w:ind w:left="560" w:hanging="439"/>
        <w:spacing w:after="0"/>
        <w:tabs>
          <w:tab w:leader="none" w:pos="5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7.12%</w:t>
      </w:r>
    </w:p>
    <w:p>
      <w:pPr>
        <w:spacing w:after="0" w:line="121" w:lineRule="exact"/>
        <w:rPr>
          <w:sz w:val="20"/>
          <w:szCs w:val="20"/>
          <w:color w:val="auto"/>
        </w:rPr>
      </w:pPr>
    </w:p>
    <w:p>
      <w:pPr>
        <w:ind w:left="560" w:hanging="443"/>
        <w:spacing w:after="0"/>
        <w:tabs>
          <w:tab w:leader="none" w:pos="5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29" w:lineRule="exact"/>
        <w:rPr>
          <w:rFonts w:ascii="Times New Roman" w:cs="Times New Roman" w:eastAsia="Times New Roman" w:hAnsi="Times New Roman"/>
          <w:sz w:val="20"/>
          <w:szCs w:val="20"/>
          <w:color w:val="auto"/>
        </w:rPr>
      </w:pPr>
    </w:p>
    <w:p>
      <w:pPr>
        <w:ind w:left="5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1180"/>
          </w:cols>
          <w:pgMar w:left="380" w:top="52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Item 1.</w:t>
      </w:r>
    </w:p>
    <w:p>
      <w:pPr>
        <w:spacing w:after="0" w:line="229"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9"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Plains All American Pipeline, L.P.</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9" w:lineRule="exact"/>
        <w:rPr>
          <w:rFonts w:ascii="Times New Roman" w:cs="Times New Roman" w:eastAsia="Times New Roman" w:hAnsi="Times New Roman"/>
          <w:sz w:val="20"/>
          <w:szCs w:val="20"/>
          <w:color w:val="auto"/>
        </w:rPr>
      </w:pPr>
    </w:p>
    <w:p>
      <w:pPr>
        <w:ind w:left="1300" w:right="772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333 Clay Street, Suite 1600 Houston, TX 77002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2.</w:t>
      </w:r>
    </w:p>
    <w:p>
      <w:pPr>
        <w:spacing w:after="0" w:line="229"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Person Filing</w:t>
      </w:r>
    </w:p>
    <w:p>
      <w:pPr>
        <w:spacing w:after="0" w:line="229" w:lineRule="exact"/>
        <w:rPr>
          <w:rFonts w:ascii="Times New Roman" w:cs="Times New Roman" w:eastAsia="Times New Roman" w:hAnsi="Times New Roman"/>
          <w:sz w:val="20"/>
          <w:szCs w:val="20"/>
          <w:color w:val="auto"/>
        </w:rPr>
      </w:pPr>
    </w:p>
    <w:p>
      <w:pPr>
        <w:ind w:left="1960" w:hanging="332"/>
        <w:spacing w:after="0"/>
        <w:tabs>
          <w:tab w:leader="none" w:pos="19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ALPS Advisors, Inc.</w:t>
      </w:r>
    </w:p>
    <w:p>
      <w:pPr>
        <w:spacing w:after="0" w:line="21" w:lineRule="exact"/>
        <w:rPr>
          <w:rFonts w:ascii="Times New Roman" w:cs="Times New Roman" w:eastAsia="Times New Roman" w:hAnsi="Times New Roman"/>
          <w:sz w:val="20"/>
          <w:szCs w:val="20"/>
          <w:color w:val="auto"/>
        </w:rPr>
      </w:pPr>
    </w:p>
    <w:p>
      <w:pPr>
        <w:ind w:left="1960" w:hanging="332"/>
        <w:spacing w:after="0"/>
        <w:tabs>
          <w:tab w:leader="none" w:pos="19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Alerian MLP ETF</w:t>
      </w:r>
    </w:p>
    <w:p>
      <w:pPr>
        <w:spacing w:after="0" w:line="22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Principal Business Office or, if none, Residence</w:t>
      </w:r>
    </w:p>
    <w:p>
      <w:pPr>
        <w:spacing w:after="0" w:line="229" w:lineRule="exact"/>
        <w:rPr>
          <w:rFonts w:ascii="Times New Roman" w:cs="Times New Roman" w:eastAsia="Times New Roman" w:hAnsi="Times New Roman"/>
          <w:sz w:val="20"/>
          <w:szCs w:val="20"/>
          <w:color w:val="auto"/>
        </w:rPr>
      </w:pPr>
    </w:p>
    <w:p>
      <w:pPr>
        <w:ind w:left="1960" w:hanging="332"/>
        <w:spacing w:after="0"/>
        <w:tabs>
          <w:tab w:leader="none" w:pos="19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1290 Broadway, Suite 1000, Denver, CO 80203</w:t>
      </w:r>
    </w:p>
    <w:p>
      <w:pPr>
        <w:spacing w:after="0" w:line="21" w:lineRule="exact"/>
        <w:rPr>
          <w:rFonts w:ascii="Times New Roman" w:cs="Times New Roman" w:eastAsia="Times New Roman" w:hAnsi="Times New Roman"/>
          <w:sz w:val="20"/>
          <w:szCs w:val="20"/>
          <w:color w:val="auto"/>
        </w:rPr>
      </w:pPr>
    </w:p>
    <w:p>
      <w:pPr>
        <w:ind w:left="1960" w:hanging="332"/>
        <w:spacing w:after="0"/>
        <w:tabs>
          <w:tab w:leader="none" w:pos="19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1290 Broadway, Suite 1000, Denver, CO 80203</w:t>
      </w:r>
    </w:p>
    <w:p>
      <w:pPr>
        <w:spacing w:after="0" w:line="20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w:t>
      </w:r>
    </w:p>
    <w:p>
      <w:pPr>
        <w:spacing w:after="0" w:line="229" w:lineRule="exact"/>
        <w:rPr>
          <w:rFonts w:ascii="Times New Roman" w:cs="Times New Roman" w:eastAsia="Times New Roman" w:hAnsi="Times New Roman"/>
          <w:sz w:val="20"/>
          <w:szCs w:val="20"/>
          <w:color w:val="auto"/>
        </w:rPr>
      </w:pPr>
    </w:p>
    <w:p>
      <w:pPr>
        <w:ind w:left="1960" w:hanging="332"/>
        <w:spacing w:after="0"/>
        <w:tabs>
          <w:tab w:leader="none" w:pos="19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Colorado</w:t>
      </w:r>
    </w:p>
    <w:p>
      <w:pPr>
        <w:spacing w:after="0" w:line="21" w:lineRule="exact"/>
        <w:rPr>
          <w:rFonts w:ascii="Times New Roman" w:cs="Times New Roman" w:eastAsia="Times New Roman" w:hAnsi="Times New Roman"/>
          <w:sz w:val="20"/>
          <w:szCs w:val="20"/>
          <w:color w:val="auto"/>
        </w:rPr>
      </w:pPr>
    </w:p>
    <w:p>
      <w:pPr>
        <w:ind w:left="1960" w:hanging="332"/>
        <w:spacing w:after="0"/>
        <w:tabs>
          <w:tab w:leader="none" w:pos="19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Delaware</w:t>
      </w:r>
    </w:p>
    <w:p>
      <w:pPr>
        <w:spacing w:after="0" w:line="22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CUSIP Number</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726503105</w:t>
      </w:r>
    </w:p>
    <w:p>
      <w:pPr>
        <w:spacing w:after="0" w:line="2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19"/>
          <w:szCs w:val="19"/>
          <w:color w:val="auto"/>
        </w:rPr>
        <w:t>If this statement is filed pursuant to §§240.13d-1(b) or 240.13d-2(b) or (c), check whether the person filing is a:</w:t>
      </w:r>
    </w:p>
    <w:p>
      <w:pPr>
        <w:spacing w:after="0" w:line="2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(a)[ ] Broker or dealer registered under section 15 of the Act (15 U.S.C. 78o);</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(b)[ ] Bank as defined in section 3(a)(6) of the Act (15 U.S.C. 78c);</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(c)[ ] Insurance company as defined in section 3(a)(19) of the Act (15 U.S.C. 78c);</w:t>
      </w:r>
    </w:p>
    <w:p>
      <w:pPr>
        <w:spacing w:after="0" w:line="225" w:lineRule="exact"/>
        <w:rPr>
          <w:sz w:val="20"/>
          <w:szCs w:val="20"/>
          <w:color w:val="auto"/>
        </w:rPr>
      </w:pPr>
    </w:p>
    <w:p>
      <w:pPr>
        <w:ind w:left="1500" w:hanging="525"/>
        <w:spacing w:after="0" w:line="273" w:lineRule="auto"/>
        <w:rPr>
          <w:sz w:val="20"/>
          <w:szCs w:val="20"/>
          <w:color w:val="auto"/>
        </w:rPr>
      </w:pPr>
      <w:r>
        <w:rPr>
          <w:rFonts w:ascii="Times New Roman" w:cs="Times New Roman" w:eastAsia="Times New Roman" w:hAnsi="Times New Roman"/>
          <w:sz w:val="20"/>
          <w:szCs w:val="20"/>
          <w:color w:val="auto"/>
        </w:rPr>
        <w:t xml:space="preserve">(d)[X]Investment company registered under section 8 of the Investment Company Act of 1940 (15 U.S.C 80a-8) - </w:t>
      </w:r>
      <w:r>
        <w:rPr>
          <w:rFonts w:ascii="Times New Roman" w:cs="Times New Roman" w:eastAsia="Times New Roman" w:hAnsi="Times New Roman"/>
          <w:sz w:val="20"/>
          <w:szCs w:val="20"/>
          <w:b w:val="1"/>
          <w:bCs w:val="1"/>
          <w:color w:val="auto"/>
        </w:rPr>
        <w:t>Alerian MLP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ETF</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 xml:space="preserve">(e)[X]An investment adviser in accordance with §240.13d-1(b)(1)(ii)(E) – </w:t>
      </w:r>
      <w:r>
        <w:rPr>
          <w:rFonts w:ascii="Times New Roman" w:cs="Times New Roman" w:eastAsia="Times New Roman" w:hAnsi="Times New Roman"/>
          <w:sz w:val="20"/>
          <w:szCs w:val="20"/>
          <w:b w:val="1"/>
          <w:bCs w:val="1"/>
          <w:color w:val="auto"/>
        </w:rPr>
        <w:t>ALPS Advisors, Inc.;</w:t>
      </w:r>
    </w:p>
    <w:p>
      <w:pPr>
        <w:spacing w:after="0" w:line="233" w:lineRule="exact"/>
        <w:rPr>
          <w:sz w:val="20"/>
          <w:szCs w:val="20"/>
          <w:color w:val="auto"/>
        </w:rPr>
      </w:pPr>
    </w:p>
    <w:p>
      <w:pPr>
        <w:jc w:val="both"/>
        <w:ind w:left="980" w:right="2540"/>
        <w:spacing w:after="0" w:line="504" w:lineRule="auto"/>
        <w:tabs>
          <w:tab w:leader="none" w:pos="1223"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An employee benefit plan or endowment fund in accordance with §240.13d-1(b)(1)(ii)(F); (g)[ ] A parent holding company or control person in accordance with § 240.13d-1(b)(1)(ii)(G);</w:t>
      </w:r>
    </w:p>
    <w:p>
      <w:pPr>
        <w:ind w:left="9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(h)[ ] A savings associations as defined in Section 3(b) of the Federal Deposit Insurance Act (12 U.S.C. 1813);</w:t>
      </w:r>
    </w:p>
    <w:p>
      <w:pPr>
        <w:spacing w:after="0" w:line="229" w:lineRule="exact"/>
        <w:rPr>
          <w:sz w:val="20"/>
          <w:szCs w:val="20"/>
          <w:color w:val="auto"/>
        </w:rPr>
      </w:pPr>
    </w:p>
    <w:p>
      <w:pPr>
        <w:ind w:left="1500" w:right="360" w:hanging="520"/>
        <w:spacing w:after="0" w:line="269" w:lineRule="auto"/>
        <w:tabs>
          <w:tab w:leader="none" w:pos="121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72" w:lineRule="exact"/>
        <w:rPr>
          <w:rFonts w:ascii="Times New Roman" w:cs="Times New Roman" w:eastAsia="Times New Roman" w:hAnsi="Times New Roman"/>
          <w:sz w:val="20"/>
          <w:szCs w:val="20"/>
          <w:color w:val="auto"/>
        </w:rPr>
      </w:pPr>
    </w:p>
    <w:p>
      <w:pPr>
        <w:ind w:left="1220" w:hanging="240"/>
        <w:spacing w:after="0"/>
        <w:tabs>
          <w:tab w:leader="none" w:pos="12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non-U.S. institution in accordance with § 240.13d-1(b)(1)(ii)(J);</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(k)[ ] Group, in accordance with §240.13d-1(b)(1)(ii)(J).</w:t>
      </w:r>
    </w:p>
    <w:p>
      <w:pPr>
        <w:sectPr>
          <w:pgSz w:w="11900" w:h="16838" w:orient="portrait"/>
          <w:cols w:equalWidth="0" w:num="1">
            <w:col w:w="11200"/>
          </w:cols>
          <w:pgMar w:left="320" w:top="468" w:right="379" w:bottom="1440" w:gutter="0" w:footer="0" w:header="0"/>
        </w:sectPr>
      </w:pPr>
    </w:p>
    <w:bookmarkStart w:id="4" w:name="page5"/>
    <w:bookmarkEnd w:id="4"/>
    <w:p>
      <w:pPr>
        <w:spacing w:after="0" w:line="59"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19"/>
          <w:szCs w:val="19"/>
          <w:color w:val="auto"/>
        </w:rPr>
        <w:t>Ownership.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Provide the following information regarding the aggregate number and percentage of the class of securities of the issuer identified in Item 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ALPS Advisors, Inc.</w:t>
      </w:r>
    </w:p>
    <w:p>
      <w:pPr>
        <w:spacing w:after="0" w:line="229" w:lineRule="exact"/>
        <w:rPr>
          <w:sz w:val="20"/>
          <w:szCs w:val="20"/>
          <w:color w:val="auto"/>
        </w:rPr>
      </w:pPr>
    </w:p>
    <w:p>
      <w:pPr>
        <w:ind w:left="1620" w:right="7500" w:hanging="964"/>
        <w:spacing w:after="0" w:line="504" w:lineRule="auto"/>
        <w:tabs>
          <w:tab w:leader="none" w:pos="1296"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Amount beneficially owned: 51,894,828**see Note 1**</w:t>
      </w:r>
    </w:p>
    <w:p>
      <w:pPr>
        <w:ind w:left="1300" w:hanging="644"/>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7.12%</w:t>
      </w:r>
    </w:p>
    <w:p>
      <w:pPr>
        <w:spacing w:after="0" w:line="229"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229" w:lineRule="exact"/>
        <w:rPr>
          <w:rFonts w:ascii="Times New Roman" w:cs="Times New Roman" w:eastAsia="Times New Roman" w:hAnsi="Times New Roman"/>
          <w:sz w:val="20"/>
          <w:szCs w:val="20"/>
          <w:color w:val="auto"/>
        </w:rPr>
      </w:pPr>
    </w:p>
    <w:p>
      <w:pPr>
        <w:ind w:left="1960" w:right="6140" w:hanging="656"/>
        <w:spacing w:after="0" w:line="479" w:lineRule="auto"/>
        <w:tabs>
          <w:tab w:leader="none" w:pos="196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to direct the vote: 0</w:t>
      </w:r>
    </w:p>
    <w:p>
      <w:pPr>
        <w:ind w:left="1960" w:right="5940" w:hanging="656"/>
        <w:spacing w:after="0" w:line="479" w:lineRule="auto"/>
        <w:tabs>
          <w:tab w:leader="none" w:pos="196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to direct the vote: 51,894,828**see Note 1**</w:t>
      </w:r>
    </w:p>
    <w:p>
      <w:pPr>
        <w:ind w:left="1960" w:right="5140" w:hanging="656"/>
        <w:spacing w:after="0" w:line="479" w:lineRule="auto"/>
        <w:tabs>
          <w:tab w:leader="none" w:pos="196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to direct the disposition of: 0</w:t>
      </w:r>
    </w:p>
    <w:p>
      <w:pPr>
        <w:ind w:left="1960" w:right="4960" w:hanging="656"/>
        <w:spacing w:after="0" w:line="479" w:lineRule="auto"/>
        <w:tabs>
          <w:tab w:leader="none" w:pos="196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to direct the disposition of: 51,894,828**see Note 1**</w:t>
      </w:r>
    </w:p>
    <w:p>
      <w:pPr>
        <w:spacing w:after="0"/>
        <w:rPr>
          <w:sz w:val="20"/>
          <w:szCs w:val="20"/>
          <w:color w:val="auto"/>
        </w:rPr>
      </w:pPr>
      <w:r>
        <w:rPr>
          <w:rFonts w:ascii="Times New Roman" w:cs="Times New Roman" w:eastAsia="Times New Roman" w:hAnsi="Times New Roman"/>
          <w:sz w:val="20"/>
          <w:szCs w:val="20"/>
          <w:u w:val="single" w:color="auto"/>
          <w:color w:val="auto"/>
        </w:rPr>
        <w:t>Alerian MLP ETF</w:t>
      </w:r>
    </w:p>
    <w:p>
      <w:pPr>
        <w:spacing w:after="0" w:line="229" w:lineRule="exact"/>
        <w:rPr>
          <w:sz w:val="20"/>
          <w:szCs w:val="20"/>
          <w:color w:val="auto"/>
        </w:rPr>
      </w:pPr>
    </w:p>
    <w:p>
      <w:pPr>
        <w:ind w:left="1620" w:right="7500" w:hanging="964"/>
        <w:spacing w:after="0" w:line="511" w:lineRule="auto"/>
        <w:tabs>
          <w:tab w:leader="none" w:pos="1296"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Amount beneficially owned: 51,891,738**see Note 1**</w:t>
      </w:r>
    </w:p>
    <w:p>
      <w:pPr>
        <w:spacing w:after="0" w:line="1"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w:t>
      </w:r>
    </w:p>
    <w:p>
      <w:pPr>
        <w:spacing w:after="0" w:line="2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7.12%</w:t>
      </w:r>
    </w:p>
    <w:p>
      <w:pPr>
        <w:spacing w:after="0" w:line="229" w:lineRule="exact"/>
        <w:rPr>
          <w:sz w:val="20"/>
          <w:szCs w:val="20"/>
          <w:color w:val="auto"/>
        </w:rPr>
      </w:pPr>
    </w:p>
    <w:p>
      <w:pPr>
        <w:ind w:left="1300" w:hanging="644"/>
        <w:spacing w:after="0"/>
        <w:tabs>
          <w:tab w:leader="none" w:pos="130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242" w:lineRule="exact"/>
        <w:rPr>
          <w:rFonts w:ascii="Times New Roman" w:cs="Times New Roman" w:eastAsia="Times New Roman" w:hAnsi="Times New Roman"/>
          <w:sz w:val="20"/>
          <w:szCs w:val="20"/>
          <w:color w:val="auto"/>
        </w:rPr>
      </w:pPr>
    </w:p>
    <w:p>
      <w:pPr>
        <w:ind w:left="1960" w:right="6140" w:hanging="656"/>
        <w:spacing w:after="0" w:line="486" w:lineRule="auto"/>
        <w:tabs>
          <w:tab w:leader="none" w:pos="1960"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to direct the vote: 0</w:t>
      </w:r>
    </w:p>
    <w:p>
      <w:pPr>
        <w:ind w:left="1960" w:right="5940" w:hanging="656"/>
        <w:spacing w:after="0" w:line="486" w:lineRule="auto"/>
        <w:tabs>
          <w:tab w:leader="none" w:pos="1960"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to direct the vote: 51,891,738**see Note 1**</w:t>
      </w:r>
    </w:p>
    <w:p>
      <w:pPr>
        <w:ind w:left="1960" w:right="5140" w:hanging="656"/>
        <w:spacing w:after="0" w:line="486" w:lineRule="auto"/>
        <w:tabs>
          <w:tab w:leader="none" w:pos="1960"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to direct the disposition of: 0</w:t>
      </w:r>
    </w:p>
    <w:p>
      <w:pPr>
        <w:ind w:left="1960" w:right="4960" w:hanging="656"/>
        <w:spacing w:after="0" w:line="486" w:lineRule="auto"/>
        <w:tabs>
          <w:tab w:leader="none" w:pos="1960" w:val="left"/>
        </w:tabs>
        <w:numPr>
          <w:ilvl w:val="2"/>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to direct the disposition of: 51,891,738**see Note 1**</w:t>
      </w:r>
    </w:p>
    <w:p>
      <w:pPr>
        <w:jc w:val="both"/>
        <w:ind w:left="340" w:hanging="332"/>
        <w:spacing w:after="0" w:line="244" w:lineRule="auto"/>
        <w:tabs>
          <w:tab w:leader="none" w:pos="3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 1 ** ALPS Advisors, Inc. (“AAI’), an investment adviser registered under Section 203 of the Investment Advisors Act of 1940, furnishes investment advice to investment companies registered under the Investment Company Act of 1940 (collectively referred to as the "Funds"). In its role as investment advisor, AAI has voting and/or investment power over the securities of the Issuer that are owned by the Funds, and may be deemed to be the beneficial owner of the shares of the Issuer held by the Funds. However, all securities reported in this schedule are owned by the Funds. AAI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99"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Alerian MLP ETF is an investment company registered under the Investment Company Act of 1940 and is one of the Funds to which AAI provides investment advice.</w:t>
      </w:r>
    </w:p>
    <w:p>
      <w:pPr>
        <w:sectPr>
          <w:pgSz w:w="11900" w:h="16898" w:orient="portrait"/>
          <w:cols w:equalWidth="0" w:num="1">
            <w:col w:w="11240"/>
          </w:cols>
          <w:pgMar w:left="320" w:top="468" w:right="339" w:bottom="0" w:gutter="0" w:footer="0" w:header="0"/>
        </w:sectPr>
      </w:pPr>
    </w:p>
    <w:bookmarkStart w:id="5" w:name="page6"/>
    <w:bookmarkEnd w:id="5"/>
    <w:p>
      <w:pPr>
        <w:spacing w:after="0" w:line="269" w:lineRule="auto"/>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88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Ownership of Five Percent or Less of a Class</w:t>
      </w:r>
    </w:p>
    <w:p>
      <w:pPr>
        <w:spacing w:after="0" w:line="243" w:lineRule="exact"/>
        <w:rPr>
          <w:sz w:val="20"/>
          <w:szCs w:val="20"/>
          <w:color w:val="auto"/>
        </w:rPr>
      </w:pPr>
    </w:p>
    <w:p>
      <w:pPr>
        <w:ind w:left="660" w:right="160"/>
        <w:spacing w:after="0" w:line="269" w:lineRule="auto"/>
        <w:rPr>
          <w:sz w:val="20"/>
          <w:szCs w:val="20"/>
          <w:color w:val="auto"/>
        </w:rPr>
      </w:pPr>
      <w:r>
        <w:rPr>
          <w:rFonts w:ascii="Times New Roman" w:cs="Times New Roman" w:eastAsia="Times New Roman" w:hAnsi="Times New Roman"/>
          <w:sz w:val="20"/>
          <w:szCs w:val="20"/>
          <w:color w:val="auto"/>
        </w:rPr>
        <w:t>This statement is being filed to report the fact that as of the date hereof the reporting persons have ceased to be the beneficial owner of more than five percent of the class of securities.</w:t>
      </w:r>
    </w:p>
    <w:p>
      <w:pPr>
        <w:spacing w:after="0" w:line="17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19"/>
          <w:szCs w:val="19"/>
          <w:color w:val="auto"/>
        </w:rPr>
        <w:t>Ownership of More than Five Percent on Behalf of Another Person.</w:t>
      </w:r>
    </w:p>
    <w:p>
      <w:pPr>
        <w:spacing w:after="0" w:line="243" w:lineRule="exact"/>
        <w:rPr>
          <w:sz w:val="20"/>
          <w:szCs w:val="20"/>
          <w:color w:val="auto"/>
        </w:rPr>
      </w:pPr>
    </w:p>
    <w:p>
      <w:pPr>
        <w:ind w:left="660"/>
        <w:spacing w:after="0" w:line="249" w:lineRule="auto"/>
        <w:rPr>
          <w:sz w:val="20"/>
          <w:szCs w:val="20"/>
          <w:color w:val="auto"/>
        </w:rPr>
      </w:pPr>
      <w:r>
        <w:rPr>
          <w:rFonts w:ascii="Times New Roman" w:cs="Times New Roman" w:eastAsia="Times New Roman" w:hAnsi="Times New Roman"/>
          <w:sz w:val="20"/>
          <w:szCs w:val="20"/>
          <w:color w:val="auto"/>
        </w:rPr>
        <w:t>The Funds described in Note 1 above have the right to receive or the power to direct the receipt of dividends from, or the proceeds from the sale of the securities held in their respective accounts. AAI disclaims beneficial ownership of all such securities. The interest of one person, Alerian MLP ETF, an investment company registered under the Investment Company Act of 1940, in Plains All American Pipeline, L.P. Common Unit amounted to 51,891,738 shares or 7.12% of the total outstanding Common Units.</w:t>
      </w:r>
    </w:p>
    <w:p>
      <w:pPr>
        <w:spacing w:after="0" w:line="193" w:lineRule="exact"/>
        <w:rPr>
          <w:sz w:val="20"/>
          <w:szCs w:val="20"/>
          <w:color w:val="auto"/>
        </w:rPr>
      </w:pPr>
    </w:p>
    <w:p>
      <w:pPr>
        <w:ind w:left="900" w:right="660" w:hanging="890"/>
        <w:spacing w:after="0" w:line="269" w:lineRule="auto"/>
        <w:tabs>
          <w:tab w:leader="none" w:pos="88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Identification and Classification of the Subsidiary Which Acquired the Security Being Reported on By the Parent Holding Company or Control Person.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N/A</w:t>
      </w:r>
    </w:p>
    <w:p>
      <w:pPr>
        <w:spacing w:after="0" w:line="2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19"/>
          <w:szCs w:val="19"/>
          <w:color w:val="auto"/>
        </w:rPr>
        <w:t>Identification and Classification of Members of the Group</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N/A</w:t>
      </w:r>
    </w:p>
    <w:p>
      <w:pPr>
        <w:spacing w:after="0" w:line="2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Notice of Dissolution of Group</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N/A</w:t>
      </w:r>
    </w:p>
    <w:p>
      <w:pPr>
        <w:spacing w:after="0" w:line="2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19"/>
          <w:szCs w:val="19"/>
          <w:color w:val="auto"/>
        </w:rPr>
        <w:t>Certification</w:t>
      </w:r>
    </w:p>
    <w:p>
      <w:pPr>
        <w:spacing w:after="0" w:line="243" w:lineRule="exact"/>
        <w:rPr>
          <w:sz w:val="20"/>
          <w:szCs w:val="20"/>
          <w:color w:val="auto"/>
        </w:rPr>
      </w:pPr>
    </w:p>
    <w:p>
      <w:pPr>
        <w:ind w:left="660" w:right="6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240"/>
          </w:cols>
          <w:pgMar w:left="320" w:top="468" w:right="339" w:bottom="1440" w:gutter="0" w:footer="0" w:header="0"/>
        </w:sectPr>
      </w:pPr>
    </w:p>
    <w:bookmarkStart w:id="7" w:name="page8"/>
    <w:bookmarkEnd w:id="7"/>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9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ALPS ADVISORS,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Date</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/s/ Matthew Sutula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494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Title</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ALERIAN MLP ETF</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494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Date</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/s/ Matthew Sutula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494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Signature</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2494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Title</w:t>
      </w:r>
    </w:p>
    <w:sectPr>
      <w:pgSz w:w="11900" w:h="16838" w:orient="portrait"/>
      <w:cols w:equalWidth="0" w:num="1">
        <w:col w:w="11180"/>
      </w:cols>
      <w:pgMar w:left="320" w:top="66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lvl w:ilvl="1">
      <w:lvlJc w:val="left"/>
      <w:lvlText w:val="(%2)"/>
      <w:numFmt w:val="lowerLetter"/>
      <w:start w:val="1"/>
    </w:lvl>
  </w:abstractNum>
  <w:abstractNum w:abstractNumId="3">
    <w:nsid w:val="66EF438D"/>
    <w:multiLevelType w:val="hybridMultilevel"/>
    <w:lvl w:ilvl="0">
      <w:lvlJc w:val="left"/>
      <w:lvlText w:val="%1."/>
      <w:numFmt w:val="decimal"/>
      <w:start w:val="9"/>
    </w:lvl>
  </w:abstractNum>
  <w:abstractNum w:abstractNumId="4">
    <w:nsid w:val="140E0F76"/>
    <w:multiLevelType w:val="hybridMultilevel"/>
    <w:lvl w:ilvl="0">
      <w:lvlJc w:val="left"/>
      <w:lvlText w:val="%1."/>
      <w:numFmt w:val="decimal"/>
      <w:start w:val="10"/>
    </w:lvl>
  </w:abstractNum>
  <w:abstractNum w:abstractNumId="5">
    <w:nsid w:val="3352255A"/>
    <w:multiLevelType w:val="hybridMultilevel"/>
    <w:lvl w:ilvl="0">
      <w:lvlJc w:val="left"/>
      <w:lvlText w:val="%1."/>
      <w:numFmt w:val="decimal"/>
      <w:start w:val="12"/>
    </w:lvl>
  </w:abstractNum>
  <w:abstractNum w:abstractNumId="6">
    <w:nsid w:val="109CF92E"/>
    <w:multiLevelType w:val="hybridMultilevel"/>
    <w:lvl w:ilvl="0">
      <w:lvlJc w:val="left"/>
      <w:lvlText w:val="%1."/>
      <w:numFmt w:val="decimal"/>
      <w:start w:val="1"/>
    </w:lvl>
    <w:lvl w:ilvl="1">
      <w:lvlJc w:val="left"/>
      <w:lvlText w:val="(%2)"/>
      <w:numFmt w:val="lowerLetter"/>
      <w:start w:val="1"/>
    </w:lvl>
  </w:abstractNum>
  <w:abstractNum w:abstractNumId="7">
    <w:nsid w:val="DED7263"/>
    <w:multiLevelType w:val="hybridMultilevel"/>
    <w:lvl w:ilvl="0">
      <w:lvlJc w:val="left"/>
      <w:lvlText w:val="%1"/>
      <w:numFmt w:val="decimal"/>
      <w:start w:val="1"/>
    </w:lvl>
    <w:lvl w:ilvl="1">
      <w:lvlJc w:val="left"/>
      <w:lvlText w:val="%2."/>
      <w:numFmt w:val="decimal"/>
      <w:start w:val="8"/>
    </w:lvl>
  </w:abstractNum>
  <w:abstractNum w:abstractNumId="8">
    <w:nsid w:val="7FDCC233"/>
    <w:multiLevelType w:val="hybridMultilevel"/>
    <w:lvl w:ilvl="0">
      <w:lvlJc w:val="left"/>
      <w:lvlText w:val="%1."/>
      <w:numFmt w:val="decimal"/>
      <w:start w:val="9"/>
    </w:lvl>
    <w:lvl w:ilvl="1">
      <w:lvlJc w:val="left"/>
      <w:lvlText w:val="%2"/>
      <w:numFmt w:val="decimal"/>
      <w:start w:val="1"/>
    </w:lvl>
  </w:abstractNum>
  <w:abstractNum w:abstractNumId="9">
    <w:nsid w:val="1BEFD79F"/>
    <w:multiLevelType w:val="hybridMultilevel"/>
    <w:lvl w:ilvl="0">
      <w:lvlJc w:val="left"/>
      <w:lvlText w:val="%1."/>
      <w:numFmt w:val="decimal"/>
      <w:start w:val="10"/>
    </w:lvl>
  </w:abstractNum>
  <w:abstractNum w:abstractNumId="10">
    <w:nsid w:val="41A7C4C9"/>
    <w:multiLevelType w:val="hybridMultilevel"/>
    <w:lvl w:ilvl="0">
      <w:lvlJc w:val="left"/>
      <w:lvlText w:val="%1."/>
      <w:numFmt w:val="decimal"/>
      <w:start w:val="12"/>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
    </w:lvl>
    <w:lvl w:ilvl="1">
      <w:lvlJc w:val="left"/>
      <w:lvlText w:val="(%2)"/>
      <w:numFmt w:val="decimal"/>
      <w:start w:val="1"/>
    </w:lvl>
  </w:abstractNum>
  <w:abstractNum w:abstractNumId="13">
    <w:nsid w:val="25E45D32"/>
    <w:multiLevelType w:val="hybridMultilevel"/>
    <w:lvl w:ilvl="0">
      <w:lvlJc w:val="left"/>
      <w:lvlText w:val="(%1)"/>
      <w:numFmt w:val="lowerLetter"/>
      <w:start w:val="5"/>
    </w:lvl>
  </w:abstractNum>
  <w:abstractNum w:abstractNumId="14">
    <w:nsid w:val="519B500D"/>
    <w:multiLevelType w:val="hybridMultilevel"/>
    <w:lvl w:ilvl="0">
      <w:lvlJc w:val="left"/>
      <w:lvlText w:val="(%1)"/>
      <w:numFmt w:val="lowerLetter"/>
      <w:start w:val="6"/>
    </w:lvl>
  </w:abstractNum>
  <w:abstractNum w:abstractNumId="15">
    <w:nsid w:val="431BD7B7"/>
    <w:multiLevelType w:val="hybridMultilevel"/>
    <w:lvl w:ilvl="0">
      <w:lvlJc w:val="left"/>
      <w:lvlText w:val="(%1)"/>
      <w:numFmt w:val="lowerLetter"/>
      <w:start w:val="9"/>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3"/>
    </w:lvl>
    <w:lvl w:ilvl="1">
      <w:lvlJc w:val="left"/>
      <w:lvlText w:val="(%2)"/>
      <w:numFmt w:val="lowerRoman"/>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2021-02-09T13:12:10Z</dcterms:created>
  <dcterms:modified xsi:type="dcterms:W3CDTF">2021-02-09T13:12:10Z</dcterms:modified>
</cp:coreProperties>
</file>