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1" w:lineRule="exact"/>
        <w:rPr>
          <w:sz w:val="24"/>
          <w:szCs w:val="24"/>
          <w:color w:val="auto"/>
        </w:rPr>
      </w:pPr>
    </w:p>
    <w:p>
      <w:pPr>
        <w:ind w:left="3900" w:right="1800" w:hanging="3892"/>
        <w:spacing w:after="0" w:line="422" w:lineRule="auto"/>
        <w:tabs>
          <w:tab w:leader="none" w:pos="4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4160" w:type="dxa"/>
            <w:vAlign w:val="bottom"/>
          </w:tcPr>
          <w:p>
            <w:pPr>
              <w:jc w:val="center"/>
              <w:ind w:right="214"/>
              <w:spacing w:after="0"/>
              <w:rPr>
                <w:sz w:val="20"/>
                <w:szCs w:val="20"/>
                <w:color w:val="auto"/>
              </w:rPr>
            </w:pPr>
            <w:r>
              <w:rPr>
                <w:rFonts w:ascii="Arial" w:cs="Arial" w:eastAsia="Arial" w:hAnsi="Arial"/>
                <w:sz w:val="18"/>
                <w:szCs w:val="18"/>
                <w:b w:val="1"/>
                <w:bCs w:val="1"/>
                <w:color w:val="auto"/>
                <w:w w:val="93"/>
              </w:rPr>
              <w:t>Delaware</w:t>
            </w:r>
          </w:p>
        </w:tc>
        <w:tc>
          <w:tcPr>
            <w:tcW w:w="4580" w:type="dxa"/>
            <w:vAlign w:val="bottom"/>
          </w:tcPr>
          <w:p>
            <w:pPr>
              <w:jc w:val="right"/>
              <w:ind w:right="654"/>
              <w:spacing w:after="0"/>
              <w:rPr>
                <w:sz w:val="20"/>
                <w:szCs w:val="20"/>
                <w:color w:val="auto"/>
              </w:rPr>
            </w:pPr>
            <w:r>
              <w:rPr>
                <w:rFonts w:ascii="Arial" w:cs="Arial" w:eastAsia="Arial" w:hAnsi="Arial"/>
                <w:sz w:val="18"/>
                <w:szCs w:val="18"/>
                <w:b w:val="1"/>
                <w:bCs w:val="1"/>
                <w:color w:val="auto"/>
              </w:rPr>
              <w:t>90-1005472</w:t>
            </w:r>
          </w:p>
        </w:tc>
      </w:tr>
      <w:tr>
        <w:trPr>
          <w:trHeight w:val="251"/>
        </w:trPr>
        <w:tc>
          <w:tcPr>
            <w:tcW w:w="4160" w:type="dxa"/>
            <w:vAlign w:val="bottom"/>
          </w:tcPr>
          <w:p>
            <w:pPr>
              <w:jc w:val="center"/>
              <w:ind w:right="214"/>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580" w:type="dxa"/>
            <w:vAlign w:val="bottom"/>
          </w:tcPr>
          <w:p>
            <w:pPr>
              <w:jc w:val="center"/>
              <w:ind w:left="2134"/>
              <w:spacing w:after="0"/>
              <w:rPr>
                <w:sz w:val="20"/>
                <w:szCs w:val="20"/>
                <w:color w:val="auto"/>
              </w:rPr>
            </w:pPr>
            <w:r>
              <w:rPr>
                <w:rFonts w:ascii="Arial" w:cs="Arial" w:eastAsia="Arial" w:hAnsi="Arial"/>
                <w:sz w:val="16"/>
                <w:szCs w:val="16"/>
                <w:color w:val="auto"/>
                <w:w w:val="95"/>
              </w:rPr>
              <w:t>(I.R.S. Employer Identification No.)</w:t>
            </w:r>
          </w:p>
        </w:tc>
      </w:tr>
      <w:tr>
        <w:trPr>
          <w:trHeight w:val="411"/>
        </w:trPr>
        <w:tc>
          <w:tcPr>
            <w:tcW w:w="4160" w:type="dxa"/>
            <w:vAlign w:val="bottom"/>
          </w:tcPr>
          <w:p>
            <w:pPr>
              <w:jc w:val="center"/>
              <w:ind w:right="214"/>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4580" w:type="dxa"/>
            <w:vAlign w:val="bottom"/>
          </w:tcPr>
          <w:p>
            <w:pPr>
              <w:jc w:val="right"/>
              <w:ind w:right="854"/>
              <w:spacing w:after="0"/>
              <w:rPr>
                <w:sz w:val="20"/>
                <w:szCs w:val="20"/>
                <w:color w:val="auto"/>
              </w:rPr>
            </w:pPr>
            <w:r>
              <w:rPr>
                <w:rFonts w:ascii="Arial" w:cs="Arial" w:eastAsia="Arial" w:hAnsi="Arial"/>
                <w:sz w:val="18"/>
                <w:szCs w:val="18"/>
                <w:b w:val="1"/>
                <w:bCs w:val="1"/>
                <w:color w:val="auto"/>
              </w:rPr>
              <w:t>77002</w:t>
            </w:r>
          </w:p>
        </w:tc>
      </w:tr>
      <w:tr>
        <w:trPr>
          <w:trHeight w:val="251"/>
        </w:trPr>
        <w:tc>
          <w:tcPr>
            <w:tcW w:w="4160" w:type="dxa"/>
            <w:vAlign w:val="bottom"/>
          </w:tcPr>
          <w:p>
            <w:pPr>
              <w:jc w:val="center"/>
              <w:ind w:right="214"/>
              <w:spacing w:after="0"/>
              <w:rPr>
                <w:sz w:val="20"/>
                <w:szCs w:val="20"/>
                <w:color w:val="auto"/>
              </w:rPr>
            </w:pPr>
            <w:r>
              <w:rPr>
                <w:rFonts w:ascii="Arial" w:cs="Arial" w:eastAsia="Arial" w:hAnsi="Arial"/>
                <w:sz w:val="16"/>
                <w:szCs w:val="16"/>
                <w:color w:val="auto"/>
                <w:w w:val="94"/>
              </w:rPr>
              <w:t>(Address of principal executive offices)</w:t>
            </w:r>
          </w:p>
        </w:tc>
        <w:tc>
          <w:tcPr>
            <w:tcW w:w="4580" w:type="dxa"/>
            <w:vAlign w:val="bottom"/>
          </w:tcPr>
          <w:p>
            <w:pPr>
              <w:jc w:val="center"/>
              <w:ind w:left="2134"/>
              <w:spacing w:after="0"/>
              <w:rPr>
                <w:sz w:val="20"/>
                <w:szCs w:val="20"/>
                <w:color w:val="auto"/>
              </w:rPr>
            </w:pPr>
            <w:r>
              <w:rPr>
                <w:rFonts w:ascii="Arial" w:cs="Arial" w:eastAsia="Arial" w:hAnsi="Arial"/>
                <w:sz w:val="16"/>
                <w:szCs w:val="16"/>
                <w:color w:val="auto"/>
                <w:w w:val="95"/>
              </w:rPr>
              <w:t>(Zip Code)</w:t>
            </w:r>
          </w:p>
        </w:tc>
      </w:tr>
      <w:tr>
        <w:trPr>
          <w:trHeight w:val="452"/>
        </w:trPr>
        <w:tc>
          <w:tcPr>
            <w:tcW w:w="4160" w:type="dxa"/>
            <w:vAlign w:val="bottom"/>
          </w:tcPr>
          <w:p>
            <w:pPr>
              <w:spacing w:after="0"/>
              <w:rPr>
                <w:sz w:val="24"/>
                <w:szCs w:val="24"/>
                <w:color w:val="auto"/>
              </w:rPr>
            </w:pPr>
          </w:p>
        </w:tc>
        <w:tc>
          <w:tcPr>
            <w:tcW w:w="4580" w:type="dxa"/>
            <w:vAlign w:val="bottom"/>
          </w:tcPr>
          <w:p>
            <w:pPr>
              <w:jc w:val="right"/>
              <w:ind w:right="3054"/>
              <w:spacing w:after="0"/>
              <w:rPr>
                <w:sz w:val="20"/>
                <w:szCs w:val="20"/>
                <w:color w:val="auto"/>
              </w:rPr>
            </w:pPr>
            <w:r>
              <w:rPr>
                <w:rFonts w:ascii="Arial" w:cs="Arial" w:eastAsia="Arial" w:hAnsi="Arial"/>
                <w:sz w:val="18"/>
                <w:szCs w:val="18"/>
                <w:b w:val="1"/>
                <w:bCs w:val="1"/>
                <w:color w:val="auto"/>
              </w:rPr>
              <w:t>(713) 646-4100</w:t>
            </w:r>
          </w:p>
        </w:tc>
      </w:tr>
    </w:tbl>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16"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120" w:firstLine="369"/>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74"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233" w:right="279" w:bottom="1440" w:gutter="0" w:footer="0" w:header="0"/>
        </w:sectPr>
      </w:pPr>
    </w:p>
    <w:p>
      <w:pPr>
        <w:spacing w:after="0" w:line="95" w:lineRule="exact"/>
        <w:rPr>
          <w:sz w:val="24"/>
          <w:szCs w:val="24"/>
          <w:color w:val="auto"/>
        </w:rPr>
      </w:pPr>
    </w:p>
    <w:p>
      <w:pPr>
        <w:ind w:left="17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840" w:space="720"/>
            <w:col w:w="3820"/>
          </w:cols>
          <w:pgMar w:left="240" w:top="233" w:right="279" w:bottom="1440" w:gutter="0" w:footer="0" w:header="0"/>
          <w:type w:val="continuous"/>
        </w:sectPr>
      </w:pPr>
    </w:p>
    <w:p>
      <w:pPr>
        <w:spacing w:after="0" w:line="15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460" w:space="720"/>
            <w:col w:w="4200"/>
          </w:cols>
          <w:pgMar w:left="240" w:top="233" w:right="279" w:bottom="1440" w:gutter="0" w:footer="0" w:header="0"/>
          <w:type w:val="continuous"/>
        </w:sectPr>
      </w:pPr>
    </w:p>
    <w:p>
      <w:pPr>
        <w:spacing w:after="0" w:line="8" w:lineRule="exact"/>
        <w:rPr>
          <w:sz w:val="24"/>
          <w:szCs w:val="24"/>
          <w:color w:val="auto"/>
        </w:rPr>
      </w:pPr>
    </w:p>
    <w:p>
      <w:pPr>
        <w:ind w:left="71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233" w:right="279" w:bottom="1440" w:gutter="0" w:footer="0" w:header="0"/>
          <w:type w:val="continuous"/>
        </w:sectPr>
      </w:pPr>
    </w:p>
    <w:p>
      <w:pPr>
        <w:spacing w:after="0" w:line="1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340" w:right="18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Act:</w:t>
      </w:r>
    </w:p>
    <w:p>
      <w:pPr>
        <w:spacing w:after="0" w:line="116"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1, 2019, there were 159,485,588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263525</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177800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6"/>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60" w:type="dxa"/>
            <w:vAlign w:val="bottom"/>
            <w:gridSpan w:val="19"/>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1012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980" w:type="dxa"/>
            <w:vAlign w:val="bottom"/>
            <w:gridSpan w:val="3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2019 and December 31,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620" w:type="dxa"/>
            <w:vAlign w:val="bottom"/>
            <w:gridSpan w:val="2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2019 and 2018</w:t>
              </w:r>
            </w:hyperlink>
          </w:p>
        </w:tc>
        <w:tc>
          <w:tcPr>
            <w:tcW w:w="2360" w:type="dxa"/>
            <w:vAlign w:val="bottom"/>
            <w:gridSpan w:val="6"/>
          </w:tcPr>
          <w:p>
            <w:pPr>
              <w:spacing w:after="0"/>
              <w:rPr>
                <w:sz w:val="21"/>
                <w:szCs w:val="21"/>
                <w:color w:val="auto"/>
              </w:rPr>
            </w:pPr>
          </w:p>
        </w:tc>
        <w:tc>
          <w:tcPr>
            <w:tcW w:w="124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40" w:type="dxa"/>
            <w:vAlign w:val="bottom"/>
            <w:gridSpan w:val="3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2019 and 2018</w:t>
              </w:r>
            </w:hyperlink>
          </w:p>
        </w:tc>
        <w:tc>
          <w:tcPr>
            <w:tcW w:w="1440" w:type="dxa"/>
            <w:vAlign w:val="bottom"/>
            <w:gridSpan w:val="4"/>
          </w:tcPr>
          <w:p>
            <w:pPr>
              <w:spacing w:after="0"/>
              <w:rPr>
                <w:sz w:val="21"/>
                <w:szCs w:val="21"/>
                <w:color w:val="auto"/>
              </w:rPr>
            </w:pPr>
          </w:p>
        </w:tc>
        <w:tc>
          <w:tcPr>
            <w:tcW w:w="124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460" w:type="dxa"/>
            <w:vAlign w:val="bottom"/>
            <w:tcBorders>
              <w:bottom w:val="single" w:sz="8" w:color="0000EE"/>
            </w:tcBorders>
            <w:gridSpan w:val="3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three months ended</w:t>
              </w:r>
            </w:hyperlink>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2019 and 2018</w:t>
              </w:r>
            </w:hyperlink>
          </w:p>
        </w:tc>
        <w:tc>
          <w:tcPr>
            <w:tcW w:w="124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980" w:type="dxa"/>
            <w:vAlign w:val="bottom"/>
            <w:gridSpan w:val="3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2019 and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980" w:type="dxa"/>
            <w:vAlign w:val="bottom"/>
            <w:gridSpan w:val="3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Partners’ Capital: For the three months ended March 31, 2019 and 2018</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580" w:type="dxa"/>
            <w:vAlign w:val="bottom"/>
            <w:tcBorders>
              <w:top w:val="single" w:sz="8" w:color="0000EE"/>
            </w:tcBorders>
            <w:gridSpan w:val="10"/>
          </w:tcPr>
          <w:p>
            <w:pPr>
              <w:spacing w:after="0"/>
              <w:rPr>
                <w:sz w:val="21"/>
                <w:szCs w:val="21"/>
                <w:color w:val="auto"/>
              </w:rPr>
            </w:pPr>
          </w:p>
        </w:tc>
        <w:tc>
          <w:tcPr>
            <w:tcW w:w="1100" w:type="dxa"/>
            <w:vAlign w:val="bottom"/>
            <w:gridSpan w:val="3"/>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20" w:type="dxa"/>
            <w:vAlign w:val="bottom"/>
            <w:gridSpan w:val="12"/>
          </w:tcPr>
          <w:p>
            <w:pPr>
              <w:spacing w:after="0"/>
              <w:rPr>
                <w:sz w:val="21"/>
                <w:szCs w:val="21"/>
                <w:color w:val="auto"/>
              </w:rPr>
            </w:pPr>
          </w:p>
        </w:tc>
        <w:tc>
          <w:tcPr>
            <w:tcW w:w="1240" w:type="dxa"/>
            <w:vAlign w:val="bottom"/>
            <w:gridSpan w:val="4"/>
          </w:tcPr>
          <w:p>
            <w:pPr>
              <w:jc w:val="right"/>
              <w:ind w:right="4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3240" w:type="dxa"/>
            <w:vAlign w:val="bottom"/>
            <w:gridSpan w:val="17"/>
          </w:tcPr>
          <w:p>
            <w:pPr>
              <w:ind w:left="20"/>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Summary of Significant Accounting Policies</w:t>
              </w:r>
            </w:hyperlink>
          </w:p>
        </w:tc>
        <w:tc>
          <w:tcPr>
            <w:tcW w:w="960" w:type="dxa"/>
            <w:vAlign w:val="bottom"/>
            <w:gridSpan w:val="3"/>
          </w:tcPr>
          <w:p>
            <w:pPr>
              <w:spacing w:after="0"/>
              <w:rPr>
                <w:sz w:val="21"/>
                <w:szCs w:val="21"/>
                <w:color w:val="auto"/>
              </w:rPr>
            </w:pPr>
          </w:p>
        </w:tc>
        <w:tc>
          <w:tcPr>
            <w:tcW w:w="5420" w:type="dxa"/>
            <w:vAlign w:val="bottom"/>
            <w:gridSpan w:val="12"/>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0">
              <w:r>
                <w:rPr>
                  <w:rFonts w:ascii="Arial" w:cs="Arial" w:eastAsia="Arial" w:hAnsi="Arial"/>
                  <w:sz w:val="17"/>
                  <w:szCs w:val="17"/>
                  <w:color w:val="0000EE"/>
                  <w:w w:val="73"/>
                </w:rPr>
                <w:t>10</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3240" w:type="dxa"/>
            <w:vAlign w:val="bottom"/>
            <w:gridSpan w:val="17"/>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Revenues and Accounts Receivable</w:t>
              </w:r>
            </w:hyperlink>
          </w:p>
        </w:tc>
        <w:tc>
          <w:tcPr>
            <w:tcW w:w="6380" w:type="dxa"/>
            <w:vAlign w:val="bottom"/>
            <w:gridSpan w:val="15"/>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1">
              <w:r>
                <w:rPr>
                  <w:rFonts w:ascii="Arial" w:cs="Arial" w:eastAsia="Arial" w:hAnsi="Arial"/>
                  <w:sz w:val="17"/>
                  <w:szCs w:val="17"/>
                  <w:color w:val="0000EE"/>
                  <w:w w:val="73"/>
                </w:rPr>
                <w:t>11</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4.</w:t>
              </w:r>
            </w:hyperlink>
          </w:p>
        </w:tc>
        <w:tc>
          <w:tcPr>
            <w:tcW w:w="2220" w:type="dxa"/>
            <w:vAlign w:val="bottom"/>
            <w:gridSpan w:val="10"/>
          </w:tcPr>
          <w:p>
            <w:pPr>
              <w:ind w:left="20"/>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Net Income Per Class A Share</w:t>
              </w:r>
            </w:hyperlink>
          </w:p>
        </w:tc>
        <w:tc>
          <w:tcPr>
            <w:tcW w:w="380" w:type="dxa"/>
            <w:vAlign w:val="bottom"/>
            <w:gridSpan w:val="4"/>
          </w:tcPr>
          <w:p>
            <w:pPr>
              <w:spacing w:after="0"/>
              <w:rPr>
                <w:sz w:val="21"/>
                <w:szCs w:val="21"/>
                <w:color w:val="auto"/>
              </w:rPr>
            </w:pPr>
          </w:p>
        </w:tc>
        <w:tc>
          <w:tcPr>
            <w:tcW w:w="7020" w:type="dxa"/>
            <w:vAlign w:val="bottom"/>
            <w:gridSpan w:val="18"/>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14</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Inventory, Linefill and Base Gas and Long-term Inventory</w:t>
              </w:r>
            </w:hyperlink>
          </w:p>
        </w:tc>
        <w:tc>
          <w:tcPr>
            <w:tcW w:w="5380" w:type="dxa"/>
            <w:vAlign w:val="bottom"/>
            <w:gridSpan w:val="11"/>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6">
              <w:r>
                <w:rPr>
                  <w:rFonts w:ascii="Arial" w:cs="Arial" w:eastAsia="Arial" w:hAnsi="Arial"/>
                  <w:sz w:val="17"/>
                  <w:szCs w:val="17"/>
                  <w:color w:val="0000EE"/>
                  <w:w w:val="73"/>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Goodwill</w:t>
              </w:r>
            </w:hyperlink>
          </w:p>
        </w:tc>
        <w:tc>
          <w:tcPr>
            <w:tcW w:w="5380" w:type="dxa"/>
            <w:vAlign w:val="bottom"/>
            <w:gridSpan w:val="11"/>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6">
              <w:r>
                <w:rPr>
                  <w:rFonts w:ascii="Arial" w:cs="Arial" w:eastAsia="Arial" w:hAnsi="Arial"/>
                  <w:sz w:val="17"/>
                  <w:szCs w:val="17"/>
                  <w:color w:val="0000EE"/>
                  <w:w w:val="73"/>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2860" w:type="dxa"/>
            <w:vAlign w:val="bottom"/>
            <w:gridSpan w:val="16"/>
          </w:tcPr>
          <w:p>
            <w:pPr>
              <w:ind w:left="20"/>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Investments in Unconsolidated Entities</w:t>
              </w:r>
            </w:hyperlink>
          </w:p>
        </w:tc>
        <w:tc>
          <w:tcPr>
            <w:tcW w:w="6760" w:type="dxa"/>
            <w:vAlign w:val="bottom"/>
            <w:gridSpan w:val="16"/>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7">
              <w:r>
                <w:rPr>
                  <w:rFonts w:ascii="Arial" w:cs="Arial" w:eastAsia="Arial" w:hAnsi="Arial"/>
                  <w:sz w:val="17"/>
                  <w:szCs w:val="17"/>
                  <w:color w:val="0000EE"/>
                  <w:w w:val="73"/>
                </w:rPr>
                <w:t>17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Debt</w:t>
              </w:r>
            </w:hyperlink>
          </w:p>
        </w:tc>
        <w:tc>
          <w:tcPr>
            <w:tcW w:w="2480" w:type="dxa"/>
            <w:vAlign w:val="bottom"/>
            <w:gridSpan w:val="15"/>
          </w:tcPr>
          <w:p>
            <w:pPr>
              <w:spacing w:after="0"/>
              <w:rPr>
                <w:sz w:val="21"/>
                <w:szCs w:val="21"/>
                <w:color w:val="auto"/>
              </w:rPr>
            </w:pPr>
          </w:p>
        </w:tc>
        <w:tc>
          <w:tcPr>
            <w:tcW w:w="6760" w:type="dxa"/>
            <w:vAlign w:val="bottom"/>
            <w:gridSpan w:val="16"/>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8">
              <w:r>
                <w:rPr>
                  <w:rFonts w:ascii="Arial" w:cs="Arial" w:eastAsia="Arial" w:hAnsi="Arial"/>
                  <w:sz w:val="17"/>
                  <w:szCs w:val="17"/>
                  <w:color w:val="0000EE"/>
                  <w:w w:val="73"/>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9.</w:t>
              </w:r>
            </w:hyperlink>
          </w:p>
        </w:tc>
        <w:tc>
          <w:tcPr>
            <w:tcW w:w="2500" w:type="dxa"/>
            <w:vAlign w:val="bottom"/>
            <w:gridSpan w:val="12"/>
          </w:tcPr>
          <w:p>
            <w:pPr>
              <w:ind w:left="2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Partners’ Capital and Distributions</w:t>
              </w:r>
            </w:hyperlink>
          </w:p>
        </w:tc>
        <w:tc>
          <w:tcPr>
            <w:tcW w:w="7120" w:type="dxa"/>
            <w:vAlign w:val="bottom"/>
            <w:gridSpan w:val="20"/>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9">
              <w:r>
                <w:rPr>
                  <w:rFonts w:ascii="Arial" w:cs="Arial" w:eastAsia="Arial" w:hAnsi="Arial"/>
                  <w:sz w:val="17"/>
                  <w:szCs w:val="17"/>
                  <w:color w:val="0000EE"/>
                  <w:w w:val="73"/>
                </w:rPr>
                <w:t>19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10. Derivatives and Risk Management Activities</w:t>
              </w:r>
            </w:hyperlink>
          </w:p>
        </w:tc>
        <w:tc>
          <w:tcPr>
            <w:tcW w:w="6260" w:type="dxa"/>
            <w:vAlign w:val="bottom"/>
            <w:gridSpan w:val="14"/>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21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11. Leases</w:t>
              </w:r>
            </w:hyperlink>
          </w:p>
        </w:tc>
        <w:tc>
          <w:tcPr>
            <w:tcW w:w="2740" w:type="dxa"/>
            <w:vAlign w:val="bottom"/>
            <w:gridSpan w:val="16"/>
          </w:tcPr>
          <w:p>
            <w:pPr>
              <w:spacing w:after="0"/>
              <w:rPr>
                <w:sz w:val="21"/>
                <w:szCs w:val="21"/>
                <w:color w:val="auto"/>
              </w:rPr>
            </w:pPr>
          </w:p>
        </w:tc>
        <w:tc>
          <w:tcPr>
            <w:tcW w:w="6260" w:type="dxa"/>
            <w:vAlign w:val="bottom"/>
            <w:gridSpan w:val="14"/>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780" w:type="dxa"/>
            <w:vAlign w:val="bottom"/>
            <w:gridSpan w:val="3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12. Related Party Transactions</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3"/>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13. Commitments and Contingencies</w:t>
              </w:r>
            </w:hyperlink>
          </w:p>
        </w:tc>
        <w:tc>
          <w:tcPr>
            <w:tcW w:w="7120" w:type="dxa"/>
            <w:vAlign w:val="bottom"/>
            <w:gridSpan w:val="20"/>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32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14. Operating Segments</w:t>
              </w:r>
            </w:hyperlink>
          </w:p>
        </w:tc>
        <w:tc>
          <w:tcPr>
            <w:tcW w:w="7120" w:type="dxa"/>
            <w:vAlign w:val="bottom"/>
            <w:gridSpan w:val="20"/>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37">
              <w:r>
                <w:rPr>
                  <w:rFonts w:ascii="Arial" w:cs="Arial" w:eastAsia="Arial" w:hAnsi="Arial"/>
                  <w:sz w:val="17"/>
                  <w:szCs w:val="17"/>
                  <w:color w:val="0000EE"/>
                  <w:w w:val="73"/>
                </w:rPr>
                <w:t>37</w:t>
              </w:r>
            </w:hyperlink>
          </w:p>
        </w:tc>
      </w:tr>
      <w:tr>
        <w:trPr>
          <w:trHeight w:val="20"/>
        </w:trPr>
        <w:tc>
          <w:tcPr>
            <w:tcW w:w="34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0120" w:type="dxa"/>
            <w:vAlign w:val="bottom"/>
            <w:gridSpan w:val="3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6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0">
              <w:r>
                <w:rPr>
                  <w:rFonts w:ascii="Arial" w:cs="Arial" w:eastAsia="Arial" w:hAnsi="Arial"/>
                  <w:sz w:val="17"/>
                  <w:szCs w:val="17"/>
                  <w:color w:val="0000EE"/>
                  <w:w w:val="73"/>
                </w:rPr>
                <w:t>60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60" w:type="dxa"/>
            <w:vAlign w:val="bottom"/>
            <w:gridSpan w:val="18"/>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Item 4. CONTROLS AND PROCEDURES</w:t>
              </w:r>
            </w:hyperlink>
          </w:p>
        </w:tc>
        <w:tc>
          <w:tcPr>
            <w:tcW w:w="3540" w:type="dxa"/>
            <w:vAlign w:val="bottom"/>
            <w:gridSpan w:val="10"/>
          </w:tcPr>
          <w:p>
            <w:pPr>
              <w:spacing w:after="0"/>
              <w:rPr>
                <w:sz w:val="21"/>
                <w:szCs w:val="21"/>
                <w:color w:val="auto"/>
              </w:rPr>
            </w:pPr>
          </w:p>
        </w:tc>
        <w:tc>
          <w:tcPr>
            <w:tcW w:w="3420" w:type="dxa"/>
            <w:vAlign w:val="bottom"/>
            <w:gridSpan w:val="7"/>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1">
              <w:r>
                <w:rPr>
                  <w:rFonts w:ascii="Arial" w:cs="Arial" w:eastAsia="Arial" w:hAnsi="Arial"/>
                  <w:sz w:val="17"/>
                  <w:szCs w:val="17"/>
                  <w:color w:val="0000EE"/>
                  <w:w w:val="73"/>
                </w:rPr>
                <w:t>61</w:t>
              </w:r>
            </w:hyperlink>
          </w:p>
        </w:tc>
      </w:tr>
      <w:tr>
        <w:trPr>
          <w:trHeight w:val="520"/>
        </w:trPr>
        <w:tc>
          <w:tcPr>
            <w:tcW w:w="276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6960" w:type="dxa"/>
            <w:vAlign w:val="bottom"/>
            <w:gridSpan w:val="17"/>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0120" w:type="dxa"/>
            <w:vAlign w:val="bottom"/>
            <w:gridSpan w:val="3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 LEGAL PROCEEDINGS</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2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1A. RISK FACTORS</w:t>
              </w:r>
            </w:hyperlink>
          </w:p>
        </w:tc>
        <w:tc>
          <w:tcPr>
            <w:tcW w:w="7700" w:type="dxa"/>
            <w:vAlign w:val="bottom"/>
            <w:gridSpan w:val="25"/>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3">
              <w:r>
                <w:rPr>
                  <w:rFonts w:ascii="Arial" w:cs="Arial" w:eastAsia="Arial" w:hAnsi="Arial"/>
                  <w:sz w:val="17"/>
                  <w:szCs w:val="17"/>
                  <w:color w:val="0000EE"/>
                  <w:w w:val="73"/>
                </w:rPr>
                <w:t>63</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120" w:type="dxa"/>
            <w:vAlign w:val="bottom"/>
            <w:gridSpan w:val="3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4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40" w:type="dxa"/>
            <w:vAlign w:val="bottom"/>
            <w:gridSpan w:val="20"/>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3. DEFAULTS UPON SENIOR SECURITIES</w:t>
              </w:r>
            </w:hyperlink>
          </w:p>
        </w:tc>
        <w:tc>
          <w:tcPr>
            <w:tcW w:w="2880" w:type="dxa"/>
            <w:vAlign w:val="bottom"/>
            <w:gridSpan w:val="7"/>
          </w:tcPr>
          <w:p>
            <w:pPr>
              <w:spacing w:after="0"/>
              <w:rPr>
                <w:sz w:val="21"/>
                <w:szCs w:val="21"/>
                <w:color w:val="auto"/>
              </w:rPr>
            </w:pPr>
          </w:p>
        </w:tc>
        <w:tc>
          <w:tcPr>
            <w:tcW w:w="3500" w:type="dxa"/>
            <w:vAlign w:val="bottom"/>
            <w:gridSpan w:val="8"/>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3">
              <w:r>
                <w:rPr>
                  <w:rFonts w:ascii="Arial" w:cs="Arial" w:eastAsia="Arial" w:hAnsi="Arial"/>
                  <w:sz w:val="17"/>
                  <w:szCs w:val="17"/>
                  <w:color w:val="0000EE"/>
                  <w:w w:val="73"/>
                </w:rPr>
                <w:t>63</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6380" w:type="dxa"/>
            <w:vAlign w:val="bottom"/>
            <w:gridSpan w:val="1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000" w:type="dxa"/>
            <w:vAlign w:val="bottom"/>
            <w:gridSpan w:val="15"/>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Item 4. MINE SAFETY DISCLOSURES</w:t>
              </w:r>
            </w:hyperlink>
          </w:p>
        </w:tc>
        <w:tc>
          <w:tcPr>
            <w:tcW w:w="740" w:type="dxa"/>
            <w:vAlign w:val="bottom"/>
            <w:gridSpan w:val="5"/>
          </w:tcPr>
          <w:p>
            <w:pPr>
              <w:spacing w:after="0"/>
              <w:rPr>
                <w:sz w:val="21"/>
                <w:szCs w:val="21"/>
                <w:color w:val="auto"/>
              </w:rPr>
            </w:pPr>
          </w:p>
        </w:tc>
        <w:tc>
          <w:tcPr>
            <w:tcW w:w="6380" w:type="dxa"/>
            <w:vAlign w:val="bottom"/>
            <w:gridSpan w:val="15"/>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3">
              <w:r>
                <w:rPr>
                  <w:rFonts w:ascii="Arial" w:cs="Arial" w:eastAsia="Arial" w:hAnsi="Arial"/>
                  <w:sz w:val="17"/>
                  <w:szCs w:val="17"/>
                  <w:color w:val="0000EE"/>
                  <w:w w:val="73"/>
                </w:rPr>
                <w:t>63</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120" w:type="dxa"/>
            <w:vAlign w:val="bottom"/>
            <w:gridSpan w:val="20"/>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40" w:type="dxa"/>
            <w:vAlign w:val="bottom"/>
            <w:gridSpan w:val="11"/>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120" w:type="dxa"/>
            <w:vAlign w:val="bottom"/>
            <w:gridSpan w:val="20"/>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3">
              <w:r>
                <w:rPr>
                  <w:rFonts w:ascii="Arial" w:cs="Arial" w:eastAsia="Arial" w:hAnsi="Arial"/>
                  <w:sz w:val="17"/>
                  <w:szCs w:val="17"/>
                  <w:color w:val="0000EE"/>
                  <w:w w:val="73"/>
                </w:rPr>
                <w:t>63</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680" w:type="dxa"/>
            <w:vAlign w:val="bottom"/>
            <w:gridSpan w:val="24"/>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40" w:type="dxa"/>
            <w:vAlign w:val="bottom"/>
            <w:gridSpan w:val="1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6. EXHIBITS</w:t>
              </w:r>
            </w:hyperlink>
          </w:p>
        </w:tc>
        <w:tc>
          <w:tcPr>
            <w:tcW w:w="7680" w:type="dxa"/>
            <w:vAlign w:val="bottom"/>
            <w:gridSpan w:val="24"/>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4">
              <w:r>
                <w:rPr>
                  <w:rFonts w:ascii="Arial" w:cs="Arial" w:eastAsia="Arial" w:hAnsi="Arial"/>
                  <w:sz w:val="17"/>
                  <w:szCs w:val="17"/>
                  <w:color w:val="0000EE"/>
                  <w:w w:val="73"/>
                </w:rPr>
                <w:t>64</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760" w:type="dxa"/>
            <w:vAlign w:val="bottom"/>
            <w:gridSpan w:val="28"/>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20" w:type="dxa"/>
            <w:vAlign w:val="bottom"/>
            <w:gridSpan w:val="5"/>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SIGNATURES</w:t>
              </w:r>
            </w:hyperlink>
          </w:p>
        </w:tc>
        <w:tc>
          <w:tcPr>
            <w:tcW w:w="240" w:type="dxa"/>
            <w:vAlign w:val="bottom"/>
            <w:gridSpan w:val="2"/>
          </w:tcPr>
          <w:p>
            <w:pPr>
              <w:spacing w:after="0"/>
              <w:rPr>
                <w:sz w:val="21"/>
                <w:szCs w:val="21"/>
                <w:color w:val="auto"/>
              </w:rPr>
            </w:pPr>
          </w:p>
        </w:tc>
        <w:tc>
          <w:tcPr>
            <w:tcW w:w="8760" w:type="dxa"/>
            <w:vAlign w:val="bottom"/>
            <w:gridSpan w:val="28"/>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7">
              <w:r>
                <w:rPr>
                  <w:rFonts w:ascii="Arial" w:cs="Arial" w:eastAsia="Arial" w:hAnsi="Arial"/>
                  <w:sz w:val="17"/>
                  <w:szCs w:val="17"/>
                  <w:color w:val="0000EE"/>
                  <w:w w:val="73"/>
                </w:rPr>
                <w:t>67</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528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37"/>
        </w:trPr>
        <w:tc>
          <w:tcPr>
            <w:tcW w:w="8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20"/>
                <w:szCs w:val="20"/>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0"/>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69</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3,001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2,454</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640</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373</w:t>
            </w:r>
          </w:p>
        </w:tc>
      </w:tr>
      <w:tr>
        <w:trPr>
          <w:trHeight w:val="31"/>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3,536</w:t>
            </w:r>
          </w:p>
        </w:tc>
      </w:tr>
      <w:tr>
        <w:trPr>
          <w:trHeight w:val="223"/>
        </w:trPr>
        <w:tc>
          <w:tcPr>
            <w:tcW w:w="8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17,905</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(3,103)</w:t>
            </w:r>
          </w:p>
        </w:tc>
      </w:tr>
      <w:tr>
        <w:trPr>
          <w:trHeight w:val="31"/>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14,802</w:t>
            </w:r>
          </w:p>
        </w:tc>
      </w:tr>
      <w:tr>
        <w:trPr>
          <w:trHeight w:val="223"/>
        </w:trPr>
        <w:tc>
          <w:tcPr>
            <w:tcW w:w="8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2,529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2,521</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2,702</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1,247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1,304</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891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913</w:t>
            </w:r>
          </w:p>
        </w:tc>
      </w:tr>
      <w:tr>
        <w:trPr>
          <w:trHeight w:val="31"/>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0"/>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3,454</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2,705</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687</w:t>
            </w:r>
          </w:p>
        </w:tc>
      </w:tr>
      <w:tr>
        <w:trPr>
          <w:trHeight w:val="31"/>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3,458</w:t>
            </w:r>
          </w:p>
        </w:tc>
      </w:tr>
      <w:tr>
        <w:trPr>
          <w:trHeight w:val="223"/>
        </w:trPr>
        <w:tc>
          <w:tcPr>
            <w:tcW w:w="8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8,943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8,941</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910</w:t>
            </w:r>
          </w:p>
        </w:tc>
      </w:tr>
      <w:tr>
        <w:trPr>
          <w:trHeight w:val="219"/>
        </w:trPr>
        <w:tc>
          <w:tcPr>
            <w:tcW w:w="8320" w:type="dxa"/>
            <w:vAlign w:val="bottom"/>
          </w:tcPr>
          <w:p>
            <w:pPr>
              <w:ind w:left="160"/>
              <w:spacing w:after="0"/>
              <w:rPr>
                <w:sz w:val="20"/>
                <w:szCs w:val="20"/>
                <w:color w:val="auto"/>
              </w:rPr>
            </w:pPr>
            <w:r>
              <w:rPr>
                <w:rFonts w:ascii="Arial" w:cs="Arial" w:eastAsia="Arial" w:hAnsi="Arial"/>
                <w:sz w:val="17"/>
                <w:szCs w:val="17"/>
                <w:color w:val="auto"/>
              </w:rPr>
              <w:t>Total long-term liabilities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10,442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10,053</w:t>
            </w:r>
          </w:p>
        </w:tc>
      </w:tr>
      <w:tr>
        <w:trPr>
          <w:trHeight w:val="31"/>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13)</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8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 A shareholders (159,485,588 and 159,485,588 shares outstanding,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1,846</w:t>
            </w:r>
          </w:p>
        </w:tc>
      </w:tr>
      <w:tr>
        <w:trPr>
          <w:trHeight w:val="239"/>
        </w:trPr>
        <w:tc>
          <w:tcPr>
            <w:tcW w:w="832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12,067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11,473</w:t>
            </w:r>
          </w:p>
        </w:tc>
      </w:tr>
      <w:tr>
        <w:trPr>
          <w:trHeight w:val="31"/>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13,319</w:t>
            </w:r>
          </w:p>
        </w:tc>
      </w:tr>
      <w:tr>
        <w:trPr>
          <w:trHeight w:val="219"/>
        </w:trPr>
        <w:tc>
          <w:tcPr>
            <w:tcW w:w="8320" w:type="dxa"/>
            <w:vAlign w:val="bottom"/>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28,648</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26,830</w:t>
            </w:r>
          </w:p>
        </w:tc>
      </w:tr>
      <w:tr>
        <w:trPr>
          <w:trHeight w:val="31"/>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449"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44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148"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8,022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8,111</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9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141</w:t>
            </w:r>
          </w:p>
        </w:tc>
      </w:tr>
      <w:tr>
        <w:trPr>
          <w:trHeight w:val="27"/>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8,398</w:t>
            </w:r>
          </w:p>
        </w:tc>
      </w:tr>
      <w:tr>
        <w:trPr>
          <w:trHeight w:val="297"/>
        </w:trPr>
        <w:tc>
          <w:tcPr>
            <w:tcW w:w="8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7,119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7,519</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9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7,662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8,018</w:t>
            </w:r>
          </w:p>
        </w:tc>
      </w:tr>
      <w:tr>
        <w:trPr>
          <w:trHeight w:val="324"/>
        </w:trPr>
        <w:tc>
          <w:tcPr>
            <w:tcW w:w="8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r>
      <w:tr>
        <w:trPr>
          <w:trHeight w:val="297"/>
        </w:trPr>
        <w:tc>
          <w:tcPr>
            <w:tcW w:w="8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9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 (Note 7)</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$11 and $6, respectively)</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83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91"/>
        </w:trPr>
        <w:tc>
          <w:tcPr>
            <w:tcW w:w="83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280" w:type="dxa"/>
            <w:vAlign w:val="bottom"/>
            <w:gridSpan w:val="2"/>
          </w:tcPr>
          <w:p>
            <w:pPr>
              <w:ind w:left="216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8320" w:type="dxa"/>
            <w:vAlign w:val="bottom"/>
          </w:tcPr>
          <w:p>
            <w:pPr>
              <w:ind w:left="566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98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Pr>
          <w:p>
            <w:pPr>
              <w:spacing w:after="0"/>
              <w:rPr>
                <w:sz w:val="14"/>
                <w:szCs w:val="14"/>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Balance at March 31,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Pr>
          <w:p>
            <w:pPr>
              <w:spacing w:after="0"/>
              <w:rPr>
                <w:sz w:val="24"/>
                <w:szCs w:val="24"/>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24"/>
                <w:szCs w:val="2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period activity</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81"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127</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Loss on foreign currency revaluation</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Gain on investment in unconsolidated entities (Note 7)</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r>
      <w:tr>
        <w:trPr>
          <w:trHeight w:val="169"/>
        </w:trPr>
        <w:tc>
          <w:tcPr>
            <w:tcW w:w="83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169"/>
        </w:trPr>
        <w:tc>
          <w:tcPr>
            <w:tcW w:w="83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repayments under PAA commercial paper program (Note 8)</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PAA senior unsecured revolving credit facility (Note 8)</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repayments under PAA senior secured hedged inventory facility (Note 8)</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9)</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Effect of translation adjustment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8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end of period</w:t>
            </w: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r>
      <w:tr>
        <w:trPr>
          <w:trHeight w:val="67"/>
        </w:trPr>
        <w:tc>
          <w:tcPr>
            <w:tcW w:w="83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56"/>
        </w:trPr>
        <w:tc>
          <w:tcPr>
            <w:tcW w:w="8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80" w:right="206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Impact of adoption of ASU 2017-05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March 31, 2019,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2019, PAGP owned (i) a 100% managing member interest in Plains All American GP LLC (“GP LLC”), an entity that has also elected to be taxed as a corporation for United States federal income tax purposes and (ii) an approximate 57% limited partner interest in Plains AAP, L.P. (“AAP”) through our direct ownership of approximately 158.5 million Class A units of AAP (“AAP units”) and indirect ownership of approximately 1.0 million AAP units through GP LLC. GP LLC is a Delaware limited liability company that also holds the non-economic general partner interest in AAP. AAP is a Delaware limited partnership that, as of March 31, 2019, directly owned a limited partner interest in PAA through its ownership of approximately 280.6 million PAA common units (approximately 35% of PAA’s total outstanding common units and Series A preferred units combined). AAP is the sole member of PAA GP LLC (“PAA GP”), a Delaware limited liability company that directly holds the non-economic general partner interest in PAA.</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2018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2018 was derived from audited financial statements, but does not include all disclosures required by GAAP. The results of operations for the three months ended March 31, 2019 should not be taken as indicative of results to be expected for the entire year.</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4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 the exception of a deferred tax asset of $1.247 billion and $1.304 billion as of March 31, 2019 and December 31, 2018, respectively, substantially all assets and liabilities presented on PAGP’s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three months ended March 31, 2019 or the year ended December 31, 2018. See Note 16 to our Consolidated Financial Statements included in Part IV of our 2018 Annual Report on Form 10-K for information regarding the Omnibus Agreement entered into in connection with the Simplification Transactions.</w:t>
      </w:r>
    </w:p>
    <w:p>
      <w:pPr>
        <w:spacing w:after="0" w:line="19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the Condensed Consolidated Balance Sheet that sum to the total of the amounts shown on the Condensed Consolidated Statement of Cash Flows as of the end of the period (in millions):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9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439</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33</w:t>
            </w:r>
          </w:p>
        </w:tc>
      </w:tr>
      <w:tr>
        <w:trPr>
          <w:trHeight w:val="27"/>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472</w:t>
            </w:r>
          </w:p>
        </w:tc>
      </w:tr>
      <w:tr>
        <w:trPr>
          <w:trHeight w:val="20"/>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restricted cash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discussed below and in our 2018 Annual Report on Form 10-K, there have been no new accounting pronouncements that have become effective or have been issued during the three months ended March 31, 2019 that are of significance or potential significance to us.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current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 and $570 million, respectively, on January 1, 2019 and did not have a material impact on our results of operations or cash flows.</w:t>
      </w:r>
    </w:p>
    <w:p>
      <w:pPr>
        <w:spacing w:after="0" w:line="17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of assets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Note 11 for information about our leases.</w:t>
      </w:r>
    </w:p>
    <w:p>
      <w:pPr>
        <w:spacing w:after="0" w:line="18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also adopted the ASUs listed below effective January 1, 2019 and our adoption did not have a material impact to our financial position, results of operations or cash flows (see Note 2 to our Consolidated Financial Statements included in Part IV of our 2018 Annual Report on Form 10-K for additional information regarding these ASUs):</w:t>
      </w:r>
    </w:p>
    <w:p>
      <w:pPr>
        <w:spacing w:after="0" w:line="181" w:lineRule="exact"/>
        <w:rPr>
          <w:sz w:val="20"/>
          <w:szCs w:val="20"/>
          <w:color w:val="auto"/>
        </w:rPr>
      </w:pPr>
    </w:p>
    <w:p>
      <w:pPr>
        <w:ind w:left="820" w:right="320" w:hanging="164"/>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2018-16, Derivatives and Hedging (Topic 815): Inclusion of the Secured Overnight Financing Rate (SOFR) Overnight Index Swap (OIS) Rate as a Benchmark Interest Rate for Hedge Accounting Purposes;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2018-09, Codification Improvements;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ASU 2018-07, Compensation—Stock Compensation (Topic 718): Improvements to Nonemployee Share-Based Payment Accounting; and</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2017-12, Derivatives and Hedging (Topic 815): Targeted Improvements to Accounting for Hedging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2018 Annual Report on Form 10-K for additional information regarding our types of revenues and policies for revenue recognition.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tables present our Supply and Logistics segment, Transportation segment and Facilities segment revenues from contracts with customers disaggregated by type of activity (in millions):</w:t>
      </w:r>
    </w:p>
    <w:p>
      <w:pPr>
        <w:spacing w:after="0" w:line="10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13335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Crude oil transactions</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7,023</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other transactions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8,174</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91"/>
        </w:trPr>
        <w:tc>
          <w:tcPr>
            <w:tcW w:w="7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24"/>
                <w:szCs w:val="24"/>
                <w:color w:val="auto"/>
              </w:rPr>
            </w:pPr>
          </w:p>
        </w:tc>
      </w:t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12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764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1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w:t>
            </w: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Trucking</w:t>
            </w:r>
          </w:p>
        </w:tc>
        <w:tc>
          <w:tcPr>
            <w:tcW w:w="1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91"/>
        </w:trPr>
        <w:tc>
          <w:tcPr>
            <w:tcW w:w="7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24"/>
                <w:szCs w:val="24"/>
                <w:color w:val="auto"/>
              </w:rPr>
            </w:pPr>
          </w:p>
        </w:tc>
      </w:t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12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Crude oil, NGL and other terminalling and storage</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natural gas processing and fractionation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Rail load / unload</w:t>
            </w:r>
          </w:p>
        </w:tc>
        <w:tc>
          <w:tcPr>
            <w:tcW w:w="1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 presents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8,022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4"/>
            <w:vMerge w:val="continue"/>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46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March 31, 2019 and December 31, 2018, counterparty deficiencies associated with contracts with customers and buy/sell arrangements that include minimum volume commitments totaled $54 million and $62 million, respectively, of which $33 million and $40 million, respectively, was recorded as a contract liability. The remaining balance of $21 million and $22 million at March 31, 2019 and December 31, 2018,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three months ended March 31, 2019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0"/>
        </w:trPr>
        <w:tc>
          <w:tcPr>
            <w:tcW w:w="9340" w:type="dxa"/>
            <w:vAlign w:val="bottom"/>
          </w:tcPr>
          <w:p>
            <w:pPr>
              <w:ind w:left="16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r>
      <w:tr>
        <w:trPr>
          <w:trHeight w:val="257"/>
        </w:trPr>
        <w:tc>
          <w:tcPr>
            <w:tcW w:w="934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179</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March 31, 2019 (in millions):</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w w:val="90"/>
              </w:rPr>
              <w:t xml:space="preserve">commitments and long-term capacity agreements </w:t>
            </w:r>
            <w:r>
              <w:rPr>
                <w:rFonts w:ascii="Arial" w:cs="Arial" w:eastAsia="Arial" w:hAnsi="Arial"/>
                <w:sz w:val="25"/>
                <w:szCs w:val="25"/>
                <w:color w:val="auto"/>
                <w:w w:val="90"/>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Long-term storage, terminalling and throughput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agreement revenues</w:t>
            </w:r>
          </w:p>
        </w:tc>
        <w:tc>
          <w:tcPr>
            <w:tcW w:w="14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360" w:hanging="164"/>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and Logistics buy/sell arrangements — Contracts include agreements with future committed volumes on certain Permian Basin, Eagle Ford, Central and Canada region systems;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other Supply and Logistics contracts, due to the election of practical expedients related to variable consideration and short-term contracts;</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March 31, 2019 and December 31, 2018, substantially all of our trade accounts receivable (net of allowance for doubtful accounts) were less than 30 days past their scheduled invoice date. Our allowance for doubtful accounts receivable totaled $3 million at both March 31, 2019 and December 31, 2018. Although we consider our allowance for doubtful accounts receivable to be adequate, actual amounts could vary significantly from estimated amounts.</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0"/>
        </w:trPr>
        <w:tc>
          <w:tcPr>
            <w:tcW w:w="8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57"/>
        </w:trPr>
        <w:tc>
          <w:tcPr>
            <w:tcW w:w="830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2018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2018 Annual Report on Form 10-K for information regarding PAGP LTIP awards.</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months ended March 31, 2019 and 2018, the possible exchange of any AAP units and certain AAP Management Units would not have had a dilutive effect on basic net income per Class A share. For the three months ended March 31, 2019 and 2018, our PAGP LTIP awards were dilutive; however, there were less than 0.1 million dilutive LTIP awards for each period, which did not change the presentation of weighted average Class A shares outstanding or net income per Class A share.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163"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36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4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Basic and diluted weighted average Class A shares outstanding</w:t>
            </w:r>
          </w:p>
        </w:tc>
        <w:tc>
          <w:tcPr>
            <w:tcW w:w="3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442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894"/>
              <w:spacing w:after="0"/>
              <w:rPr>
                <w:sz w:val="20"/>
                <w:szCs w:val="20"/>
                <w:color w:val="auto"/>
              </w:rPr>
            </w:pPr>
            <w:r>
              <w:rPr>
                <w:rFonts w:ascii="Arial" w:cs="Arial" w:eastAsia="Arial" w:hAnsi="Arial"/>
                <w:sz w:val="18"/>
                <w:szCs w:val="18"/>
                <w:color w:val="auto"/>
              </w:rPr>
              <w:t>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8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8,949</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49.06</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13,169</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57.03</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2,315</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55.72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2,363</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4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w:t>
            </w: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2,529</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6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40" w:type="dxa"/>
            <w:vAlign w:val="bottom"/>
            <w:vMerge w:val="restart"/>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at</w:t>
            </w:r>
          </w:p>
        </w:tc>
        <w:tc>
          <w:tcPr>
            <w:tcW w:w="120" w:type="dxa"/>
            <w:vAlign w:val="bottom"/>
          </w:tcPr>
          <w:p>
            <w:pPr>
              <w:spacing w:after="0"/>
              <w:rPr>
                <w:sz w:val="12"/>
                <w:szCs w:val="12"/>
                <w:color w:val="auto"/>
              </w:rPr>
            </w:pPr>
          </w:p>
        </w:tc>
        <w:tc>
          <w:tcPr>
            <w:tcW w:w="11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Advantage Pipeline Holdings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BridgeTex Pipeline Company,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Cactus II Pipeline LLC</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Caddo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Cheyenne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Diamond Pipeline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Eagle Ford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Midway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Saddlehorn Pipeline Company,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Settoon Towing,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Barge Transportation Services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 (“W2W Pipeline”)</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2"/>
                <w:szCs w:val="22"/>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98" w:lineRule="exact"/>
        <w:rPr>
          <w:rFonts w:ascii="Arial" w:cs="Arial" w:eastAsia="Arial" w:hAnsi="Arial"/>
          <w:sz w:val="25"/>
          <w:szCs w:val="25"/>
          <w:color w:val="auto"/>
          <w:vertAlign w:val="superscript"/>
        </w:rPr>
      </w:pPr>
    </w:p>
    <w:p>
      <w:pPr>
        <w:ind w:left="660" w:right="300" w:hanging="652"/>
        <w:spacing w:after="0" w:line="224"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Capline pipeline was taken out of service in the fourth quarter of 2018. The members of Capline Pipeline Company LLC launched a binding open season to solicit shipper interest for a reversal of the Capline pipeline and the initiation of southbound service.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Capline. </w:t>
      </w:r>
      <w:r>
        <w:rPr>
          <w:rFonts w:ascii="Arial" w:cs="Arial" w:eastAsia="Arial" w:hAnsi="Arial"/>
          <w:sz w:val="18"/>
          <w:szCs w:val="18"/>
          <w:color w:val="auto"/>
        </w:rPr>
        <w:t>During the first quarter of 2019, the owners of the Capline pipeline system, which originates in St. James, Louisiana and terminates in</w:t>
      </w:r>
      <w:r>
        <w:rPr>
          <w:rFonts w:ascii="Arial" w:cs="Arial" w:eastAsia="Arial" w:hAnsi="Arial"/>
          <w:sz w:val="18"/>
          <w:szCs w:val="18"/>
          <w:i w:val="1"/>
          <w:iCs w:val="1"/>
          <w:color w:val="auto"/>
        </w:rPr>
        <w:t xml:space="preserve"> </w:t>
      </w:r>
      <w:r>
        <w:rPr>
          <w:rFonts w:ascii="Arial" w:cs="Arial" w:eastAsia="Arial" w:hAnsi="Arial"/>
          <w:sz w:val="18"/>
          <w:szCs w:val="18"/>
          <w:color w:val="auto"/>
        </w:rPr>
        <w:t>Patoka, Illinois, contributed their undivided joint interests in the system for equity interests in a legal entity, Capline Pipeline Company LLC (“Capline LLC”).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$177 million, which primarily related to property and equipment included in our Transportation segment. We determined the fair value of our investment in Capline LLC to be approximately $444 million, resulting in a gain of $267 million during the three months ended March 31, 2019. Such gain is included in “Gain on investment in unconsolidated entities” on our Condensed Consolidated Statement of Operations. Our share of the underlying equity in the net assets of Capline LLC exceeds our investment in Capline LLC. The portion of this basis difference attributable to depreciable or amortizable assets will be accreted on a straight-line basis over the estimated useful life of the related assets.</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fair value of our investment in Capline LLC was based on an income approach utilizing a discounted cash flow analysis. This approach requires us to make long-term forecasts of future revenues and expenditures. Those forecasts require the use of various assumptions and estimates which include those related to the timing and amount of capital expenditures, and the expected tariff rates and volumes of crude oil. These assumptions are based on a potential reversal of the Capline pipeline and the initiation of southbound service on the Capline pipeline from Patoka to St. James, and potential service on our Diamond joint venture pipeline and the Capline pipeline from Cushing, Oklahoma to St. James. We probability weighted various forecasted cash flow scenarios utilized in the analysis when we considered the possible outcomes. We use a discount rate representing our estimate of the risk adjusted discount rate that would be used by market participants. These projects are dependent upon shipper interest.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8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 xml:space="preserve">W2W Pipeline. </w:t>
      </w:r>
      <w:r>
        <w:rPr>
          <w:rFonts w:ascii="Arial" w:cs="Arial" w:eastAsia="Arial" w:hAnsi="Arial"/>
          <w:sz w:val="18"/>
          <w:szCs w:val="18"/>
          <w:color w:val="auto"/>
        </w:rPr>
        <w:t>In the first quarter of 2019, we announced the formation of W2W Pipeline, a joint venture with subsidiaries of ExxonMobil and</w:t>
      </w:r>
      <w:r>
        <w:rPr>
          <w:rFonts w:ascii="Arial" w:cs="Arial" w:eastAsia="Arial" w:hAnsi="Arial"/>
          <w:sz w:val="18"/>
          <w:szCs w:val="18"/>
          <w:i w:val="1"/>
          <w:iCs w:val="1"/>
          <w:color w:val="auto"/>
        </w:rPr>
        <w:t xml:space="preserve"> </w:t>
      </w:r>
      <w:r>
        <w:rPr>
          <w:rFonts w:ascii="Arial" w:cs="Arial" w:eastAsia="Arial" w:hAnsi="Arial"/>
          <w:sz w:val="18"/>
          <w:szCs w:val="18"/>
          <w:color w:val="auto"/>
        </w:rPr>
        <w:t>Lotus Midstream, LLC. We own a 20% interest in W2W Pipeline, which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 We account for our interest in W2W Pipeline under the equity method of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3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66</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r>
      <w:tr>
        <w:trPr>
          <w:trHeight w:val="297"/>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40"/>
              <w:spacing w:after="0" w:line="270" w:lineRule="exact"/>
              <w:rPr>
                <w:sz w:val="20"/>
                <w:szCs w:val="20"/>
                <w:color w:val="auto"/>
              </w:rPr>
            </w:pPr>
            <w:r>
              <w:rPr>
                <w:rFonts w:ascii="Arial" w:cs="Arial" w:eastAsia="Arial" w:hAnsi="Arial"/>
                <w:sz w:val="18"/>
                <w:szCs w:val="18"/>
                <w:color w:val="auto"/>
                <w:w w:val="99"/>
              </w:rPr>
              <w:t xml:space="preserve">PAA senior notes, net of unamortized discounts and debt issuance costs of $57 and $59, respectively </w:t>
            </w:r>
            <w:r>
              <w:rPr>
                <w:rFonts w:ascii="Arial" w:cs="Arial" w:eastAsia="Arial" w:hAnsi="Arial"/>
                <w:sz w:val="25"/>
                <w:szCs w:val="25"/>
                <w:color w:val="auto"/>
                <w:w w:val="99"/>
                <w:vertAlign w:val="superscript"/>
              </w:rPr>
              <w:t>(1) (2)</w:t>
            </w: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8,941</w:t>
            </w:r>
          </w:p>
        </w:tc>
      </w:tr>
      <w:tr>
        <w:trPr>
          <w:trHeight w:val="229"/>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PAA GO Zone term loans, net of debt issuance costs of $2 and $2, respectively, bearing a weighted-average interest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56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rate of 3.2% and 3.1%, respectively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9,143</w:t>
            </w:r>
          </w:p>
        </w:tc>
      </w:tr>
      <w:tr>
        <w:trPr>
          <w:trHeight w:val="257"/>
        </w:trPr>
        <w:tc>
          <w:tcPr>
            <w:tcW w:w="8560" w:type="dxa"/>
            <w:vAlign w:val="bottom"/>
          </w:tcPr>
          <w:p>
            <w:pPr>
              <w:ind w:left="58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9,209</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60" w:hanging="652"/>
        <w:spacing w:after="0" w:line="22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As of March 31, 2019, we classified PAA’s $500 million, 5.75% senior notes due January 2020 and PAA’s $500 million, 2.60% senior notes due December 2019 as long-term, and as of December 31, 2018, we classified PAA’s $500 million, 2.60% senior notes due December 2019 as long-term based on PAA’s ability and intent to refinance such amounts on a long-term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2495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right="40" w:hanging="652"/>
        <w:spacing w:after="0" w:line="273"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PAA’s fixed-rate senior notes had a face value of approximately $9.0 billion at both March 31, 2019 and December 31, 2018. We estimated the aggregate fair value of these notes as of March 31, 2019 and December 31, 2018 to be approximately $9.1 billion and $8.6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GO Zone term loans approximates fair value as interest rates reflect current market rates. The fair value estimates for PAA’s senior notes and GO Zone term loans are based upon observable market data and are classified in Level 2 of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three months ended March 31, 2019 and 2018 were approximately $0.5 billion and $10.5 billion, respectively. Total repayments under the PAA credit facilities and commercial paper program were approximately $0.5 billion and $10.7 billion for the three months ended March 31, 2019 and 2018,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March 31, 2019 and December 31, 2018, we had outstanding letters of credit of $155 million and $184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3"/>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159,485,588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119,604,338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516,938,280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(91,672)</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91,672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226,814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159,485,588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119,512,666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517,256,766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3"/>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156,111,139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126,984,572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510,925,432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907,899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(907,899)</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39,224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1,393,926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157,019,038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126,037,449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512,376,348</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___________________________________________</w:t>
            </w: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80" w:hanging="652"/>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See Note 12 to our Consolidated Financial Statements included in Part IV of our 2018 Annual Report on Form 10-K for information regarding Exchange Rights and Redemption Rights.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three months of 2019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2"/>
          </w:tcPr>
          <w:p>
            <w:pPr>
              <w:ind w:left="400"/>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2140" w:type="dxa"/>
            <w:vAlign w:val="bottom"/>
          </w:tcPr>
          <w:p>
            <w:pPr>
              <w:jc w:val="right"/>
              <w:ind w:right="67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Class A Shareholders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39"/>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5980" w:type="dxa"/>
            <w:vAlign w:val="bottom"/>
          </w:tcPr>
          <w:p>
            <w:pPr>
              <w:jc w:val="right"/>
              <w:ind w:right="2014"/>
              <w:spacing w:after="0"/>
              <w:rPr>
                <w:sz w:val="20"/>
                <w:szCs w:val="20"/>
                <w:color w:val="auto"/>
              </w:rPr>
            </w:pPr>
            <w:r>
              <w:rPr>
                <w:rFonts w:ascii="Arial" w:cs="Arial" w:eastAsia="Arial" w:hAnsi="Arial"/>
                <w:sz w:val="18"/>
                <w:szCs w:val="18"/>
                <w:color w:val="auto"/>
                <w:w w:val="89"/>
              </w:rPr>
              <w:t>___________________________________________</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Payable to shareholders of record at the close of business on May 1, 2019 for the period from January 1, 2019 through March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of March 31, 2019, noncontrolling interests in our subsidiaries consisted of (i) limited partner interests in PAA including a 65% interest in PAA’s common units and PAA’s Series A preferred units combined and 100% of PAA’s Series B preferred units and (ii) an approximate 43% limited partner interest in 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 pertaining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three 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6"/>
              <w:spacing w:after="0"/>
              <w:rPr>
                <w:sz w:val="20"/>
                <w:szCs w:val="20"/>
                <w:color w:val="auto"/>
              </w:rPr>
            </w:pPr>
            <w:r>
              <w:rPr>
                <w:rFonts w:ascii="Arial" w:cs="Arial" w:eastAsia="Arial" w:hAnsi="Arial"/>
                <w:sz w:val="14"/>
                <w:szCs w:val="14"/>
                <w:b w:val="1"/>
                <w:bCs w:val="1"/>
                <w:color w:val="auto"/>
              </w:rPr>
              <w:t>Series A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0.525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80" w:hanging="652"/>
        <w:spacing w:after="0" w:line="252"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Payable to unitholders of record at the close of business on May 1, 2019 for the period from January 1, 2019 through March 31, 2019. At March 31, 2019, such amount was accrued to distributions payable in “Other current liabilities” on our Condensed Consolidated Balance Sheet.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and November. The following table details distributions to be paid to PAA’s Series B preferred unitholders (in millions,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May 1, 2019 for the period from November 15, 2018 through May 14, 2019.</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2019, we had accrued approximately $18 million of distributions payable to PAA’s Series B preferred unitholders in “Other current liabilities” on our Condensed Consolidated Balance Sheet.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4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101</w:t>
            </w:r>
          </w:p>
        </w:tc>
        <w:tc>
          <w:tcPr>
            <w:tcW w:w="7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2019 for the period from January 1, 2019 through March 31, 2019.</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three months of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Distribution to AAP</w:t>
            </w:r>
            <w:r>
              <w:rPr>
                <w:rFonts w:ascii="Arial" w:cs="Arial" w:eastAsia="Arial" w:hAnsi="Arial"/>
                <w:sz w:val="18"/>
                <w:szCs w:val="18"/>
                <w:color w:val="auto"/>
                <w:w w:val="99"/>
              </w:rPr>
              <w:t>’</w:t>
            </w:r>
            <w:r>
              <w:rPr>
                <w:rFonts w:ascii="Arial" w:cs="Arial" w:eastAsia="Arial" w:hAnsi="Arial"/>
                <w:sz w:val="14"/>
                <w:szCs w:val="14"/>
                <w:b w:val="1"/>
                <w:bCs w:val="1"/>
                <w:color w:val="auto"/>
                <w:w w:val="99"/>
              </w:rPr>
              <w:t>s Partners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53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Total Cash Distributions</w:t>
            </w:r>
          </w:p>
        </w:tc>
      </w:tr>
      <w:tr>
        <w:trPr>
          <w:trHeight w:val="270"/>
        </w:trPr>
        <w:tc>
          <w:tcPr>
            <w:tcW w:w="5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101</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6"/>
              <w:spacing w:after="0"/>
              <w:rPr>
                <w:sz w:val="20"/>
                <w:szCs w:val="20"/>
                <w:color w:val="auto"/>
              </w:rPr>
            </w:pPr>
            <w:r>
              <w:rPr>
                <w:rFonts w:ascii="Arial" w:cs="Arial" w:eastAsia="Arial" w:hAnsi="Arial"/>
                <w:sz w:val="18"/>
                <w:szCs w:val="18"/>
                <w:color w:val="auto"/>
              </w:rPr>
              <w:t>84</w:t>
            </w:r>
          </w:p>
        </w:tc>
      </w:tr>
      <w:tr>
        <w:trPr>
          <w:trHeight w:val="243"/>
        </w:trPr>
        <w:tc>
          <w:tcPr>
            <w:tcW w:w="5240" w:type="dxa"/>
            <w:vAlign w:val="bottom"/>
          </w:tcPr>
          <w:p>
            <w:pPr>
              <w:jc w:val="right"/>
              <w:ind w:right="1274"/>
              <w:spacing w:after="0"/>
              <w:rPr>
                <w:sz w:val="20"/>
                <w:szCs w:val="20"/>
                <w:color w:val="auto"/>
              </w:rPr>
            </w:pPr>
            <w:r>
              <w:rPr>
                <w:rFonts w:ascii="Arial" w:cs="Arial" w:eastAsia="Arial" w:hAnsi="Arial"/>
                <w:sz w:val="18"/>
                <w:szCs w:val="18"/>
                <w:color w:val="auto"/>
                <w:w w:val="89"/>
              </w:rPr>
              <w:t>___________________________________________</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ind w:left="660" w:hanging="652"/>
        <w:spacing w:after="0" w:line="225"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2019 for the period from January 1, 2019 through March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2019, net derivative positions related to these activities included:</w:t>
      </w:r>
    </w:p>
    <w:p>
      <w:pPr>
        <w:spacing w:after="0" w:line="147" w:lineRule="exact"/>
        <w:rPr>
          <w:sz w:val="20"/>
          <w:szCs w:val="20"/>
          <w:color w:val="auto"/>
        </w:rPr>
      </w:pPr>
    </w:p>
    <w:p>
      <w:pPr>
        <w:ind w:left="980" w:right="4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net long position of 3.8 million barrels associated with our crude oil purchases, which was unwound ratably during April 2019 to match monthly average pricing.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980" w:right="3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short time spread position of 2.8 million barrels, which hedges a portion of our anticipated crude oil lease gathering purchases through June 2020.</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crude oil basis spread position of 42.8 million barrels through December 2020.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short position of 5.2 million barrels through March 2021 related to anticipated net sales of crude oil and NGL inventory.</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w:t>
      </w:r>
      <w:r>
        <w:rPr>
          <w:rFonts w:ascii="Arial" w:cs="Arial" w:eastAsia="Arial" w:hAnsi="Arial"/>
          <w:sz w:val="18"/>
          <w:szCs w:val="18"/>
          <w:color w:val="auto"/>
        </w:rPr>
        <w:t>— For capacity allocated to our supply and logistics operations, we have utilization risk in a backwardated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of March 31, 2019, we used derivatives to manage the risk of not utilizing an average of approximately 0.8 million barrels per month of storage capacity through January 2021. These positions involve no outright price exposure, but instead enable us to profitably use the capacity to store hedged crude oil.</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March 31, 2019, our PLA hedges included a short position consisting of crude oil futures of 1.7 million barrels through December 2020 and a long call option position of 2.1 million barrels through December 2020.</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Natural Gas Processing/NGL Fractionation </w:t>
      </w:r>
      <w:r>
        <w:rPr>
          <w:rFonts w:ascii="Arial" w:cs="Arial" w:eastAsia="Arial" w:hAnsi="Arial"/>
          <w:sz w:val="18"/>
          <w:szCs w:val="18"/>
          <w:color w:val="auto"/>
        </w:rPr>
        <w:t>— We purchase natural gas for processing and operational needs. Additionally, we purchase NGL mix</w:t>
      </w:r>
      <w:r>
        <w:rPr>
          <w:rFonts w:ascii="Arial" w:cs="Arial" w:eastAsia="Arial" w:hAnsi="Arial"/>
          <w:sz w:val="18"/>
          <w:szCs w:val="18"/>
          <w:i w:val="1"/>
          <w:iCs w:val="1"/>
          <w:color w:val="auto"/>
        </w:rPr>
        <w:t xml:space="preserve"> </w:t>
      </w:r>
      <w:r>
        <w:rPr>
          <w:rFonts w:ascii="Arial" w:cs="Arial" w:eastAsia="Arial" w:hAnsi="Arial"/>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Notional Volume</w:t>
            </w:r>
          </w:p>
        </w:tc>
        <w:tc>
          <w:tcPr>
            <w:tcW w:w="2260" w:type="dxa"/>
            <w:vAlign w:val="bottom"/>
          </w:tcPr>
          <w:p>
            <w:pPr>
              <w:spacing w:after="0"/>
              <w:rPr>
                <w:sz w:val="18"/>
                <w:szCs w:val="18"/>
                <w:color w:val="auto"/>
              </w:rPr>
            </w:pPr>
          </w:p>
        </w:tc>
      </w:tr>
      <w:tr>
        <w:trPr>
          <w:trHeight w:val="270"/>
        </w:trPr>
        <w:tc>
          <w:tcPr>
            <w:tcW w:w="6720" w:type="dxa"/>
            <w:vAlign w:val="bottom"/>
          </w:tcPr>
          <w:p>
            <w:pPr>
              <w:spacing w:after="0"/>
              <w:rPr>
                <w:sz w:val="23"/>
                <w:szCs w:val="2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(Short)/Long</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Tenor</w:t>
            </w:r>
          </w:p>
        </w:tc>
      </w:tr>
      <w:tr>
        <w:trPr>
          <w:trHeight w:val="33"/>
        </w:trPr>
        <w:tc>
          <w:tcPr>
            <w:tcW w:w="67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54.8 Bcf</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(6.2)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(2.3)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(0.6)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Specification products sales (put options)</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0.7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2019</w:t>
            </w:r>
          </w:p>
        </w:tc>
      </w:tr>
      <w:tr>
        <w:trPr>
          <w:trHeight w:val="341"/>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5"/>
                <w:szCs w:val="25"/>
                <w:color w:val="auto"/>
                <w:vertAlign w:val="superscript"/>
              </w:rPr>
              <w:t>(1)</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1.2 TWh</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12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955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March 31, 2019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 forward starting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6/15/2020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2019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See Note 12 to our Consolidated Financial Statements included in Part IV of our 2018 Annual Report on Form 10-K for additional information regarding the Series A preferred units and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physical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3"/>
              </w:rPr>
              <w:t>Three Months Ended March 31, 2019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Preferred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Distribution Rate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Total Gain/(Loss) on Derivatives Recognized</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ind w:left="104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Net Income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0"/>
          </w:tcPr>
          <w:p>
            <w:pPr>
              <w:jc w:val="center"/>
              <w:ind w:right="240"/>
              <w:spacing w:after="0"/>
              <w:rPr>
                <w:sz w:val="20"/>
                <w:szCs w:val="20"/>
                <w:color w:val="auto"/>
              </w:rPr>
            </w:pPr>
            <w:r>
              <w:rPr>
                <w:rFonts w:ascii="Arial" w:cs="Arial" w:eastAsia="Arial" w:hAnsi="Arial"/>
                <w:sz w:val="16"/>
                <w:szCs w:val="16"/>
                <w:b w:val="1"/>
                <w:bCs w:val="1"/>
                <w:color w:val="auto"/>
                <w:w w:val="94"/>
              </w:rPr>
              <w:t>Three Months Ended March 31, 2018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Preferred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Distribution Rate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352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Total Gain/(Loss) on Derivatives Recognized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Net Income</w:t>
            </w:r>
          </w:p>
        </w:tc>
        <w:tc>
          <w:tcPr>
            <w:tcW w:w="22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vMerge w:val="restart"/>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74"/>
              </w:rPr>
              <w:t>(1)</w:t>
            </w:r>
          </w:p>
        </w:tc>
        <w:tc>
          <w:tcPr>
            <w:tcW w:w="3380" w:type="dxa"/>
            <w:vAlign w:val="bottom"/>
          </w:tcPr>
          <w:p>
            <w:pPr>
              <w:ind w:left="480"/>
              <w:spacing w:after="0"/>
              <w:rPr>
                <w:sz w:val="20"/>
                <w:szCs w:val="20"/>
                <w:color w:val="auto"/>
              </w:rPr>
            </w:pPr>
            <w:r>
              <w:rPr>
                <w:rFonts w:ascii="Arial" w:cs="Arial" w:eastAsia="Arial" w:hAnsi="Arial"/>
                <w:sz w:val="18"/>
                <w:szCs w:val="18"/>
                <w:color w:val="auto"/>
                <w:w w:val="92"/>
              </w:rPr>
              <w:t>Derivatives not designated as a hedge.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80" w:type="dxa"/>
            <w:vAlign w:val="bottom"/>
            <w:gridSpan w:val="2"/>
          </w:tcPr>
          <w:p>
            <w:pPr>
              <w:jc w:val="right"/>
              <w:spacing w:after="0"/>
              <w:rPr>
                <w:sz w:val="20"/>
                <w:szCs w:val="20"/>
                <w:color w:val="auto"/>
              </w:rPr>
            </w:pPr>
            <w:r>
              <w:rPr>
                <w:rFonts w:ascii="Arial" w:cs="Arial" w:eastAsia="Arial" w:hAnsi="Arial"/>
                <w:sz w:val="13"/>
                <w:szCs w:val="13"/>
                <w:color w:val="auto"/>
                <w:w w:val="87"/>
              </w:rPr>
              <w:t>(2)</w:t>
            </w:r>
          </w:p>
        </w:tc>
        <w:tc>
          <w:tcPr>
            <w:tcW w:w="3380" w:type="dxa"/>
            <w:vAlign w:val="bottom"/>
          </w:tcPr>
          <w:p>
            <w:pPr>
              <w:ind w:left="480"/>
              <w:spacing w:after="0"/>
              <w:rPr>
                <w:sz w:val="20"/>
                <w:szCs w:val="20"/>
                <w:color w:val="auto"/>
              </w:rPr>
            </w:pPr>
            <w:r>
              <w:rPr>
                <w:rFonts w:ascii="Arial" w:cs="Arial" w:eastAsia="Arial" w:hAnsi="Arial"/>
                <w:sz w:val="18"/>
                <w:szCs w:val="18"/>
                <w:color w:val="auto"/>
                <w:w w:val="99"/>
              </w:rPr>
              <w:t>Derivatives in hedging relationships.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77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2019 (in millions):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9"/>
          </w:tcPr>
          <w:p>
            <w:pPr>
              <w:jc w:val="right"/>
              <w:ind w:right="1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Commodity</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97"/>
        </w:trPr>
        <w:tc>
          <w:tcPr>
            <w:tcW w:w="26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Derivative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r>
      <w:tr>
        <w:trPr>
          <w:trHeight w:val="311"/>
        </w:trPr>
        <w:tc>
          <w:tcPr>
            <w:tcW w:w="25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62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gridSpan w:val="9"/>
          </w:tcPr>
          <w:p>
            <w:pPr>
              <w:jc w:val="right"/>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Commodity</w:t>
            </w: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89"/>
              </w:rPr>
              <w:t xml:space="preserve">Derivatives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76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2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7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r>
      <w:tr>
        <w:trPr>
          <w:trHeight w:val="297"/>
        </w:trPr>
        <w:tc>
          <w:tcPr>
            <w:tcW w:w="8560" w:type="dxa"/>
            <w:vAlign w:val="bottom"/>
          </w:tcPr>
          <w:p>
            <w:pPr>
              <w:ind w:left="40"/>
              <w:spacing w:after="0"/>
              <w:rPr>
                <w:sz w:val="20"/>
                <w:szCs w:val="20"/>
                <w:color w:val="auto"/>
              </w:rPr>
            </w:pPr>
            <w:r>
              <w:rPr>
                <w:rFonts w:ascii="Arial" w:cs="Arial" w:eastAsia="Arial" w:hAnsi="Arial"/>
                <w:sz w:val="18"/>
                <w:szCs w:val="18"/>
                <w:color w:val="auto"/>
              </w:rPr>
              <w:t>Variation margin returned</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Net broker payable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4"/>
              </w:rPr>
              <w:t>March 31, 2019</w:t>
            </w:r>
          </w:p>
        </w:tc>
        <w:tc>
          <w:tcPr>
            <w:tcW w:w="22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2018</w:t>
            </w:r>
          </w:p>
        </w:tc>
      </w:tr>
      <w:tr>
        <w:trPr>
          <w:trHeight w:val="152"/>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64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Liability Positions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collateral received</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50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As of March 31, 2019, there was a net loss of $198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March 31, 2019, we expect to reclassify a net loss of $8 million to earnings in the next twelve months. We estimate that substantially all of the remaining deferred loss will be reclassified to earnings through 2050 as the underlying hedged transactions impact earnings. A portion of these amounts is based on market prices as of March 31, 2019;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6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p>
      <w:pPr>
        <w:ind w:left="9280"/>
        <w:spacing w:after="0"/>
        <w:tabs>
          <w:tab w:leader="none" w:pos="106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800" w:val="left"/>
          <w:tab w:leader="none" w:pos="9680" w:val="left"/>
          <w:tab w:leader="none" w:pos="10160" w:val="left"/>
          <w:tab w:leader="none" w:pos="1108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w:t>
        <w:tab/>
        <w:t>$</w:t>
      </w:r>
      <w:r>
        <w:rPr>
          <w:sz w:val="20"/>
          <w:szCs w:val="20"/>
          <w:color w:val="auto"/>
        </w:rPr>
        <w:tab/>
      </w:r>
      <w:r>
        <w:rPr>
          <w:rFonts w:ascii="Arial" w:cs="Arial" w:eastAsia="Arial" w:hAnsi="Arial"/>
          <w:sz w:val="16"/>
          <w:szCs w:val="16"/>
          <w:color w:val="auto"/>
        </w:rPr>
        <w:t>31</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jc w:val="both"/>
        <w:ind w:right="80" w:firstLine="594"/>
        <w:spacing w:after="0" w:line="264" w:lineRule="auto"/>
        <w:rPr>
          <w:sz w:val="20"/>
          <w:szCs w:val="20"/>
          <w:color w:val="auto"/>
        </w:rPr>
      </w:pPr>
      <w:r>
        <w:rPr>
          <w:rFonts w:ascii="Arial" w:cs="Arial" w:eastAsia="Arial" w:hAnsi="Arial"/>
          <w:sz w:val="18"/>
          <w:szCs w:val="18"/>
          <w:color w:val="auto"/>
        </w:rPr>
        <w:t>At March 31, 2019 and December 31, 2018,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3"/>
              </w:rPr>
              <w:t>Fair Value as of March 31, 2019</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2018</w:t>
            </w:r>
          </w:p>
        </w:tc>
        <w:tc>
          <w:tcPr>
            <w:tcW w:w="62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jc w:val="both"/>
        <w:ind w:left="660" w:right="420"/>
        <w:spacing w:after="0" w:line="264"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swaps and options. The fair value of exchange-traded commodity derivatives and over-the-counter commodity contracts is based on unadjusted quoted prices in active markets.</w:t>
      </w:r>
    </w:p>
    <w:p>
      <w:pPr>
        <w:spacing w:after="0" w:line="18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260"/>
        <w:spacing w:after="0" w:line="312" w:lineRule="auto"/>
        <w:rPr>
          <w:rFonts w:ascii="Arial" w:cs="Arial" w:eastAsia="Arial" w:hAnsi="Arial"/>
          <w:sz w:val="25"/>
          <w:szCs w:val="25"/>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6"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40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contracts and the Preferred Distribution Rate Reset Option contained in PAA’s partnership agreement which is classified as an embedded derivative.</w:t>
      </w:r>
    </w:p>
    <w:p>
      <w:pPr>
        <w:spacing w:after="0" w:line="170" w:lineRule="exact"/>
        <w:rPr>
          <w:rFonts w:ascii="Arial" w:cs="Arial" w:eastAsia="Arial" w:hAnsi="Arial"/>
          <w:sz w:val="25"/>
          <w:szCs w:val="25"/>
          <w:color w:val="auto"/>
          <w:vertAlign w:val="superscript"/>
        </w:rPr>
      </w:pPr>
    </w:p>
    <w:p>
      <w:pPr>
        <w:ind w:left="660" w:right="20"/>
        <w:spacing w:after="0" w:line="302" w:lineRule="auto"/>
        <w:rPr>
          <w:rFonts w:ascii="Arial" w:cs="Arial" w:eastAsia="Arial" w:hAnsi="Arial"/>
          <w:sz w:val="25"/>
          <w:szCs w:val="25"/>
          <w:color w:val="auto"/>
          <w:vertAlign w:val="superscript"/>
        </w:rPr>
      </w:pPr>
      <w:r>
        <w:rPr>
          <w:rFonts w:ascii="Arial" w:cs="Arial" w:eastAsia="Arial" w:hAnsi="Arial"/>
          <w:sz w:val="16"/>
          <w:szCs w:val="16"/>
          <w:color w:val="auto"/>
        </w:rPr>
        <w:t>The fair values of our Level 3 physical commodity contracts are based on valuation models utilizing significant timing estimates, which involve management judgment, and pricing inputs from observable markets with less volume and transaction frequency than active markets. Significant deviations from these estimates and inputs could result in a material change in fair value. We report unrealized gains and losses associated with these physical commodity contracts in our Condensed Consolidated Statements of Operations as Supply and Logistics segment revenues.</w:t>
      </w:r>
    </w:p>
    <w:p>
      <w:pPr>
        <w:spacing w:after="0" w:line="154" w:lineRule="exact"/>
        <w:rPr>
          <w:rFonts w:ascii="Arial" w:cs="Arial" w:eastAsia="Arial" w:hAnsi="Arial"/>
          <w:sz w:val="25"/>
          <w:szCs w:val="25"/>
          <w:color w:val="auto"/>
          <w:vertAlign w:val="superscript"/>
        </w:rPr>
      </w:pPr>
    </w:p>
    <w:p>
      <w:pPr>
        <w:ind w:left="660" w:right="80"/>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08"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gains/(losses) included in earnings relating to Level 3 derivatives still held at the end of the period</w:t>
            </w: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7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evaluate all agreements entered into or modified after the date of adoption of Topic 842 that convey to us the use of property or equipment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vehicles and land.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62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40 years that are not recognized as part of our right-of-use assets or lease liabilities as we have determined we are not reasonably certain to exercise the option to renew.</w:t>
      </w:r>
    </w:p>
    <w:p>
      <w:pPr>
        <w:spacing w:after="0" w:line="18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components of lease cost, including both amounts recognized in income and amounts capitalized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Lease Cost</w:t>
            </w:r>
          </w:p>
        </w:tc>
        <w:tc>
          <w:tcPr>
            <w:tcW w:w="120" w:type="dxa"/>
            <w:vAlign w:val="bottom"/>
            <w:gridSpan w:val="3"/>
            <w:vMerge w:val="restart"/>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94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March 31, 2019</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9440" w:type="dxa"/>
            <w:vAlign w:val="bottom"/>
            <w:gridSpan w:val="5"/>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5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9440" w:type="dxa"/>
            <w:vAlign w:val="bottom"/>
            <w:gridSpan w:val="5"/>
            <w:vMerge w:val="restart"/>
          </w:tcPr>
          <w:p>
            <w:pPr>
              <w:ind w:left="500"/>
              <w:spacing w:after="0"/>
              <w:rPr>
                <w:sz w:val="20"/>
                <w:szCs w:val="20"/>
                <w:color w:val="auto"/>
              </w:rPr>
            </w:pPr>
            <w:r>
              <w:rPr>
                <w:rFonts w:ascii="Arial" w:cs="Arial" w:eastAsia="Arial" w:hAnsi="Arial"/>
                <w:sz w:val="18"/>
                <w:szCs w:val="18"/>
                <w:color w:val="auto"/>
              </w:rPr>
              <w:t>Includes immaterial finance lease costs, variable lease costs and sublease income.</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60" w:type="dxa"/>
            <w:vAlign w:val="bottom"/>
          </w:tcPr>
          <w:p>
            <w:pPr>
              <w:spacing w:after="0"/>
              <w:rPr>
                <w:sz w:val="7"/>
                <w:szCs w:val="7"/>
                <w:color w:val="auto"/>
              </w:rPr>
            </w:pPr>
          </w:p>
        </w:tc>
        <w:tc>
          <w:tcPr>
            <w:tcW w:w="94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0"/>
        </w:trPr>
        <w:tc>
          <w:tcPr>
            <w:tcW w:w="160" w:type="dxa"/>
            <w:vAlign w:val="bottom"/>
          </w:tcPr>
          <w:p>
            <w:pPr>
              <w:spacing w:after="0"/>
              <w:rPr>
                <w:sz w:val="24"/>
                <w:szCs w:val="24"/>
                <w:color w:val="auto"/>
              </w:rPr>
            </w:pPr>
          </w:p>
        </w:tc>
        <w:tc>
          <w:tcPr>
            <w:tcW w:w="9440" w:type="dxa"/>
            <w:vAlign w:val="bottom"/>
            <w:gridSpan w:val="5"/>
          </w:tcPr>
          <w:p>
            <w:pPr>
              <w:ind w:left="500"/>
              <w:spacing w:after="0"/>
              <w:rPr>
                <w:sz w:val="20"/>
                <w:szCs w:val="20"/>
                <w:color w:val="auto"/>
              </w:rPr>
            </w:pPr>
            <w:r>
              <w:rPr>
                <w:rFonts w:ascii="Arial" w:cs="Arial" w:eastAsia="Arial" w:hAnsi="Arial"/>
                <w:sz w:val="18"/>
                <w:szCs w:val="18"/>
                <w:color w:val="auto"/>
              </w:rPr>
              <w:t>The following table presents information related to cash flows arising from lease transactions (in millions):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16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5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Operating cash flows for operating leases</w:t>
            </w: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4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color w:val="auto"/>
              </w:rPr>
              <w:t>Financing cash flows for finance leases</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9440" w:type="dxa"/>
            <w:vAlign w:val="bottom"/>
            <w:gridSpan w:val="5"/>
          </w:tcPr>
          <w:p>
            <w:pPr>
              <w:ind w:left="500"/>
              <w:spacing w:after="0"/>
              <w:rPr>
                <w:sz w:val="20"/>
                <w:szCs w:val="20"/>
                <w:color w:val="auto"/>
              </w:rPr>
            </w:pPr>
            <w:r>
              <w:rPr>
                <w:rFonts w:ascii="Arial" w:cs="Arial" w:eastAsia="Arial" w:hAnsi="Arial"/>
                <w:sz w:val="18"/>
                <w:szCs w:val="18"/>
                <w:color w:val="auto"/>
                <w:w w:val="97"/>
              </w:rPr>
              <w:t>Information related to the weighted-average remaining lease term and discount rate is presented in the table below:</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0" w:type="dxa"/>
            <w:vAlign w:val="bottom"/>
            <w:tcBorders>
              <w:bottom w:val="single" w:sz="8" w:color="CCEEFF"/>
            </w:tcBorders>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620" w:type="dxa"/>
            <w:vAlign w:val="bottom"/>
          </w:tcPr>
          <w:p>
            <w:pPr>
              <w:jc w:val="center"/>
              <w:ind w:right="116"/>
              <w:spacing w:after="0"/>
              <w:rPr>
                <w:sz w:val="20"/>
                <w:szCs w:val="20"/>
                <w:color w:val="auto"/>
              </w:rPr>
            </w:pPr>
            <w:r>
              <w:rPr>
                <w:rFonts w:ascii="Arial" w:cs="Arial" w:eastAsia="Arial" w:hAnsi="Arial"/>
                <w:sz w:val="18"/>
                <w:szCs w:val="18"/>
                <w:color w:val="auto"/>
                <w:w w:val="87"/>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4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7"/>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5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620" w:type="dxa"/>
            <w:vAlign w:val="bottom"/>
          </w:tcPr>
          <w:p>
            <w:pPr>
              <w:jc w:val="center"/>
              <w:ind w:right="116"/>
              <w:spacing w:after="0"/>
              <w:rPr>
                <w:sz w:val="20"/>
                <w:szCs w:val="20"/>
                <w:color w:val="auto"/>
              </w:rPr>
            </w:pPr>
            <w:r>
              <w:rPr>
                <w:rFonts w:ascii="Arial" w:cs="Arial" w:eastAsia="Arial" w:hAnsi="Arial"/>
                <w:sz w:val="18"/>
                <w:szCs w:val="18"/>
                <w:color w:val="auto"/>
                <w:w w:val="92"/>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4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92"/>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9"/>
        </w:trPr>
        <w:tc>
          <w:tcPr>
            <w:tcW w:w="160" w:type="dxa"/>
            <w:vAlign w:val="bottom"/>
          </w:tcPr>
          <w:p>
            <w:pPr>
              <w:spacing w:after="0"/>
              <w:rPr>
                <w:sz w:val="24"/>
                <w:szCs w:val="24"/>
                <w:color w:val="auto"/>
              </w:rPr>
            </w:pPr>
          </w:p>
        </w:tc>
        <w:tc>
          <w:tcPr>
            <w:tcW w:w="9320" w:type="dxa"/>
            <w:vAlign w:val="bottom"/>
            <w:gridSpan w:val="2"/>
          </w:tcPr>
          <w:p>
            <w:pPr>
              <w:ind w:left="54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Condensed Consolidated Balance Sheet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Operating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Long-term operating lease right-of-use assets,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477</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Property and equipment,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r>
      <w:tr>
        <w:trPr>
          <w:trHeight w:val="297"/>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569</w:t>
            </w:r>
          </w:p>
        </w:tc>
      </w:tr>
      <w:tr>
        <w:trPr>
          <w:trHeight w:val="311"/>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Long-term operating lease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r>
      <w:tr>
        <w:trPr>
          <w:trHeight w:val="237"/>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Total operating lease liabilities</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Short-term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long-term debt,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finance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324"/>
        </w:trPr>
        <w:tc>
          <w:tcPr>
            <w:tcW w:w="4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57"/>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the maturity of undiscounted cash flows for future minimum lease payments under noncancelable leases as of March 31, 2019 reconciled to our lease liabilities on our Condensed Consolidated Balance Sheet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Finance</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Remainder of 2019</w:t>
            </w: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2021</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2023</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Present value discount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5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Excludes future minimum payments for short-term and other immaterial leases not included on our Condensed Consolidated Balance Sheet.</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entered into leases that had not yet commenced as of March 31, 2019 with future minimum lease payments totaling $42 million. These leases are primarily for office space, have lease terms of five years and will commence in May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and Subleases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As of March 31, 2019, we did not have any material subleases.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Facilities segment enters into agreements to conduct fee-based activities associated with providing storage services primarily for crude oil, NGL and natural gas. Certain of these agreements convey counterparties the right to direct the operation of physically distinct assets. Such agreements include fixed consideration, which is measured based on an available capacity during the period multiplied by the rate in the agreement. These agreements often include options to extend or terminate the term, with advance notice. These agreements are operating leases under Topic 842. For the three months ended March 31, 2019, our lease revenue was not material.</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table below presents the maturity of lease payments for operating lease agreements in effect as of March 31, 2019. This presentation includes minimum fixed lease payments and does not include an estimate of variable lease consideration. These agreements have remaining lease terms ranging from two years to 23 years. The following table presents the undiscounted cash flows expected to be received related to these agreements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Remainder</w:t>
            </w:r>
          </w:p>
        </w:tc>
        <w:tc>
          <w:tcPr>
            <w:tcW w:w="34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of 2019</w:t>
            </w: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Facilities segment lease 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16 to our Consolidated Financial Statements included in Part IV of our 2018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Ownership of our Class C Shares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March 31, 2019 and December 31, 2018, PAA owned 517,256,766 and 516,938,280,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additional information regarding such entities). We recognize as our principal owners entities that have a designated representative on the board of directors of our general partner and/or own greater than 10% of the limited partner interests in AAP. Such limited partner interests in AAP translates into a significantly smaller indirect ownership interest in PAA. Principal owners include Oxy, The Energy &amp; Minerals Group and Kayne Anderson Capital Advisors, L.P. We also consider subsidiaries or funds identified as affiliated with such entities to be related parties.</w:t>
      </w:r>
    </w:p>
    <w:p>
      <w:pPr>
        <w:spacing w:after="0" w:line="158" w:lineRule="exact"/>
        <w:rPr>
          <w:sz w:val="20"/>
          <w:szCs w:val="20"/>
          <w:color w:val="auto"/>
        </w:rPr>
      </w:pPr>
    </w:p>
    <w:p>
      <w:pPr>
        <w:jc w:val="both"/>
        <w:ind w:right="100" w:firstLine="446"/>
        <w:spacing w:after="0" w:line="279" w:lineRule="auto"/>
        <w:rPr>
          <w:sz w:val="20"/>
          <w:szCs w:val="20"/>
          <w:color w:val="auto"/>
        </w:rPr>
      </w:pPr>
      <w:r>
        <w:rPr>
          <w:rFonts w:ascii="Arial" w:cs="Arial" w:eastAsia="Arial" w:hAnsi="Arial"/>
          <w:sz w:val="17"/>
          <w:szCs w:val="17"/>
          <w:color w:val="auto"/>
        </w:rPr>
        <w:t>During the three months ended March 31, 2019 and 2018, we recognized sales and transportation revenues, purchased petroleum products and utilized transportation services from our principal owners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2"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5"/>
                <w:szCs w:val="25"/>
                <w:color w:val="auto"/>
                <w:vertAlign w:val="superscript"/>
              </w:rPr>
              <w:t>(1) (2)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281</w:t>
            </w:r>
          </w:p>
        </w:tc>
      </w:tr>
      <w:tr>
        <w:trPr>
          <w:trHeight w:val="297"/>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A majority of these revenues are included in “Supply and Logistics segment revenues” on our Condensed Consolidated Statements of Operations.</w:t>
      </w:r>
    </w:p>
    <w:p>
      <w:pPr>
        <w:spacing w:after="0" w:line="55" w:lineRule="exact"/>
        <w:rPr>
          <w:rFonts w:ascii="Arial" w:cs="Arial" w:eastAsia="Arial" w:hAnsi="Arial"/>
          <w:sz w:val="22"/>
          <w:szCs w:val="22"/>
          <w:color w:val="auto"/>
          <w:vertAlign w:val="superscript"/>
        </w:rPr>
      </w:pPr>
    </w:p>
    <w:p>
      <w:pPr>
        <w:ind w:left="660" w:right="220" w:hanging="652"/>
        <w:spacing w:after="0" w:line="208"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5"/>
                <w:szCs w:val="25"/>
                <w:color w:val="auto"/>
                <w:vertAlign w:val="superscript"/>
              </w:rPr>
              <w:t>(1) (2)</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144</w:t>
            </w:r>
          </w:p>
        </w:tc>
      </w:tr>
      <w:tr>
        <w:trPr>
          <w:trHeight w:val="297"/>
        </w:trPr>
        <w:tc>
          <w:tcPr>
            <w:tcW w:w="8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5"/>
                <w:szCs w:val="25"/>
                <w:color w:val="auto"/>
                <w:vertAlign w:val="superscript"/>
              </w:rPr>
              <w:t>(1) (2) (3)</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We have a netting arrangement with certain related parties. Receivables and payables are presented net of such amounts.</w:t>
      </w:r>
    </w:p>
    <w:p>
      <w:pPr>
        <w:spacing w:after="0" w:line="98" w:lineRule="exact"/>
        <w:rPr>
          <w:rFonts w:ascii="Arial" w:cs="Arial" w:eastAsia="Arial" w:hAnsi="Arial"/>
          <w:sz w:val="25"/>
          <w:szCs w:val="25"/>
          <w:color w:val="auto"/>
          <w:vertAlign w:val="superscript"/>
        </w:rPr>
      </w:pPr>
    </w:p>
    <w:p>
      <w:pPr>
        <w:ind w:left="660" w:right="320" w:hanging="652"/>
        <w:spacing w:after="0" w:line="214"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94" w:lineRule="exact"/>
        <w:rPr>
          <w:rFonts w:ascii="Arial" w:cs="Arial" w:eastAsia="Arial" w:hAnsi="Arial"/>
          <w:sz w:val="25"/>
          <w:szCs w:val="25"/>
          <w:color w:val="auto"/>
          <w:vertAlign w:val="superscript"/>
        </w:rPr>
      </w:pPr>
    </w:p>
    <w:p>
      <w:pPr>
        <w:ind w:left="660" w:hanging="652"/>
        <w:spacing w:after="0" w:line="252"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March 31, 2019, our estimated undiscounted reserve for environmental liabilities (including liabilities related to the Line 901 incident, as discussed further below) totaled $134 million, of which $41 million was classified as short-term and $93 million was classified as long-term. At December 31, 2018, our estimated undiscounted reserve for environmental liabilities (including liabilities related to the Line 901 incident) totaled $135 million, of which $43 million was classified as short-term and $92 million was classified as long-term. Such short- and long-term environmental liabilities are reflected in “Other current liabilities” and “Other long-term liabilities and deferred credits,” respectively, on our Condensed Consolidated Balance Sheets. At March 31, 2019, we had recorded receivables totaling $62 million for amounts probable of recovery under insurance and from third parties under indemnification agreements, of which $29 million was classified as short-term and $33 million was classified as long-term. At December 31, 2018, we had recorded $61 million of such receivables, of which $28 million was classified as short-term and $33 million was classified as long-term. Such short- and long-term receivables are reflected in “Trade accounts receivable and other receivables, net” and “Other long-term assets, net,” respectively, on our Condensed Consolidated Balance Sheets.</w:t>
      </w:r>
    </w:p>
    <w:p>
      <w:pPr>
        <w:spacing w:after="0" w:line="19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3" w:lineRule="exact"/>
        <w:rPr>
          <w:sz w:val="20"/>
          <w:szCs w:val="20"/>
          <w:color w:val="auto"/>
        </w:rPr>
      </w:pPr>
    </w:p>
    <w:p>
      <w:pPr>
        <w:ind w:right="80" w:firstLine="8"/>
        <w:spacing w:after="0" w:line="290" w:lineRule="auto"/>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 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spacing w:after="0" w:line="16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claims against all defendants. Plaintiffs refiled their complaint. On April 2, 2018, the Court dismissed all of the refiled claims against all defendants with prejudice. Plaintiffs have appealed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and subsequently dismissed without prejudice.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7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Taking the foregoing into account, as of March 31, 2019, we estimate that the aggregate total costs we have incurred or will incur with respect to the Line 901 incident will be approximately $355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As of March 31, 2019, we had a remaining undiscounted gross liability of $75 million related to this event, of which approximately $32 million is presented in “Other current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estimates for these costs that exceed the amounts currently identified. Through March 31, 2019, we had collected, subject to customary reservations, $187 million out of the approximate $240 million of release costs that we believe are probable of recovery from insurance carriers, net of deductibles. Therefore, as of March 31, 2019, we have recognized a receivable of approximately $53 million for the portion of the release costs that we believe is probable of recovery from insurance, net of deductibles and amounts already collected. Of this amount, approximately $23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2018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Intersegment</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8,022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37</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8,112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00" w:hanging="652"/>
        <w:spacing w:after="0" w:line="253"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2018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83" w:lineRule="exact"/>
        <w:rPr>
          <w:rFonts w:ascii="Arial" w:cs="Arial" w:eastAsia="Arial" w:hAnsi="Arial"/>
          <w:sz w:val="24"/>
          <w:szCs w:val="24"/>
          <w:color w:val="auto"/>
          <w:vertAlign w:val="superscript"/>
        </w:rPr>
      </w:pPr>
    </w:p>
    <w:p>
      <w:pPr>
        <w:ind w:left="660" w:right="140" w:hanging="652"/>
        <w:spacing w:after="0" w:line="262"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79"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r>
      <w:tr>
        <w:trPr>
          <w:trHeight w:val="270"/>
        </w:trPr>
        <w:tc>
          <w:tcPr>
            <w:tcW w:w="8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7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7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5"/>
                <w:szCs w:val="25"/>
                <w:color w:val="auto"/>
                <w:vertAlign w:val="superscript"/>
              </w:rPr>
              <w:t>(3)</w:t>
            </w:r>
          </w:p>
        </w:tc>
        <w:tc>
          <w:tcPr>
            <w:tcW w:w="8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w:t>
            </w:r>
          </w:p>
        </w:tc>
      </w:tr>
      <w:tr>
        <w:trPr>
          <w:trHeight w:val="270"/>
        </w:trPr>
        <w:tc>
          <w:tcPr>
            <w:tcW w:w="87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r>
      <w:tr>
        <w:trPr>
          <w:trHeight w:val="270"/>
        </w:trPr>
        <w:tc>
          <w:tcPr>
            <w:tcW w:w="87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7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7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5"/>
                <w:szCs w:val="25"/>
                <w:color w:val="auto"/>
                <w:vertAlign w:val="superscript"/>
              </w:rPr>
              <w:t>(7)</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8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(767)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PAGP</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ectPr>
          <w:pgSz w:w="11900" w:h="16838" w:orient="portrait"/>
          <w:cols w:equalWidth="0" w:num="1">
            <w:col w:w="11400"/>
          </w:cols>
          <w:pgMar w:left="240" w:top="125" w:right="25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1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and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hanging="652"/>
        <w:spacing w:after="0" w:line="238"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180" w:hanging="652"/>
        <w:spacing w:after="0" w:line="271"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201"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2018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Delaware limited partnership formed on July 17, 2013 that has elected to be taxed as a corporation for United States federal income tax purposes. As of March 31, 2019, our sole cash-generating assets consisted of (i) a 100% managing member interest in Plains All American GP LLC (“GP LLC”) that has also elected to be taxed as a corporation for United States federal income tax purposes and (ii) an approximate 57% limited partner interest in AAP through our direct ownership of approximately 158.5 million AAP units and indirect ownership of approximately 1.0 million AAP units through GP LLC. GP LLC is a Delaware limited liability company that also holds the non-economic general partner interest in AAP. AAP is a Delaware limited partnership that, as of March 31, 2019, directly owned a limited partner interest in PAA through its ownership of approximately 280.6 million PAA common units (approximately 35% of PAA’s total outstanding common units and Series A preferred units combined). AAP is the sole member of PAA GP LLC (“PAA GP”), a Delaware limited liability company that directly holds the non-economic general partner interest in PAA.</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 —Analysis of Operating Segments” for further discussion.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first three months of 2019, we recognized net income of $914 million as compared to net income of $273 million recognized during the first three months of 2018. The increase in net income over the comparative periods was driven by:</w:t>
      </w:r>
    </w:p>
    <w:p>
      <w:pPr>
        <w:spacing w:after="0" w:line="170" w:lineRule="exact"/>
        <w:rPr>
          <w:sz w:val="20"/>
          <w:szCs w:val="20"/>
          <w:color w:val="auto"/>
        </w:rPr>
      </w:pPr>
    </w:p>
    <w:p>
      <w:pPr>
        <w:ind w:left="1300" w:hanging="320"/>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Favorable results from our Supply and Logistics segment due to favorable crude oil grade differentials, primarily in the Permian Basin, and higher NGL margins, as well as more favorable impacts in the 2019 period from the mark-to-market of certain derivative instruments;</w:t>
      </w:r>
    </w:p>
    <w:p>
      <w:pPr>
        <w:spacing w:after="0" w:line="123" w:lineRule="exact"/>
        <w:rPr>
          <w:rFonts w:ascii="Arial" w:cs="Arial" w:eastAsia="Arial" w:hAnsi="Arial"/>
          <w:sz w:val="16"/>
          <w:szCs w:val="16"/>
          <w:color w:val="auto"/>
        </w:rPr>
      </w:pPr>
    </w:p>
    <w:p>
      <w:pPr>
        <w:ind w:left="1300" w:right="26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Favorable results from our Transportation segment, primarily from our pipelines in the Permian Basin region, driven by higher volumes from increased production and our recently completed capital expansion projects;</w:t>
      </w:r>
    </w:p>
    <w:p>
      <w:pPr>
        <w:spacing w:after="0" w:line="170" w:lineRule="exact"/>
        <w:rPr>
          <w:rFonts w:ascii="Arial" w:cs="Arial" w:eastAsia="Arial" w:hAnsi="Arial"/>
          <w:sz w:val="18"/>
          <w:szCs w:val="18"/>
          <w:color w:val="auto"/>
        </w:rPr>
      </w:pPr>
    </w:p>
    <w:p>
      <w:pPr>
        <w:jc w:val="both"/>
        <w:ind w:left="1300" w:right="240" w:hanging="320"/>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non-cash gain of $267 million recognized in the current period related to a fair value adjustment resulting from the accounting for the contribution of our undivided joint interest in the Capline pipeline system for an equity interest in Capline Pipeline Company LLC;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mark-to-market of PAA’s Preferred Distribution Rate Reset Option, resulting in a gain in the current period compared to a loss in the prior period.</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invested $351 million in midstream infrastructure projects during the three months ended March 31, 2019, and we expect expansion capital for the full year of 2019 to be approximately $1.35 billion, which will be primarily focused in the Permian Basin. See the “—Capital Projects” section below for additional information.</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paid approximately $255 million of cash distributions to our Class A shareholders and noncontrolling interests during the three months ended March 31, 2019. In April 2019, we announced that we are increasing the annualized distribution on our Class A shares by $0.24 per Class A share to $1.44 per Class A share. In the second quarter of 2019, we will pay aggregate cash distributions of $323 million to our Class A shareholders and noncontrolling interests, including PAA’s common and preferred unitholders.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Leverage Reduction Plan Completion and Financial Policy Update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August 2017, PAA announced that it was implementing an action plan to strengthen its balance sheet, reduce leverage, enhance its distribution coverage, minimize new issuances of common equity and position PAA for future distribution growth. The action plan (“PAA Leverage Reduction Plan”), which was endorsed by our Board, included PAA’s intent to achieve certain objectives. During 2017 and 2018, PAA made meaningful progress in executing the PAA Leverage Reduction Plan and in April 2019, PAA announced its achievement of the remaining objectives. Concurrent with the completion of the PAA Leverage Reduction Plan, PAA completed a review of its financial policies and approach to capital allocation, targeted financial leverage and distribution management. As part of the April 2019 announcement, PAA provided several updates regarding its financial policy, including the following actions:</w:t>
      </w:r>
    </w:p>
    <w:p>
      <w:pPr>
        <w:spacing w:after="0" w:line="12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Lowering PAA’s targeted long-term debt to Adjusted EBITDA leverage ratio by 0.5x to a range of 3.0x to 3.5x;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Establishing a long-term sustainable minimum annual PAA distribution coverage level underpinned by predominantly fee-based cash flows;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its annualized distribution by $0.24 per common unit to $1.44 per common unit, beginning with the distribution payable May 15, 2019 to holders of record on May 1, 2019, which equates to a 20% increase from the distribution paid in February 2019; and</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PAA’s adoption of an annual cycle for setting the common unit distribution level and intention to increase common unit distributions in the future contingent on achieving and maintaining targeted leverage and coverage ratios and subject to an annual review process.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125"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These actions reflect PAA’s dedication to optimizing sustainable unitholder value while also preserving and enhancing PAA’s financial flexibility, further reducing leverage and improving its credit profile, with an objective of achieving mid-BBB equivalent credit ratings over time. Consistent with those objectives, PAA announced that it intends to continue to focus on activities to enhance investment returns and reinforce capital discipline through asset optimization, joint ventures, potential divestitures and similar arrangements.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expansion capital and maintenance capital (in millions):</w:t>
      </w:r>
    </w:p>
    <w:p>
      <w:pPr>
        <w:spacing w:after="0" w:line="163"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r>
      <w:tr>
        <w:trPr>
          <w:trHeight w:val="270"/>
        </w:trPr>
        <w:tc>
          <w:tcPr>
            <w:tcW w:w="8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w:t>
            </w:r>
          </w:p>
        </w:tc>
      </w:tr>
      <w:tr>
        <w:trPr>
          <w:trHeight w:val="269"/>
        </w:trPr>
        <w:tc>
          <w:tcPr>
            <w:tcW w:w="8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38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440" w:hanging="652"/>
        <w:spacing w:after="0" w:line="22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2019 and the estimated cost for the year ending December 31, 2019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r>
      <w:tr>
        <w:trPr>
          <w:trHeight w:val="243"/>
        </w:trPr>
        <w:tc>
          <w:tcPr>
            <w:tcW w:w="980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405</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Selected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r>
      <w:tr>
        <w:trPr>
          <w:trHeight w:val="243"/>
        </w:trPr>
        <w:tc>
          <w:tcPr>
            <w:tcW w:w="980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200</w:t>
            </w:r>
          </w:p>
        </w:tc>
      </w:tr>
      <w:tr>
        <w:trPr>
          <w:trHeight w:val="27"/>
        </w:trPr>
        <w:tc>
          <w:tcPr>
            <w:tcW w:w="9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9800" w:type="dxa"/>
            <w:vAlign w:val="bottom"/>
            <w:tcBorders>
              <w:bottom w:val="single" w:sz="8" w:color="CCEEFF"/>
            </w:tcBorders>
            <w:gridSpan w:val="2"/>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Projected 2019 Expansion Capital Expenditures </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1,350</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680" w:hanging="652"/>
        <w:spacing w:after="0" w:line="216"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97"/>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PAGP</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Basic and diluted net income per Class A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Class A shares outstanding</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8" w:lineRule="exact"/>
        <w:rPr>
          <w:sz w:val="20"/>
          <w:szCs w:val="20"/>
          <w:color w:val="auto"/>
        </w:rPr>
      </w:pPr>
    </w:p>
    <w:p>
      <w:pPr>
        <w:ind w:left="660" w:right="160" w:hanging="652"/>
        <w:spacing w:after="0" w:line="260" w:lineRule="auto"/>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by unconsolidated entities), gains and losses on asset sales and asset impairments and gains on investments in unconsolidated entities, adjusted for certain selected items impacting comparability (“Adjusted EBITDA”).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this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64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5"/>
                <w:szCs w:val="25"/>
                <w:color w:val="auto"/>
                <w:vertAlign w:val="superscript"/>
              </w:rPr>
              <w:t>(6)</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5"/>
                <w:szCs w:val="25"/>
                <w:color w:val="auto"/>
                <w:vertAlign w:val="superscript"/>
              </w:rPr>
              <w:t>(6)</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Adjusted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40" w:hanging="652"/>
        <w:spacing w:after="0" w:line="223"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strategic pipeline joint ventures, which are accounted for under the equity method of accounting. We exclude our proportionate share of the depreciation and amortization expense and gains and losses on significant asset sales by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20" w:hanging="652"/>
        <w:spacing w:after="0" w:line="257" w:lineRule="auto"/>
        <w:tabs>
          <w:tab w:leader="none" w:pos="6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PAA’s Preferred Distribution Rate Reset Option. See Note 10 to our Condensed Consolidated Financial Statements for a comprehensive discussion regarding our derivatives and risk management activities and PAA’s Preferred Distribution Rate Reset Option.</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73"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2018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17 to our Consolidated Financial Statements included in Part IV of our 2018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620" w:hanging="652"/>
        <w:spacing w:after="0" w:line="252"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 attributable to PAGP.</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3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7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1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from derivative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3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440" w:type="dxa"/>
            <w:vAlign w:val="bottom"/>
            <w:gridSpan w:val="3"/>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92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Maintenance capital</w:t>
            </w: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 per barrel</w:t>
            </w: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940" w:type="dxa"/>
            <w:vAlign w:val="bottom"/>
            <w:gridSpan w:val="2"/>
            <w:vMerge w:val="continue"/>
          </w:tcPr>
          <w:p>
            <w:pPr>
              <w:spacing w:after="0"/>
              <w:rPr>
                <w:sz w:val="19"/>
                <w:szCs w:val="19"/>
                <w:color w:val="auto"/>
              </w:rPr>
            </w:pPr>
          </w:p>
        </w:tc>
        <w:tc>
          <w:tcPr>
            <w:tcW w:w="172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20" w:type="dxa"/>
            <w:vAlign w:val="bottom"/>
            <w:gridSpan w:val="8"/>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5"/>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gridSpan w:val="5"/>
          </w:tcPr>
          <w:p>
            <w:pPr>
              <w:ind w:left="100"/>
              <w:spacing w:after="0"/>
              <w:rPr>
                <w:sz w:val="20"/>
                <w:szCs w:val="20"/>
                <w:color w:val="auto"/>
              </w:rPr>
            </w:pPr>
            <w:r>
              <w:rPr>
                <w:rFonts w:ascii="Arial" w:cs="Arial" w:eastAsia="Arial" w:hAnsi="Arial"/>
                <w:sz w:val="14"/>
                <w:szCs w:val="14"/>
                <w:b w:val="1"/>
                <w:bCs w:val="1"/>
                <w:color w:val="auto"/>
              </w:rPr>
              <w:t>Volumes</w:t>
            </w:r>
          </w:p>
        </w:tc>
        <w:tc>
          <w:tcPr>
            <w:tcW w:w="820" w:type="dxa"/>
            <w:vAlign w:val="bottom"/>
          </w:tcPr>
          <w:p>
            <w:pPr>
              <w:jc w:val="right"/>
              <w:ind w:right="4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1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1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1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3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13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13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vMerge w:val="restart"/>
          </w:tcPr>
          <w:p>
            <w:pPr>
              <w:jc w:val="right"/>
              <w:ind w:right="41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100" w:hanging="652"/>
        <w:spacing w:after="0" w:line="246" w:lineRule="auto"/>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480" w:hanging="652"/>
        <w:spacing w:after="0" w:line="21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44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gridSpan w:val="7"/>
          </w:tcPr>
          <w:p>
            <w:pPr>
              <w:jc w:val="center"/>
              <w:ind w:right="95"/>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gridSpan w:val="7"/>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2019-2018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3"/>
              </w:rPr>
              <w:t>Revenues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200" w:type="dxa"/>
            <w:vAlign w:val="bottom"/>
          </w:tcPr>
          <w:p>
            <w:pPr>
              <w:spacing w:after="0"/>
              <w:rPr>
                <w:sz w:val="13"/>
                <w:szCs w:val="13"/>
                <w:color w:val="auto"/>
              </w:rPr>
            </w:pPr>
          </w:p>
        </w:tc>
        <w:tc>
          <w:tcPr>
            <w:tcW w:w="9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6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Other regions, trucking and pipeline loss allowance revenue</w:t>
            </w: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variance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0" w:hanging="324"/>
        <w:spacing w:after="0" w:line="257" w:lineRule="auto"/>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net of purchases and related costs, of approximately $64 million was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from increased production and our recently completed capital expansion projects. These increases included (i) higher volumes on our gathering systems of approximately 301,000 barrels per day, (ii) higher volumes of approximately 510,000 barrels per day on our intra-basin pipelines and (iii) a volume increase of approximately 217,000 on our long-haul pipelines, including our Sunrise II pipeline, which was placed in service in the fourth quarter of 2018.</w:t>
      </w:r>
    </w:p>
    <w:p>
      <w:pPr>
        <w:spacing w:after="0" w:line="188" w:lineRule="exact"/>
        <w:rPr>
          <w:rFonts w:ascii="Arial" w:cs="Arial" w:eastAsia="Arial" w:hAnsi="Arial"/>
          <w:sz w:val="18"/>
          <w:szCs w:val="18"/>
          <w:i w:val="1"/>
          <w:iCs w:val="1"/>
          <w:color w:val="auto"/>
        </w:rPr>
      </w:pPr>
    </w:p>
    <w:p>
      <w:pPr>
        <w:ind w:left="980" w:right="2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decrease in equity earnings was primarily due to the sale of a 30% interest in BridgeTex Pipeline Company, LLC in the third quarter of 2018.</w:t>
      </w:r>
    </w:p>
    <w:p>
      <w:pPr>
        <w:spacing w:after="0" w:line="170" w:lineRule="exact"/>
        <w:rPr>
          <w:rFonts w:ascii="Arial" w:cs="Arial" w:eastAsia="Arial" w:hAnsi="Arial"/>
          <w:sz w:val="18"/>
          <w:szCs w:val="18"/>
          <w:i w:val="1"/>
          <w:iCs w:val="1"/>
          <w:color w:val="auto"/>
        </w:rPr>
      </w:pPr>
    </w:p>
    <w:p>
      <w:pPr>
        <w:ind w:left="9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South Texas / Eagle Ford region. </w:t>
      </w:r>
      <w:r>
        <w:rPr>
          <w:rFonts w:ascii="Arial" w:cs="Arial" w:eastAsia="Arial" w:hAnsi="Arial"/>
          <w:sz w:val="17"/>
          <w:szCs w:val="17"/>
          <w:color w:val="auto"/>
        </w:rPr>
        <w:t>The increase in equity earnings was from our 50% interest in Eagle Ford Pipeline LLC due to the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of revenue associated with deficiencies under minimum volume commitments and higher volumes from our Cactus pipeline.</w:t>
      </w:r>
    </w:p>
    <w:p>
      <w:pPr>
        <w:spacing w:after="0" w:line="146" w:lineRule="exact"/>
        <w:rPr>
          <w:rFonts w:ascii="Arial" w:cs="Arial" w:eastAsia="Arial" w:hAnsi="Arial"/>
          <w:sz w:val="17"/>
          <w:szCs w:val="17"/>
          <w:color w:val="auto"/>
        </w:rPr>
      </w:pPr>
    </w:p>
    <w:p>
      <w:pPr>
        <w:ind w:left="980" w:right="26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increase in revenues was primarily due to the recognition of previously deferred revenue, as well as higher volumes 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pipelines in the Central region.</w:t>
      </w:r>
    </w:p>
    <w:p>
      <w:pPr>
        <w:spacing w:after="0" w:line="170"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8"/>
          <w:szCs w:val="18"/>
          <w:color w:val="auto"/>
        </w:rPr>
        <w:t>The increase in equity earnings was primarily from our 50% interest in Midway Pipeline LLC and our 50% interest in Diamond Pipeline LLC due to higher volumes related to increased refinery demand.</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125" w:right="3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97"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Other regions, trucking and pipeline loss allowance revenue. </w:t>
      </w:r>
      <w:r>
        <w:rPr>
          <w:rFonts w:ascii="Arial" w:cs="Arial" w:eastAsia="Arial" w:hAnsi="Arial"/>
          <w:sz w:val="16"/>
          <w:szCs w:val="16"/>
          <w:color w:val="auto"/>
        </w:rPr>
        <w:t>The increase in other net revenues was primarily due to (i) greater loss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driven by higher volumes and prices in the 2019 period and (ii) higher tariffs on certain of our Canadian pipelines, partially offset by the sale of certain of our assets in the Rocky Mountain region in the second quarter of 2018. The decrease in volumes in the Gulf Coast region were associated with (i) a lower tariff pipeline, which did not result in a significant impact on revenue and (ii) the Capline pipeline being taken out of service in the fourth quarter of 2018. We are currently pursuing an opportunity to reverse the flow of the Capline pipeline.</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Adjustments: Deficiencies under minimum volume commitments, net</w:t>
      </w:r>
      <w:r>
        <w:rPr>
          <w:rFonts w:ascii="Arial" w:cs="Arial" w:eastAsia="Arial" w:hAnsi="Arial"/>
          <w:sz w:val="18"/>
          <w:szCs w:val="18"/>
          <w:color w:val="auto"/>
        </w:rPr>
        <w:t>. 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For the three months ended March 31, 2019, the recognition of previously deferred revenue exceeded amounts billed to counterparties associated with deficiencies under minimum volume commitments. For the three months ended March 31, 2018, amounts billed to counterparties exceeded revenue recognized during the period that was previously deferred.</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2019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was primarily due to (i) an increase in power related costs, primarily from temporary sources, resulting from higher volumes, (ii) an increase in property taxes related to new assets placed in service and (iii) increases in performance- and equity-based compensation costs. Overall increases in field operating costs also resulted from expansion projects placed in service since March 31, 2018, including our Sunrise II pipeline expansion within the Permian Basin region, which was placed in service in late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7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4"/>
        </w:trPr>
        <w:tc>
          <w:tcPr>
            <w:tcW w:w="49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Adjusted EBITDA</w:t>
            </w:r>
          </w:p>
        </w:tc>
        <w:tc>
          <w:tcPr>
            <w:tcW w:w="1500" w:type="dxa"/>
            <w:vAlign w:val="bottom"/>
            <w:tcBorders>
              <w:bottom w:val="single" w:sz="8" w:color="CCEEFF"/>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5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20"/>
              <w:spacing w:after="0"/>
              <w:rPr>
                <w:sz w:val="20"/>
                <w:szCs w:val="20"/>
                <w:color w:val="auto"/>
              </w:rPr>
            </w:pPr>
            <w:r>
              <w:rPr>
                <w:rFonts w:ascii="Arial" w:cs="Arial" w:eastAsia="Arial" w:hAnsi="Arial"/>
                <w:sz w:val="18"/>
                <w:szCs w:val="18"/>
                <w:color w:val="auto"/>
              </w:rPr>
              <w:t>Segment Adjusted EBITDA per barrel</w:t>
            </w:r>
          </w:p>
        </w:tc>
        <w:tc>
          <w:tcPr>
            <w:tcW w:w="17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0" w:type="dxa"/>
            <w:vAlign w:val="bottom"/>
            <w:vMerge w:val="restart"/>
          </w:tcPr>
          <w:p>
            <w:pPr>
              <w:jc w:val="right"/>
              <w:ind w:right="4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166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718"/>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Liquids storage (average monthly capacity in millions of barrels)</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440" w:type="dxa"/>
            <w:vAlign w:val="bottom"/>
            <w:tcBorders>
              <w:bottom w:val="single" w:sz="8" w:color="CCEEFF"/>
            </w:tcBorders>
            <w:gridSpan w:val="2"/>
          </w:tcPr>
          <w:p>
            <w:pPr>
              <w:ind w:left="20"/>
              <w:spacing w:after="0" w:line="257" w:lineRule="exact"/>
              <w:rPr>
                <w:sz w:val="20"/>
                <w:szCs w:val="20"/>
                <w:color w:val="auto"/>
              </w:rPr>
            </w:pPr>
            <w:r>
              <w:rPr>
                <w:rFonts w:ascii="Arial" w:cs="Arial" w:eastAsia="Arial" w:hAnsi="Arial"/>
                <w:sz w:val="18"/>
                <w:szCs w:val="18"/>
                <w:color w:val="auto"/>
                <w:w w:val="98"/>
              </w:rPr>
              <w:t xml:space="preserve">Natural gas storage (average monthly working capacity in billions of cubic feet) </w:t>
            </w:r>
            <w:r>
              <w:rPr>
                <w:rFonts w:ascii="Arial" w:cs="Arial" w:eastAsia="Arial" w:hAnsi="Arial"/>
                <w:sz w:val="25"/>
                <w:szCs w:val="25"/>
                <w:color w:val="auto"/>
                <w:w w:val="98"/>
                <w:vertAlign w:val="superscript"/>
              </w:rPr>
              <w:t>(5)</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40" w:type="dxa"/>
            <w:vAlign w:val="bottom"/>
            <w:gridSpan w:val="2"/>
          </w:tcPr>
          <w:p>
            <w:pPr>
              <w:ind w:left="20"/>
              <w:spacing w:after="0" w:line="257" w:lineRule="exact"/>
              <w:rPr>
                <w:sz w:val="20"/>
                <w:szCs w:val="20"/>
                <w:color w:val="auto"/>
              </w:rPr>
            </w:pPr>
            <w:r>
              <w:rPr>
                <w:rFonts w:ascii="Arial" w:cs="Arial" w:eastAsia="Arial" w:hAnsi="Arial"/>
                <w:sz w:val="18"/>
                <w:szCs w:val="18"/>
                <w:color w:val="auto"/>
                <w:w w:val="96"/>
              </w:rPr>
              <w:t xml:space="preserve">Facilities segment total volumes (average monthly volumes in millions of barrels) </w:t>
            </w:r>
            <w:r>
              <w:rPr>
                <w:rFonts w:ascii="Arial" w:cs="Arial" w:eastAsia="Arial" w:hAnsi="Arial"/>
                <w:sz w:val="25"/>
                <w:szCs w:val="25"/>
                <w:color w:val="auto"/>
                <w:w w:val="96"/>
                <w:vertAlign w:val="superscript"/>
              </w:rPr>
              <w:t>(6)</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62" w:lineRule="auto"/>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The following summarizes the significant drivers of variances in revenues, purchases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costs and average monthly volumes for the comparative periods:</w:t>
      </w:r>
    </w:p>
    <w:p>
      <w:pPr>
        <w:spacing w:after="0" w:line="170" w:lineRule="exact"/>
        <w:rPr>
          <w:sz w:val="20"/>
          <w:szCs w:val="20"/>
          <w:color w:val="auto"/>
        </w:rPr>
      </w:pPr>
    </w:p>
    <w:p>
      <w:pPr>
        <w:ind w:left="980" w:right="24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increased by $7 million for the three months ended March 31, 2019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due to increased activity at certain of our terminals, primarily our Cushing terminal.</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$6 million for the three months ended March 31, 2019 compared to the same period in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activity at certain of our rail terminals resulting from more favorable market conditions.</w:t>
      </w:r>
    </w:p>
    <w:p>
      <w:pPr>
        <w:spacing w:after="0" w:line="170"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Natural Gas Storage. </w:t>
      </w:r>
      <w:r>
        <w:rPr>
          <w:rFonts w:ascii="Arial" w:cs="Arial" w:eastAsia="Arial" w:hAnsi="Arial"/>
          <w:sz w:val="16"/>
          <w:szCs w:val="16"/>
          <w:color w:val="auto"/>
        </w:rPr>
        <w:t>Revenues, net of purchases and related costs, increased by $4 million for the three months ended March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March 31, 2018 due to expiring contracts replaced by contracts with higher rates at our Pine Prairie facility.</w:t>
      </w:r>
    </w:p>
    <w:p>
      <w:pPr>
        <w:spacing w:after="0" w:line="123"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decreased by $11 million for the three months ended March 31, 2019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primarily due to a net unfavorable foreign exchange impact of approximately $6 million and the sale of a natural gas processing facility in the second quarter of 2018.</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2019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was primarily related to increased rail activity and insurance costs.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order to maintain the operating and/or earnings capacity of our existing assets. For the three months ended March 31, 2019 as compared to the three months ended March 31, 2018, maintenance capital spending increased primarily due to the impact of higher expenditures related to cavern maintenance at certain of our gas storage facilities.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00" w:type="dxa"/>
            <w:vAlign w:val="bottom"/>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4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24"/>
        </w:trPr>
        <w:tc>
          <w:tcPr>
            <w:tcW w:w="6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 net of inventory valuation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0"/>
              <w:spacing w:after="0"/>
              <w:rPr>
                <w:sz w:val="20"/>
                <w:szCs w:val="20"/>
                <w:color w:val="auto"/>
              </w:rPr>
            </w:pPr>
            <w:r>
              <w:rPr>
                <w:rFonts w:ascii="Arial" w:cs="Arial" w:eastAsia="Arial" w:hAnsi="Arial"/>
                <w:sz w:val="18"/>
                <w:szCs w:val="18"/>
                <w:color w:val="auto"/>
              </w:rPr>
              <w:t>Long-term inventory costing adjustments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0"/>
              <w:spacing w:after="0"/>
              <w:rPr>
                <w:sz w:val="20"/>
                <w:szCs w:val="20"/>
                <w:color w:val="auto"/>
              </w:rPr>
            </w:pPr>
            <w:r>
              <w:rPr>
                <w:rFonts w:ascii="Arial" w:cs="Arial" w:eastAsia="Arial" w:hAnsi="Arial"/>
                <w:sz w:val="18"/>
                <w:szCs w:val="18"/>
                <w:color w:val="auto"/>
              </w:rPr>
              <w:t>Net loss on foreign currency revaluation</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1"/>
        </w:trPr>
        <w:tc>
          <w:tcPr>
            <w:tcW w:w="6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gridSpan w:val="8"/>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4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NGL sales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total volumes</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40" w:hanging="652"/>
        <w:spacing w:after="0" w:line="246" w:lineRule="auto"/>
        <w:tabs>
          <w:tab w:leader="none" w:pos="66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640" w:hanging="652"/>
        <w:spacing w:after="0" w:line="21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41" w:lineRule="exact"/>
        <w:rPr>
          <w:rFonts w:ascii="Arial" w:cs="Arial" w:eastAsia="Arial" w:hAnsi="Arial"/>
          <w:sz w:val="25"/>
          <w:szCs w:val="25"/>
          <w:color w:val="auto"/>
          <w:vertAlign w:val="superscript"/>
        </w:rPr>
      </w:pPr>
    </w:p>
    <w:p>
      <w:pPr>
        <w:ind w:left="660" w:right="2320" w:hanging="652"/>
        <w:spacing w:after="0" w:line="440" w:lineRule="auto"/>
        <w:tabs>
          <w:tab w:leader="none" w:pos="646"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High</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2019</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Three months ended March 31, 2018</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66</w:t>
            </w:r>
          </w:p>
        </w:tc>
      </w:tr>
    </w:tbl>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both our revenues and purchases decreased for the three months ended March 31, 2019 compared to the same period in 2018 primarily due to lower prices during the 2019 period. Additionally, net revenues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for the comparative periods:</w:t>
      </w:r>
    </w:p>
    <w:p>
      <w:pPr>
        <w:spacing w:after="0" w:line="170" w:lineRule="exact"/>
        <w:rPr>
          <w:sz w:val="20"/>
          <w:szCs w:val="20"/>
          <w:color w:val="auto"/>
        </w:rPr>
      </w:pPr>
    </w:p>
    <w:p>
      <w:pPr>
        <w:ind w:left="980" w:right="300" w:hanging="324"/>
        <w:spacing w:after="0" w:line="308"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w:t>
      </w:r>
      <w:r>
        <w:rPr>
          <w:rFonts w:ascii="Arial" w:cs="Arial" w:eastAsia="Arial" w:hAnsi="Arial"/>
          <w:sz w:val="17"/>
          <w:szCs w:val="17"/>
          <w:i w:val="1"/>
          <w:iCs w:val="1"/>
          <w:color w:val="auto"/>
        </w:rPr>
        <w:t>rude Oil Operations.</w:t>
      </w:r>
      <w:r>
        <w:rPr>
          <w:rFonts w:ascii="Arial" w:cs="Arial" w:eastAsia="Arial" w:hAnsi="Arial"/>
          <w:sz w:val="17"/>
          <w:szCs w:val="17"/>
          <w:color w:val="auto"/>
        </w:rPr>
        <w:t xml:space="preserve"> Net revenues from our crude oil supply and logistics operations increased for the three months ended March 31, 2019 compared to the three months ended March 31, 2018 largely due to favorable grade differentials, primarily in the Permian Basin.</w:t>
      </w:r>
    </w:p>
    <w:p>
      <w:pPr>
        <w:spacing w:after="0" w:line="146" w:lineRule="exact"/>
        <w:rPr>
          <w:rFonts w:ascii="Arial" w:cs="Arial" w:eastAsia="Arial" w:hAnsi="Arial"/>
          <w:sz w:val="17"/>
          <w:szCs w:val="17"/>
          <w:color w:val="auto"/>
        </w:rPr>
      </w:pPr>
    </w:p>
    <w:p>
      <w:pPr>
        <w:jc w:val="both"/>
        <w:ind w:left="980" w:right="120" w:hanging="32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three months ended March 31, 2019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primarily due to the streamlining of our NGL activities by focusing on our equity supply from our gathering and processing facilities, and by reducing the volume of third party purchases.</w:t>
      </w:r>
    </w:p>
    <w:p>
      <w:pPr>
        <w:spacing w:after="0" w:line="181" w:lineRule="exact"/>
        <w:rPr>
          <w:rFonts w:ascii="Arial" w:cs="Arial" w:eastAsia="Arial" w:hAnsi="Arial"/>
          <w:sz w:val="18"/>
          <w:szCs w:val="18"/>
          <w:color w:val="auto"/>
        </w:rPr>
      </w:pPr>
    </w:p>
    <w:p>
      <w:pPr>
        <w:ind w:left="980" w:right="120" w:hanging="324"/>
        <w:spacing w:after="0" w:line="293" w:lineRule="auto"/>
        <w:tabs>
          <w:tab w:leader="none" w:pos="9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Impact from Certain Derivative Activities Net of Inventory Valuation Adjustments. </w:t>
      </w:r>
      <w:r>
        <w:rPr>
          <w:rFonts w:ascii="Arial" w:cs="Arial" w:eastAsia="Arial" w:hAnsi="Arial"/>
          <w:sz w:val="16"/>
          <w:szCs w:val="16"/>
          <w:color w:val="auto"/>
        </w:rPr>
        <w:t>The impact from certain derivative activities on our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64" w:lineRule="exact"/>
        <w:rPr>
          <w:rFonts w:ascii="Arial" w:cs="Arial" w:eastAsia="Arial" w:hAnsi="Arial"/>
          <w:sz w:val="16"/>
          <w:szCs w:val="16"/>
          <w:i w:val="1"/>
          <w:iCs w:val="1"/>
          <w:color w:val="auto"/>
        </w:rPr>
      </w:pPr>
    </w:p>
    <w:p>
      <w:pPr>
        <w:ind w:left="980" w:hanging="324"/>
        <w:spacing w:after="0" w:line="25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6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980" w:right="260" w:hanging="324"/>
        <w:spacing w:after="0" w:line="264" w:lineRule="auto"/>
        <w:tabs>
          <w:tab w:leader="none" w:pos="9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2019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was primarily driven by an increase in trucking costs resulting from higher third-party hauled volumes, partially offset by a decrease in vehicle expense related to the adoption of the new lease accounting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Depreciation and amortization expense increased for the three months ended March 31, 2019 compared to the three months ended March 31, 2018 largely driven by additional depreciation expense associated with the completion of various capital expansion projects.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Investment in Unconsolidated Entities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three months ended March 31, 2019, we recognized a non-cash gain of $267 million related to a fair value adjustment resulting from the accounting for the contribution of our undivided joint interest in the Capline pipeline system for an equity interest in Capline Pipeline Company LLC. See Note 7 to our Condensed Consolidated Financial Statements for additional information.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decrease in interest expense for the three months ended March 31, 2019 compared to the three months ended March 31, 2018 was primarily due to (i) a lower weighted average debt balance during the 2019 period from lower PAA commercial paper and credit facility borrowings and (ii) higher capitalized interest in the 2019 period due to additional projects under construction.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63"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13335</wp:posOffset>
            </wp:positionV>
            <wp:extent cx="16376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8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70"/>
        </w:trPr>
        <w:tc>
          <w:tcPr>
            <w:tcW w:w="8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Gain/(loss) related to mark-to-market adjustment of the Preferred Distribution Rate Reset Option </w:t>
            </w:r>
            <w:r>
              <w:rPr>
                <w:rFonts w:ascii="Arial" w:cs="Arial" w:eastAsia="Arial" w:hAnsi="Arial"/>
                <w:sz w:val="25"/>
                <w:szCs w:val="25"/>
                <w:color w:val="auto"/>
                <w:vertAlign w:val="superscript"/>
              </w:rPr>
              <w:t>(1)</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86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6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See Note 10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Income tax expense increased for the three months ended March 31, 2019 compared to the three months ended March 31, 2018 primarily due to (i) higher deferred income tax expense as a result of higher income attributable to PAGP and a change in our effective tax rate in the first quarter of 2019 and (ii) higher taxable earnings in our Canadian operations, partially offset by lower year-over-year income as impacted by fluctuations in derivative mark-to-market valuations in our Canadian operations.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5"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March 31, 2019, we had a working capital surplus of $66 million and approximately $3.3 billion of liquidity available to meet our ongoing operating, investing and financing needs, subject to continued covenant compliance, as noted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92"/>
        </w:trPr>
        <w:tc>
          <w:tcPr>
            <w:tcW w:w="9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2019</w:t>
            </w:r>
          </w:p>
        </w:tc>
      </w:tr>
      <w:tr>
        <w:trPr>
          <w:trHeight w:val="270"/>
        </w:trPr>
        <w:tc>
          <w:tcPr>
            <w:tcW w:w="9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1,462</w:t>
            </w:r>
          </w:p>
        </w:tc>
      </w:tr>
      <w:tr>
        <w:trPr>
          <w:trHeight w:val="270"/>
        </w:trPr>
        <w:tc>
          <w:tcPr>
            <w:tcW w:w="9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1,383</w:t>
            </w:r>
          </w:p>
        </w:tc>
      </w:tr>
      <w:tr>
        <w:trPr>
          <w:trHeight w:val="244"/>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2,845</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439</w:t>
            </w:r>
          </w:p>
        </w:tc>
      </w:tr>
      <w:tr>
        <w:trPr>
          <w:trHeight w:val="27"/>
        </w:trPr>
        <w:tc>
          <w:tcPr>
            <w:tcW w:w="9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3,284</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460" w:hanging="652"/>
        <w:spacing w:after="0" w:line="216"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Amounts outstanding under the PAA commercial paper program reduce available capacity under the facilities. There were no outstanding PAA commercial paper borrowings at March 31, 2019.</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$138 million and $17 million, respectively.</w:t>
      </w:r>
    </w:p>
    <w:p>
      <w:pPr>
        <w:spacing w:after="0" w:line="203"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March 31, 2019, PAA was in compliance with all such covenants. Also, see Item 1A. “Risk Factors” included in our 2018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2018 Annual Report on Form 10-K.</w:t>
      </w:r>
    </w:p>
    <w:p>
      <w:pPr>
        <w:spacing w:after="0" w:line="18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Net cash provided by operating activities for the first three months of 2019 and 2018 was $1.032 billion and $520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three months ended March 31, 2019, our cash provided by operating activities was positively impacted by decreases in the volume of inventory that we held, primarily due to the sale of NGL and crude oil inventory. The favorable effects from liquidation of such inventory were partially offset by timing of revenue recognized during the period for which cash was received in prior periods.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months ended March 31, 2018, we decreased the overall volume of inventory that we held, primarily due to the seasonal sale of NGL inventory. However, the favorable effects from liquidation of such inventory were offset by increased volumes and higher prices for crude oil inventory that was purchased and stored at the end of the first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addition to our operating needs discussed above, on a consolidated basis,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$351 million in midstream infrastructure during the three months ended March 31, 2019, and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approximately $1.35 billion during the full year ended December 31, 2019. See “—Capital Projects” for detail of our projected capital expenditures for the year ending December 31, 2019. We expect to fund our 2019 capital program with retained cash flow, proceeds from assets sold as part of our divestiture program or debt.</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 reinforce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PAA’s Business” of our 2018 Annual Report on Form 10-K for further discussion regarding risks related to our acquisitions and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an aggregate of $1.0 billion of equity securities (the “PAGP Traditional Shelf”). All issuances of equity securities associated with our continuous offering program have been issued pursuant to the PAGP Traditional Shelf. At March 31, 2019,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three months ended March 31, 2019.</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$1.1 billion of debt or equity securities (the “PAA Traditional Shelf”). At March 31, 2019, PAA had approximately $1.1 billion of unsold securities available under the PAA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three months ended March 31, 2019.</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the PAA revolving credit facilities (which impact PAA’s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the PAA commercial paper program because they provide the financial backstop that supports PAA’s short-term credit ratings) and its GO Zone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As of March 31, 2019, PAA was in compliance with the covenants contained in its credit agreements and indentures.</w:t>
      </w:r>
    </w:p>
    <w:p>
      <w:pPr>
        <w:spacing w:after="0" w:line="19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of March 31, 2019 and December 31, 2018, PAA had no outstanding borrowings under its credit agreements or the PAA commercial paper program. However, during the three months ended March 31, 2019, PAA borrowed and repaid $0.5 billion under the PAA commercial paper program. The repayments resulted primarily from cash flow from operating activities.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the three months ended March 31, 2018, we had net repayments on PAA’s credit facilities and the PAA commercial paper program of $156 million. The net repayments resulted primarily from cash flow from operating activities.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all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May 15, 2019, we will pay a quarterly distribution of $0.36 per Class A share ($1.44 per Class A share on an annualized basis) on our Class A shares outstanding as of May 1, 2019, the record date for such distribution for the period from January 1, 2019 through March 31, 2019. This equates to a 20% increase from the distribution paid in February 2019. See Note 9 to our Condensed Consolidated Financial Statements for details of distributions paid during or pertaining to the first three months of 2019. Also, see Item 5. “Market for Registrant’s Shares, Related Shareholder Matters and Issuer Purchases of Equity Securities—Cash Distribution Policy” included in our 2018 Annual Report on Form 10-K for additional discussion regarding distributions.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March 31, 2019, noncontrolling interests in our subsidiaries consisted of (i) limited partner interests in PAA including a 65% interest in PAA’s common units and PAA’s Series A preferred units combined and 100% of PAA’s Series B preferred units and (ii) an approximate 43% limited partner interest in AAP.</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 xml:space="preserve">Distributions to PAA’s Series A preferred unitholders. </w:t>
      </w:r>
      <w:r>
        <w:rPr>
          <w:rFonts w:ascii="Arial" w:cs="Arial" w:eastAsia="Arial" w:hAnsi="Arial"/>
          <w:sz w:val="16"/>
          <w:szCs w:val="16"/>
          <w:color w:val="auto"/>
        </w:rPr>
        <w:t>On May 15, 2019 PAA will pay a cash distribution of $37 million ($0.525 per unit) on its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May 1, 2019, the record date for such distribution for the period from January 1, 2019 through March 31, 2019. See Note 9 to our Condensed Consolidated Financial Statements for details of distributions made during or pertaining to the first three months of 2019.</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Series B preferred unitholders. </w:t>
      </w:r>
      <w:r>
        <w:rPr>
          <w:rFonts w:ascii="Arial" w:cs="Arial" w:eastAsia="Arial" w:hAnsi="Arial"/>
          <w:sz w:val="18"/>
          <w:szCs w:val="18"/>
          <w:color w:val="auto"/>
        </w:rPr>
        <w:t>Distributions on PAA’s Series B preferred units are payable semi-annually in arrears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15th day of May and November. On May 15, 2019, PAA will pay the semi-annual cash distribution of $24.5 million on its Series B preferred units to holders of record at the close of business on May 1, 2019 for the period from November 15, 2018 to May 14, 2019. See Note 9 to our Condensed Consolidated Financial Statements for additional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May 15, 2019, PAA will pay a quarterly distribution of $0.36 per common unit ($1.44 per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 on an annualized basis) on its common units outstanding as of May 1, 2019, the record date for such distribution for the period from January 1, 2019 through March 31, 2019. This equates to a 20% increase from the distribution paid in February 2019. See Note 9 to our Condensed Consolidated Financial Statements for details of distributions paid during or pertaining to the first three months of 2019.</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2019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2024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949</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8,593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13,912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7,643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6,997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6,096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48,401</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9,363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8,329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23,591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hanging="652"/>
        <w:spacing w:after="0" w:line="237"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8 to our Condensed Consolidated Financial Statements.</w:t>
      </w:r>
    </w:p>
    <w:p>
      <w:pPr>
        <w:spacing w:after="0" w:line="98" w:lineRule="exact"/>
        <w:rPr>
          <w:rFonts w:ascii="Arial" w:cs="Arial" w:eastAsia="Arial" w:hAnsi="Arial"/>
          <w:sz w:val="25"/>
          <w:szCs w:val="25"/>
          <w:color w:val="auto"/>
          <w:vertAlign w:val="superscript"/>
        </w:rPr>
      </w:pPr>
    </w:p>
    <w:p>
      <w:pPr>
        <w:ind w:left="660" w:right="440" w:hanging="652"/>
        <w:spacing w:after="0" w:line="252" w:lineRule="auto"/>
        <w:tabs>
          <w:tab w:leader="none" w:pos="66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Includes both operating and finance leases as defined by FASB guidance. Leases are primarily for (i) railcars, (ii) office space, (iii), land, (iv) vehicles, (v) storage tanks and (vi) tractor trailers. See Note 11 to our Condensed Consolidated Financial Statements for additional information.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45" w:lineRule="auto"/>
        <w:tabs>
          <w:tab w:leader="none" w:pos="66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660" w:right="40"/>
        <w:spacing w:after="0" w:line="254" w:lineRule="auto"/>
        <w:rPr>
          <w:rFonts w:ascii="Arial" w:cs="Arial" w:eastAsia="Arial" w:hAnsi="Arial"/>
          <w:sz w:val="22"/>
          <w:szCs w:val="22"/>
          <w:color w:val="auto"/>
          <w:vertAlign w:val="superscript"/>
        </w:rPr>
      </w:pPr>
      <w:r>
        <w:rPr>
          <w:rFonts w:ascii="Arial" w:cs="Arial" w:eastAsia="Arial" w:hAnsi="Arial"/>
          <w:sz w:val="18"/>
          <w:szCs w:val="18"/>
          <w:color w:val="auto"/>
        </w:rPr>
        <w:t>(iv) noncancelable commitments related to our capital expansion projects, including projected contributions for our share of the capital spending of our equity method investments. The transportation agreements include approximately $1.7 billion associated with agreements to transport crude oil at posted tariff rates on pipelines that are owned by equity method investees. Our commitment to transport is supported by crude oil buy/sell or other agreements with third parties (including Oxy) with commensurate quantities.</w:t>
      </w:r>
    </w:p>
    <w:p>
      <w:pPr>
        <w:spacing w:after="0" w:line="81" w:lineRule="exact"/>
        <w:rPr>
          <w:rFonts w:ascii="Arial" w:cs="Arial" w:eastAsia="Arial" w:hAnsi="Arial"/>
          <w:sz w:val="22"/>
          <w:szCs w:val="22"/>
          <w:color w:val="auto"/>
          <w:vertAlign w:val="superscript"/>
        </w:rPr>
      </w:pPr>
    </w:p>
    <w:p>
      <w:pPr>
        <w:ind w:left="660" w:right="200" w:hanging="652"/>
        <w:spacing w:after="0" w:line="238" w:lineRule="auto"/>
        <w:tabs>
          <w:tab w:leader="none" w:pos="66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March 2019.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March 31, 2019 and December 31, 2018, we had outstanding letters of credit of approximately $155 million and $184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2018 Annual Report on Form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6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2018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i w:val="1"/>
          <w:iCs w:val="1"/>
          <w:color w:val="auto"/>
        </w:rPr>
      </w:pPr>
    </w:p>
    <w:p>
      <w:pPr>
        <w:ind w:left="980" w:right="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2019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4380" w:type="dxa"/>
            <w:vAlign w:val="bottom"/>
            <w:tcBorders>
              <w:bottom w:val="single" w:sz="8" w:color="CCEEFF"/>
            </w:tcBorders>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336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3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3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4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33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00" w:type="dxa"/>
            <w:vAlign w:val="bottom"/>
            <w:vMerge w:val="restart"/>
          </w:tcPr>
          <w:p>
            <w:pPr>
              <w:jc w:val="right"/>
              <w:ind w:right="85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March 31, 2019, approximately $200 million, was subject to interest rate re-sets that range from one day to approximately one month. The average interest rate on variable rate debt that was outstanding during the three months ended March 31, 2019 was 3.3%, based upon rates in effect during such period. The fair value of our interest rate derivatives was a liability of $30 million as of March 31, 2019. A 10% increase in the forward LIBOR curve as of March 31, 2019 would have resulted in an increase of $21 million to the fair value of our interest rate derivatives. A 10% decrease in the forward LIBOR curve as of March 31, 2019 would have resulted in a decrease of $21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March 31, 2019. A 10% increase in the exchange rate (USD-to-CAD) would have resulted in a decrease of $14 million to the fair value of our foreign currency derivatives. A 10% decrease in the exchange rate (USD-to-CAD) would have resulted in an increase of $14 million to the fair value of our foreign currency derivatives. See Note 10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$13 million as of March 31, 2019. A 10% increase or decrease in the fair value would have an impact of $1 million. See Note 10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2019, the end of the period covered by this report, and, based on such evaluation, our Chief Executive Officer and Chief Financial Officer have concluded that our DCP is effective.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In addition to the information concerning our DCP, we are required to disclose certain changes in internal control over financial reporting. We implemented new processes and internal controls in connection with our adoption on January 1, 2019 of FASB accounting standard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Further, we plan to implement a new lease accounting system during 2019.</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discussed above, there have been no other changes in our internal control over financial reporting during the first quarter of 2019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2018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240" w:top="125" w:right="5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Exhibit No.</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30"/>
          </w:tcPr>
          <w:p>
            <w:pPr>
              <w:ind w:left="14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1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Certificate of Limited Partnership of Plains GP Holdings, L.P. (incorporated by reference to Exhibit 3.1 to our Registration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Statement on Form S-1 (333-190227) filed July 29, 2013).</w:t>
              </w:r>
            </w:hyperlink>
          </w:p>
        </w:tc>
        <w:tc>
          <w:tcPr>
            <w:tcW w:w="700" w:type="dxa"/>
            <w:vAlign w:val="bottom"/>
            <w:gridSpan w:val="1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00" w:type="dxa"/>
            <w:vAlign w:val="bottom"/>
            <w:tcBorders>
              <w:bottom w:val="single" w:sz="8" w:color="0000FF"/>
            </w:tcBorders>
            <w:gridSpan w:val="2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Second Amended and Restated Agreement of Limited Partnership of Plains GP Holdings, L.P. dated as of November 15, 2016</w:t>
              </w:r>
            </w:hyperlink>
          </w:p>
        </w:tc>
        <w:tc>
          <w:tcPr>
            <w:tcW w:w="4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(incorporated by reference to Exhibit 3.2 to our Current Report on Form 8-K filed November 21, 2016).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6"/>
              </w:rPr>
            </w:pPr>
            <w:hyperlink r:id="rId53">
              <w:r>
                <w:rPr>
                  <w:rFonts w:ascii="Arial" w:cs="Arial" w:eastAsia="Arial" w:hAnsi="Arial"/>
                  <w:sz w:val="18"/>
                  <w:szCs w:val="18"/>
                  <w:color w:val="0000FF"/>
                  <w:w w:val="96"/>
                </w:rPr>
                <w:t>Certificate of Formation of PAA GP Holdings LLC (incorporated by reference to Exhibit 3.3 to our Registration Statement 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Form S-1 (333-190227) filed July 29, 2013).</w:t>
              </w:r>
            </w:hyperlink>
          </w:p>
        </w:tc>
        <w:tc>
          <w:tcPr>
            <w:tcW w:w="5840" w:type="dxa"/>
            <w:vAlign w:val="bottom"/>
            <w:tcBorders>
              <w:top w:val="single" w:sz="8" w:color="0000FF"/>
            </w:tcBorders>
            <w:gridSpan w:val="17"/>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40" w:type="dxa"/>
            <w:vAlign w:val="bottom"/>
            <w:tcBorders>
              <w:bottom w:val="single" w:sz="8" w:color="0000FF"/>
            </w:tcBorders>
            <w:gridSpan w:val="23"/>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Third Amended and Restated Limited Liability Company Agreement of PAA GP Holdings LLC dated as of February 16, 2017</w:t>
              </w:r>
            </w:hyperlink>
          </w:p>
        </w:tc>
        <w:tc>
          <w:tcPr>
            <w:tcW w:w="40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(incorporated by reference to Exhibit 3.1 to our Current Report on Form 8-K filed February 21, 2017).</w:t>
              </w:r>
            </w:hyperlink>
          </w:p>
        </w:tc>
        <w:tc>
          <w:tcPr>
            <w:tcW w:w="2160" w:type="dxa"/>
            <w:vAlign w:val="bottom"/>
            <w:gridSpan w:val="27"/>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tcBorders>
              <w:bottom w:val="single" w:sz="8" w:color="0000FF"/>
            </w:tcBorders>
            <w:gridSpan w:val="29"/>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Amendment No. 1 dated October 1, 2018 to the Third Amended and Restated Limited Liability Company Agreement of PAA GP</w:t>
              </w:r>
            </w:hyperlink>
          </w:p>
        </w:tc>
        <w:tc>
          <w:tcPr>
            <w:tcW w:w="2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Holdings LLC (incorporated by reference to Exhibit 3.1 to our Current Report on Form 8-K filed August 20, 2018).</w:t>
              </w:r>
            </w:hyperlink>
          </w:p>
        </w:tc>
        <w:tc>
          <w:tcPr>
            <w:tcW w:w="1200" w:type="dxa"/>
            <w:vAlign w:val="bottom"/>
            <w:gridSpan w:val="20"/>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00" w:type="dxa"/>
            <w:vAlign w:val="bottom"/>
            <w:tcBorders>
              <w:bottom w:val="single" w:sz="8" w:color="0000FF"/>
            </w:tcBorders>
            <w:gridSpan w:val="27"/>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Seventh Amended and Restated Agreement of Limited Partnership of Plains All American Pipeline, L.P., dated as of October 10,</w:t>
              </w:r>
            </w:hyperlink>
          </w:p>
        </w:tc>
        <w:tc>
          <w:tcPr>
            <w:tcW w:w="24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2017 (incorporated by reference to Exhibit 3.1 to PAA's Current Report on Form 8-K filed October 12, 2017).</w:t>
              </w:r>
            </w:hyperlink>
          </w:p>
        </w:tc>
        <w:tc>
          <w:tcPr>
            <w:tcW w:w="1620" w:type="dxa"/>
            <w:vAlign w:val="bottom"/>
            <w:gridSpan w:val="2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tcBorders>
              <w:bottom w:val="single" w:sz="8" w:color="0000FF"/>
            </w:tcBorders>
            <w:gridSpan w:val="33"/>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1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(incorporated by reference to Exhibit 3.3 to our Current Report on Form 8-K filed November 21, 2016).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Eighth Amended and Restated Limited Partnership Agreement of Plains AAP, L.P. dated November 15, 2016 (incorporated by</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reference to Exhibit 3.4 to our Current Report on Form 8-K filed November 21, 2016).</w:t>
              </w:r>
            </w:hyperlink>
          </w:p>
        </w:tc>
        <w:tc>
          <w:tcPr>
            <w:tcW w:w="2840" w:type="dxa"/>
            <w:vAlign w:val="bottom"/>
            <w:tcBorders>
              <w:top w:val="single" w:sz="8" w:color="0000FF"/>
            </w:tcBorders>
            <w:gridSpan w:val="14"/>
          </w:tcPr>
          <w:p>
            <w:pPr>
              <w:spacing w:after="0"/>
              <w:rPr>
                <w:sz w:val="17"/>
                <w:szCs w:val="17"/>
                <w:color w:val="auto"/>
              </w:rPr>
            </w:pPr>
          </w:p>
        </w:tc>
        <w:tc>
          <w:tcPr>
            <w:tcW w:w="440" w:type="dxa"/>
            <w:vAlign w:val="bottom"/>
            <w:gridSpan w:val="14"/>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Amendment No. 1 dated September 26, 2018 to the Eighth Amended and Restated Limited Partnership Agreement of Plains AAP,</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L.P. (incorporated by reference to Exhibit 3.1 to our Current Report on Form 8-K filed October 2, 2018).</w:t>
              </w:r>
            </w:hyperlink>
          </w:p>
        </w:tc>
        <w:tc>
          <w:tcPr>
            <w:tcW w:w="1840" w:type="dxa"/>
            <w:vAlign w:val="bottom"/>
            <w:tcBorders>
              <w:top w:val="single" w:sz="8" w:color="0000FF"/>
            </w:tcBorders>
            <w:gridSpan w:val="2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22"/>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Limited Liability Company Agreement of PAA GP LLC dated December 28, 2007 (incorporated by reference to Exhibit 3.3 to</w:t>
              </w:r>
            </w:hyperlink>
          </w:p>
        </w:tc>
        <w:tc>
          <w:tcPr>
            <w:tcW w:w="42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PAA’s Current Report on Form 8-K filed January 4, 2008).</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Indenture dated September 25, 2002 among Plains All American Pipeline, L.P., PAA Finance Corp. and Wachovia Bank, National</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Association, as trustee (incorporated by reference to Exhibit 4.1 to PAA’s Quarterly Report on Form 10-Q for the quarter ended</w:t>
              </w:r>
            </w:hyperlink>
          </w:p>
        </w:tc>
        <w:tc>
          <w:tcPr>
            <w:tcW w:w="180" w:type="dxa"/>
            <w:vAlign w:val="bottom"/>
            <w:tcBorders>
              <w:top w:val="single" w:sz="8" w:color="0000FF"/>
            </w:tcBorders>
            <w:gridSpan w:val="5"/>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September 30, 2002).</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80" w:type="dxa"/>
            <w:vAlign w:val="bottom"/>
            <w:tcBorders>
              <w:bottom w:val="single" w:sz="8" w:color="0000FF"/>
            </w:tcBorders>
            <w:gridSpan w:val="18"/>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Sixth Supplemental Indenture (Series A and Series B 6.70% Senior Notes due 2036) dated May 12, 2006 among Plains All</w:t>
              </w:r>
            </w:hyperlink>
          </w:p>
        </w:tc>
        <w:tc>
          <w:tcPr>
            <w:tcW w:w="66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American Pipeline, L.P., PAA Finance Corp., the Subsidiary Guarantors named therein and Wachovia Bank, National Association,</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as trustee (incorporated by reference to Exhibit 4.1 to PAA’s Current Report on Form 8-K filed May 12, 2006).</w:t>
              </w:r>
            </w:hyperlink>
          </w:p>
        </w:tc>
        <w:tc>
          <w:tcPr>
            <w:tcW w:w="1560" w:type="dxa"/>
            <w:vAlign w:val="bottom"/>
            <w:gridSpan w:val="22"/>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20" w:type="dxa"/>
            <w:vAlign w:val="bottom"/>
            <w:tcBorders>
              <w:bottom w:val="single" w:sz="8" w:color="0000FF"/>
            </w:tcBorders>
            <w:gridSpan w:val="26"/>
          </w:tcPr>
          <w:p>
            <w:pPr>
              <w:spacing w:after="0"/>
              <w:rPr>
                <w:rFonts w:ascii="Arial" w:cs="Arial" w:eastAsia="Arial" w:hAnsi="Arial"/>
                <w:sz w:val="18"/>
                <w:szCs w:val="18"/>
                <w:color w:val="0000FF"/>
                <w:w w:val="89"/>
              </w:rPr>
            </w:pPr>
            <w:hyperlink r:id="rId63">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32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American Pipeline, L.P., PAA Finance Corp., the Subsidiary Guarantors named therein and U.S. Bank National Association, as</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trustee (incorporated by reference to Exhibit 4.2 to PAA’s Current Report on Form 8-K filed October 30, 2006).</w:t>
              </w:r>
            </w:hyperlink>
          </w:p>
        </w:tc>
        <w:tc>
          <w:tcPr>
            <w:tcW w:w="400" w:type="dxa"/>
            <w:vAlign w:val="bottom"/>
            <w:gridSpan w:val="1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Seventeenth Supplemental Indenture (5.75% Senior Notes due 2020) dated September 4, 2009 among Plains All American</w:t>
              </w:r>
            </w:hyperlink>
          </w:p>
        </w:tc>
        <w:tc>
          <w:tcPr>
            <w:tcW w:w="68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Pipeline, L.P., PAA Finance Corp., the Subsidiary Guarantors named therein and U.S. Bank National Association, as trustee</w:t>
              </w:r>
            </w:hyperlink>
          </w:p>
        </w:tc>
        <w:tc>
          <w:tcPr>
            <w:tcW w:w="62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(incorporated by reference to Exhibit 4.1 to PAA’s Current Report on Form 8-K filed September 4, 2009).</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20" w:type="dxa"/>
            <w:vAlign w:val="bottom"/>
            <w:tcBorders>
              <w:bottom w:val="single" w:sz="8" w:color="0000FF"/>
            </w:tcBorders>
            <w:gridSpan w:val="28"/>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Nineteenth Supplemental Indenture (5.00% Senior Notes due 2021) dated January 14, 2011 among Plains All American Pipeline,</w:t>
              </w:r>
            </w:hyperlink>
          </w:p>
        </w:tc>
        <w:tc>
          <w:tcPr>
            <w:tcW w:w="22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34"/>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L.P., PAA Finance Corp., the Subsidiary Guarantors named therein and U.S. Bank National Association, as trustee (incorporated by</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reference to Exhibit 4.1 to PAA’s Current Report on Form 8-K filed January 11, 2011).</w:t>
              </w:r>
            </w:hyperlink>
          </w:p>
        </w:tc>
        <w:tc>
          <w:tcPr>
            <w:tcW w:w="3300" w:type="dxa"/>
            <w:vAlign w:val="bottom"/>
            <w:gridSpan w:val="29"/>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60" w:type="dxa"/>
            <w:vAlign w:val="bottom"/>
            <w:tcBorders>
              <w:bottom w:val="single" w:sz="8" w:color="0000FF"/>
            </w:tcBorders>
            <w:gridSpan w:val="24"/>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Twentieth Supplemental Indenture (3.65% Senior Notes due 2022) dated March 22, 2012 among Plains All American Pipeline,</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L.P., PAA Finance Corp and U.S. Bank National Association, as trustee (incorporated by reference to Exhibit 4.1 to PAA’s Current</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Report on Form 8-K filed March 26, 2012).</w:t>
              </w:r>
            </w:hyperlink>
          </w:p>
        </w:tc>
        <w:tc>
          <w:tcPr>
            <w:tcW w:w="14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25" w:right="25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Twenty-First Supplemental Indenture (5.15% Senior Notes due 2042)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L.P., PAA Finance Corp and U.S. Bank National Association, as trustee (incorporated by reference to Exhibit 4.3 to PAA’s Current</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Report on Form 8-K filed March 26,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17"/>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Twenty-Second Supplemental Indenture (2.85% Senior Notes due 2023) dated December 10, 2012, by and among Plains All</w:t>
              </w:r>
            </w:hyperlink>
          </w:p>
        </w:tc>
        <w:tc>
          <w:tcPr>
            <w:tcW w:w="48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6"/>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4.1 to PAA’s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5"/>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Twenty-Third Supplemental Indenture (4.30% Senior Notes due 2043) dated December 10, 2012, by and among Plains All</w:t>
              </w:r>
            </w:hyperlink>
          </w:p>
        </w:tc>
        <w:tc>
          <w:tcPr>
            <w:tcW w:w="60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6"/>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Exhibit 4.3 to PAA’s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6"/>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6"/>
          </w:tcPr>
          <w:p>
            <w:pPr>
              <w:spacing w:after="0" w:line="196" w:lineRule="exact"/>
              <w:rPr>
                <w:rFonts w:ascii="Arial" w:cs="Arial" w:eastAsia="Arial" w:hAnsi="Arial"/>
                <w:sz w:val="18"/>
                <w:szCs w:val="18"/>
                <w:color w:val="0000FF"/>
                <w:w w:val="95"/>
              </w:rPr>
            </w:pPr>
            <w:hyperlink r:id="rId70">
              <w:r>
                <w:rPr>
                  <w:rFonts w:ascii="Arial" w:cs="Arial" w:eastAsia="Arial" w:hAnsi="Arial"/>
                  <w:sz w:val="18"/>
                  <w:szCs w:val="18"/>
                  <w:color w:val="0000FF"/>
                  <w:w w:val="95"/>
                </w:rPr>
                <w:t>Pipeline, L.P., PAA Finance Corp. and U.S. Bank National Association, as trustee (incorporated by reference to Exhibit 4.1 to</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PAA’s Current Report on Form 8-K filed August 15, 2013).</w:t>
              </w:r>
            </w:hyperlink>
          </w:p>
        </w:tc>
        <w:tc>
          <w:tcPr>
            <w:tcW w:w="4760" w:type="dxa"/>
            <w:vAlign w:val="bottom"/>
            <w:tcBorders>
              <w:top w:val="single" w:sz="8" w:color="0000FF"/>
            </w:tcBorders>
            <w:gridSpan w:val="15"/>
          </w:tcPr>
          <w:p>
            <w:pPr>
              <w:spacing w:after="0"/>
              <w:rPr>
                <w:sz w:val="17"/>
                <w:szCs w:val="17"/>
                <w:color w:val="auto"/>
              </w:rPr>
            </w:pPr>
          </w:p>
        </w:tc>
        <w:tc>
          <w:tcPr>
            <w:tcW w:w="420" w:type="dxa"/>
            <w:vAlign w:val="bottom"/>
            <w:gridSpan w:val="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1"/>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Twenty-Fifth Supplemental Indenture (4.70% Senior Notes due 2044) dated April 23, 2014, by and among Plains All American</w:t>
              </w:r>
            </w:hyperlink>
          </w:p>
        </w:tc>
        <w:tc>
          <w:tcPr>
            <w:tcW w:w="26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6"/>
          </w:tcPr>
          <w:p>
            <w:pPr>
              <w:spacing w:after="0" w:line="19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Current Report on Form 8-K filed April 29, 2014).</w:t>
              </w:r>
            </w:hyperlink>
          </w:p>
        </w:tc>
        <w:tc>
          <w:tcPr>
            <w:tcW w:w="10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rFonts w:ascii="Arial" w:cs="Arial" w:eastAsia="Arial" w:hAnsi="Arial"/>
                <w:sz w:val="18"/>
                <w:szCs w:val="18"/>
                <w:color w:val="0000FF"/>
                <w:w w:val="97"/>
              </w:rPr>
            </w:pPr>
            <w:hyperlink r:id="rId72">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6"/>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Exhibit 4.1 to our Current Report on Form 8-K filed September 11, 2014).</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6"/>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Twenty-Seventh Supplemental Indenture (2.60% Senior Notes due 2019) dated December 9, 2014, by and among Plains All</w:t>
              </w:r>
            </w:hyperlink>
          </w:p>
        </w:tc>
        <w:tc>
          <w:tcPr>
            <w:tcW w:w="52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American Pipeline, L.P., PAA Finance Corp., and U.S. Bank National Association, as trustee (incorporated by reference to</w:t>
              </w:r>
            </w:hyperlink>
          </w:p>
        </w:tc>
        <w:tc>
          <w:tcPr>
            <w:tcW w:w="64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Exhibit 4.1 to our Current Report on Form 8-K filed December 11, 2014).</w:t>
              </w:r>
            </w:hyperlink>
          </w:p>
        </w:tc>
        <w:tc>
          <w:tcPr>
            <w:tcW w:w="4120" w:type="dxa"/>
            <w:vAlign w:val="bottom"/>
            <w:gridSpan w:val="19"/>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4"/>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Twenty-Eighth Supplemental Indenture (4.90% Senior Notes due 2045) dated December 9, 2014, by and among Plains All</w:t>
              </w:r>
            </w:hyperlink>
          </w:p>
        </w:tc>
        <w:tc>
          <w:tcPr>
            <w:tcW w:w="62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American Pipeline, L.P., PAA Finance Corp., and U.S. Bank National Association, as trustee (incorporated by reference to</w:t>
              </w:r>
            </w:hyperlink>
          </w:p>
        </w:tc>
        <w:tc>
          <w:tcPr>
            <w:tcW w:w="64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Exhibit 4.3 to our Current Report on Form 8-K filed December 11, 2014).</w:t>
              </w:r>
            </w:hyperlink>
          </w:p>
        </w:tc>
        <w:tc>
          <w:tcPr>
            <w:tcW w:w="4120" w:type="dxa"/>
            <w:vAlign w:val="bottom"/>
            <w:gridSpan w:val="19"/>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4"/>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Twenty-Ninth Supplemental Indenture (4.65% Senior Notes due 2025) dated August 24, 2015, by and among Plains All American</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36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PAA’s Current Report on Form 8-K filed August 26, 2015).</w:t>
              </w:r>
            </w:hyperlink>
          </w:p>
        </w:tc>
        <w:tc>
          <w:tcPr>
            <w:tcW w:w="5180" w:type="dxa"/>
            <w:vAlign w:val="bottom"/>
            <w:gridSpan w:val="2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22"/>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Thirtieth Supplemental Indenture (4.50% Senior Notes due 2026) dated November 22, 2016, by and among Plains All American</w:t>
              </w:r>
            </w:hyperlink>
          </w:p>
        </w:tc>
        <w:tc>
          <w:tcPr>
            <w:tcW w:w="2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36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PAA’s Current Report on Form 8-K filed November 29, 2016).</w:t>
              </w:r>
            </w:hyperlink>
          </w:p>
        </w:tc>
        <w:tc>
          <w:tcPr>
            <w:tcW w:w="4940" w:type="dxa"/>
            <w:vAlign w:val="bottom"/>
            <w:gridSpan w:val="22"/>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19"/>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Shareholder and Registration Rights Agreement dated October 21, 2013 by and among Plains GP Holdings, L.P. and the other</w:t>
              </w:r>
            </w:hyperlink>
          </w:p>
        </w:tc>
        <w:tc>
          <w:tcPr>
            <w:tcW w:w="38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26"/>
          </w:tcPr>
          <w:p>
            <w:pPr>
              <w:spacing w:after="0" w:line="196"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parties signatory thereto (incorporated by reference to Exhibit 4.1 to our Current Report on Form 8-K filed October 25, 2013).</w:t>
              </w:r>
            </w:hyperlink>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w:t>
            </w:r>
          </w:p>
        </w:tc>
        <w:tc>
          <w:tcPr>
            <w:tcW w:w="1740" w:type="dxa"/>
            <w:vAlign w:val="bottom"/>
            <w:tcBorders>
              <w:top w:val="single" w:sz="8" w:color="0000FF"/>
            </w:tcBorders>
            <w:gridSpan w:val="9"/>
          </w:tcPr>
          <w:p>
            <w:pPr>
              <w:spacing w:after="0"/>
              <w:rPr>
                <w:sz w:val="24"/>
                <w:szCs w:val="24"/>
                <w:color w:val="auto"/>
              </w:rPr>
            </w:pPr>
          </w:p>
        </w:tc>
        <w:tc>
          <w:tcPr>
            <w:tcW w:w="380" w:type="dxa"/>
            <w:vAlign w:val="bottom"/>
            <w:gridSpan w:val="7"/>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sz w:val="20"/>
                <w:szCs w:val="20"/>
                <w:color w:val="auto"/>
              </w:rPr>
            </w:pPr>
            <w:r>
              <w:rPr>
                <w:rFonts w:ascii="Arial" w:cs="Arial" w:eastAsia="Arial" w:hAnsi="Arial"/>
                <w:sz w:val="18"/>
                <w:szCs w:val="18"/>
                <w:color w:val="0000FF"/>
              </w:rPr>
              <w:t>Certification of Principal Financial Officer pursuant to Exchange Act Rules 13a-14(a) and 15d-14(a).</w:t>
            </w: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Principal Executive Officer pursuant to 18 U.S.C. 1350.</w:t>
            </w:r>
          </w:p>
        </w:tc>
        <w:tc>
          <w:tcPr>
            <w:tcW w:w="2100" w:type="dxa"/>
            <w:vAlign w:val="bottom"/>
            <w:tcBorders>
              <w:top w:val="single" w:sz="8" w:color="0000FF"/>
            </w:tcBorders>
            <w:gridSpan w:val="3"/>
          </w:tcPr>
          <w:p>
            <w:pPr>
              <w:spacing w:after="0"/>
              <w:rPr>
                <w:sz w:val="24"/>
                <w:szCs w:val="24"/>
                <w:color w:val="auto"/>
              </w:rPr>
            </w:pPr>
          </w:p>
        </w:tc>
        <w:tc>
          <w:tcPr>
            <w:tcW w:w="2180" w:type="dxa"/>
            <w:vAlign w:val="bottom"/>
            <w:gridSpan w:val="17"/>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sz w:val="20"/>
                <w:szCs w:val="20"/>
                <w:color w:val="auto"/>
              </w:rPr>
            </w:pPr>
            <w:r>
              <w:rPr>
                <w:rFonts w:ascii="Arial" w:cs="Arial" w:eastAsia="Arial" w:hAnsi="Arial"/>
                <w:sz w:val="18"/>
                <w:szCs w:val="18"/>
                <w:color w:val="0000FF"/>
              </w:rPr>
              <w:t>Certification of Principal Financial Officer pursuant to 18 U.S.C. 1350.</w:t>
            </w:r>
          </w:p>
        </w:tc>
      </w:tr>
      <w:tr>
        <w:trPr>
          <w:trHeight w:val="561"/>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101.INS†</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51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340" w:type="dxa"/>
            <w:vAlign w:val="bottom"/>
            <w:gridSpan w:val="21"/>
          </w:tcPr>
          <w:p>
            <w:pPr>
              <w:spacing w:after="0"/>
              <w:rPr>
                <w:sz w:val="24"/>
                <w:szCs w:val="24"/>
                <w:color w:val="auto"/>
              </w:rPr>
            </w:pP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101.DEF†</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00" w:lineRule="exact"/>
        <w:rPr>
          <w:sz w:val="20"/>
          <w:szCs w:val="20"/>
          <w:color w:val="auto"/>
        </w:rPr>
      </w:pPr>
    </w:p>
    <w:p>
      <w:pPr>
        <w:sectPr>
          <w:pgSz w:w="11900" w:h="16838" w:orient="portrait"/>
          <w:cols w:equalWidth="0" w:num="1">
            <w:col w:w="11320"/>
          </w:cols>
          <w:pgMar w:left="240" w:top="108" w:right="339" w:bottom="0" w:gutter="0" w:footer="0" w:header="0"/>
        </w:sect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20"/>
          </w:cols>
          <w:pgMar w:left="240" w:top="108" w:right="339" w:bottom="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tabs>
          <w:tab w:leader="none" w:pos="1280" w:val="left"/>
          <w:tab w:leader="none" w:pos="184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495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125"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Willie Chiang</w:t>
            </w:r>
          </w:p>
        </w:tc>
      </w:tr>
      <w:tr>
        <w:trPr>
          <w:trHeight w:val="27"/>
        </w:trPr>
        <w:tc>
          <w:tcPr>
            <w:tcW w:w="6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56"/>
        </w:trPr>
        <w:tc>
          <w:tcPr>
            <w:tcW w:w="66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PAA GP</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0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PAA GP</w:t>
      </w:r>
    </w:p>
    <w:p>
      <w:pPr>
        <w:spacing w:after="0" w:line="35"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2"/>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90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3"/>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3"/>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3"/>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5"/>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lowerRoman"/>
      <w:start w:val="1"/>
    </w:lvl>
  </w:abstractNum>
  <w:abstractNum w:abstractNumId="70">
    <w:nsid w:val="799D02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51" Type="http://schemas.openxmlformats.org/officeDocument/2006/relationships/hyperlink" Target="http://www.sec.gov/Archives/edgar/data/1581990/000104746913007875/a2216069zex-3_1.htm" TargetMode="External"/><Relationship Id="rId52" Type="http://schemas.openxmlformats.org/officeDocument/2006/relationships/hyperlink" Target="http://www.sec.gov/Archives/edgar/data/1581990/000110465916158356/a16-21845_1ex3d2.htm" TargetMode="External"/><Relationship Id="rId53" Type="http://schemas.openxmlformats.org/officeDocument/2006/relationships/hyperlink" Target="http://www.sec.gov/Archives/edgar/data/1581990/000104746913007875/a2216069zex-3_3.htm" TargetMode="External"/><Relationship Id="rId54" Type="http://schemas.openxmlformats.org/officeDocument/2006/relationships/hyperlink" Target="http://www.sec.gov/Archives/edgar/data/1581990/000110465917010602/a17-6893_1ex3d1.htm" TargetMode="External"/><Relationship Id="rId55" Type="http://schemas.openxmlformats.org/officeDocument/2006/relationships/hyperlink" Target="http://www.sec.gov/Archives/edgar/data/1581990/000110465918052852/a18-18386_2ex3d1.htm" TargetMode="External"/><Relationship Id="rId56" Type="http://schemas.openxmlformats.org/officeDocument/2006/relationships/hyperlink" Target="http://www.sec.gov/Archives/edgar/data/1070423/000110465917061889/a17-22685_5ex3d1.htm" TargetMode="External"/><Relationship Id="rId57" Type="http://schemas.openxmlformats.org/officeDocument/2006/relationships/hyperlink" Target="http://www.sec.gov/Archives/edgar/data/1581990/000110465916158356/a16-21845_1ex3d3.htm" TargetMode="External"/><Relationship Id="rId58" Type="http://schemas.openxmlformats.org/officeDocument/2006/relationships/hyperlink" Target="http://www.sec.gov/Archives/edgar/data/1581990/000110465916158356/a16-21845_1ex3d4.htm" TargetMode="External"/><Relationship Id="rId59" Type="http://schemas.openxmlformats.org/officeDocument/2006/relationships/hyperlink" Target="http://www.sec.gov/Archives/edgar/data/1581990/000110465918060012/a18-36197_1ex3d1.htm" TargetMode="External"/><Relationship Id="rId60" Type="http://schemas.openxmlformats.org/officeDocument/2006/relationships/hyperlink" Target="http://www.sec.gov/Archives/edgar/data/1070423/000095012908000071/h52770exv3w3.htm" TargetMode="External"/><Relationship Id="rId61" Type="http://schemas.openxmlformats.org/officeDocument/2006/relationships/hyperlink" Target="http://www.sec.gov/Archives/edgar/data/1070423/000089924302002834/dex41.txt" TargetMode="External"/><Relationship Id="rId62" Type="http://schemas.openxmlformats.org/officeDocument/2006/relationships/hyperlink" Target="http://www.sec.gov/Archives/edgar/data/1070423/000110465906034368/a06-11663_1ex4d1.htm" TargetMode="External"/><Relationship Id="rId63" Type="http://schemas.openxmlformats.org/officeDocument/2006/relationships/hyperlink" Target="http://www.sec.gov/Archives/edgar/data/1070423/000095012906009235/h40667exv4w2.htm" TargetMode="External"/><Relationship Id="rId64" Type="http://schemas.openxmlformats.org/officeDocument/2006/relationships/hyperlink" Target="http://www.sec.gov/Archives/edgar/data/1070423/000095012309041075/h67912exv4w1.htm" TargetMode="External"/><Relationship Id="rId65" Type="http://schemas.openxmlformats.org/officeDocument/2006/relationships/hyperlink" Target="http://www.sec.gov/Archives/edgar/data/1070423/000095012311002051/h78739exv4w1.htm" TargetMode="External"/><Relationship Id="rId66" Type="http://schemas.openxmlformats.org/officeDocument/2006/relationships/hyperlink" Target="http://www.sec.gov/Archives/edgar/data/1070423/000119312512132295/d321017dex41.htm" TargetMode="External"/><Relationship Id="rId67" Type="http://schemas.openxmlformats.org/officeDocument/2006/relationships/hyperlink" Target="http://www.sec.gov/Archives/edgar/data/1070423/000119312512132295/d321017dex43.htm" TargetMode="External"/><Relationship Id="rId68" Type="http://schemas.openxmlformats.org/officeDocument/2006/relationships/hyperlink" Target="http://www.sec.gov/Archives/edgar/data/1070423/000119312512499932/d453762dex41.htm" TargetMode="External"/><Relationship Id="rId69" Type="http://schemas.openxmlformats.org/officeDocument/2006/relationships/hyperlink" Target="http://www.sec.gov/Archives/edgar/data/1070423/000119312512499932/d453762dex43.htm" TargetMode="External"/><Relationship Id="rId70" Type="http://schemas.openxmlformats.org/officeDocument/2006/relationships/hyperlink" Target="http://www.sec.gov/Archives/edgar/data/1070423/000119312513336066/d581734dex41.htm" TargetMode="External"/><Relationship Id="rId71" Type="http://schemas.openxmlformats.org/officeDocument/2006/relationships/hyperlink" Target="http://www.sec.gov/Archives/edgar/data/1581990/000119312514164185/d717953dex41.htm" TargetMode="External"/><Relationship Id="rId72" Type="http://schemas.openxmlformats.org/officeDocument/2006/relationships/hyperlink" Target="http://www.sec.gov/Archives/edgar/data/1581990/000119312514338295/d787197dex41.htm" TargetMode="External"/><Relationship Id="rId73" Type="http://schemas.openxmlformats.org/officeDocument/2006/relationships/hyperlink" Target="http://www.sec.gov/Archives/edgar/data/1581990/000119312514440012/d835488dex41.htm" TargetMode="External"/><Relationship Id="rId74" Type="http://schemas.openxmlformats.org/officeDocument/2006/relationships/hyperlink" Target="http://www.sec.gov/Archives/edgar/data/1581990/000119312514440012/d835488dex43.htm" TargetMode="External"/><Relationship Id="rId75" Type="http://schemas.openxmlformats.org/officeDocument/2006/relationships/hyperlink" Target="http://www.sec.gov/Archives/edgar/data/1070423/000119312515302829/d45393dex41.htm" TargetMode="External"/><Relationship Id="rId76" Type="http://schemas.openxmlformats.org/officeDocument/2006/relationships/hyperlink" Target="http://www.sec.gov/Archives/edgar/data/1070423/000110465916159593/a16-22232_1ex4d1.htm" TargetMode="External"/><Relationship Id="rId77" Type="http://schemas.openxmlformats.org/officeDocument/2006/relationships/hyperlink" Target="http://www.sec.gov/Archives/edgar/data/1581990/000110465913078057/a13-22338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2019-12-02T20:44:07Z</dcterms:created>
  <dcterms:modified xsi:type="dcterms:W3CDTF">2019-12-02T20:44:07Z</dcterms:modified>
</cp:coreProperties>
</file>