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1005840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929005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Report (Date of earliest event reported) — August 4, 2020</w:t>
      </w:r>
    </w:p>
    <w:p>
      <w:pPr>
        <w:spacing w:after="0" w:line="23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Plains All American Pipeline, L.P.</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20"/>
          </w:cols>
          <w:pgMar w:left="320" w:top="1440" w:right="359" w:bottom="1440" w:gutter="0" w:footer="0" w:header="0"/>
        </w:sectPr>
      </w:pPr>
    </w:p>
    <w:p>
      <w:pPr>
        <w:spacing w:after="0" w:line="286" w:lineRule="exact"/>
        <w:rPr>
          <w:sz w:val="24"/>
          <w:szCs w:val="24"/>
          <w:color w:val="auto"/>
        </w:rPr>
      </w:pPr>
    </w:p>
    <w:p>
      <w:pPr>
        <w:ind w:left="17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020"/>
        <w:spacing w:after="0"/>
        <w:rPr>
          <w:sz w:val="20"/>
          <w:szCs w:val="20"/>
          <w:color w:val="auto"/>
        </w:rPr>
      </w:pPr>
      <w:r>
        <w:rPr>
          <w:rFonts w:ascii="Arial" w:cs="Arial" w:eastAsia="Arial" w:hAnsi="Arial"/>
          <w:sz w:val="16"/>
          <w:szCs w:val="16"/>
          <w:b w:val="1"/>
          <w:bCs w:val="1"/>
          <w:color w:val="auto"/>
        </w:rPr>
        <w:t>1-14569</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76-0582150</w:t>
      </w:r>
    </w:p>
    <w:p>
      <w:pPr>
        <w:spacing w:after="0" w:line="90" w:lineRule="exact"/>
        <w:rPr>
          <w:sz w:val="24"/>
          <w:szCs w:val="24"/>
          <w:color w:val="auto"/>
        </w:rPr>
      </w:pPr>
    </w:p>
    <w:p>
      <w:pPr>
        <w:sectPr>
          <w:pgSz w:w="11900" w:h="16838" w:orient="portrait"/>
          <w:cols w:equalWidth="0" w:num="3">
            <w:col w:w="4620" w:space="720"/>
            <w:col w:w="2620" w:space="720"/>
            <w:col w:w="2540"/>
          </w:cols>
          <w:pgMar w:left="320" w:top="1440" w:right="35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35" w:lineRule="exact"/>
        <w:rPr>
          <w:sz w:val="24"/>
          <w:szCs w:val="24"/>
          <w:color w:val="auto"/>
        </w:rPr>
      </w:pPr>
    </w:p>
    <w:p>
      <w:pPr>
        <w:sectPr>
          <w:pgSz w:w="11900" w:h="16838" w:orient="portrait"/>
          <w:cols w:equalWidth="0" w:num="3">
            <w:col w:w="3920" w:space="720"/>
            <w:col w:w="2520" w:space="720"/>
            <w:col w:w="3340"/>
          </w:cols>
          <w:pgMar w:left="320" w:top="1440" w:right="359" w:bottom="1440" w:gutter="0" w:footer="0" w:header="0"/>
          <w:type w:val="continuous"/>
        </w:sectPr>
      </w:pPr>
    </w:p>
    <w:p>
      <w:pPr>
        <w:ind w:left="1620"/>
        <w:spacing w:after="0"/>
        <w:rPr>
          <w:sz w:val="20"/>
          <w:szCs w:val="20"/>
          <w:color w:val="auto"/>
        </w:rPr>
      </w:pPr>
      <w:r>
        <w:rPr>
          <w:rFonts w:ascii="Arial" w:cs="Arial" w:eastAsia="Arial" w:hAnsi="Arial"/>
          <w:sz w:val="18"/>
          <w:szCs w:val="18"/>
          <w:color w:val="auto"/>
        </w:rPr>
        <w:t>incorporation)</w:t>
      </w:r>
    </w:p>
    <w:p>
      <w:pPr>
        <w:spacing w:after="0" w:line="369"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780"/>
        <w:spacing w:after="0"/>
        <w:rPr>
          <w:sz w:val="20"/>
          <w:szCs w:val="20"/>
          <w:color w:val="auto"/>
        </w:rPr>
      </w:pPr>
      <w:r>
        <w:rPr>
          <w:rFonts w:ascii="Arial" w:cs="Arial" w:eastAsia="Arial" w:hAnsi="Arial"/>
          <w:sz w:val="16"/>
          <w:szCs w:val="16"/>
          <w:color w:val="auto"/>
        </w:rPr>
        <w:t>(Address of principal executive offices) (Zip Code)</w:t>
      </w:r>
    </w:p>
    <w:p>
      <w:pPr>
        <w:spacing w:after="0" w:line="25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20"/>
          </w:cols>
          <w:pgMar w:left="320" w:top="1440" w:right="359" w:bottom="1440" w:gutter="0" w:footer="0" w:header="0"/>
          <w:type w:val="continuous"/>
        </w:sectPr>
      </w:pP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40" w:type="dxa"/>
            <w:vAlign w:val="bottom"/>
            <w:gridSpan w:val="4"/>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4300" w:type="dxa"/>
            <w:vAlign w:val="bottom"/>
            <w:gridSpan w:val="3"/>
          </w:tcPr>
          <w:p>
            <w:pPr>
              <w:jc w:val="center"/>
              <w:ind w:right="920"/>
              <w:spacing w:after="0"/>
              <w:rPr>
                <w:sz w:val="20"/>
                <w:szCs w:val="20"/>
                <w:color w:val="auto"/>
              </w:rPr>
            </w:pPr>
            <w:r>
              <w:rPr>
                <w:rFonts w:ascii="Arial" w:cs="Arial" w:eastAsia="Arial" w:hAnsi="Arial"/>
                <w:sz w:val="18"/>
                <w:szCs w:val="18"/>
                <w:color w:val="auto"/>
                <w:w w:val="90"/>
              </w:rPr>
              <w:t>Title of each class</w:t>
            </w:r>
          </w:p>
        </w:tc>
        <w:tc>
          <w:tcPr>
            <w:tcW w:w="2680" w:type="dxa"/>
            <w:vAlign w:val="bottom"/>
            <w:gridSpan w:val="2"/>
          </w:tcPr>
          <w:p>
            <w:pPr>
              <w:jc w:val="center"/>
              <w:ind w:right="920"/>
              <w:spacing w:after="0"/>
              <w:rPr>
                <w:sz w:val="20"/>
                <w:szCs w:val="20"/>
                <w:color w:val="auto"/>
              </w:rPr>
            </w:pPr>
            <w:r>
              <w:rPr>
                <w:rFonts w:ascii="Arial" w:cs="Arial" w:eastAsia="Arial" w:hAnsi="Arial"/>
                <w:sz w:val="18"/>
                <w:szCs w:val="18"/>
                <w:color w:val="auto"/>
                <w:w w:val="92"/>
              </w:rPr>
              <w:t>Trading Symbol(s)</w:t>
            </w:r>
          </w:p>
        </w:tc>
        <w:tc>
          <w:tcPr>
            <w:tcW w:w="42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4300" w:type="dxa"/>
            <w:vAlign w:val="bottom"/>
            <w:gridSpan w:val="3"/>
          </w:tcPr>
          <w:p>
            <w:pPr>
              <w:jc w:val="center"/>
              <w:ind w:right="920"/>
              <w:spacing w:after="0"/>
              <w:rPr>
                <w:sz w:val="20"/>
                <w:szCs w:val="20"/>
                <w:color w:val="auto"/>
              </w:rPr>
            </w:pPr>
            <w:r>
              <w:rPr>
                <w:rFonts w:ascii="Arial" w:cs="Arial" w:eastAsia="Arial" w:hAnsi="Arial"/>
                <w:sz w:val="18"/>
                <w:szCs w:val="18"/>
                <w:color w:val="auto"/>
                <w:w w:val="92"/>
              </w:rPr>
              <w:t>Common Units</w:t>
            </w:r>
          </w:p>
        </w:tc>
        <w:tc>
          <w:tcPr>
            <w:tcW w:w="2680" w:type="dxa"/>
            <w:vAlign w:val="bottom"/>
            <w:gridSpan w:val="2"/>
          </w:tcPr>
          <w:p>
            <w:pPr>
              <w:jc w:val="center"/>
              <w:ind w:right="920"/>
              <w:spacing w:after="0"/>
              <w:rPr>
                <w:sz w:val="20"/>
                <w:szCs w:val="20"/>
                <w:color w:val="auto"/>
              </w:rPr>
            </w:pPr>
            <w:r>
              <w:rPr>
                <w:rFonts w:ascii="Arial" w:cs="Arial" w:eastAsia="Arial" w:hAnsi="Arial"/>
                <w:sz w:val="18"/>
                <w:szCs w:val="18"/>
                <w:color w:val="auto"/>
                <w:w w:val="99"/>
              </w:rPr>
              <w:t>PAA</w:t>
            </w:r>
          </w:p>
        </w:tc>
        <w:tc>
          <w:tcPr>
            <w:tcW w:w="42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364"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91" w:lineRule="exact"/>
        <w:rPr>
          <w:sz w:val="24"/>
          <w:szCs w:val="24"/>
          <w:color w:val="auto"/>
        </w:rPr>
      </w:pPr>
    </w:p>
    <w:p>
      <w:pPr>
        <w:ind w:right="220"/>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219075</wp:posOffset>
            </wp:positionV>
            <wp:extent cx="70891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158750</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56"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On August 4, 2020, the Registrant issued a press release reporting its second-quarter 2020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 Exhibits.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Exhibit</w:t>
            </w:r>
          </w:p>
        </w:tc>
        <w:tc>
          <w:tcPr>
            <w:tcW w:w="10060" w:type="dxa"/>
            <w:vAlign w:val="bottom"/>
          </w:tcPr>
          <w:p>
            <w:pPr>
              <w:spacing w:after="0"/>
              <w:rPr>
                <w:sz w:val="17"/>
                <w:szCs w:val="17"/>
                <w:color w:val="auto"/>
              </w:rPr>
            </w:pPr>
          </w:p>
        </w:tc>
      </w:tr>
      <w:tr>
        <w:trPr>
          <w:trHeight w:val="210"/>
        </w:trPr>
        <w:tc>
          <w:tcPr>
            <w:tcW w:w="11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5"/>
              </w:rPr>
              <w:t>Number</w:t>
            </w:r>
          </w:p>
        </w:tc>
        <w:tc>
          <w:tcPr>
            <w:tcW w:w="10060" w:type="dxa"/>
            <w:vAlign w:val="bottom"/>
          </w:tcPr>
          <w:p>
            <w:pPr>
              <w:ind w:left="4640"/>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60" w:type="dxa"/>
            <w:vAlign w:val="bottom"/>
            <w:tcBorders>
              <w:bottom w:val="single" w:sz="8" w:color="auto"/>
            </w:tcBorders>
          </w:tcPr>
          <w:p>
            <w:pPr>
              <w:spacing w:after="0"/>
              <w:rPr>
                <w:sz w:val="2"/>
                <w:szCs w:val="2"/>
                <w:color w:val="auto"/>
              </w:rPr>
            </w:pPr>
          </w:p>
        </w:tc>
      </w:tr>
      <w:tr>
        <w:trPr>
          <w:trHeight w:val="263"/>
        </w:trPr>
        <w:tc>
          <w:tcPr>
            <w:tcW w:w="108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100" w:type="dxa"/>
            <w:vAlign w:val="bottom"/>
          </w:tcPr>
          <w:p>
            <w:pPr>
              <w:spacing w:after="0"/>
              <w:rPr>
                <w:sz w:val="22"/>
                <w:szCs w:val="22"/>
                <w:color w:val="auto"/>
              </w:rPr>
            </w:pPr>
          </w:p>
        </w:tc>
        <w:tc>
          <w:tcPr>
            <w:tcW w:w="10060" w:type="dxa"/>
            <w:vAlign w:val="bottom"/>
          </w:tcPr>
          <w:p>
            <w:pPr>
              <w:ind w:left="20"/>
              <w:spacing w:after="0"/>
              <w:rPr>
                <w:rFonts w:ascii="Arial" w:cs="Arial" w:eastAsia="Arial" w:hAnsi="Arial"/>
                <w:sz w:val="18"/>
                <w:szCs w:val="18"/>
                <w:color w:val="0000FF"/>
              </w:rPr>
            </w:pPr>
            <w:hyperlink w:anchor="page4">
              <w:r>
                <w:rPr>
                  <w:rFonts w:ascii="Arial" w:cs="Arial" w:eastAsia="Arial" w:hAnsi="Arial"/>
                  <w:sz w:val="18"/>
                  <w:szCs w:val="18"/>
                  <w:u w:val="single" w:color="auto"/>
                  <w:color w:val="0000FF"/>
                </w:rPr>
                <w:t>Press Release dated August</w:t>
              </w:r>
              <w:r>
                <w:rPr>
                  <w:rFonts w:ascii="Arial" w:cs="Arial" w:eastAsia="Arial" w:hAnsi="Arial"/>
                  <w:sz w:val="18"/>
                  <w:szCs w:val="18"/>
                  <w:color w:val="0000FF"/>
                </w:rPr>
                <w:t xml:space="preserve"> </w:t>
              </w:r>
            </w:hyperlink>
            <w:r>
              <w:rPr>
                <w:rFonts w:ascii="Arial" w:cs="Arial" w:eastAsia="Arial" w:hAnsi="Arial"/>
                <w:sz w:val="18"/>
                <w:szCs w:val="18"/>
                <w:color w:val="0000FF"/>
              </w:rPr>
              <w:t xml:space="preserve">4, </w:t>
            </w:r>
            <w:hyperlink w:anchor="page4">
              <w:r>
                <w:rPr>
                  <w:rFonts w:ascii="Arial" w:cs="Arial" w:eastAsia="Arial" w:hAnsi="Arial"/>
                  <w:sz w:val="18"/>
                  <w:szCs w:val="18"/>
                  <w:u w:val="single" w:color="auto"/>
                  <w:color w:val="0000FF"/>
                </w:rPr>
                <w:t>2020</w:t>
              </w:r>
            </w:hyperlink>
          </w:p>
        </w:tc>
      </w:tr>
    </w:tbl>
    <w:p>
      <w:pPr>
        <w:spacing w:after="0" w:line="13" w:lineRule="exact"/>
        <w:rPr>
          <w:sz w:val="20"/>
          <w:szCs w:val="20"/>
          <w:color w:val="auto"/>
        </w:rPr>
      </w:pPr>
    </w:p>
    <w:p>
      <w:pPr>
        <w:ind w:left="1200" w:hanging="787"/>
        <w:spacing w:after="0"/>
        <w:tabs>
          <w:tab w:leader="none" w:pos="1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520" w:firstLine="3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p>
        </w:tc>
        <w:tc>
          <w:tcPr>
            <w:tcW w:w="8140" w:type="dxa"/>
            <w:vAlign w:val="bottom"/>
            <w:gridSpan w:val="3"/>
          </w:tcPr>
          <w:p>
            <w:pPr>
              <w:ind w:left="1500"/>
              <w:spacing w:after="0"/>
              <w:rPr>
                <w:sz w:val="20"/>
                <w:szCs w:val="20"/>
                <w:color w:val="auto"/>
              </w:rPr>
            </w:pPr>
            <w:r>
              <w:rPr>
                <w:rFonts w:ascii="Arial" w:cs="Arial" w:eastAsia="Arial" w:hAnsi="Arial"/>
                <w:sz w:val="18"/>
                <w:szCs w:val="18"/>
                <w:color w:val="auto"/>
              </w:rPr>
              <w:t>PLAINS ALL AMERICAN PIPELINE, L.P.</w:t>
            </w:r>
          </w:p>
        </w:tc>
      </w:tr>
      <w:tr>
        <w:trPr>
          <w:trHeight w:val="540"/>
        </w:trPr>
        <w:tc>
          <w:tcPr>
            <w:tcW w:w="3040" w:type="dxa"/>
            <w:vAlign w:val="bottom"/>
          </w:tcPr>
          <w:p>
            <w:pPr>
              <w:spacing w:after="0"/>
              <w:rPr>
                <w:sz w:val="24"/>
                <w:szCs w:val="24"/>
                <w:color w:val="auto"/>
              </w:rPr>
            </w:pPr>
          </w:p>
        </w:tc>
        <w:tc>
          <w:tcPr>
            <w:tcW w:w="8140" w:type="dxa"/>
            <w:vAlign w:val="bottom"/>
            <w:gridSpan w:val="3"/>
          </w:tcPr>
          <w:p>
            <w:pPr>
              <w:ind w:left="1500"/>
              <w:spacing w:after="0"/>
              <w:rPr>
                <w:sz w:val="20"/>
                <w:szCs w:val="20"/>
                <w:color w:val="auto"/>
              </w:rPr>
            </w:pPr>
            <w:r>
              <w:rPr>
                <w:rFonts w:ascii="Arial" w:cs="Arial" w:eastAsia="Arial" w:hAnsi="Arial"/>
                <w:sz w:val="18"/>
                <w:szCs w:val="18"/>
                <w:color w:val="auto"/>
              </w:rPr>
              <w:t>By:   PAA GP LLC, its general partner</w:t>
            </w:r>
          </w:p>
        </w:tc>
      </w:tr>
      <w:tr>
        <w:trPr>
          <w:trHeight w:val="540"/>
        </w:trPr>
        <w:tc>
          <w:tcPr>
            <w:tcW w:w="3040" w:type="dxa"/>
            <w:vAlign w:val="bottom"/>
          </w:tcPr>
          <w:p>
            <w:pPr>
              <w:spacing w:after="0"/>
              <w:rPr>
                <w:sz w:val="24"/>
                <w:szCs w:val="24"/>
                <w:color w:val="auto"/>
              </w:rPr>
            </w:pPr>
          </w:p>
        </w:tc>
        <w:tc>
          <w:tcPr>
            <w:tcW w:w="8140" w:type="dxa"/>
            <w:vAlign w:val="bottom"/>
            <w:gridSpan w:val="3"/>
          </w:tcPr>
          <w:p>
            <w:pPr>
              <w:ind w:left="1500"/>
              <w:spacing w:after="0"/>
              <w:rPr>
                <w:sz w:val="20"/>
                <w:szCs w:val="20"/>
                <w:color w:val="auto"/>
              </w:rPr>
            </w:pPr>
            <w:r>
              <w:rPr>
                <w:rFonts w:ascii="Arial" w:cs="Arial" w:eastAsia="Arial" w:hAnsi="Arial"/>
                <w:sz w:val="18"/>
                <w:szCs w:val="18"/>
                <w:color w:val="auto"/>
              </w:rPr>
              <w:t>By:   PLAINS AAP, L.P., its sole member</w:t>
            </w:r>
          </w:p>
        </w:tc>
      </w:tr>
      <w:tr>
        <w:trPr>
          <w:trHeight w:val="540"/>
        </w:trPr>
        <w:tc>
          <w:tcPr>
            <w:tcW w:w="3040" w:type="dxa"/>
            <w:vAlign w:val="bottom"/>
          </w:tcPr>
          <w:p>
            <w:pPr>
              <w:spacing w:after="0"/>
              <w:rPr>
                <w:sz w:val="24"/>
                <w:szCs w:val="24"/>
                <w:color w:val="auto"/>
              </w:rPr>
            </w:pPr>
          </w:p>
        </w:tc>
        <w:tc>
          <w:tcPr>
            <w:tcW w:w="8140" w:type="dxa"/>
            <w:vAlign w:val="bottom"/>
            <w:gridSpan w:val="3"/>
          </w:tcPr>
          <w:p>
            <w:pPr>
              <w:ind w:left="1500"/>
              <w:spacing w:after="0"/>
              <w:rPr>
                <w:sz w:val="20"/>
                <w:szCs w:val="20"/>
                <w:color w:val="auto"/>
              </w:rPr>
            </w:pPr>
            <w:r>
              <w:rPr>
                <w:rFonts w:ascii="Arial" w:cs="Arial" w:eastAsia="Arial" w:hAnsi="Arial"/>
                <w:sz w:val="18"/>
                <w:szCs w:val="18"/>
                <w:color w:val="auto"/>
              </w:rPr>
              <w:t>By:   PLAINS ALL AMERICAN GP LLC, its general partner</w:t>
            </w:r>
          </w:p>
        </w:tc>
      </w:tr>
      <w:tr>
        <w:trPr>
          <w:trHeight w:val="540"/>
        </w:trPr>
        <w:tc>
          <w:tcPr>
            <w:tcW w:w="3040" w:type="dxa"/>
            <w:vAlign w:val="bottom"/>
          </w:tcPr>
          <w:p>
            <w:pPr>
              <w:spacing w:after="0"/>
              <w:rPr>
                <w:sz w:val="20"/>
                <w:szCs w:val="20"/>
                <w:color w:val="auto"/>
              </w:rPr>
            </w:pPr>
            <w:r>
              <w:rPr>
                <w:rFonts w:ascii="Arial" w:cs="Arial" w:eastAsia="Arial" w:hAnsi="Arial"/>
                <w:sz w:val="18"/>
                <w:szCs w:val="18"/>
                <w:color w:val="auto"/>
              </w:rPr>
              <w:t>Date: August 4, 2020</w:t>
            </w:r>
          </w:p>
        </w:tc>
        <w:tc>
          <w:tcPr>
            <w:tcW w:w="8140" w:type="dxa"/>
            <w:vAlign w:val="bottom"/>
            <w:gridSpan w:val="3"/>
          </w:tcPr>
          <w:p>
            <w:pPr>
              <w:ind w:left="1500"/>
              <w:spacing w:after="0"/>
              <w:rPr>
                <w:sz w:val="20"/>
                <w:szCs w:val="20"/>
                <w:color w:val="auto"/>
              </w:rPr>
            </w:pPr>
            <w:r>
              <w:rPr>
                <w:rFonts w:ascii="Arial" w:cs="Arial" w:eastAsia="Arial" w:hAnsi="Arial"/>
                <w:sz w:val="18"/>
                <w:szCs w:val="18"/>
                <w:color w:val="auto"/>
              </w:rPr>
              <w:t>By:   /s/ Sharon Spurlin</w:t>
            </w:r>
          </w:p>
        </w:tc>
      </w:tr>
      <w:tr>
        <w:trPr>
          <w:trHeight w:val="27"/>
        </w:trPr>
        <w:tc>
          <w:tcPr>
            <w:tcW w:w="30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r>
      <w:tr>
        <w:trPr>
          <w:trHeight w:val="237"/>
        </w:trPr>
        <w:tc>
          <w:tcPr>
            <w:tcW w:w="30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Name:</w:t>
            </w:r>
          </w:p>
        </w:tc>
        <w:tc>
          <w:tcPr>
            <w:tcW w:w="5540" w:type="dxa"/>
            <w:vAlign w:val="bottom"/>
          </w:tcPr>
          <w:p>
            <w:pPr>
              <w:ind w:left="160"/>
              <w:spacing w:after="0"/>
              <w:rPr>
                <w:sz w:val="20"/>
                <w:szCs w:val="20"/>
                <w:color w:val="auto"/>
              </w:rPr>
            </w:pPr>
            <w:r>
              <w:rPr>
                <w:rFonts w:ascii="Arial" w:cs="Arial" w:eastAsia="Arial" w:hAnsi="Arial"/>
                <w:sz w:val="18"/>
                <w:szCs w:val="18"/>
                <w:color w:val="auto"/>
              </w:rPr>
              <w:t>Sharon Spurlin</w:t>
            </w:r>
          </w:p>
        </w:tc>
      </w:tr>
      <w:tr>
        <w:trPr>
          <w:trHeight w:val="270"/>
        </w:trPr>
        <w:tc>
          <w:tcPr>
            <w:tcW w:w="30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Title:</w:t>
            </w:r>
          </w:p>
        </w:tc>
        <w:tc>
          <w:tcPr>
            <w:tcW w:w="5540" w:type="dxa"/>
            <w:vAlign w:val="bottom"/>
          </w:tcPr>
          <w:p>
            <w:pPr>
              <w:ind w:left="160"/>
              <w:spacing w:after="0"/>
              <w:rPr>
                <w:sz w:val="20"/>
                <w:szCs w:val="20"/>
                <w:color w:val="auto"/>
              </w:rPr>
            </w:pPr>
            <w:r>
              <w:rPr>
                <w:rFonts w:ascii="Arial" w:cs="Arial" w:eastAsia="Arial" w:hAnsi="Arial"/>
                <w:sz w:val="18"/>
                <w:szCs w:val="18"/>
                <w:i w:val="1"/>
                <w:iCs w:val="1"/>
                <w:color w:val="auto"/>
              </w:rPr>
              <w:t>Senior 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985"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445770</wp:posOffset>
            </wp:positionV>
            <wp:extent cx="5846445" cy="7543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644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and Plains GP Holdings Report Second-Quarter 2020 Results; Update 2020 Guidance</w:t>
      </w:r>
    </w:p>
    <w:p>
      <w:pPr>
        <w:spacing w:after="0" w:line="256"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(Houston — August 4, 2020) Plains All American Pipeline, L.P. (NYSE: PAA) and Plains GP Holdings (NYSE: PAGP) today reported second-quarter 2020 results and furnished updated 2020 guidance.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w:t>
      </w:r>
    </w:p>
    <w:p>
      <w:pPr>
        <w:spacing w:after="0" w:line="24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Reported net income for the period of $142 million</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Delivered second-quarter 2020 Adjusted EBITDA of $524 million</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Updated full-year 2020 Adjusted EBITDA guidance to $2.5 billion (increase of $75 million, or 3%)</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Reduced 2020 / 2021 expansion capital program to $1.45 billion (incremental reduction of $100 million, or 6%)</w:t>
      </w:r>
    </w:p>
    <w:p>
      <w:pPr>
        <w:spacing w:after="0" w:line="215" w:lineRule="exact"/>
        <w:rPr>
          <w:sz w:val="20"/>
          <w:szCs w:val="20"/>
          <w:color w:val="auto"/>
        </w:rPr>
      </w:pPr>
    </w:p>
    <w:p>
      <w:pPr>
        <w:ind w:right="100" w:firstLine="648"/>
        <w:spacing w:after="0" w:line="295" w:lineRule="auto"/>
        <w:rPr>
          <w:sz w:val="20"/>
          <w:szCs w:val="20"/>
          <w:color w:val="auto"/>
        </w:rPr>
      </w:pPr>
      <w:r>
        <w:rPr>
          <w:rFonts w:ascii="Arial" w:cs="Arial" w:eastAsia="Arial" w:hAnsi="Arial"/>
          <w:sz w:val="16"/>
          <w:szCs w:val="16"/>
          <w:color w:val="auto"/>
        </w:rPr>
        <w:t>“We delivered second-quarter results slightly favorable to our expectations and raised our guidance for the year,” stated Willie Chiang, Chairman and CEO of Plains. “We continue to focus on increasing free cash flow and improving our financial positioning, while protecting the health and safety of our team members, streamlining and optimizing our business, and lowering capital expenditures and costs in all areas. Today we announced a further $100 million reduction of our capital program, supplementing the significant capital reductions we announced in April. Despite meaningful uncertainty in the current environment, we are confident that we are taking the appropriate actions to position our business for the long-term.”</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gridSpan w:val="5"/>
          </w:tcPr>
          <w:p>
            <w:pPr>
              <w:ind w:left="140"/>
              <w:spacing w:after="0"/>
              <w:rPr>
                <w:sz w:val="20"/>
                <w:szCs w:val="20"/>
                <w:color w:val="auto"/>
              </w:rPr>
            </w:pPr>
            <w:r>
              <w:rPr>
                <w:rFonts w:ascii="Arial" w:cs="Arial" w:eastAsia="Arial" w:hAnsi="Arial"/>
                <w:sz w:val="16"/>
                <w:szCs w:val="16"/>
                <w:b w:val="1"/>
                <w:bCs w:val="1"/>
                <w:color w:val="auto"/>
              </w:rPr>
              <w:t>Six Months Ended</w:t>
            </w:r>
          </w:p>
        </w:tc>
        <w:tc>
          <w:tcPr>
            <w:tcW w:w="980" w:type="dxa"/>
            <w:vAlign w:val="bottom"/>
          </w:tcPr>
          <w:p>
            <w:pPr>
              <w:spacing w:after="0"/>
              <w:rPr>
                <w:sz w:val="17"/>
                <w:szCs w:val="17"/>
                <w:color w:val="auto"/>
              </w:rPr>
            </w:pPr>
          </w:p>
        </w:tc>
      </w:tr>
      <w:tr>
        <w:trPr>
          <w:trHeight w:val="210"/>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333"/>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33"/>
              <w:spacing w:after="0"/>
              <w:rPr>
                <w:sz w:val="20"/>
                <w:szCs w:val="20"/>
                <w:color w:val="auto"/>
              </w:rPr>
            </w:pPr>
            <w:r>
              <w:rPr>
                <w:rFonts w:ascii="Arial" w:cs="Arial" w:eastAsia="Arial" w:hAnsi="Arial"/>
                <w:sz w:val="16"/>
                <w:szCs w:val="16"/>
                <w:b w:val="1"/>
                <w:bCs w:val="1"/>
                <w:color w:val="auto"/>
              </w:rPr>
              <w:t>%</w:t>
            </w:r>
          </w:p>
        </w:tc>
      </w:tr>
      <w:tr>
        <w:trPr>
          <w:trHeight w:val="33"/>
        </w:trPr>
        <w:tc>
          <w:tcPr>
            <w:tcW w:w="494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7"/>
        </w:trPr>
        <w:tc>
          <w:tcPr>
            <w:tcW w:w="49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GAAP Results</w:t>
            </w:r>
          </w:p>
        </w:tc>
        <w:tc>
          <w:tcPr>
            <w:tcW w:w="160" w:type="dxa"/>
            <w:vAlign w:val="bottom"/>
          </w:tcPr>
          <w:p>
            <w:pPr>
              <w:spacing w:after="0"/>
              <w:rPr>
                <w:sz w:val="18"/>
                <w:szCs w:val="18"/>
                <w:color w:val="auto"/>
              </w:rPr>
            </w:pPr>
          </w:p>
        </w:tc>
        <w:tc>
          <w:tcPr>
            <w:tcW w:w="760" w:type="dxa"/>
            <w:vAlign w:val="bottom"/>
          </w:tcPr>
          <w:p>
            <w:pPr>
              <w:jc w:val="right"/>
              <w:ind w:right="21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ind w:right="212"/>
              <w:spacing w:after="0"/>
              <w:rPr>
                <w:sz w:val="20"/>
                <w:szCs w:val="20"/>
                <w:color w:val="auto"/>
              </w:rPr>
            </w:pPr>
            <w:r>
              <w:rPr>
                <w:rFonts w:ascii="Arial" w:cs="Arial" w:eastAsia="Arial" w:hAnsi="Arial"/>
                <w:sz w:val="16"/>
                <w:szCs w:val="16"/>
                <w:b w:val="1"/>
                <w:bCs w:val="1"/>
                <w:color w:val="auto"/>
                <w:w w:val="95"/>
              </w:rPr>
              <w:t>2019</w:t>
            </w:r>
          </w:p>
        </w:tc>
        <w:tc>
          <w:tcPr>
            <w:tcW w:w="100" w:type="dxa"/>
            <w:vAlign w:val="bottom"/>
          </w:tcPr>
          <w:p>
            <w:pPr>
              <w:spacing w:after="0"/>
              <w:rPr>
                <w:sz w:val="18"/>
                <w:szCs w:val="18"/>
                <w:color w:val="auto"/>
              </w:rPr>
            </w:pPr>
          </w:p>
        </w:tc>
        <w:tc>
          <w:tcPr>
            <w:tcW w:w="1120" w:type="dxa"/>
            <w:vAlign w:val="bottom"/>
            <w:gridSpan w:val="2"/>
          </w:tcPr>
          <w:p>
            <w:pPr>
              <w:ind w:left="240"/>
              <w:spacing w:after="0"/>
              <w:rPr>
                <w:sz w:val="20"/>
                <w:szCs w:val="20"/>
                <w:color w:val="auto"/>
              </w:rPr>
            </w:pPr>
            <w:r>
              <w:rPr>
                <w:rFonts w:ascii="Arial" w:cs="Arial" w:eastAsia="Arial" w:hAnsi="Arial"/>
                <w:sz w:val="16"/>
                <w:szCs w:val="16"/>
                <w:b w:val="1"/>
                <w:bCs w:val="1"/>
                <w:color w:val="auto"/>
              </w:rPr>
              <w:t>Change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95"/>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ind w:right="213"/>
              <w:spacing w:after="0"/>
              <w:rPr>
                <w:sz w:val="20"/>
                <w:szCs w:val="20"/>
                <w:color w:val="auto"/>
              </w:rPr>
            </w:pPr>
            <w:r>
              <w:rPr>
                <w:rFonts w:ascii="Arial" w:cs="Arial" w:eastAsia="Arial" w:hAnsi="Arial"/>
                <w:sz w:val="16"/>
                <w:szCs w:val="16"/>
                <w:b w:val="1"/>
                <w:bCs w:val="1"/>
                <w:color w:val="auto"/>
                <w:w w:val="95"/>
              </w:rPr>
              <w:t>2019</w:t>
            </w:r>
          </w:p>
        </w:tc>
        <w:tc>
          <w:tcPr>
            <w:tcW w:w="120" w:type="dxa"/>
            <w:vAlign w:val="bottom"/>
          </w:tcPr>
          <w:p>
            <w:pPr>
              <w:spacing w:after="0"/>
              <w:rPr>
                <w:sz w:val="18"/>
                <w:szCs w:val="18"/>
                <w:color w:val="auto"/>
              </w:rPr>
            </w:pPr>
          </w:p>
        </w:tc>
        <w:tc>
          <w:tcPr>
            <w:tcW w:w="980" w:type="dxa"/>
            <w:vAlign w:val="bottom"/>
          </w:tcPr>
          <w:p>
            <w:pPr>
              <w:jc w:val="right"/>
              <w:ind w:right="133"/>
              <w:spacing w:after="0"/>
              <w:rPr>
                <w:sz w:val="20"/>
                <w:szCs w:val="20"/>
                <w:color w:val="auto"/>
              </w:rPr>
            </w:pPr>
            <w:r>
              <w:rPr>
                <w:rFonts w:ascii="Arial" w:cs="Arial" w:eastAsia="Arial" w:hAnsi="Arial"/>
                <w:sz w:val="16"/>
                <w:szCs w:val="16"/>
                <w:b w:val="1"/>
                <w:bCs w:val="1"/>
                <w:color w:val="auto"/>
              </w:rPr>
              <w:t>Change</w:t>
            </w:r>
          </w:p>
        </w:tc>
      </w:tr>
      <w:tr>
        <w:trPr>
          <w:trHeight w:val="33"/>
        </w:trPr>
        <w:tc>
          <w:tcPr>
            <w:tcW w:w="4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3"/>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Net income/(loss) attributable to PAA </w:t>
            </w:r>
            <w:r>
              <w:rPr>
                <w:rFonts w:ascii="Arial" w:cs="Arial" w:eastAsia="Arial" w:hAnsi="Arial"/>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right w:val="single" w:sz="8" w:color="auto"/>
            </w:tcBorders>
            <w:shd w:val="clear" w:color="auto" w:fill="CCEEFF"/>
          </w:tcPr>
          <w:p>
            <w:pPr>
              <w:spacing w:after="0"/>
              <w:rPr>
                <w:sz w:val="22"/>
                <w:szCs w:val="22"/>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(2,705)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1,416</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43"/>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Diluted net income/(loss) per common unit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right w:val="single" w:sz="8" w:color="auto"/>
            </w:tcBorders>
          </w:tcPr>
          <w:p>
            <w:pPr>
              <w:spacing w:after="0"/>
              <w:rPr>
                <w:sz w:val="21"/>
                <w:szCs w:val="21"/>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1"/>
                <w:szCs w:val="21"/>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53"/>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Diluted weighted average common units outstanding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728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right w:val="single" w:sz="8" w:color="auto"/>
            </w:tcBorders>
          </w:tcPr>
          <w:p>
            <w:pPr>
              <w:spacing w:after="0"/>
              <w:rPr>
                <w:sz w:val="21"/>
                <w:szCs w:val="21"/>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55"/>
              <w:spacing w:after="0"/>
              <w:rPr>
                <w:sz w:val="20"/>
                <w:szCs w:val="20"/>
                <w:color w:val="auto"/>
              </w:rPr>
            </w:pPr>
            <w:r>
              <w:rPr>
                <w:rFonts w:ascii="Arial" w:cs="Arial" w:eastAsia="Arial" w:hAnsi="Arial"/>
                <w:sz w:val="17"/>
                <w:szCs w:val="17"/>
                <w:color w:val="auto"/>
              </w:rPr>
              <w:t>974</w:t>
            </w:r>
          </w:p>
        </w:tc>
        <w:tc>
          <w:tcPr>
            <w:tcW w:w="120" w:type="dxa"/>
            <w:vAlign w:val="bottom"/>
          </w:tcPr>
          <w:p>
            <w:pPr>
              <w:spacing w:after="0"/>
              <w:rPr>
                <w:sz w:val="21"/>
                <w:szCs w:val="21"/>
                <w:color w:val="auto"/>
              </w:rPr>
            </w:pPr>
          </w:p>
        </w:tc>
        <w:tc>
          <w:tcPr>
            <w:tcW w:w="260" w:type="dxa"/>
            <w:vAlign w:val="bottom"/>
          </w:tcPr>
          <w:p>
            <w:pPr>
              <w:jc w:val="right"/>
              <w:ind w:right="72"/>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ind w:right="53"/>
              <w:spacing w:after="0"/>
              <w:rPr>
                <w:sz w:val="20"/>
                <w:szCs w:val="20"/>
                <w:color w:val="auto"/>
              </w:rPr>
            </w:pPr>
            <w:r>
              <w:rPr>
                <w:rFonts w:ascii="Arial" w:cs="Arial" w:eastAsia="Arial" w:hAnsi="Arial"/>
                <w:sz w:val="17"/>
                <w:szCs w:val="17"/>
                <w:color w:val="auto"/>
              </w:rPr>
              <w:t>1,464</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Distribution per common unit declared for the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7"/>
        </w:trPr>
        <w:tc>
          <w:tcPr>
            <w:tcW w:w="4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40" w:right="260" w:hanging="332"/>
        <w:spacing w:after="0" w:line="269" w:lineRule="auto"/>
        <w:tabs>
          <w:tab w:leader="none" w:pos="328"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Reported results for the three months ended June 30, 2020 include the write-down of certain of our investments in unconsolidated entities of $69 million. Reported results for the six months ended June 30, 2020 include aggregate non-cash goodwill and asset impairments and the write-down of certain of our investments in unconsolidated entities totaling $3.2 billion representing a six-month net loss of $4.42 after tax per common unit.</w:t>
      </w:r>
    </w:p>
    <w:p>
      <w:pPr>
        <w:spacing w:after="0" w:line="72" w:lineRule="exact"/>
        <w:rPr>
          <w:rFonts w:ascii="Arial" w:cs="Arial" w:eastAsia="Arial" w:hAnsi="Arial"/>
          <w:sz w:val="21"/>
          <w:szCs w:val="21"/>
          <w:color w:val="auto"/>
          <w:vertAlign w:val="superscript"/>
        </w:rPr>
      </w:pPr>
    </w:p>
    <w:p>
      <w:pPr>
        <w:ind w:left="340" w:right="40" w:hanging="332"/>
        <w:spacing w:after="0" w:line="234" w:lineRule="auto"/>
        <w:tabs>
          <w:tab w:leader="none" w:pos="32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For the three and six months ended June 30, 2019, includes all potentially dilutive securities (our Series A preferred units and equity-indexed compensation awards) outstanding during the period. See the “Computation of Basic and Diluted Net Income/(Loss) Per Common Unit” table attached hereto for additional information.</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5"/>
          </w:tcPr>
          <w:p>
            <w:pPr>
              <w:ind w:left="140"/>
              <w:spacing w:after="0"/>
              <w:rPr>
                <w:sz w:val="20"/>
                <w:szCs w:val="20"/>
                <w:color w:val="auto"/>
              </w:rPr>
            </w:pPr>
            <w:r>
              <w:rPr>
                <w:rFonts w:ascii="Arial" w:cs="Arial" w:eastAsia="Arial" w:hAnsi="Arial"/>
                <w:sz w:val="16"/>
                <w:szCs w:val="16"/>
                <w:b w:val="1"/>
                <w:bCs w:val="1"/>
                <w:color w:val="auto"/>
              </w:rPr>
              <w:t>Six Months Ended</w:t>
            </w:r>
          </w:p>
        </w:tc>
        <w:tc>
          <w:tcPr>
            <w:tcW w:w="1000" w:type="dxa"/>
            <w:vAlign w:val="bottom"/>
          </w:tcPr>
          <w:p>
            <w:pPr>
              <w:spacing w:after="0"/>
              <w:rPr>
                <w:sz w:val="17"/>
                <w:szCs w:val="17"/>
                <w:color w:val="auto"/>
              </w:rPr>
            </w:pPr>
          </w:p>
        </w:tc>
      </w:tr>
      <w:tr>
        <w:trPr>
          <w:trHeight w:val="210"/>
        </w:trPr>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32"/>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332"/>
              <w:spacing w:after="0"/>
              <w:rPr>
                <w:sz w:val="20"/>
                <w:szCs w:val="20"/>
                <w:color w:val="auto"/>
              </w:rPr>
            </w:pPr>
            <w:r>
              <w:rPr>
                <w:rFonts w:ascii="Arial" w:cs="Arial" w:eastAsia="Arial" w:hAnsi="Arial"/>
                <w:sz w:val="16"/>
                <w:szCs w:val="16"/>
                <w:b w:val="1"/>
                <w:bCs w:val="1"/>
                <w:color w:val="auto"/>
              </w:rPr>
              <w:t>%</w:t>
            </w:r>
          </w:p>
        </w:tc>
      </w:tr>
      <w:tr>
        <w:trPr>
          <w:trHeight w:val="33"/>
        </w:trPr>
        <w:tc>
          <w:tcPr>
            <w:tcW w:w="492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 xml:space="preserve">Non-GAAP Results </w:t>
            </w:r>
            <w:r>
              <w:rPr>
                <w:rFonts w:ascii="Arial" w:cs="Arial" w:eastAsia="Arial" w:hAnsi="Arial"/>
                <w:sz w:val="21"/>
                <w:szCs w:val="21"/>
                <w:b w:val="1"/>
                <w:bCs w:val="1"/>
                <w:i w:val="1"/>
                <w:iCs w:val="1"/>
                <w:color w:val="auto"/>
                <w:vertAlign w:val="superscript"/>
              </w:rPr>
              <w:t>(1)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Change</w:t>
            </w:r>
          </w:p>
        </w:tc>
      </w:tr>
      <w:tr>
        <w:trPr>
          <w:trHeight w:val="244"/>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net income attributable to PAA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551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Diluted adjusted net income per common unit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51"/>
              <w:spacing w:after="0"/>
              <w:rPr>
                <w:sz w:val="20"/>
                <w:szCs w:val="20"/>
                <w:color w:val="auto"/>
              </w:rPr>
            </w:pPr>
            <w:r>
              <w:rPr>
                <w:rFonts w:ascii="Arial" w:cs="Arial" w:eastAsia="Arial" w:hAnsi="Arial"/>
                <w:sz w:val="18"/>
                <w:szCs w:val="18"/>
                <w:color w:val="auto"/>
              </w:rPr>
              <w:t>0.67</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right w:val="single" w:sz="8" w:color="auto"/>
            </w:tcBorders>
          </w:tcPr>
          <w:p>
            <w:pPr>
              <w:spacing w:after="0"/>
              <w:rPr>
                <w:sz w:val="21"/>
                <w:szCs w:val="21"/>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784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1,646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Implied DCF per common unit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51"/>
              <w:spacing w:after="0"/>
              <w:rPr>
                <w:sz w:val="20"/>
                <w:szCs w:val="20"/>
                <w:color w:val="auto"/>
              </w:rPr>
            </w:pPr>
            <w:r>
              <w:rPr>
                <w:rFonts w:ascii="Arial" w:cs="Arial" w:eastAsia="Arial" w:hAnsi="Arial"/>
                <w:sz w:val="18"/>
                <w:szCs w:val="18"/>
                <w:color w:val="auto"/>
              </w:rPr>
              <w:t>0.73</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right w:val="single" w:sz="8" w:color="auto"/>
            </w:tcBorders>
          </w:tcPr>
          <w:p>
            <w:pPr>
              <w:spacing w:after="0"/>
              <w:rPr>
                <w:sz w:val="21"/>
                <w:szCs w:val="21"/>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Free cash flow after distributions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1"/>
                <w:szCs w:val="21"/>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 Indicates that variance as a percentage is not meaningful.</w:t>
      </w:r>
    </w:p>
    <w:p>
      <w:pPr>
        <w:spacing w:after="0" w:line="63" w:lineRule="exact"/>
        <w:rPr>
          <w:sz w:val="20"/>
          <w:szCs w:val="20"/>
          <w:color w:val="auto"/>
        </w:rPr>
      </w:pPr>
    </w:p>
    <w:p>
      <w:pPr>
        <w:ind w:left="340" w:right="200" w:hanging="332"/>
        <w:spacing w:after="0" w:line="254" w:lineRule="auto"/>
        <w:tabs>
          <w:tab w:leader="none" w:pos="328" w:val="left"/>
        </w:tabs>
        <w:numPr>
          <w:ilvl w:val="0"/>
          <w:numId w:val="5"/>
        </w:numPr>
        <w:rPr>
          <w:rFonts w:ascii="Arial" w:cs="Arial" w:eastAsia="Arial" w:hAnsi="Arial"/>
          <w:sz w:val="22"/>
          <w:szCs w:val="22"/>
          <w:color w:val="auto"/>
          <w:vertAlign w:val="superscript"/>
        </w:rPr>
      </w:pPr>
      <w:r>
        <w:rPr>
          <w:rFonts w:ascii="Arial" w:cs="Arial" w:eastAsia="Arial" w:hAnsi="Arial"/>
          <w:sz w:val="17"/>
          <w:szCs w:val="17"/>
          <w:color w:val="auto"/>
        </w:rPr>
        <w:t>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Implied DCF, Free Cash Flow and Free Cash Flow After Distributions) and their reconciliation to the most directly comparable measures as reported in accordance with GAAP.</w:t>
      </w:r>
    </w:p>
    <w:p>
      <w:pPr>
        <w:spacing w:after="0" w:line="29" w:lineRule="exact"/>
        <w:rPr>
          <w:rFonts w:ascii="Arial" w:cs="Arial" w:eastAsia="Arial" w:hAnsi="Arial"/>
          <w:sz w:val="22"/>
          <w:szCs w:val="22"/>
          <w:color w:val="auto"/>
          <w:vertAlign w:val="superscript"/>
        </w:rPr>
      </w:pPr>
    </w:p>
    <w:p>
      <w:pPr>
        <w:ind w:left="5440" w:hanging="106"/>
        <w:spacing w:after="0"/>
        <w:tabs>
          <w:tab w:leader="none" w:pos="5440" w:val="left"/>
        </w:tabs>
        <w:numPr>
          <w:ilvl w:val="1"/>
          <w:numId w:val="5"/>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Page 3</w:t>
      </w:r>
    </w:p>
    <w:p>
      <w:pPr>
        <w:spacing w:after="0" w:line="200" w:lineRule="exact"/>
        <w:rPr>
          <w:sz w:val="20"/>
          <w:szCs w:val="20"/>
          <w:color w:val="auto"/>
        </w:rPr>
      </w:pPr>
    </w:p>
    <w:p>
      <w:pPr>
        <w:spacing w:after="0" w:line="2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Segment Adjusted EBITDA for the second quarter and first half of 2020 and 2019 is presented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540" w:type="dxa"/>
            <w:vAlign w:val="bottom"/>
            <w:gridSpan w:val="6"/>
          </w:tcPr>
          <w:p>
            <w:pPr>
              <w:jc w:val="center"/>
              <w:ind w:right="373"/>
              <w:spacing w:after="0"/>
              <w:rPr>
                <w:sz w:val="20"/>
                <w:szCs w:val="20"/>
                <w:color w:val="auto"/>
              </w:rPr>
            </w:pPr>
            <w:r>
              <w:rPr>
                <w:rFonts w:ascii="Arial" w:cs="Arial" w:eastAsia="Arial" w:hAnsi="Arial"/>
                <w:sz w:val="16"/>
                <w:szCs w:val="16"/>
                <w:b w:val="1"/>
                <w:bCs w:val="1"/>
                <w:color w:val="auto"/>
                <w:w w:val="93"/>
              </w:rPr>
              <w:t>Segment Adjusted EBITDA</w:t>
            </w:r>
          </w:p>
        </w:tc>
        <w:tc>
          <w:tcPr>
            <w:tcW w:w="980" w:type="dxa"/>
            <w:vAlign w:val="bottom"/>
          </w:tcPr>
          <w:p>
            <w:pPr>
              <w:spacing w:after="0"/>
              <w:rPr>
                <w:sz w:val="18"/>
                <w:szCs w:val="18"/>
                <w:color w:val="auto"/>
              </w:rPr>
            </w:pPr>
          </w:p>
        </w:tc>
      </w:tr>
      <w:tr>
        <w:trPr>
          <w:trHeight w:val="33"/>
        </w:trPr>
        <w:tc>
          <w:tcPr>
            <w:tcW w:w="6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r>
      <w:tr>
        <w:trPr>
          <w:trHeight w:val="217"/>
        </w:trPr>
        <w:tc>
          <w:tcPr>
            <w:tcW w:w="6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32"/>
              <w:spacing w:after="0"/>
              <w:rPr>
                <w:sz w:val="20"/>
                <w:szCs w:val="20"/>
                <w:color w:val="auto"/>
              </w:rPr>
            </w:pPr>
            <w:r>
              <w:rPr>
                <w:rFonts w:ascii="Arial" w:cs="Arial" w:eastAsia="Arial" w:hAnsi="Arial"/>
                <w:sz w:val="16"/>
                <w:szCs w:val="16"/>
                <w:b w:val="1"/>
                <w:bCs w:val="1"/>
                <w:color w:val="auto"/>
                <w:w w:val="99"/>
              </w:rPr>
              <w:t>Transportation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Facilities</w:t>
            </w:r>
          </w:p>
        </w:tc>
        <w:tc>
          <w:tcPr>
            <w:tcW w:w="158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Supply and Logistics</w:t>
            </w:r>
          </w:p>
        </w:tc>
      </w:tr>
      <w:tr>
        <w:trPr>
          <w:trHeight w:val="33"/>
        </w:trPr>
        <w:tc>
          <w:tcPr>
            <w:tcW w:w="6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4"/>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Three Months Ended June 30,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r>
      <w:tr>
        <w:trPr>
          <w:trHeight w:val="20"/>
        </w:trPr>
        <w:tc>
          <w:tcPr>
            <w:tcW w:w="6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6220" w:type="dxa"/>
            <w:vAlign w:val="bottom"/>
          </w:tcPr>
          <w:p>
            <w:pPr>
              <w:spacing w:after="0"/>
              <w:rPr>
                <w:sz w:val="20"/>
                <w:szCs w:val="20"/>
                <w:color w:val="auto"/>
              </w:rPr>
            </w:pPr>
            <w:r>
              <w:rPr>
                <w:rFonts w:ascii="Arial" w:cs="Arial" w:eastAsia="Arial" w:hAnsi="Arial"/>
                <w:sz w:val="18"/>
                <w:szCs w:val="18"/>
                <w:color w:val="auto"/>
              </w:rPr>
              <w:t>Three Months Ended June 30, 2019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410</w:t>
            </w:r>
          </w:p>
        </w:tc>
        <w:tc>
          <w:tcPr>
            <w:tcW w:w="5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600" w:type="dxa"/>
            <w:vAlign w:val="bottom"/>
          </w:tcPr>
          <w:p>
            <w:pPr>
              <w:jc w:val="right"/>
              <w:ind w:right="413"/>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200</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62"/>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Percentage change in Segment Adjusted EBITDA versus 2019 period</w:t>
            </w: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1 %</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(99)%</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441"/>
        </w:trPr>
        <w:tc>
          <w:tcPr>
            <w:tcW w:w="6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540" w:type="dxa"/>
            <w:vAlign w:val="bottom"/>
            <w:gridSpan w:val="6"/>
          </w:tcPr>
          <w:p>
            <w:pPr>
              <w:jc w:val="center"/>
              <w:ind w:right="373"/>
              <w:spacing w:after="0"/>
              <w:rPr>
                <w:sz w:val="20"/>
                <w:szCs w:val="20"/>
                <w:color w:val="auto"/>
              </w:rPr>
            </w:pPr>
            <w:r>
              <w:rPr>
                <w:rFonts w:ascii="Arial" w:cs="Arial" w:eastAsia="Arial" w:hAnsi="Arial"/>
                <w:sz w:val="16"/>
                <w:szCs w:val="16"/>
                <w:b w:val="1"/>
                <w:bCs w:val="1"/>
                <w:color w:val="auto"/>
                <w:w w:val="93"/>
              </w:rPr>
              <w:t>Segment Adjusted EBITDA</w:t>
            </w:r>
          </w:p>
        </w:tc>
        <w:tc>
          <w:tcPr>
            <w:tcW w:w="980" w:type="dxa"/>
            <w:vAlign w:val="bottom"/>
          </w:tcPr>
          <w:p>
            <w:pPr>
              <w:spacing w:after="0"/>
              <w:rPr>
                <w:sz w:val="24"/>
                <w:szCs w:val="24"/>
                <w:color w:val="auto"/>
              </w:rPr>
            </w:pPr>
          </w:p>
        </w:tc>
      </w:tr>
      <w:tr>
        <w:trPr>
          <w:trHeight w:val="33"/>
        </w:trPr>
        <w:tc>
          <w:tcPr>
            <w:tcW w:w="6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r>
      <w:tr>
        <w:trPr>
          <w:trHeight w:val="217"/>
        </w:trPr>
        <w:tc>
          <w:tcPr>
            <w:tcW w:w="6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32"/>
              <w:spacing w:after="0"/>
              <w:rPr>
                <w:sz w:val="20"/>
                <w:szCs w:val="20"/>
                <w:color w:val="auto"/>
              </w:rPr>
            </w:pPr>
            <w:r>
              <w:rPr>
                <w:rFonts w:ascii="Arial" w:cs="Arial" w:eastAsia="Arial" w:hAnsi="Arial"/>
                <w:sz w:val="16"/>
                <w:szCs w:val="16"/>
                <w:b w:val="1"/>
                <w:bCs w:val="1"/>
                <w:color w:val="auto"/>
                <w:w w:val="99"/>
              </w:rPr>
              <w:t>Transportation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Facilities</w:t>
            </w:r>
          </w:p>
        </w:tc>
        <w:tc>
          <w:tcPr>
            <w:tcW w:w="158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Supply and Logistics</w:t>
            </w:r>
          </w:p>
        </w:tc>
      </w:tr>
      <w:tr>
        <w:trPr>
          <w:trHeight w:val="33"/>
        </w:trPr>
        <w:tc>
          <w:tcPr>
            <w:tcW w:w="6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3"/>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Six Months Ended June 30,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144</w:t>
            </w:r>
          </w:p>
        </w:tc>
      </w:tr>
      <w:tr>
        <w:trPr>
          <w:trHeight w:val="20"/>
        </w:trPr>
        <w:tc>
          <w:tcPr>
            <w:tcW w:w="6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6220" w:type="dxa"/>
            <w:vAlign w:val="bottom"/>
          </w:tcPr>
          <w:p>
            <w:pPr>
              <w:spacing w:after="0"/>
              <w:rPr>
                <w:sz w:val="20"/>
                <w:szCs w:val="20"/>
                <w:color w:val="auto"/>
              </w:rPr>
            </w:pPr>
            <w:r>
              <w:rPr>
                <w:rFonts w:ascii="Arial" w:cs="Arial" w:eastAsia="Arial" w:hAnsi="Arial"/>
                <w:sz w:val="18"/>
                <w:szCs w:val="18"/>
                <w:color w:val="auto"/>
              </w:rPr>
              <w:t>Six Months Ended June 30, 2019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809</w:t>
            </w:r>
          </w:p>
        </w:tc>
        <w:tc>
          <w:tcPr>
            <w:tcW w:w="5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600" w:type="dxa"/>
            <w:vAlign w:val="bottom"/>
          </w:tcPr>
          <w:p>
            <w:pPr>
              <w:jc w:val="right"/>
              <w:ind w:right="413"/>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478</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89"/>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Percentage change in Segment Adjusted EBITDA versus 2019 period</w:t>
            </w:r>
          </w:p>
        </w:tc>
        <w:tc>
          <w:tcPr>
            <w:tcW w:w="18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8 %</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(70)%</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firstLine="360"/>
        <w:spacing w:after="0" w:line="243" w:lineRule="auto"/>
        <w:rPr>
          <w:sz w:val="20"/>
          <w:szCs w:val="20"/>
          <w:color w:val="auto"/>
        </w:rPr>
      </w:pPr>
      <w:r>
        <w:rPr>
          <w:rFonts w:ascii="Arial" w:cs="Arial" w:eastAsia="Arial" w:hAnsi="Arial"/>
          <w:sz w:val="18"/>
          <w:szCs w:val="18"/>
          <w:color w:val="auto"/>
        </w:rPr>
        <w:t>Second-quarter 2020 Transportation Segment Adjusted EBITDA decreased 16% versus comparable 2019 results, due to reductions in tariff volumes in multiple regions resulting from lower crude oil prices, production shut-ins, and tighter regional basis differentials during the quarter. Our Permian long-haul movements were the most notably impacted, a portion of which were minimum volume commitment deficiencies and will be made up and / or paid for in future periods.</w:t>
      </w:r>
    </w:p>
    <w:p>
      <w:pPr>
        <w:spacing w:after="0" w:line="215" w:lineRule="exact"/>
        <w:rPr>
          <w:sz w:val="20"/>
          <w:szCs w:val="20"/>
          <w:color w:val="auto"/>
        </w:rPr>
      </w:pPr>
    </w:p>
    <w:p>
      <w:pPr>
        <w:ind w:right="300" w:firstLine="360"/>
        <w:spacing w:after="0" w:line="342" w:lineRule="auto"/>
        <w:rPr>
          <w:sz w:val="20"/>
          <w:szCs w:val="20"/>
          <w:color w:val="auto"/>
        </w:rPr>
      </w:pPr>
      <w:r>
        <w:rPr>
          <w:rFonts w:ascii="Arial" w:cs="Arial" w:eastAsia="Arial" w:hAnsi="Arial"/>
          <w:sz w:val="16"/>
          <w:szCs w:val="16"/>
          <w:color w:val="auto"/>
        </w:rPr>
        <w:t>Second-quarter 2020 Facilities Segment Adjusted EBITDA increased 1% versus comparable 2019 results primarily due to operational cost savings and increased capacity at certain of our Mid-Continent and Gulf Coast crude oil storage terminals, partially offset by the impact of asset sales.</w:t>
      </w:r>
    </w:p>
    <w:p>
      <w:pPr>
        <w:spacing w:after="0" w:line="124" w:lineRule="exact"/>
        <w:rPr>
          <w:sz w:val="20"/>
          <w:szCs w:val="20"/>
          <w:color w:val="auto"/>
        </w:rPr>
      </w:pPr>
    </w:p>
    <w:p>
      <w:pPr>
        <w:ind w:right="100" w:firstLine="360"/>
        <w:spacing w:after="0" w:line="308" w:lineRule="auto"/>
        <w:rPr>
          <w:sz w:val="20"/>
          <w:szCs w:val="20"/>
          <w:color w:val="auto"/>
        </w:rPr>
      </w:pPr>
      <w:r>
        <w:rPr>
          <w:rFonts w:ascii="Arial" w:cs="Arial" w:eastAsia="Arial" w:hAnsi="Arial"/>
          <w:sz w:val="17"/>
          <w:szCs w:val="17"/>
          <w:color w:val="auto"/>
        </w:rPr>
        <w:t>Second-quarter 2020 Supply and Logistics Segment Adjusted EBITDA decreased by 99% versus comparable 2019 results due to less favorable crude oil differentials in both the Permian Basin and Canada, partially offset by the benefit of contango-based margin opportunities.</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Page 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Full-Year Guidance</w:t>
      </w:r>
    </w:p>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presents our full-year 2020 financial and operating guidance: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and Operating Guidance</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volumes, per unit and per barrel data)</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40" w:type="dxa"/>
            <w:vAlign w:val="bottom"/>
            <w:gridSpan w:val="6"/>
          </w:tcPr>
          <w:p>
            <w:pPr>
              <w:jc w:val="right"/>
              <w:spacing w:after="0"/>
              <w:rPr>
                <w:sz w:val="20"/>
                <w:szCs w:val="20"/>
                <w:color w:val="auto"/>
              </w:rPr>
            </w:pPr>
            <w:r>
              <w:rPr>
                <w:rFonts w:ascii="Arial" w:cs="Arial" w:eastAsia="Arial" w:hAnsi="Arial"/>
                <w:sz w:val="16"/>
                <w:szCs w:val="16"/>
                <w:b w:val="1"/>
                <w:bCs w:val="1"/>
                <w:color w:val="auto"/>
                <w:w w:val="99"/>
              </w:rPr>
              <w:t>Twelve Months Ended December 31,</w:t>
            </w:r>
          </w:p>
        </w:tc>
        <w:tc>
          <w:tcPr>
            <w:tcW w:w="116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2018</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411"/>
              <w:spacing w:after="0"/>
              <w:rPr>
                <w:sz w:val="20"/>
                <w:szCs w:val="20"/>
                <w:color w:val="auto"/>
              </w:rPr>
            </w:pPr>
            <w:r>
              <w:rPr>
                <w:rFonts w:ascii="Arial" w:cs="Arial" w:eastAsia="Arial" w:hAnsi="Arial"/>
                <w:sz w:val="16"/>
                <w:szCs w:val="16"/>
                <w:b w:val="1"/>
                <w:bCs w:val="1"/>
                <w:color w:val="auto"/>
              </w:rPr>
              <w:t>2020 (G)</w:t>
            </w:r>
          </w:p>
        </w:tc>
      </w:tr>
      <w:tr>
        <w:trPr>
          <w:trHeight w:val="33"/>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571"/>
              <w:spacing w:after="0"/>
              <w:rPr>
                <w:sz w:val="20"/>
                <w:szCs w:val="20"/>
                <w:color w:val="auto"/>
              </w:rPr>
            </w:pPr>
            <w:r>
              <w:rPr>
                <w:rFonts w:ascii="Arial" w:cs="Arial" w:eastAsia="Arial" w:hAnsi="Arial"/>
                <w:sz w:val="16"/>
                <w:szCs w:val="16"/>
                <w:color w:val="auto"/>
              </w:rPr>
              <w:t>+ / -</w:t>
            </w:r>
          </w:p>
        </w:tc>
      </w:tr>
      <w:tr>
        <w:trPr>
          <w:trHeight w:val="33"/>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Segment Adjusted EBITDA</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Transportation</w:t>
            </w:r>
          </w:p>
        </w:tc>
        <w:tc>
          <w:tcPr>
            <w:tcW w:w="440" w:type="dxa"/>
            <w:vAlign w:val="bottom"/>
          </w:tcPr>
          <w:p>
            <w:pPr>
              <w:spacing w:after="0"/>
              <w:rPr>
                <w:sz w:val="23"/>
                <w:szCs w:val="23"/>
                <w:color w:val="auto"/>
              </w:rPr>
            </w:pPr>
          </w:p>
        </w:tc>
        <w:tc>
          <w:tcPr>
            <w:tcW w:w="20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w w:val="93"/>
              </w:rPr>
              <w:t>1,508</w:t>
            </w:r>
          </w:p>
        </w:tc>
        <w:tc>
          <w:tcPr>
            <w:tcW w:w="12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1,722</w:t>
            </w:r>
          </w:p>
        </w:tc>
        <w:tc>
          <w:tcPr>
            <w:tcW w:w="12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1,540</w:t>
            </w:r>
          </w:p>
        </w:tc>
      </w:tr>
      <w:tr>
        <w:trPr>
          <w:trHeight w:val="270"/>
        </w:trPr>
        <w:tc>
          <w:tcPr>
            <w:tcW w:w="20" w:type="dxa"/>
            <w:vAlign w:val="bottom"/>
          </w:tcPr>
          <w:p>
            <w:pPr>
              <w:spacing w:after="0"/>
              <w:rPr>
                <w:sz w:val="23"/>
                <w:szCs w:val="23"/>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Facilities</w:t>
            </w: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711</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705</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700</w:t>
            </w:r>
          </w:p>
        </w:tc>
      </w:tr>
      <w:tr>
        <w:trPr>
          <w:trHeight w:val="263"/>
        </w:trPr>
        <w:tc>
          <w:tcPr>
            <w:tcW w:w="20" w:type="dxa"/>
            <w:vAlign w:val="bottom"/>
          </w:tcPr>
          <w:p>
            <w:pPr>
              <w:spacing w:after="0"/>
              <w:rPr>
                <w:sz w:val="22"/>
                <w:szCs w:val="22"/>
                <w:color w:val="auto"/>
              </w:rPr>
            </w:pPr>
          </w:p>
        </w:tc>
        <w:tc>
          <w:tcPr>
            <w:tcW w:w="4720" w:type="dxa"/>
            <w:vAlign w:val="bottom"/>
          </w:tcPr>
          <w:p>
            <w:pPr>
              <w:ind w:left="280"/>
              <w:spacing w:after="0"/>
              <w:rPr>
                <w:sz w:val="20"/>
                <w:szCs w:val="20"/>
                <w:color w:val="auto"/>
              </w:rPr>
            </w:pPr>
            <w:r>
              <w:rPr>
                <w:rFonts w:ascii="Arial" w:cs="Arial" w:eastAsia="Arial" w:hAnsi="Arial"/>
                <w:sz w:val="18"/>
                <w:szCs w:val="18"/>
                <w:b w:val="1"/>
                <w:bCs w:val="1"/>
                <w:color w:val="auto"/>
              </w:rPr>
              <w:t>Fee-Based</w:t>
            </w:r>
          </w:p>
        </w:tc>
        <w:tc>
          <w:tcPr>
            <w:tcW w:w="440" w:type="dxa"/>
            <w:vAlign w:val="bottom"/>
          </w:tcPr>
          <w:p>
            <w:pPr>
              <w:spacing w:after="0"/>
              <w:rPr>
                <w:sz w:val="22"/>
                <w:szCs w:val="22"/>
                <w:color w:val="auto"/>
              </w:rPr>
            </w:pPr>
          </w:p>
        </w:tc>
        <w:tc>
          <w:tcPr>
            <w:tcW w:w="202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2,219</w:t>
            </w:r>
          </w:p>
        </w:tc>
        <w:tc>
          <w:tcPr>
            <w:tcW w:w="12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rPr>
              <w:t>2,427</w:t>
            </w:r>
          </w:p>
        </w:tc>
        <w:tc>
          <w:tcPr>
            <w:tcW w:w="12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2,240</w:t>
            </w:r>
          </w:p>
        </w:tc>
      </w:tr>
      <w:tr>
        <w:trPr>
          <w:trHeight w:val="270"/>
        </w:trPr>
        <w:tc>
          <w:tcPr>
            <w:tcW w:w="20" w:type="dxa"/>
            <w:vAlign w:val="bottom"/>
          </w:tcPr>
          <w:p>
            <w:pPr>
              <w:spacing w:after="0"/>
              <w:rPr>
                <w:sz w:val="23"/>
                <w:szCs w:val="23"/>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Supply and Logistics</w:t>
            </w: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803</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260</w:t>
            </w:r>
          </w:p>
        </w:tc>
      </w:tr>
      <w:tr>
        <w:trPr>
          <w:trHeight w:val="270"/>
        </w:trPr>
        <w:tc>
          <w:tcPr>
            <w:tcW w:w="20" w:type="dxa"/>
            <w:vAlign w:val="bottom"/>
          </w:tcPr>
          <w:p>
            <w:pPr>
              <w:spacing w:after="0"/>
              <w:rPr>
                <w:sz w:val="23"/>
                <w:szCs w:val="23"/>
                <w:color w:val="auto"/>
              </w:rPr>
            </w:pPr>
          </w:p>
        </w:tc>
        <w:tc>
          <w:tcPr>
            <w:tcW w:w="47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Adjusted other income/(expense), net</w:t>
            </w:r>
          </w:p>
        </w:tc>
        <w:tc>
          <w:tcPr>
            <w:tcW w:w="440" w:type="dxa"/>
            <w:vAlign w:val="bottom"/>
            <w:tcBorders>
              <w:bottom w:val="single" w:sz="8" w:color="CCEEFF"/>
            </w:tcBorders>
          </w:tcPr>
          <w:p>
            <w:pPr>
              <w:spacing w:after="0"/>
              <w:rPr>
                <w:sz w:val="23"/>
                <w:szCs w:val="23"/>
                <w:color w:val="auto"/>
              </w:rPr>
            </w:pPr>
          </w:p>
        </w:tc>
        <w:tc>
          <w:tcPr>
            <w:tcW w:w="104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r>
      <w:tr>
        <w:trPr>
          <w:trHeight w:val="283"/>
        </w:trPr>
        <w:tc>
          <w:tcPr>
            <w:tcW w:w="20" w:type="dxa"/>
            <w:vAlign w:val="bottom"/>
          </w:tcPr>
          <w:p>
            <w:pPr>
              <w:spacing w:after="0"/>
              <w:rPr>
                <w:sz w:val="24"/>
                <w:szCs w:val="24"/>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23"/>
                <w:szCs w:val="23"/>
                <w:b w:val="1"/>
                <w:bCs w:val="1"/>
                <w:color w:val="auto"/>
                <w:vertAlign w:val="superscript"/>
              </w:rPr>
              <w:t>(1)</w:t>
            </w:r>
          </w:p>
        </w:tc>
        <w:tc>
          <w:tcPr>
            <w:tcW w:w="440" w:type="dxa"/>
            <w:vAlign w:val="bottom"/>
            <w:shd w:val="clear" w:color="auto" w:fill="CCEEFF"/>
          </w:tcPr>
          <w:p>
            <w:pPr>
              <w:spacing w:after="0"/>
              <w:rPr>
                <w:sz w:val="24"/>
                <w:szCs w:val="24"/>
                <w:color w:val="auto"/>
              </w:rPr>
            </w:pPr>
          </w:p>
        </w:tc>
        <w:tc>
          <w:tcPr>
            <w:tcW w:w="20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3"/>
              </w:rPr>
              <w:t>2,684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3,237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2,500</w:t>
            </w: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720" w:type="dxa"/>
            <w:vAlign w:val="bottom"/>
          </w:tcPr>
          <w:p>
            <w:pPr>
              <w:ind w:left="160"/>
              <w:spacing w:after="0" w:line="244" w:lineRule="exact"/>
              <w:rPr>
                <w:sz w:val="20"/>
                <w:szCs w:val="20"/>
                <w:color w:val="auto"/>
              </w:rPr>
            </w:pPr>
            <w:r>
              <w:rPr>
                <w:rFonts w:ascii="Arial" w:cs="Arial" w:eastAsia="Arial" w:hAnsi="Arial"/>
                <w:sz w:val="18"/>
                <w:szCs w:val="18"/>
                <w:color w:val="auto"/>
              </w:rPr>
              <w:t xml:space="preserve">Interest expense, net of certain non-cash items </w:t>
            </w:r>
            <w:r>
              <w:rPr>
                <w:rFonts w:ascii="Arial" w:cs="Arial" w:eastAsia="Arial" w:hAnsi="Arial"/>
                <w:sz w:val="23"/>
                <w:szCs w:val="23"/>
                <w:color w:val="auto"/>
                <w:vertAlign w:val="superscript"/>
              </w:rPr>
              <w:t>(2)</w:t>
            </w: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(420)</w:t>
            </w:r>
          </w:p>
        </w:tc>
      </w:tr>
      <w:tr>
        <w:trPr>
          <w:trHeight w:val="270"/>
        </w:trPr>
        <w:tc>
          <w:tcPr>
            <w:tcW w:w="20" w:type="dxa"/>
            <w:vAlign w:val="bottom"/>
          </w:tcPr>
          <w:p>
            <w:pPr>
              <w:spacing w:after="0"/>
              <w:rPr>
                <w:sz w:val="23"/>
                <w:szCs w:val="23"/>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Maintenance capital</w:t>
            </w: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r>
      <w:tr>
        <w:trPr>
          <w:trHeight w:val="270"/>
        </w:trPr>
        <w:tc>
          <w:tcPr>
            <w:tcW w:w="20" w:type="dxa"/>
            <w:vAlign w:val="bottom"/>
          </w:tcPr>
          <w:p>
            <w:pPr>
              <w:spacing w:after="0"/>
              <w:rPr>
                <w:sz w:val="23"/>
                <w:szCs w:val="23"/>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Current income tax expense</w:t>
            </w: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(35)</w:t>
            </w:r>
          </w:p>
        </w:tc>
      </w:tr>
      <w:tr>
        <w:trPr>
          <w:trHeight w:val="270"/>
        </w:trPr>
        <w:tc>
          <w:tcPr>
            <w:tcW w:w="20" w:type="dxa"/>
            <w:vAlign w:val="bottom"/>
          </w:tcPr>
          <w:p>
            <w:pPr>
              <w:spacing w:after="0"/>
              <w:rPr>
                <w:sz w:val="23"/>
                <w:szCs w:val="23"/>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w:t>
            </w:r>
          </w:p>
        </w:tc>
      </w:tr>
      <w:tr>
        <w:trPr>
          <w:trHeight w:val="263"/>
        </w:trPr>
        <w:tc>
          <w:tcPr>
            <w:tcW w:w="20" w:type="dxa"/>
            <w:vAlign w:val="bottom"/>
          </w:tcPr>
          <w:p>
            <w:pPr>
              <w:spacing w:after="0"/>
              <w:rPr>
                <w:sz w:val="22"/>
                <w:szCs w:val="22"/>
                <w:color w:val="auto"/>
              </w:rPr>
            </w:pPr>
          </w:p>
        </w:tc>
        <w:tc>
          <w:tcPr>
            <w:tcW w:w="4720" w:type="dxa"/>
            <w:vAlign w:val="bottom"/>
          </w:tcPr>
          <w:p>
            <w:pPr>
              <w:spacing w:after="0"/>
              <w:rPr>
                <w:sz w:val="20"/>
                <w:szCs w:val="20"/>
                <w:color w:val="auto"/>
              </w:rPr>
            </w:pPr>
            <w:r>
              <w:rPr>
                <w:rFonts w:ascii="Arial" w:cs="Arial" w:eastAsia="Arial" w:hAnsi="Arial"/>
                <w:sz w:val="18"/>
                <w:szCs w:val="18"/>
                <w:b w:val="1"/>
                <w:bCs w:val="1"/>
                <w:color w:val="auto"/>
              </w:rPr>
              <w:t xml:space="preserve">Implied DCF </w:t>
            </w:r>
            <w:r>
              <w:rPr>
                <w:rFonts w:ascii="Arial" w:cs="Arial" w:eastAsia="Arial" w:hAnsi="Arial"/>
                <w:sz w:val="23"/>
                <w:szCs w:val="23"/>
                <w:b w:val="1"/>
                <w:bCs w:val="1"/>
                <w:color w:val="auto"/>
                <w:vertAlign w:val="superscript"/>
              </w:rPr>
              <w:t>(1)</w:t>
            </w:r>
          </w:p>
        </w:tc>
        <w:tc>
          <w:tcPr>
            <w:tcW w:w="440" w:type="dxa"/>
            <w:vAlign w:val="bottom"/>
          </w:tcPr>
          <w:p>
            <w:pPr>
              <w:spacing w:after="0"/>
              <w:rPr>
                <w:sz w:val="22"/>
                <w:szCs w:val="22"/>
                <w:color w:val="auto"/>
              </w:rPr>
            </w:pPr>
          </w:p>
        </w:tc>
        <w:tc>
          <w:tcPr>
            <w:tcW w:w="202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1,948</w:t>
            </w:r>
          </w:p>
        </w:tc>
        <w:tc>
          <w:tcPr>
            <w:tcW w:w="12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rPr>
              <w:t>2,376</w:t>
            </w:r>
          </w:p>
        </w:tc>
        <w:tc>
          <w:tcPr>
            <w:tcW w:w="12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1,835</w:t>
            </w:r>
          </w:p>
        </w:tc>
      </w:tr>
      <w:tr>
        <w:trPr>
          <w:trHeight w:val="270"/>
        </w:trPr>
        <w:tc>
          <w:tcPr>
            <w:tcW w:w="20" w:type="dxa"/>
            <w:vAlign w:val="bottom"/>
          </w:tcPr>
          <w:p>
            <w:pPr>
              <w:spacing w:after="0"/>
              <w:rPr>
                <w:sz w:val="23"/>
                <w:szCs w:val="23"/>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3"/>
                <w:szCs w:val="23"/>
                <w:color w:val="auto"/>
                <w:vertAlign w:val="superscript"/>
              </w:rPr>
              <w:t>(3)</w:t>
            </w: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r>
      <w:tr>
        <w:trPr>
          <w:trHeight w:val="264"/>
        </w:trPr>
        <w:tc>
          <w:tcPr>
            <w:tcW w:w="20" w:type="dxa"/>
            <w:vAlign w:val="bottom"/>
          </w:tcPr>
          <w:p>
            <w:pPr>
              <w:spacing w:after="0"/>
              <w:rPr>
                <w:sz w:val="22"/>
                <w:szCs w:val="22"/>
                <w:color w:val="auto"/>
              </w:rPr>
            </w:pPr>
          </w:p>
        </w:tc>
        <w:tc>
          <w:tcPr>
            <w:tcW w:w="4720" w:type="dxa"/>
            <w:vAlign w:val="bottom"/>
          </w:tcPr>
          <w:p>
            <w:pPr>
              <w:spacing w:after="0"/>
              <w:rPr>
                <w:sz w:val="20"/>
                <w:szCs w:val="20"/>
                <w:color w:val="auto"/>
              </w:rPr>
            </w:pPr>
            <w:r>
              <w:rPr>
                <w:rFonts w:ascii="Arial" w:cs="Arial" w:eastAsia="Arial" w:hAnsi="Arial"/>
                <w:sz w:val="18"/>
                <w:szCs w:val="18"/>
                <w:b w:val="1"/>
                <w:bCs w:val="1"/>
                <w:color w:val="auto"/>
              </w:rPr>
              <w:t>Implied DCF Available to Common Unitholders</w:t>
            </w:r>
          </w:p>
        </w:tc>
        <w:tc>
          <w:tcPr>
            <w:tcW w:w="440" w:type="dxa"/>
            <w:vAlign w:val="bottom"/>
          </w:tcPr>
          <w:p>
            <w:pPr>
              <w:spacing w:after="0"/>
              <w:rPr>
                <w:sz w:val="22"/>
                <w:szCs w:val="22"/>
                <w:color w:val="auto"/>
              </w:rPr>
            </w:pPr>
          </w:p>
        </w:tc>
        <w:tc>
          <w:tcPr>
            <w:tcW w:w="202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1,787</w:t>
            </w:r>
          </w:p>
        </w:tc>
        <w:tc>
          <w:tcPr>
            <w:tcW w:w="12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rPr>
              <w:t>2,178</w:t>
            </w:r>
          </w:p>
        </w:tc>
        <w:tc>
          <w:tcPr>
            <w:tcW w:w="12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1,635</w:t>
            </w:r>
          </w:p>
        </w:tc>
      </w:tr>
      <w:tr>
        <w:trPr>
          <w:trHeight w:val="20"/>
        </w:trPr>
        <w:tc>
          <w:tcPr>
            <w:tcW w:w="20" w:type="dxa"/>
            <w:vAlign w:val="bottom"/>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7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70"/>
        </w:trPr>
        <w:tc>
          <w:tcPr>
            <w:tcW w:w="20" w:type="dxa"/>
            <w:vAlign w:val="bottom"/>
          </w:tcPr>
          <w:p>
            <w:pPr>
              <w:spacing w:after="0"/>
              <w:rPr>
                <w:sz w:val="23"/>
                <w:szCs w:val="23"/>
                <w:color w:val="auto"/>
              </w:rPr>
            </w:pPr>
          </w:p>
        </w:tc>
        <w:tc>
          <w:tcPr>
            <w:tcW w:w="4720" w:type="dxa"/>
            <w:vAlign w:val="bottom"/>
          </w:tcPr>
          <w:p>
            <w:pPr>
              <w:spacing w:after="0"/>
              <w:rPr>
                <w:sz w:val="20"/>
                <w:szCs w:val="20"/>
                <w:color w:val="auto"/>
              </w:rPr>
            </w:pPr>
            <w:r>
              <w:rPr>
                <w:rFonts w:ascii="Arial" w:cs="Arial" w:eastAsia="Arial" w:hAnsi="Arial"/>
                <w:sz w:val="18"/>
                <w:szCs w:val="18"/>
                <w:b w:val="1"/>
                <w:bCs w:val="1"/>
                <w:color w:val="auto"/>
              </w:rPr>
              <w:t xml:space="preserve">Implied DCF per Common Unit </w:t>
            </w:r>
            <w:r>
              <w:rPr>
                <w:rFonts w:ascii="Arial" w:cs="Arial" w:eastAsia="Arial" w:hAnsi="Arial"/>
                <w:sz w:val="23"/>
                <w:szCs w:val="23"/>
                <w:b w:val="1"/>
                <w:bCs w:val="1"/>
                <w:color w:val="auto"/>
                <w:vertAlign w:val="superscript"/>
              </w:rPr>
              <w:t>(1)</w:t>
            </w:r>
          </w:p>
        </w:tc>
        <w:tc>
          <w:tcPr>
            <w:tcW w:w="440" w:type="dxa"/>
            <w:vAlign w:val="bottom"/>
          </w:tcPr>
          <w:p>
            <w:pPr>
              <w:spacing w:after="0"/>
              <w:rPr>
                <w:sz w:val="23"/>
                <w:szCs w:val="23"/>
                <w:color w:val="auto"/>
              </w:rPr>
            </w:pPr>
          </w:p>
        </w:tc>
        <w:tc>
          <w:tcPr>
            <w:tcW w:w="20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2.25</w:t>
            </w:r>
          </w:p>
        </w:tc>
      </w:tr>
      <w:tr>
        <w:trPr>
          <w:trHeight w:val="270"/>
        </w:trPr>
        <w:tc>
          <w:tcPr>
            <w:tcW w:w="20" w:type="dxa"/>
            <w:vAlign w:val="bottom"/>
          </w:tcPr>
          <w:p>
            <w:pPr>
              <w:spacing w:after="0"/>
              <w:rPr>
                <w:sz w:val="23"/>
                <w:szCs w:val="23"/>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5"/>
              </w:rPr>
              <w:t xml:space="preserve">Implied DCF per Common Unit and Common Equivalent Unit </w:t>
            </w:r>
            <w:r>
              <w:rPr>
                <w:rFonts w:ascii="Arial" w:cs="Arial" w:eastAsia="Arial" w:hAnsi="Arial"/>
                <w:sz w:val="23"/>
                <w:szCs w:val="23"/>
                <w:b w:val="1"/>
                <w:bCs w:val="1"/>
                <w:color w:val="auto"/>
                <w:w w:val="95"/>
                <w:vertAlign w:val="superscript"/>
              </w:rPr>
              <w:t>(1)</w:t>
            </w:r>
          </w:p>
        </w:tc>
        <w:tc>
          <w:tcPr>
            <w:tcW w:w="20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2.23</w:t>
            </w: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Distributions per Common Unit </w:t>
            </w:r>
            <w:r>
              <w:rPr>
                <w:rFonts w:ascii="Arial" w:cs="Arial" w:eastAsia="Arial" w:hAnsi="Arial"/>
                <w:sz w:val="23"/>
                <w:szCs w:val="23"/>
                <w:b w:val="1"/>
                <w:bCs w:val="1"/>
                <w:color w:val="auto"/>
                <w:vertAlign w:val="superscript"/>
              </w:rPr>
              <w:t>(4)</w:t>
            </w:r>
          </w:p>
        </w:tc>
        <w:tc>
          <w:tcPr>
            <w:tcW w:w="440" w:type="dxa"/>
            <w:vAlign w:val="bottom"/>
            <w:shd w:val="clear" w:color="auto" w:fill="CCEEFF"/>
          </w:tcPr>
          <w:p>
            <w:pPr>
              <w:spacing w:after="0"/>
              <w:rPr>
                <w:sz w:val="23"/>
                <w:szCs w:val="23"/>
                <w:color w:val="auto"/>
              </w:rPr>
            </w:pPr>
          </w:p>
        </w:tc>
        <w:tc>
          <w:tcPr>
            <w:tcW w:w="20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0.90</w:t>
            </w:r>
          </w:p>
        </w:tc>
      </w:tr>
      <w:tr>
        <w:trPr>
          <w:trHeight w:val="243"/>
        </w:trPr>
        <w:tc>
          <w:tcPr>
            <w:tcW w:w="20" w:type="dxa"/>
            <w:vAlign w:val="bottom"/>
          </w:tcPr>
          <w:p>
            <w:pPr>
              <w:spacing w:after="0"/>
              <w:rPr>
                <w:sz w:val="21"/>
                <w:szCs w:val="21"/>
                <w:color w:val="auto"/>
              </w:rPr>
            </w:pPr>
          </w:p>
        </w:tc>
        <w:tc>
          <w:tcPr>
            <w:tcW w:w="4720" w:type="dxa"/>
            <w:vAlign w:val="bottom"/>
          </w:tcPr>
          <w:p>
            <w:pPr>
              <w:spacing w:after="0"/>
              <w:rPr>
                <w:sz w:val="20"/>
                <w:szCs w:val="20"/>
                <w:color w:val="auto"/>
              </w:rPr>
            </w:pPr>
            <w:r>
              <w:rPr>
                <w:rFonts w:ascii="Arial" w:cs="Arial" w:eastAsia="Arial" w:hAnsi="Arial"/>
                <w:sz w:val="18"/>
                <w:szCs w:val="18"/>
                <w:b w:val="1"/>
                <w:bCs w:val="1"/>
                <w:color w:val="auto"/>
              </w:rPr>
              <w:t>Common Unit Distribution Coverage Ratio</w:t>
            </w: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2.05x</w:t>
            </w:r>
          </w:p>
        </w:tc>
        <w:tc>
          <w:tcPr>
            <w:tcW w:w="360" w:type="dxa"/>
            <w:vAlign w:val="bottom"/>
          </w:tcPr>
          <w:p>
            <w:pPr>
              <w:spacing w:after="0"/>
              <w:rPr>
                <w:sz w:val="21"/>
                <w:szCs w:val="21"/>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2.17x</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2.49x</w:t>
            </w:r>
          </w:p>
        </w:tc>
      </w:tr>
      <w:tr>
        <w:trPr>
          <w:trHeight w:val="27"/>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4720" w:type="dxa"/>
            <w:vAlign w:val="bottom"/>
          </w:tcPr>
          <w:p>
            <w:pPr>
              <w:spacing w:after="0"/>
              <w:rPr>
                <w:sz w:val="20"/>
                <w:szCs w:val="20"/>
                <w:color w:val="auto"/>
              </w:rPr>
            </w:pPr>
            <w:r>
              <w:rPr>
                <w:rFonts w:ascii="Arial" w:cs="Arial" w:eastAsia="Arial" w:hAnsi="Arial"/>
                <w:sz w:val="18"/>
                <w:szCs w:val="18"/>
                <w:b w:val="1"/>
                <w:bCs w:val="1"/>
                <w:color w:val="auto"/>
              </w:rPr>
              <w:t xml:space="preserve">Diluted Adjusted Net Income per Common Unit </w:t>
            </w:r>
            <w:r>
              <w:rPr>
                <w:rFonts w:ascii="Arial" w:cs="Arial" w:eastAsia="Arial" w:hAnsi="Arial"/>
                <w:sz w:val="23"/>
                <w:szCs w:val="23"/>
                <w:b w:val="1"/>
                <w:bCs w:val="1"/>
                <w:color w:val="auto"/>
                <w:vertAlign w:val="superscript"/>
              </w:rPr>
              <w:t>(1)</w:t>
            </w:r>
          </w:p>
        </w:tc>
        <w:tc>
          <w:tcPr>
            <w:tcW w:w="440" w:type="dxa"/>
            <w:vAlign w:val="bottom"/>
          </w:tcPr>
          <w:p>
            <w:pPr>
              <w:spacing w:after="0"/>
              <w:rPr>
                <w:sz w:val="23"/>
                <w:szCs w:val="23"/>
                <w:color w:val="auto"/>
              </w:rPr>
            </w:pPr>
          </w:p>
        </w:tc>
        <w:tc>
          <w:tcPr>
            <w:tcW w:w="20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1.49</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4720" w:type="dxa"/>
            <w:vAlign w:val="bottom"/>
          </w:tcPr>
          <w:p>
            <w:pPr>
              <w:spacing w:after="0"/>
              <w:rPr>
                <w:sz w:val="20"/>
                <w:szCs w:val="20"/>
                <w:color w:val="auto"/>
              </w:rPr>
            </w:pPr>
            <w:r>
              <w:rPr>
                <w:rFonts w:ascii="Arial" w:cs="Arial" w:eastAsia="Arial" w:hAnsi="Arial"/>
                <w:sz w:val="18"/>
                <w:szCs w:val="18"/>
                <w:b w:val="1"/>
                <w:bCs w:val="1"/>
                <w:color w:val="auto"/>
              </w:rPr>
              <w:t>Operating Data</w:t>
            </w: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Transportation</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Average daily volumes (MBbls/d)</w:t>
            </w: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w w:val="93"/>
              </w:rPr>
              <w:t>5,889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6,893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6,350</w:t>
            </w:r>
          </w:p>
        </w:tc>
      </w:tr>
      <w:tr>
        <w:trPr>
          <w:trHeight w:val="270"/>
        </w:trPr>
        <w:tc>
          <w:tcPr>
            <w:tcW w:w="20" w:type="dxa"/>
            <w:vAlign w:val="bottom"/>
          </w:tcPr>
          <w:p>
            <w:pPr>
              <w:spacing w:after="0"/>
              <w:rPr>
                <w:sz w:val="23"/>
                <w:szCs w:val="23"/>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Segment Adjusted EBITDA per barrel</w:t>
            </w:r>
          </w:p>
        </w:tc>
        <w:tc>
          <w:tcPr>
            <w:tcW w:w="440" w:type="dxa"/>
            <w:vAlign w:val="bottom"/>
            <w:shd w:val="clear" w:color="auto" w:fill="CCEEFF"/>
          </w:tcPr>
          <w:p>
            <w:pPr>
              <w:spacing w:after="0"/>
              <w:rPr>
                <w:sz w:val="23"/>
                <w:szCs w:val="23"/>
                <w:color w:val="auto"/>
              </w:rPr>
            </w:pPr>
          </w:p>
        </w:tc>
        <w:tc>
          <w:tcPr>
            <w:tcW w:w="20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0.70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0.68</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0.66</w:t>
            </w: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Facilities</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Average capacity (MMBbls/Mo)</w:t>
            </w: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124</w:t>
            </w:r>
          </w:p>
        </w:tc>
      </w:tr>
      <w:tr>
        <w:trPr>
          <w:trHeight w:val="270"/>
        </w:trPr>
        <w:tc>
          <w:tcPr>
            <w:tcW w:w="20" w:type="dxa"/>
            <w:vAlign w:val="bottom"/>
          </w:tcPr>
          <w:p>
            <w:pPr>
              <w:spacing w:after="0"/>
              <w:rPr>
                <w:sz w:val="23"/>
                <w:szCs w:val="23"/>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Segment Adjusted EBITDA per barrel</w:t>
            </w:r>
          </w:p>
        </w:tc>
        <w:tc>
          <w:tcPr>
            <w:tcW w:w="440" w:type="dxa"/>
            <w:vAlign w:val="bottom"/>
            <w:shd w:val="clear" w:color="auto" w:fill="CCEEFF"/>
          </w:tcPr>
          <w:p>
            <w:pPr>
              <w:spacing w:after="0"/>
              <w:rPr>
                <w:sz w:val="23"/>
                <w:szCs w:val="23"/>
                <w:color w:val="auto"/>
              </w:rPr>
            </w:pPr>
          </w:p>
        </w:tc>
        <w:tc>
          <w:tcPr>
            <w:tcW w:w="20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0.48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0.47</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0.47</w:t>
            </w: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Supply and Logistics</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Average daily volumes (MBbls/d)</w:t>
            </w: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w w:val="93"/>
              </w:rPr>
              <w:t>1,309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1,369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1,250</w:t>
            </w:r>
          </w:p>
        </w:tc>
      </w:tr>
      <w:tr>
        <w:trPr>
          <w:trHeight w:val="270"/>
        </w:trPr>
        <w:tc>
          <w:tcPr>
            <w:tcW w:w="20" w:type="dxa"/>
            <w:vAlign w:val="bottom"/>
          </w:tcPr>
          <w:p>
            <w:pPr>
              <w:spacing w:after="0"/>
              <w:rPr>
                <w:sz w:val="23"/>
                <w:szCs w:val="23"/>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Segment Adjusted EBITDA per barrel</w:t>
            </w:r>
          </w:p>
        </w:tc>
        <w:tc>
          <w:tcPr>
            <w:tcW w:w="440" w:type="dxa"/>
            <w:vAlign w:val="bottom"/>
            <w:shd w:val="clear" w:color="auto" w:fill="CCEEFF"/>
          </w:tcPr>
          <w:p>
            <w:pPr>
              <w:spacing w:after="0"/>
              <w:rPr>
                <w:sz w:val="23"/>
                <w:szCs w:val="23"/>
                <w:color w:val="auto"/>
              </w:rPr>
            </w:pPr>
          </w:p>
        </w:tc>
        <w:tc>
          <w:tcPr>
            <w:tcW w:w="20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0.97</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0.57</w:t>
            </w: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Expansion Capital</w:t>
            </w:r>
          </w:p>
        </w:tc>
        <w:tc>
          <w:tcPr>
            <w:tcW w:w="4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gridSpan w:val="2"/>
            <w:shd w:val="clear" w:color="auto" w:fill="CCEEFF"/>
          </w:tcPr>
          <w:p>
            <w:pPr>
              <w:jc w:val="right"/>
              <w:ind w:right="88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3"/>
              </w:rPr>
              <w:t>1,888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1,340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1,000</w:t>
            </w: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3"/>
              </w:rPr>
              <w:t>Third-Quarter Adjusted EBITDA as Percentage of Full Year</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r>
      <w:tr>
        <w:trPr>
          <w:trHeight w:val="378"/>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20" w:type="dxa"/>
            <w:vAlign w:val="bottom"/>
            <w:gridSpan w:val="2"/>
          </w:tcPr>
          <w:p>
            <w:pPr>
              <w:jc w:val="right"/>
              <w:ind w:right="1300"/>
              <w:spacing w:after="0"/>
              <w:rPr>
                <w:sz w:val="20"/>
                <w:szCs w:val="20"/>
                <w:color w:val="auto"/>
              </w:rPr>
            </w:pPr>
            <w:r>
              <w:rPr>
                <w:rFonts w:ascii="Arial" w:cs="Arial" w:eastAsia="Arial" w:hAnsi="Arial"/>
                <w:sz w:val="18"/>
                <w:szCs w:val="18"/>
                <w:color w:val="auto"/>
              </w:rPr>
              <w:t>- more -</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35"/>
        </w:trPr>
        <w:tc>
          <w:tcPr>
            <w:tcW w:w="20" w:type="dxa"/>
            <w:vAlign w:val="bottom"/>
            <w:tcBorders>
              <w:bottom w:val="single" w:sz="8" w:color="auto"/>
            </w:tcBorders>
          </w:tcPr>
          <w:p>
            <w:pPr>
              <w:spacing w:after="0"/>
              <w:rPr>
                <w:sz w:val="11"/>
                <w:szCs w:val="11"/>
                <w:color w:val="auto"/>
              </w:rPr>
            </w:pPr>
          </w:p>
        </w:tc>
        <w:tc>
          <w:tcPr>
            <w:tcW w:w="472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gridSpan w:val="3"/>
          </w:tcPr>
          <w:p>
            <w:pPr>
              <w:spacing w:after="0"/>
              <w:rPr>
                <w:sz w:val="11"/>
                <w:szCs w:val="11"/>
                <w:color w:val="auto"/>
              </w:rPr>
            </w:pPr>
          </w:p>
        </w:tc>
        <w:tc>
          <w:tcPr>
            <w:tcW w:w="2840" w:type="dxa"/>
            <w:vAlign w:val="bottom"/>
            <w:tcBorders>
              <w:bottom w:val="single" w:sz="8" w:color="auto"/>
            </w:tcBorders>
            <w:gridSpan w:val="6"/>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r>
      <w:tr>
        <w:trPr>
          <w:trHeight w:val="331"/>
        </w:trPr>
        <w:tc>
          <w:tcPr>
            <w:tcW w:w="20" w:type="dxa"/>
            <w:vAlign w:val="bottom"/>
          </w:tcPr>
          <w:p>
            <w:pPr>
              <w:spacing w:after="0"/>
              <w:rPr>
                <w:sz w:val="24"/>
                <w:szCs w:val="24"/>
                <w:color w:val="auto"/>
              </w:rPr>
            </w:pPr>
          </w:p>
        </w:tc>
        <w:tc>
          <w:tcPr>
            <w:tcW w:w="4720" w:type="dxa"/>
            <w:vAlign w:val="bottom"/>
          </w:tcPr>
          <w:p>
            <w:pPr>
              <w:ind w:left="1660"/>
              <w:spacing w:after="0"/>
              <w:rPr>
                <w:sz w:val="20"/>
                <w:szCs w:val="20"/>
                <w:color w:val="auto"/>
              </w:rPr>
            </w:pPr>
            <w:r>
              <w:rPr>
                <w:rFonts w:ascii="Arial" w:cs="Arial" w:eastAsia="Arial" w:hAnsi="Arial"/>
                <w:sz w:val="18"/>
                <w:szCs w:val="18"/>
                <w:b w:val="1"/>
                <w:bCs w:val="1"/>
                <w:color w:val="auto"/>
              </w:rPr>
              <w:t>333 Clay Street, Suite 1600</w:t>
            </w:r>
          </w:p>
        </w:tc>
        <w:tc>
          <w:tcPr>
            <w:tcW w:w="246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w w:val="89"/>
              </w:rPr>
              <w:t>Houston, Texas 77002</w:t>
            </w:r>
          </w:p>
        </w:tc>
        <w:tc>
          <w:tcPr>
            <w:tcW w:w="2840" w:type="dxa"/>
            <w:vAlign w:val="bottom"/>
            <w:gridSpan w:val="6"/>
          </w:tcPr>
          <w:p>
            <w:pPr>
              <w:jc w:val="right"/>
              <w:ind w:right="270"/>
              <w:spacing w:after="0"/>
              <w:rPr>
                <w:sz w:val="20"/>
                <w:szCs w:val="20"/>
                <w:color w:val="auto"/>
              </w:rPr>
            </w:pPr>
            <w:r>
              <w:rPr>
                <w:rFonts w:ascii="Arial" w:cs="Arial" w:eastAsia="Arial" w:hAnsi="Arial"/>
                <w:sz w:val="18"/>
                <w:szCs w:val="18"/>
                <w:b w:val="1"/>
                <w:bCs w:val="1"/>
                <w:color w:val="auto"/>
              </w:rPr>
              <w:t>713-646-4100 / 866-809-1291</w:t>
            </w:r>
          </w:p>
        </w:tc>
        <w:tc>
          <w:tcPr>
            <w:tcW w:w="1160" w:type="dxa"/>
            <w:vAlign w:val="bottom"/>
          </w:tcPr>
          <w:p>
            <w:pPr>
              <w:spacing w:after="0"/>
              <w:rPr>
                <w:sz w:val="24"/>
                <w:szCs w:val="24"/>
                <w:color w:val="auto"/>
              </w:rPr>
            </w:pPr>
          </w:p>
        </w:tc>
      </w:tr>
    </w:tbl>
    <w:p>
      <w:pPr>
        <w:sectPr>
          <w:pgSz w:w="11900" w:h="16838" w:orient="portrait"/>
          <w:cols w:equalWidth="0" w:num="1">
            <w:col w:w="11220"/>
          </w:cols>
          <w:pgMar w:left="320" w:top="368"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24599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(G) 2020 Guidance forecasts are intended to be + / - amounts.</w:t>
      </w:r>
    </w:p>
    <w:p>
      <w:pPr>
        <w:spacing w:after="0" w:line="117" w:lineRule="exact"/>
        <w:rPr>
          <w:sz w:val="20"/>
          <w:szCs w:val="20"/>
          <w:color w:val="auto"/>
        </w:rPr>
      </w:pPr>
    </w:p>
    <w:p>
      <w:pPr>
        <w:ind w:left="340" w:right="100" w:hanging="332"/>
        <w:spacing w:after="0" w:line="259" w:lineRule="auto"/>
        <w:tabs>
          <w:tab w:leader="none" w:pos="328" w:val="left"/>
        </w:tabs>
        <w:numPr>
          <w:ilvl w:val="0"/>
          <w:numId w:val="6"/>
        </w:numPr>
        <w:rPr>
          <w:rFonts w:ascii="Arial" w:cs="Arial" w:eastAsia="Arial" w:hAnsi="Arial"/>
          <w:sz w:val="22"/>
          <w:szCs w:val="22"/>
          <w:color w:val="auto"/>
          <w:vertAlign w:val="superscript"/>
        </w:rPr>
      </w:pPr>
      <w:r>
        <w:rPr>
          <w:rFonts w:ascii="Arial" w:cs="Arial" w:eastAsia="Arial" w:hAnsi="Arial"/>
          <w:sz w:val="17"/>
          <w:szCs w:val="17"/>
          <w:color w:val="auto"/>
        </w:rPr>
        <w:t>See the section of this release entitled “Non-GAAP Financial Measures and Selected Items Impacting Comparability” and the Non-GAAP Reconciliation tables attached hereto for information regarding non-GAAP financial measures and, for the historical 2018 and 2019 periods, their reconciliation to the most directly comparable measures as reported in accordance with GAAP. We do not provide a reconciliation of non-GAAP financial measures to the equivalent GAAP financial measures on a forward-looking basis as it is impractical to forecast certain items that we have defined as “Selected Items Impacting Comparability” without unreasonable effort, due to the uncertainty and inherent difficulty of predicting the occurrence and financial impact of and the periods in which such items may be recognized. Thus, a reconciliation of non-GAAP financial measures to the equivalent GAAP financial measures could result in disclosure that could be imprecise or potentially misleading.</w:t>
      </w:r>
    </w:p>
    <w:p>
      <w:pPr>
        <w:spacing w:after="0" w:line="58" w:lineRule="exact"/>
        <w:rPr>
          <w:rFonts w:ascii="Arial" w:cs="Arial" w:eastAsia="Arial" w:hAnsi="Arial"/>
          <w:sz w:val="22"/>
          <w:szCs w:val="22"/>
          <w:color w:val="auto"/>
          <w:vertAlign w:val="superscript"/>
        </w:rPr>
      </w:pPr>
    </w:p>
    <w:p>
      <w:pPr>
        <w:ind w:left="320" w:hanging="312"/>
        <w:spacing w:after="0"/>
        <w:tabs>
          <w:tab w:leader="none" w:pos="320" w:val="left"/>
        </w:tabs>
        <w:numPr>
          <w:ilvl w:val="0"/>
          <w:numId w:val="6"/>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93" w:lineRule="exact"/>
        <w:rPr>
          <w:rFonts w:ascii="Arial" w:cs="Arial" w:eastAsia="Arial" w:hAnsi="Arial"/>
          <w:sz w:val="22"/>
          <w:szCs w:val="22"/>
          <w:color w:val="auto"/>
          <w:vertAlign w:val="superscript"/>
        </w:rPr>
      </w:pPr>
    </w:p>
    <w:p>
      <w:pPr>
        <w:jc w:val="both"/>
        <w:ind w:left="340" w:right="220" w:hanging="332"/>
        <w:spacing w:after="0" w:line="249" w:lineRule="auto"/>
        <w:tabs>
          <w:tab w:leader="none" w:pos="328" w:val="left"/>
        </w:tabs>
        <w:numPr>
          <w:ilvl w:val="0"/>
          <w:numId w:val="6"/>
        </w:numPr>
        <w:rPr>
          <w:rFonts w:ascii="Arial" w:cs="Arial" w:eastAsia="Arial" w:hAnsi="Arial"/>
          <w:sz w:val="22"/>
          <w:szCs w:val="22"/>
          <w:color w:val="auto"/>
          <w:vertAlign w:val="superscript"/>
        </w:rPr>
      </w:pPr>
      <w:r>
        <w:rPr>
          <w:rFonts w:ascii="Arial" w:cs="Arial" w:eastAsia="Arial" w:hAnsi="Arial"/>
          <w:sz w:val="17"/>
          <w:szCs w:val="17"/>
          <w:color w:val="auto"/>
        </w:rPr>
        <w:t>Cash distributions paid to our preferred unitholders during the year presented. Distributions on our Series A preferred units were paid-in-kind for the February 2018 quarterly distribution. Distributions on our Series A preferred units have been paid in cash since the May 2018 quarterly distribution. Distributions on our Series B preferred units are payable in cash semi-annually in arrears on May 15 and November 15.</w:t>
      </w:r>
    </w:p>
    <w:p>
      <w:pPr>
        <w:spacing w:after="0" w:line="87" w:lineRule="exact"/>
        <w:rPr>
          <w:rFonts w:ascii="Arial" w:cs="Arial" w:eastAsia="Arial" w:hAnsi="Arial"/>
          <w:sz w:val="22"/>
          <w:szCs w:val="22"/>
          <w:color w:val="auto"/>
          <w:vertAlign w:val="superscript"/>
        </w:rPr>
      </w:pPr>
    </w:p>
    <w:p>
      <w:pPr>
        <w:ind w:left="340" w:right="300" w:hanging="332"/>
        <w:spacing w:after="0" w:line="220" w:lineRule="auto"/>
        <w:tabs>
          <w:tab w:leader="none" w:pos="32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Cash distributions per common unit paid during 2018 and 2019. 2020 (G) reflects the annualized distribution rate of $1.44 per common unit paid in February and the decreased annualized distribution rate of $0.72 per common unit for the remainder of the year.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56" w:lineRule="exact"/>
        <w:rPr>
          <w:sz w:val="20"/>
          <w:szCs w:val="20"/>
          <w:color w:val="auto"/>
        </w:rPr>
      </w:pPr>
    </w:p>
    <w:p>
      <w:pPr>
        <w:ind w:right="220" w:firstLine="360"/>
        <w:spacing w:after="0" w:line="286" w:lineRule="auto"/>
        <w:rPr>
          <w:sz w:val="20"/>
          <w:szCs w:val="20"/>
          <w:color w:val="auto"/>
        </w:rPr>
      </w:pPr>
      <w:r>
        <w:rPr>
          <w:rFonts w:ascii="Arial" w:cs="Arial" w:eastAsia="Arial" w:hAnsi="Arial"/>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Q2 2020</w:t>
            </w:r>
          </w:p>
        </w:tc>
        <w:tc>
          <w:tcPr>
            <w:tcW w:w="22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Q1 2020</w:t>
            </w:r>
          </w:p>
        </w:tc>
        <w:tc>
          <w:tcPr>
            <w:tcW w:w="220" w:type="dxa"/>
            <w:vAlign w:val="bottom"/>
          </w:tcPr>
          <w:p>
            <w:pPr>
              <w:spacing w:after="0"/>
              <w:rPr>
                <w:sz w:val="18"/>
                <w:szCs w:val="18"/>
                <w:color w:val="auto"/>
              </w:rPr>
            </w:pPr>
          </w:p>
        </w:tc>
        <w:tc>
          <w:tcPr>
            <w:tcW w:w="1020" w:type="dxa"/>
            <w:vAlign w:val="bottom"/>
          </w:tcPr>
          <w:p>
            <w:pPr>
              <w:jc w:val="right"/>
              <w:ind w:right="253"/>
              <w:spacing w:after="0"/>
              <w:rPr>
                <w:sz w:val="20"/>
                <w:szCs w:val="20"/>
                <w:color w:val="auto"/>
              </w:rPr>
            </w:pPr>
            <w:r>
              <w:rPr>
                <w:rFonts w:ascii="Arial" w:cs="Arial" w:eastAsia="Arial" w:hAnsi="Arial"/>
                <w:sz w:val="16"/>
                <w:szCs w:val="16"/>
                <w:b w:val="1"/>
                <w:bCs w:val="1"/>
                <w:color w:val="auto"/>
              </w:rPr>
              <w:t>Q2 2019</w:t>
            </w:r>
          </w:p>
        </w:tc>
      </w:tr>
      <w:tr>
        <w:trPr>
          <w:trHeight w:val="33"/>
        </w:trPr>
        <w:tc>
          <w:tcPr>
            <w:tcW w:w="7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Distribution per Class A share declared for the period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0.36</w:t>
            </w:r>
          </w:p>
        </w:tc>
      </w:tr>
      <w:tr>
        <w:trPr>
          <w:trHeight w:val="263"/>
        </w:trPr>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Q2 2020 distribution percentage change from prior periods</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1"/>
        </w:trPr>
        <w:tc>
          <w:tcPr>
            <w:tcW w:w="7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PAA and PAGP will hold a joint conference call at 4:30 p.m. CT on Tuesday, August 4, 2020 to discuss the following items:</w:t>
      </w:r>
    </w:p>
    <w:p>
      <w:pPr>
        <w:spacing w:after="0" w:line="252" w:lineRule="exact"/>
        <w:rPr>
          <w:sz w:val="20"/>
          <w:szCs w:val="20"/>
          <w:color w:val="auto"/>
        </w:rPr>
      </w:pPr>
    </w:p>
    <w:p>
      <w:pPr>
        <w:ind w:left="1140" w:hanging="32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PAA’s second-quarter 2020 performance;</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Capitalization and liquidity; and</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and operating guidance.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Webcast Instructions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access the internet webcast, please go to https://event.webcasts.com/starthere.jsp?ei=1339500&amp;tp_key=5263eed914.</w:t>
      </w:r>
    </w:p>
    <w:p>
      <w:pPr>
        <w:spacing w:after="0" w:line="252" w:lineRule="exact"/>
        <w:rPr>
          <w:sz w:val="20"/>
          <w:szCs w:val="20"/>
          <w:color w:val="auto"/>
        </w:rPr>
      </w:pPr>
    </w:p>
    <w:p>
      <w:pPr>
        <w:ind w:right="260" w:firstLine="350"/>
        <w:spacing w:after="0" w:line="259" w:lineRule="auto"/>
        <w:rPr>
          <w:sz w:val="20"/>
          <w:szCs w:val="20"/>
          <w:color w:val="auto"/>
        </w:rPr>
      </w:pPr>
      <w:r>
        <w:rPr>
          <w:rFonts w:ascii="Arial" w:cs="Arial" w:eastAsia="Arial" w:hAnsi="Arial"/>
          <w:sz w:val="18"/>
          <w:szCs w:val="18"/>
          <w:color w:val="auto"/>
        </w:rPr>
        <w:t>Alternatively, the webcast can be accessed on our website (www.plainsallamerican.com) under Investor Relations (Navigate to: Investor Relations / either “PAA” or “PAGP” / News &amp; Events / Quarterly Earnings). Following the live webcast, an audio replay in MP3 format will be available on our website within two hours after the end of the call and will be accessible for a period of 365 days. A transcript will also be available after the call at the above referenced website.</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Page 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52" w:lineRule="exact"/>
        <w:rPr>
          <w:sz w:val="20"/>
          <w:szCs w:val="20"/>
          <w:color w:val="auto"/>
        </w:rPr>
      </w:pPr>
    </w:p>
    <w:p>
      <w:pPr>
        <w:ind w:right="120" w:firstLine="357"/>
        <w:spacing w:after="0" w:line="263"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and other general partnership purposes.</w:t>
      </w:r>
    </w:p>
    <w:p>
      <w:pPr>
        <w:spacing w:after="0" w:line="211" w:lineRule="exact"/>
        <w:rPr>
          <w:sz w:val="20"/>
          <w:szCs w:val="20"/>
          <w:color w:val="auto"/>
        </w:rPr>
      </w:pPr>
    </w:p>
    <w:p>
      <w:pPr>
        <w:ind w:right="400" w:firstLine="648"/>
        <w:spacing w:after="0" w:line="279" w:lineRule="auto"/>
        <w:rPr>
          <w:sz w:val="20"/>
          <w:szCs w:val="20"/>
          <w:color w:val="auto"/>
        </w:rPr>
      </w:pPr>
      <w:r>
        <w:rPr>
          <w:rFonts w:ascii="Arial" w:cs="Arial" w:eastAsia="Arial" w:hAnsi="Arial"/>
          <w:sz w:val="17"/>
          <w:szCs w:val="17"/>
          <w:color w:val="auto"/>
        </w:rPr>
        <w:t>The primary additional measures used by management are earnings before interest, taxes, depreciation and amortization (including our proportionate share of depreciation and amortization of unconsolidated entities), gains and losses on asset sales and asset impairments, goodwill impairment losses and gains on and impairments of investments in unconsolidated entities, adjusted for certain selected items impacting comparability (“Adjusted EBITDA”), Implied distributable cash flow (“DCF”), Free Cash Flow and Free Cash Flow After Distributions.</w:t>
      </w:r>
    </w:p>
    <w:p>
      <w:pPr>
        <w:spacing w:after="0" w:line="19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Adjusted EBITDA, Implied DCF and certain other non-GAAP financial performance measures are reconciled to Net Income/(Loss), and Free Cash Flow and Free Cash Flow After Distributions are reconciled to Net Cash Provided by Operating Activities, (the most directly comparable measures as reported in accordance with GAAP) for the historical periods presented in the tables attached to this release, and should be viewed in addition to, and not in lieu of, our Condensed Consolidated Financial Statements and notes thereto. In addition, we encourage you to visit our website at www.plainsallamerican.com (in particular the section under “Financial Information” entitled “Non-GAAP Reconciliations” within the Investor Relations tab), which presents a reconciliation of our commonly used non-GAAP and supplemental financial measures.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Performance Measures</w:t>
      </w:r>
    </w:p>
    <w:p>
      <w:pPr>
        <w:spacing w:after="0" w:line="256"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Management believes that the presentation of Adjusted EBTIDA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on our Condensed Consolidated Financial Statements.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215" w:lineRule="exact"/>
        <w:rPr>
          <w:sz w:val="20"/>
          <w:szCs w:val="20"/>
          <w:color w:val="auto"/>
        </w:rPr>
      </w:pPr>
    </w:p>
    <w:p>
      <w:pPr>
        <w:ind w:firstLine="350"/>
        <w:spacing w:after="0" w:line="257"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expansion projects and numerous other factors. These types of variations may not be separately identified in this release, but will be discussed, as applicable, in management’s discussion and analysis of operating results in our Quarterly Report on Form 10-Q.</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Page 7</w:t>
      </w: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Liquidity Measures</w:t>
      </w:r>
    </w:p>
    <w:p>
      <w:pPr>
        <w:spacing w:after="0" w:line="256" w:lineRule="exact"/>
        <w:rPr>
          <w:sz w:val="20"/>
          <w:szCs w:val="20"/>
          <w:color w:val="auto"/>
        </w:rPr>
      </w:pPr>
    </w:p>
    <w:p>
      <w:pPr>
        <w:jc w:val="both"/>
        <w:ind w:right="120" w:firstLine="648"/>
        <w:spacing w:after="0" w:line="273" w:lineRule="auto"/>
        <w:rPr>
          <w:sz w:val="20"/>
          <w:szCs w:val="20"/>
          <w:color w:val="auto"/>
        </w:rPr>
      </w:pPr>
      <w:r>
        <w:rPr>
          <w:rFonts w:ascii="Arial" w:cs="Arial" w:eastAsia="Arial" w:hAnsi="Arial"/>
          <w:sz w:val="17"/>
          <w:szCs w:val="17"/>
          <w:color w:val="auto"/>
        </w:rPr>
        <w:t>Management also uses the non-GAAP financial measures Free Cash Flow and Free Cash Flow After Distributions to assess the amount of cash that is available for distributions, debt repayments and other general partnership purposes. Free Cash Flow is defined as Net Cash Provided by Operating Activities, less Net Cash Used in Investing Activities, which primarily includes acquisition, expansion and maintenance capital expenditures, investments in unconsolidated entities and the impact from the purchase and sale of linefill and base gas, net of proceeds from the sales of assets and further impacted by distributions to, contributions from and proceeds from the sale of noncontrolling interests. Free Cash Flow is further reduced by cash distributions paid to preferred and common unitholders to arrive at Free Cash Flow After Distributions.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52" w:lineRule="exact"/>
        <w:rPr>
          <w:sz w:val="20"/>
          <w:szCs w:val="20"/>
          <w:color w:val="auto"/>
        </w:rPr>
      </w:pPr>
    </w:p>
    <w:p>
      <w:pPr>
        <w:ind w:right="120" w:firstLine="360"/>
        <w:spacing w:after="0" w:line="263" w:lineRule="auto"/>
        <w:rPr>
          <w:sz w:val="20"/>
          <w:szCs w:val="20"/>
          <w:color w:val="auto"/>
        </w:rPr>
      </w:pPr>
      <w:r>
        <w:rPr>
          <w:rFonts w:ascii="Arial" w:cs="Arial" w:eastAsia="Arial" w:hAnsi="Arial"/>
          <w:sz w:val="18"/>
          <w:szCs w:val="18"/>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Related Primarily to the COVID-19 Pandemic and Excess Supply Situation:</w:t>
      </w:r>
    </w:p>
    <w:p>
      <w:pPr>
        <w:spacing w:after="0" w:line="293" w:lineRule="exact"/>
        <w:rPr>
          <w:sz w:val="20"/>
          <w:szCs w:val="20"/>
          <w:color w:val="auto"/>
        </w:rPr>
      </w:pPr>
    </w:p>
    <w:p>
      <w:pPr>
        <w:ind w:left="660" w:right="40" w:hanging="328"/>
        <w:spacing w:after="0" w:line="244"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18"/>
          <w:szCs w:val="18"/>
          <w:color w:val="auto"/>
        </w:rPr>
        <w:t>further declines in global crude oil demand and crude oil prices that correspondingly lead to a significant reduction of domestic crude oil, natural gas liquids (“NGL”) and natural gas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135" w:lineRule="exact"/>
        <w:rPr>
          <w:rFonts w:ascii="Arial" w:cs="Arial" w:eastAsia="Arial" w:hAnsi="Arial"/>
          <w:sz w:val="22"/>
          <w:szCs w:val="22"/>
          <w:color w:val="auto"/>
        </w:rPr>
      </w:pPr>
    </w:p>
    <w:p>
      <w:pPr>
        <w:ind w:left="660" w:right="180" w:hanging="328"/>
        <w:spacing w:after="0" w:line="241"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18"/>
          <w:szCs w:val="18"/>
          <w:color w:val="auto"/>
        </w:rPr>
        <w:t>uncertainty regarding the length of time it will take for the United States, Canada, and the rest of the world to slow the spread of the COVID-19 virus to the point where applicable authorities are comfortable easing current restrictions on various commercial and economic activities and the extent to which consumer demand and demand for crude oil rebound once such restrictions are lifted; such restrictions are designed to protect public health but also have the effect of significantly reducing demand for crude oil;</w:t>
      </w:r>
    </w:p>
    <w:p>
      <w:pPr>
        <w:spacing w:after="0" w:line="134" w:lineRule="exact"/>
        <w:rPr>
          <w:rFonts w:ascii="Arial" w:cs="Arial" w:eastAsia="Arial" w:hAnsi="Arial"/>
          <w:sz w:val="22"/>
          <w:szCs w:val="22"/>
          <w:color w:val="auto"/>
        </w:rPr>
      </w:pPr>
    </w:p>
    <w:p>
      <w:pPr>
        <w:ind w:left="660" w:right="500" w:hanging="328"/>
        <w:spacing w:after="0" w:line="232"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18"/>
          <w:szCs w:val="18"/>
          <w:color w:val="auto"/>
        </w:rPr>
        <w:t>uncertainty regarding the future actions of foreign oil producers such as Saudi Arabia and Russia and the risk that they take actions that will prolong or exacerbate the current over-supply of crude oil;</w:t>
      </w:r>
    </w:p>
    <w:p>
      <w:pPr>
        <w:spacing w:after="0" w:line="135" w:lineRule="exact"/>
        <w:rPr>
          <w:rFonts w:ascii="Arial" w:cs="Arial" w:eastAsia="Arial" w:hAnsi="Arial"/>
          <w:sz w:val="22"/>
          <w:szCs w:val="22"/>
          <w:color w:val="auto"/>
        </w:rPr>
      </w:pPr>
    </w:p>
    <w:p>
      <w:pPr>
        <w:ind w:left="660" w:right="400" w:hanging="328"/>
        <w:spacing w:after="0" w:line="297" w:lineRule="auto"/>
        <w:tabs>
          <w:tab w:leader="none" w:pos="655" w:val="left"/>
        </w:tabs>
        <w:numPr>
          <w:ilvl w:val="0"/>
          <w:numId w:val="8"/>
        </w:numPr>
        <w:rPr>
          <w:rFonts w:ascii="Arial" w:cs="Arial" w:eastAsia="Arial" w:hAnsi="Arial"/>
          <w:sz w:val="19"/>
          <w:szCs w:val="19"/>
          <w:color w:val="auto"/>
        </w:rPr>
      </w:pPr>
      <w:r>
        <w:rPr>
          <w:rFonts w:ascii="Arial" w:cs="Arial" w:eastAsia="Arial" w:hAnsi="Arial"/>
          <w:sz w:val="16"/>
          <w:szCs w:val="16"/>
          <w:color w:val="auto"/>
        </w:rPr>
        <w:t>uncertainty regarding the timing, pace and extent of an economic recovery in the United States and elsewhere, which in turn will likely affect demand for crude oil and therefore the demand for the midstream services we provide and the commercial opportunities available to us;</w:t>
      </w:r>
    </w:p>
    <w:p>
      <w:pPr>
        <w:spacing w:after="0" w:line="82" w:lineRule="exact"/>
        <w:rPr>
          <w:rFonts w:ascii="Arial" w:cs="Arial" w:eastAsia="Arial" w:hAnsi="Arial"/>
          <w:sz w:val="19"/>
          <w:szCs w:val="19"/>
          <w:color w:val="auto"/>
        </w:rPr>
      </w:pPr>
    </w:p>
    <w:p>
      <w:pPr>
        <w:ind w:left="660" w:right="80" w:hanging="328"/>
        <w:spacing w:after="0" w:line="238"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18"/>
          <w:szCs w:val="18"/>
          <w:color w:val="auto"/>
        </w:rPr>
        <w:t>the effect of an overhang of significant amounts of crude oil inventory stored in the United States and elsewhere and the impact that such inventory overhang ultimately has on the timing of a return to market conditions that are more conducive to an increase in drilling and production activities in the United States and a resulting increase in demand for the midstream services we provide;</w:t>
      </w:r>
    </w:p>
    <w:p>
      <w:pPr>
        <w:spacing w:after="0" w:line="135" w:lineRule="exact"/>
        <w:rPr>
          <w:rFonts w:ascii="Arial" w:cs="Arial" w:eastAsia="Arial" w:hAnsi="Arial"/>
          <w:sz w:val="22"/>
          <w:szCs w:val="22"/>
          <w:color w:val="auto"/>
        </w:rPr>
      </w:pPr>
    </w:p>
    <w:p>
      <w:pPr>
        <w:ind w:left="660" w:hanging="328"/>
        <w:spacing w:after="0" w:line="284" w:lineRule="auto"/>
        <w:tabs>
          <w:tab w:leader="none" w:pos="655" w:val="left"/>
        </w:tabs>
        <w:numPr>
          <w:ilvl w:val="0"/>
          <w:numId w:val="8"/>
        </w:numPr>
        <w:rPr>
          <w:rFonts w:ascii="Arial" w:cs="Arial" w:eastAsia="Arial" w:hAnsi="Arial"/>
          <w:sz w:val="19"/>
          <w:szCs w:val="19"/>
          <w:color w:val="auto"/>
        </w:rPr>
      </w:pPr>
      <w:r>
        <w:rPr>
          <w:rFonts w:ascii="Arial" w:cs="Arial" w:eastAsia="Arial" w:hAnsi="Arial"/>
          <w:sz w:val="16"/>
          <w:szCs w:val="16"/>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100" w:lineRule="exact"/>
        <w:rPr>
          <w:rFonts w:ascii="Arial" w:cs="Arial" w:eastAsia="Arial" w:hAnsi="Arial"/>
          <w:sz w:val="19"/>
          <w:szCs w:val="19"/>
          <w:color w:val="auto"/>
        </w:rPr>
      </w:pPr>
    </w:p>
    <w:p>
      <w:pPr>
        <w:jc w:val="both"/>
        <w:ind w:left="660" w:right="680" w:hanging="328"/>
        <w:spacing w:after="0" w:line="297" w:lineRule="auto"/>
        <w:tabs>
          <w:tab w:leader="none" w:pos="655" w:val="left"/>
        </w:tabs>
        <w:numPr>
          <w:ilvl w:val="0"/>
          <w:numId w:val="8"/>
        </w:numPr>
        <w:rPr>
          <w:rFonts w:ascii="Arial" w:cs="Arial" w:eastAsia="Arial" w:hAnsi="Arial"/>
          <w:sz w:val="19"/>
          <w:szCs w:val="19"/>
          <w:color w:val="auto"/>
        </w:rPr>
      </w:pPr>
      <w:r>
        <w:rPr>
          <w:rFonts w:ascii="Arial" w:cs="Arial" w:eastAsia="Arial" w:hAnsi="Arial"/>
          <w:sz w:val="16"/>
          <w:szCs w:val="16"/>
          <w:color w:val="auto"/>
        </w:rPr>
        <w:t>our inability to perform our obligations under our contracts, whether due to non-performance by third parties, including our customers or counterparties, market constraints, third-party constraints, legal constraints (including governmental orders or guidance), or other factors;</w:t>
      </w:r>
    </w:p>
    <w:p>
      <w:pPr>
        <w:spacing w:after="0" w:line="95" w:lineRule="exact"/>
        <w:rPr>
          <w:rFonts w:ascii="Arial" w:cs="Arial" w:eastAsia="Arial" w:hAnsi="Arial"/>
          <w:sz w:val="19"/>
          <w:szCs w:val="19"/>
          <w:color w:val="auto"/>
        </w:rPr>
      </w:pPr>
    </w:p>
    <w:p>
      <w:pPr>
        <w:ind w:left="5440" w:hanging="106"/>
        <w:spacing w:after="0"/>
        <w:tabs>
          <w:tab w:leader="none" w:pos="5440" w:val="left"/>
        </w:tabs>
        <w:numPr>
          <w:ilvl w:val="1"/>
          <w:numId w:val="8"/>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20"/>
          </w:cols>
          <w:pgMar w:left="320" w:top="368"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Page 8</w:t>
      </w:r>
    </w:p>
    <w:p>
      <w:pPr>
        <w:spacing w:after="0" w:line="200" w:lineRule="exact"/>
        <w:rPr>
          <w:sz w:val="20"/>
          <w:szCs w:val="20"/>
          <w:color w:val="auto"/>
        </w:rPr>
      </w:pPr>
    </w:p>
    <w:p>
      <w:pPr>
        <w:spacing w:after="0" w:line="25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1"/>
          <w:szCs w:val="21"/>
          <w:color w:val="auto"/>
        </w:rPr>
      </w:pPr>
      <w:r>
        <w:rPr>
          <w:rFonts w:ascii="Arial" w:cs="Arial" w:eastAsia="Arial" w:hAnsi="Arial"/>
          <w:sz w:val="17"/>
          <w:szCs w:val="17"/>
          <w:color w:val="auto"/>
        </w:rPr>
        <w:t>operational difficulties due to physical distancing restrictions and the additional demands such restrictions may place on our employees;</w:t>
      </w:r>
    </w:p>
    <w:p>
      <w:pPr>
        <w:spacing w:after="0" w:line="242" w:lineRule="exact"/>
        <w:rPr>
          <w:rFonts w:ascii="Arial" w:cs="Arial" w:eastAsia="Arial" w:hAnsi="Arial"/>
          <w:sz w:val="21"/>
          <w:szCs w:val="21"/>
          <w:color w:val="auto"/>
        </w:rPr>
      </w:pPr>
    </w:p>
    <w:p>
      <w:pPr>
        <w:ind w:left="660" w:right="380" w:hanging="328"/>
        <w:spacing w:after="0" w:line="218"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18"/>
          <w:szCs w:val="18"/>
          <w:color w:val="auto"/>
        </w:rPr>
        <w:t>disruptions to futures markets for crude oil, NGL and other petroleum products, which may impair our ability to execute our commercial and hedging strategies;</w:t>
      </w:r>
    </w:p>
    <w:p>
      <w:pPr>
        <w:spacing w:after="0" w:line="25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18"/>
          <w:szCs w:val="18"/>
          <w:color w:val="auto"/>
        </w:rPr>
        <w:t>our inability to reduce capital expenditures to the extent forecasted, whether due to the incurrence of unexpected or unplanned expenditures, third-party claims or other factors;</w:t>
      </w:r>
    </w:p>
    <w:p>
      <w:pPr>
        <w:spacing w:after="0" w:line="135"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19"/>
          <w:szCs w:val="19"/>
          <w:color w:val="auto"/>
        </w:rPr>
      </w:pPr>
      <w:r>
        <w:rPr>
          <w:rFonts w:ascii="Arial" w:cs="Arial" w:eastAsia="Arial" w:hAnsi="Arial"/>
          <w:sz w:val="16"/>
          <w:szCs w:val="16"/>
          <w:color w:val="auto"/>
        </w:rPr>
        <w:t>the inability to complete forecasted asset sale transactions due to governmental action, litigation, counterparty non-performance or other factors;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Factors:</w:t>
      </w:r>
    </w:p>
    <w:p>
      <w:pPr>
        <w:spacing w:after="0" w:line="27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effects of competition, including the effects of capacity overbuild in areas where we operate;</w:t>
      </w:r>
    </w:p>
    <w:p>
      <w:pPr>
        <w:spacing w:after="0" w:line="134" w:lineRule="exact"/>
        <w:rPr>
          <w:rFonts w:ascii="Arial" w:cs="Arial" w:eastAsia="Arial" w:hAnsi="Arial"/>
          <w:sz w:val="22"/>
          <w:szCs w:val="22"/>
          <w:color w:val="auto"/>
        </w:rPr>
      </w:pPr>
    </w:p>
    <w:p>
      <w:pPr>
        <w:ind w:left="660" w:right="120" w:hanging="328"/>
        <w:spacing w:after="0" w:line="251" w:lineRule="auto"/>
        <w:tabs>
          <w:tab w:leader="none" w:pos="655" w:val="left"/>
        </w:tabs>
        <w:numPr>
          <w:ilvl w:val="0"/>
          <w:numId w:val="10"/>
        </w:numPr>
        <w:rPr>
          <w:rFonts w:ascii="Arial" w:cs="Arial" w:eastAsia="Arial" w:hAnsi="Arial"/>
          <w:sz w:val="21"/>
          <w:szCs w:val="21"/>
          <w:color w:val="auto"/>
        </w:rPr>
      </w:pPr>
      <w:r>
        <w:rPr>
          <w:rFonts w:ascii="Arial" w:cs="Arial" w:eastAsia="Arial" w:hAnsi="Arial"/>
          <w:sz w:val="17"/>
          <w:szCs w:val="17"/>
          <w:color w:val="auto"/>
        </w:rPr>
        <w:t>negative societal sentiment regarding the hydrocarbon energy industry and the continued development and consumption of hydrocarbons, which could influence consumer preferences and governmental or regulatory actions in ways that adversely impact our business;</w:t>
      </w:r>
    </w:p>
    <w:p>
      <w:pPr>
        <w:spacing w:after="0" w:line="100" w:lineRule="exact"/>
        <w:rPr>
          <w:rFonts w:ascii="Arial" w:cs="Arial" w:eastAsia="Arial" w:hAnsi="Arial"/>
          <w:sz w:val="21"/>
          <w:szCs w:val="21"/>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134" w:lineRule="exact"/>
        <w:rPr>
          <w:rFonts w:ascii="Arial" w:cs="Arial" w:eastAsia="Arial" w:hAnsi="Arial"/>
          <w:sz w:val="22"/>
          <w:szCs w:val="22"/>
          <w:color w:val="auto"/>
        </w:rPr>
      </w:pPr>
    </w:p>
    <w:p>
      <w:pPr>
        <w:ind w:left="660" w:right="200" w:hanging="328"/>
        <w:spacing w:after="0" w:line="232"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134" w:lineRule="exact"/>
        <w:rPr>
          <w:rFonts w:ascii="Arial" w:cs="Arial" w:eastAsia="Arial" w:hAnsi="Arial"/>
          <w:sz w:val="22"/>
          <w:szCs w:val="22"/>
          <w:color w:val="auto"/>
        </w:rPr>
      </w:pPr>
    </w:p>
    <w:p>
      <w:pPr>
        <w:ind w:left="660" w:right="40" w:hanging="328"/>
        <w:spacing w:after="0" w:line="232"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occurrence of a natural disaster, catastrophe, terrorist attack (including eco-terrorist attacks) or other event, including cyber or other attacks on our electronic and computer systems;</w:t>
      </w:r>
    </w:p>
    <w:p>
      <w:pPr>
        <w:spacing w:after="0" w:line="135" w:lineRule="exact"/>
        <w:rPr>
          <w:rFonts w:ascii="Arial" w:cs="Arial" w:eastAsia="Arial" w:hAnsi="Arial"/>
          <w:sz w:val="22"/>
          <w:szCs w:val="22"/>
          <w:color w:val="auto"/>
        </w:rPr>
      </w:pPr>
    </w:p>
    <w:p>
      <w:pPr>
        <w:ind w:left="660" w:right="660" w:hanging="328"/>
        <w:spacing w:after="0" w:line="251" w:lineRule="auto"/>
        <w:tabs>
          <w:tab w:leader="none" w:pos="655" w:val="left"/>
        </w:tabs>
        <w:numPr>
          <w:ilvl w:val="0"/>
          <w:numId w:val="10"/>
        </w:numPr>
        <w:rPr>
          <w:rFonts w:ascii="Arial" w:cs="Arial" w:eastAsia="Arial" w:hAnsi="Arial"/>
          <w:sz w:val="21"/>
          <w:szCs w:val="21"/>
          <w:color w:val="auto"/>
        </w:rPr>
      </w:pPr>
      <w:r>
        <w:rPr>
          <w:rFonts w:ascii="Arial" w:cs="Arial" w:eastAsia="Arial" w:hAnsi="Arial"/>
          <w:sz w:val="17"/>
          <w:szCs w:val="17"/>
          <w:color w:val="auto"/>
        </w:rPr>
        <w:t>the successful integration and future performance of acquired assets or businesses and the successful operation of joint ventures and joint operating arrangements we enter into from time to time, whether relating to assets operated by us or by third parties;</w:t>
      </w:r>
    </w:p>
    <w:p>
      <w:pPr>
        <w:spacing w:after="0" w:line="123" w:lineRule="exact"/>
        <w:rPr>
          <w:rFonts w:ascii="Arial" w:cs="Arial" w:eastAsia="Arial" w:hAnsi="Arial"/>
          <w:sz w:val="21"/>
          <w:szCs w:val="21"/>
          <w:color w:val="auto"/>
        </w:rPr>
      </w:pPr>
    </w:p>
    <w:p>
      <w:pPr>
        <w:ind w:left="660" w:right="120" w:hanging="328"/>
        <w:spacing w:after="0" w:line="232"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shortages or cost increases of supplies, materials or labor;</w:t>
      </w:r>
    </w:p>
    <w:p>
      <w:pPr>
        <w:spacing w:after="0" w:line="134" w:lineRule="exact"/>
        <w:rPr>
          <w:rFonts w:ascii="Arial" w:cs="Arial" w:eastAsia="Arial" w:hAnsi="Arial"/>
          <w:sz w:val="22"/>
          <w:szCs w:val="22"/>
          <w:color w:val="auto"/>
        </w:rPr>
      </w:pPr>
    </w:p>
    <w:p>
      <w:pPr>
        <w:ind w:left="660" w:right="640" w:hanging="328"/>
        <w:spacing w:after="0" w:line="271"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impact of current and future laws, rulings, governmental regulations, accounting standards and statements, and related interpretations, including legislation or regulatory initiatives that prohibit, restrict or regulate hydraulic fracturing;</w:t>
      </w:r>
    </w:p>
    <w:p>
      <w:pPr>
        <w:spacing w:after="0" w:line="101" w:lineRule="exact"/>
        <w:rPr>
          <w:rFonts w:ascii="Arial" w:cs="Arial" w:eastAsia="Arial" w:hAnsi="Arial"/>
          <w:sz w:val="22"/>
          <w:szCs w:val="22"/>
          <w:color w:val="auto"/>
        </w:rPr>
      </w:pPr>
    </w:p>
    <w:p>
      <w:pPr>
        <w:ind w:left="660" w:right="380" w:hanging="328"/>
        <w:spacing w:after="0" w:line="297" w:lineRule="auto"/>
        <w:tabs>
          <w:tab w:leader="none" w:pos="655" w:val="left"/>
        </w:tabs>
        <w:numPr>
          <w:ilvl w:val="0"/>
          <w:numId w:val="10"/>
        </w:numPr>
        <w:rPr>
          <w:rFonts w:ascii="Arial" w:cs="Arial" w:eastAsia="Arial" w:hAnsi="Arial"/>
          <w:sz w:val="19"/>
          <w:szCs w:val="19"/>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82" w:lineRule="exact"/>
        <w:rPr>
          <w:rFonts w:ascii="Arial" w:cs="Arial" w:eastAsia="Arial" w:hAnsi="Arial"/>
          <w:sz w:val="19"/>
          <w:szCs w:val="19"/>
          <w:color w:val="auto"/>
        </w:rPr>
      </w:pPr>
    </w:p>
    <w:p>
      <w:pPr>
        <w:ind w:left="660" w:right="40" w:hanging="328"/>
        <w:spacing w:after="0" w:line="238"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general economic, market or business conditions (both within the United States and globally and including the potential for a recession or significant slowdown in economic activity levels) and the amplification of other risks caused by volatile financial markets, capital constraints and liquidity concerns;</w:t>
      </w:r>
    </w:p>
    <w:p>
      <w:pPr>
        <w:spacing w:after="0" w:line="112"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availability of, and our ability to consummate, divestitures, joint ventures, acquisitions or other strategic opportunities;</w:t>
      </w:r>
    </w:p>
    <w:p>
      <w:pPr>
        <w:spacing w:after="0" w:line="147" w:lineRule="exact"/>
        <w:rPr>
          <w:rFonts w:ascii="Arial" w:cs="Arial" w:eastAsia="Arial" w:hAnsi="Arial"/>
          <w:sz w:val="22"/>
          <w:szCs w:val="22"/>
          <w:color w:val="auto"/>
        </w:rPr>
      </w:pPr>
    </w:p>
    <w:p>
      <w:pPr>
        <w:ind w:left="5440" w:hanging="106"/>
        <w:spacing w:after="0"/>
        <w:tabs>
          <w:tab w:leader="none" w:pos="54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180"/>
          </w:cols>
          <w:pgMar w:left="320" w:top="368" w:right="39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Page 9</w:t>
      </w:r>
    </w:p>
    <w:p>
      <w:pPr>
        <w:spacing w:after="0" w:line="200" w:lineRule="exact"/>
        <w:rPr>
          <w:sz w:val="20"/>
          <w:szCs w:val="20"/>
          <w:color w:val="auto"/>
        </w:rPr>
      </w:pPr>
    </w:p>
    <w:p>
      <w:pPr>
        <w:spacing w:after="0" w:line="25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currency exchange rate of the Canadian dollar;</w:t>
      </w:r>
    </w:p>
    <w:p>
      <w:pPr>
        <w:spacing w:after="0" w:line="134" w:lineRule="exact"/>
        <w:rPr>
          <w:rFonts w:ascii="Arial" w:cs="Arial" w:eastAsia="Arial" w:hAnsi="Arial"/>
          <w:sz w:val="22"/>
          <w:szCs w:val="22"/>
          <w:color w:val="auto"/>
        </w:rPr>
      </w:pPr>
    </w:p>
    <w:p>
      <w:pPr>
        <w:ind w:left="660" w:right="80" w:hanging="328"/>
        <w:spacing w:after="0" w:line="232"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35"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non-utilization of our assets and facilities;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increased costs, or lack of availability, of insurance;</w:t>
      </w:r>
    </w:p>
    <w:p>
      <w:pPr>
        <w:spacing w:after="0" w:line="123"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1"/>
          <w:szCs w:val="21"/>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111" w:lineRule="exact"/>
        <w:rPr>
          <w:rFonts w:ascii="Arial" w:cs="Arial" w:eastAsia="Arial" w:hAnsi="Arial"/>
          <w:sz w:val="21"/>
          <w:szCs w:val="21"/>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effectiveness of our risk management activities;</w:t>
      </w:r>
    </w:p>
    <w:p>
      <w:pPr>
        <w:spacing w:after="0" w:line="123"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1"/>
          <w:szCs w:val="21"/>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134" w:lineRule="exact"/>
        <w:rPr>
          <w:rFonts w:ascii="Arial" w:cs="Arial" w:eastAsia="Arial" w:hAnsi="Arial"/>
          <w:sz w:val="21"/>
          <w:szCs w:val="21"/>
          <w:color w:val="auto"/>
        </w:rPr>
      </w:pPr>
    </w:p>
    <w:p>
      <w:pPr>
        <w:ind w:left="660" w:hanging="328"/>
        <w:spacing w:after="0"/>
        <w:tabs>
          <w:tab w:leader="none" w:pos="660" w:val="left"/>
        </w:tabs>
        <w:numPr>
          <w:ilvl w:val="0"/>
          <w:numId w:val="11"/>
        </w:numPr>
        <w:rPr>
          <w:rFonts w:ascii="Arial" w:cs="Arial" w:eastAsia="Arial" w:hAnsi="Arial"/>
          <w:sz w:val="19"/>
          <w:szCs w:val="19"/>
          <w:color w:val="auto"/>
        </w:rPr>
      </w:pPr>
      <w:r>
        <w:rPr>
          <w:rFonts w:ascii="Arial" w:cs="Arial" w:eastAsia="Arial" w:hAnsi="Arial"/>
          <w:sz w:val="16"/>
          <w:szCs w:val="16"/>
          <w:color w:val="auto"/>
        </w:rPr>
        <w:t>risks related to the development and operation of our assets, including our ability to satisfy our contractual obligations to our customers; and</w:t>
      </w:r>
    </w:p>
    <w:p>
      <w:pPr>
        <w:spacing w:after="0" w:line="146" w:lineRule="exact"/>
        <w:rPr>
          <w:rFonts w:ascii="Arial" w:cs="Arial" w:eastAsia="Arial" w:hAnsi="Arial"/>
          <w:sz w:val="19"/>
          <w:szCs w:val="19"/>
          <w:color w:val="auto"/>
        </w:rPr>
      </w:pPr>
    </w:p>
    <w:p>
      <w:pPr>
        <w:ind w:left="660" w:right="60" w:hanging="328"/>
        <w:spacing w:after="0" w:line="238"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NGL as discussed in the Partnerships’ filings with the Securities and Exchange Commission.</w:t>
      </w:r>
    </w:p>
    <w:p>
      <w:pPr>
        <w:spacing w:after="0" w:line="20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PAA is a publicly traded master limited partnership that owns and operates midstream energy infrastructure and provides logistics services for crude oil, NGL and natural gas. PAA owns an extensive network of pipeline transportation, terminalling, storage and gathering assets in key crude oil and NGL producing basins and transportation corridors and at major market hubs in the United States and Canada. On average, PAA handles more than 6 million barrels per day of crude oil and NGL in its Transportation segment. PAA is headquartered in Houston, Texas. More information is available at www.plainsallamerican.com.</w:t>
      </w:r>
    </w:p>
    <w:p>
      <w:pPr>
        <w:spacing w:after="0" w:line="215" w:lineRule="exact"/>
        <w:rPr>
          <w:sz w:val="20"/>
          <w:szCs w:val="20"/>
          <w:color w:val="auto"/>
        </w:rPr>
      </w:pPr>
    </w:p>
    <w:p>
      <w:pPr>
        <w:jc w:val="both"/>
        <w:ind w:right="400" w:firstLine="360"/>
        <w:spacing w:after="0" w:line="263" w:lineRule="auto"/>
        <w:rPr>
          <w:sz w:val="20"/>
          <w:szCs w:val="20"/>
          <w:color w:val="auto"/>
        </w:rPr>
      </w:pPr>
      <w:r>
        <w:rPr>
          <w:rFonts w:ascii="Arial" w:cs="Arial" w:eastAsia="Arial" w:hAnsi="Arial"/>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spacing w:after="0" w:line="2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080"/>
          </w:cols>
          <w:pgMar w:left="320" w:top="368" w:right="49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Page 10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21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left="433"/>
              <w:spacing w:after="0"/>
              <w:rPr>
                <w:sz w:val="20"/>
                <w:szCs w:val="20"/>
                <w:color w:val="auto"/>
              </w:rPr>
            </w:pPr>
            <w:r>
              <w:rPr>
                <w:rFonts w:ascii="Arial" w:cs="Arial" w:eastAsia="Arial" w:hAnsi="Arial"/>
                <w:sz w:val="14"/>
                <w:szCs w:val="14"/>
                <w:b w:val="1"/>
                <w:bCs w:val="1"/>
                <w:color w:val="auto"/>
                <w:w w:val="89"/>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473"/>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2800" w:type="dxa"/>
            <w:vAlign w:val="bottom"/>
            <w:tcBorders>
              <w:bottom w:val="single" w:sz="8" w:color="CCEEFF"/>
            </w:tcBorders>
          </w:tcPr>
          <w:p>
            <w:pPr>
              <w:spacing w:after="0"/>
              <w:rPr>
                <w:sz w:val="17"/>
                <w:szCs w:val="17"/>
                <w:color w:val="auto"/>
              </w:rPr>
            </w:pPr>
          </w:p>
        </w:tc>
        <w:tc>
          <w:tcPr>
            <w:tcW w:w="1900" w:type="dxa"/>
            <w:vAlign w:val="bottom"/>
            <w:tcBorders>
              <w:bottom w:val="single" w:sz="8" w:color="CCEEFF"/>
            </w:tcBorders>
          </w:tcPr>
          <w:p>
            <w:pPr>
              <w:spacing w:after="0"/>
              <w:rPr>
                <w:sz w:val="17"/>
                <w:szCs w:val="17"/>
                <w:color w:val="auto"/>
              </w:rPr>
            </w:pPr>
          </w:p>
        </w:tc>
        <w:tc>
          <w:tcPr>
            <w:tcW w:w="15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8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3,225</w:t>
            </w:r>
          </w:p>
        </w:tc>
        <w:tc>
          <w:tcPr>
            <w:tcW w:w="4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8,253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11,494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16,628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5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Purchases and related costs</w:t>
            </w:r>
          </w:p>
        </w:tc>
        <w:tc>
          <w:tcPr>
            <w:tcW w:w="1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2,525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7,244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9,893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14,362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15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667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1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5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(Gains)/losses on asset sales and asset impairments, net</w:t>
            </w:r>
          </w:p>
        </w:tc>
        <w:tc>
          <w:tcPr>
            <w:tcW w:w="1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Goodwill impairment losses</w:t>
            </w:r>
          </w:p>
        </w:tc>
        <w:tc>
          <w:tcPr>
            <w:tcW w:w="15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2,515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Total costs and expenses</w:t>
            </w:r>
          </w:p>
        </w:tc>
        <w:tc>
          <w:tcPr>
            <w:tcW w:w="15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3,015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7,802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14,057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15,463</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INCOME/(LOSS)</w:t>
            </w:r>
          </w:p>
        </w:tc>
        <w:tc>
          <w:tcPr>
            <w:tcW w:w="1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(2,563)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1,165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OTHER INCOME/(EXPENSE)</w:t>
            </w:r>
          </w:p>
        </w:tc>
        <w:tc>
          <w:tcPr>
            <w:tcW w:w="1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5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80" w:type="dxa"/>
            <w:vAlign w:val="bottom"/>
            <w:gridSpan w:val="4"/>
          </w:tcPr>
          <w:p>
            <w:pPr>
              <w:spacing w:after="0"/>
              <w:rPr>
                <w:sz w:val="20"/>
                <w:szCs w:val="20"/>
                <w:color w:val="auto"/>
              </w:rPr>
            </w:pPr>
            <w:r>
              <w:rPr>
                <w:rFonts w:ascii="Arial" w:cs="Arial" w:eastAsia="Arial" w:hAnsi="Arial"/>
                <w:sz w:val="18"/>
                <w:szCs w:val="18"/>
                <w:color w:val="auto"/>
              </w:rPr>
              <w:t>Gain on/(impairment of) investments in unconsolidated entities, net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267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5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Other income/(expense), net</w:t>
            </w:r>
          </w:p>
        </w:tc>
        <w:tc>
          <w:tcPr>
            <w:tcW w:w="1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INCOME/(LOSS) BEFORE TAX</w:t>
            </w:r>
          </w:p>
        </w:tc>
        <w:tc>
          <w:tcPr>
            <w:tcW w:w="1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(2,691)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1,419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15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Deferred income tax benefit</w:t>
            </w:r>
          </w:p>
        </w:tc>
        <w:tc>
          <w:tcPr>
            <w:tcW w:w="1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NET INCOME/(LOSS)</w:t>
            </w:r>
          </w:p>
        </w:tc>
        <w:tc>
          <w:tcPr>
            <w:tcW w:w="1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(2,701)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1,418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156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NET INCOME/(LOSS) ATTRIBUTABLE TO PAA</w:t>
            </w:r>
          </w:p>
        </w:tc>
        <w:tc>
          <w:tcPr>
            <w:tcW w:w="18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142</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(2,705)</w:t>
            </w:r>
          </w:p>
        </w:tc>
        <w:tc>
          <w:tcPr>
            <w:tcW w:w="1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1,416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NET INCOME/(LOSS) PER COMMON UNIT:</w:t>
            </w:r>
          </w:p>
        </w:tc>
        <w:tc>
          <w:tcPr>
            <w:tcW w:w="1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Net income/(loss) allocated to common unitholders — Basic</w:t>
            </w:r>
          </w:p>
        </w:tc>
        <w:tc>
          <w:tcPr>
            <w:tcW w:w="1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92</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(2,805)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1,311</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700" w:type="dxa"/>
            <w:vAlign w:val="bottom"/>
            <w:gridSpan w:val="2"/>
          </w:tcPr>
          <w:p>
            <w:pPr>
              <w:ind w:left="120"/>
              <w:spacing w:after="0"/>
              <w:rPr>
                <w:sz w:val="20"/>
                <w:szCs w:val="20"/>
                <w:color w:val="auto"/>
              </w:rPr>
            </w:pPr>
            <w:r>
              <w:rPr>
                <w:rFonts w:ascii="Arial" w:cs="Arial" w:eastAsia="Arial" w:hAnsi="Arial"/>
                <w:sz w:val="18"/>
                <w:szCs w:val="18"/>
                <w:color w:val="auto"/>
              </w:rPr>
              <w:t>Basic weighted average common units outstanding</w:t>
            </w:r>
          </w:p>
        </w:tc>
        <w:tc>
          <w:tcPr>
            <w:tcW w:w="1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727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4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Basic net income/(loss) per common unit</w:t>
            </w:r>
          </w:p>
        </w:tc>
        <w:tc>
          <w:tcPr>
            <w:tcW w:w="1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0.13</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1.80</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Net income/(loss) allocated to common unitholders — Diluted</w:t>
            </w:r>
          </w:p>
        </w:tc>
        <w:tc>
          <w:tcPr>
            <w:tcW w:w="1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92</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(2,805)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1,389</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700" w:type="dxa"/>
            <w:vAlign w:val="bottom"/>
            <w:gridSpan w:val="2"/>
          </w:tcPr>
          <w:p>
            <w:pPr>
              <w:ind w:left="120"/>
              <w:spacing w:after="0"/>
              <w:rPr>
                <w:sz w:val="20"/>
                <w:szCs w:val="20"/>
                <w:color w:val="auto"/>
              </w:rPr>
            </w:pPr>
            <w:r>
              <w:rPr>
                <w:rFonts w:ascii="Arial" w:cs="Arial" w:eastAsia="Arial" w:hAnsi="Arial"/>
                <w:sz w:val="18"/>
                <w:szCs w:val="18"/>
                <w:color w:val="auto"/>
              </w:rPr>
              <w:t>Diluted weighted average common units outstanding</w:t>
            </w:r>
          </w:p>
        </w:tc>
        <w:tc>
          <w:tcPr>
            <w:tcW w:w="1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4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Diluted net income/(loss) per common unit</w:t>
            </w:r>
          </w:p>
        </w:tc>
        <w:tc>
          <w:tcPr>
            <w:tcW w:w="1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0.13</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1.74</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NON-GAAP ADJUSTED RESULTS</w:t>
            </w:r>
          </w:p>
        </w:tc>
        <w:tc>
          <w:tcPr>
            <w:tcW w:w="1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720" w:type="dxa"/>
            <w:vAlign w:val="bottom"/>
            <w:gridSpan w:val="3"/>
            <w:vMerge w:val="continue"/>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 except per unit data)</w:t>
            </w:r>
          </w:p>
        </w:tc>
        <w:tc>
          <w:tcPr>
            <w:tcW w:w="1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5"/>
                <w:szCs w:val="15"/>
                <w:color w:val="auto"/>
              </w:rPr>
            </w:pPr>
          </w:p>
        </w:tc>
        <w:tc>
          <w:tcPr>
            <w:tcW w:w="21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left="433"/>
              <w:spacing w:after="0"/>
              <w:rPr>
                <w:sz w:val="20"/>
                <w:szCs w:val="20"/>
                <w:color w:val="auto"/>
              </w:rPr>
            </w:pPr>
            <w:r>
              <w:rPr>
                <w:rFonts w:ascii="Arial" w:cs="Arial" w:eastAsia="Arial" w:hAnsi="Arial"/>
                <w:sz w:val="14"/>
                <w:szCs w:val="14"/>
                <w:b w:val="1"/>
                <w:bCs w:val="1"/>
                <w:color w:val="auto"/>
                <w:w w:val="89"/>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473"/>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2800" w:type="dxa"/>
            <w:vAlign w:val="bottom"/>
            <w:tcBorders>
              <w:bottom w:val="single" w:sz="8" w:color="CCEEFF"/>
            </w:tcBorders>
          </w:tcPr>
          <w:p>
            <w:pPr>
              <w:spacing w:after="0"/>
              <w:rPr>
                <w:sz w:val="17"/>
                <w:szCs w:val="17"/>
                <w:color w:val="auto"/>
              </w:rPr>
            </w:pPr>
          </w:p>
        </w:tc>
        <w:tc>
          <w:tcPr>
            <w:tcW w:w="1900" w:type="dxa"/>
            <w:vAlign w:val="bottom"/>
            <w:tcBorders>
              <w:bottom w:val="single" w:sz="8" w:color="CCEEFF"/>
            </w:tcBorders>
          </w:tcPr>
          <w:p>
            <w:pPr>
              <w:spacing w:after="0"/>
              <w:rPr>
                <w:sz w:val="17"/>
                <w:szCs w:val="17"/>
                <w:color w:val="auto"/>
              </w:rPr>
            </w:pPr>
          </w:p>
        </w:tc>
        <w:tc>
          <w:tcPr>
            <w:tcW w:w="15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net income attributable to PAA</w:t>
            </w:r>
          </w:p>
        </w:tc>
        <w:tc>
          <w:tcPr>
            <w:tcW w:w="15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1,116</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0" w:type="dxa"/>
            <w:vAlign w:val="bottom"/>
            <w:tcBorders>
              <w:bottom w:val="single" w:sz="8" w:color="CCEEFF"/>
            </w:tcBorders>
            <w:shd w:val="clear" w:color="auto" w:fill="CCEEFF"/>
          </w:tcPr>
          <w:p>
            <w:pPr>
              <w:spacing w:after="0"/>
              <w:rPr>
                <w:sz w:val="24"/>
                <w:szCs w:val="24"/>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15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0.81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1.36</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0" w:type="dxa"/>
            <w:vAlign w:val="bottom"/>
            <w:tcBorders>
              <w:bottom w:val="single" w:sz="8" w:color="CCEEFF"/>
            </w:tcBorders>
            <w:shd w:val="clear" w:color="auto" w:fill="CCEEFF"/>
          </w:tcPr>
          <w:p>
            <w:pPr>
              <w:spacing w:after="0"/>
              <w:rPr>
                <w:sz w:val="24"/>
                <w:szCs w:val="24"/>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5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1,646</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80" w:type="dxa"/>
            <w:vAlign w:val="bottom"/>
            <w:gridSpan w:val="2"/>
          </w:tcPr>
          <w:p>
            <w:pPr>
              <w:jc w:val="right"/>
              <w:ind w:right="590"/>
              <w:spacing w:after="0"/>
              <w:rPr>
                <w:sz w:val="20"/>
                <w:szCs w:val="20"/>
                <w:color w:val="auto"/>
              </w:rPr>
            </w:pPr>
            <w:r>
              <w:rPr>
                <w:rFonts w:ascii="Arial" w:cs="Arial" w:eastAsia="Arial" w:hAnsi="Arial"/>
                <w:sz w:val="18"/>
                <w:szCs w:val="18"/>
                <w:color w:val="auto"/>
              </w:rPr>
              <w:t>- more -</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Borders>
              <w:bottom w:val="single" w:sz="8" w:color="auto"/>
            </w:tcBorders>
            <w:gridSpan w:val="2"/>
          </w:tcPr>
          <w:p>
            <w:pPr>
              <w:spacing w:after="0"/>
              <w:rPr>
                <w:sz w:val="11"/>
                <w:szCs w:val="11"/>
                <w:color w:val="auto"/>
              </w:rPr>
            </w:pPr>
          </w:p>
        </w:tc>
        <w:tc>
          <w:tcPr>
            <w:tcW w:w="1880" w:type="dxa"/>
            <w:vAlign w:val="bottom"/>
            <w:tcBorders>
              <w:bottom w:val="single" w:sz="8" w:color="auto"/>
            </w:tcBorders>
            <w:gridSpan w:val="2"/>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gridSpan w:val="6"/>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700" w:type="dxa"/>
            <w:vAlign w:val="bottom"/>
            <w:gridSpan w:val="2"/>
          </w:tcPr>
          <w:p>
            <w:pPr>
              <w:ind w:left="1680"/>
              <w:spacing w:after="0"/>
              <w:rPr>
                <w:sz w:val="20"/>
                <w:szCs w:val="20"/>
                <w:color w:val="auto"/>
              </w:rPr>
            </w:pPr>
            <w:r>
              <w:rPr>
                <w:rFonts w:ascii="Arial" w:cs="Arial" w:eastAsia="Arial" w:hAnsi="Arial"/>
                <w:sz w:val="18"/>
                <w:szCs w:val="18"/>
                <w:b w:val="1"/>
                <w:bCs w:val="1"/>
                <w:color w:val="auto"/>
              </w:rPr>
              <w:t>333 Clay Street, Suite 1600</w:t>
            </w:r>
          </w:p>
        </w:tc>
        <w:tc>
          <w:tcPr>
            <w:tcW w:w="18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2"/>
              </w:rPr>
              <w:t>Houston, Texas 77002</w:t>
            </w:r>
          </w:p>
        </w:tc>
        <w:tc>
          <w:tcPr>
            <w:tcW w:w="840" w:type="dxa"/>
            <w:vAlign w:val="bottom"/>
          </w:tcPr>
          <w:p>
            <w:pPr>
              <w:spacing w:after="0"/>
              <w:rPr>
                <w:sz w:val="24"/>
                <w:szCs w:val="24"/>
                <w:color w:val="auto"/>
              </w:rPr>
            </w:pPr>
          </w:p>
        </w:tc>
        <w:tc>
          <w:tcPr>
            <w:tcW w:w="2540" w:type="dxa"/>
            <w:vAlign w:val="bottom"/>
            <w:gridSpan w:val="6"/>
          </w:tcPr>
          <w:p>
            <w:pPr>
              <w:jc w:val="right"/>
              <w:ind w:right="193"/>
              <w:spacing w:after="0"/>
              <w:rPr>
                <w:sz w:val="20"/>
                <w:szCs w:val="20"/>
                <w:color w:val="auto"/>
              </w:rPr>
            </w:pPr>
            <w:r>
              <w:rPr>
                <w:rFonts w:ascii="Arial" w:cs="Arial" w:eastAsia="Arial" w:hAnsi="Arial"/>
                <w:sz w:val="18"/>
                <w:szCs w:val="18"/>
                <w:b w:val="1"/>
                <w:bCs w:val="1"/>
                <w:color w:val="auto"/>
                <w:w w:val="93"/>
              </w:rPr>
              <w:t>713-646-4100 / 866-809-1291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8" w:right="339" w:bottom="514"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Page 11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17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2820" w:type="dxa"/>
            <w:vAlign w:val="bottom"/>
            <w:tcBorders>
              <w:bottom w:val="single" w:sz="8" w:color="CCEEFF"/>
            </w:tcBorders>
          </w:tcPr>
          <w:p>
            <w:pPr>
              <w:spacing w:after="0"/>
              <w:rPr>
                <w:sz w:val="16"/>
                <w:szCs w:val="16"/>
                <w:color w:val="auto"/>
              </w:rPr>
            </w:pPr>
          </w:p>
        </w:tc>
        <w:tc>
          <w:tcPr>
            <w:tcW w:w="54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3,161</w:t>
            </w:r>
          </w:p>
        </w:tc>
        <w:tc>
          <w:tcPr>
            <w:tcW w:w="80" w:type="dxa"/>
            <w:vAlign w:val="bottom"/>
          </w:tcPr>
          <w:p>
            <w:pPr>
              <w:spacing w:after="0"/>
              <w:rPr>
                <w:sz w:val="21"/>
                <w:szCs w:val="21"/>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4,612</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14,600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15,355</w:t>
            </w:r>
          </w:p>
        </w:tc>
        <w:tc>
          <w:tcPr>
            <w:tcW w:w="0" w:type="dxa"/>
            <w:vAlign w:val="bottom"/>
          </w:tcPr>
          <w:p>
            <w:pPr>
              <w:spacing w:after="0"/>
              <w:rPr>
                <w:sz w:val="1"/>
                <w:szCs w:val="1"/>
                <w:color w:val="auto"/>
              </w:rPr>
            </w:pP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Investments in unconsolidated entities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3,781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3,683</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Linefill and base gas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operating lease right-of-use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Long-term inventory</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assets, net</w:t>
            </w: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63"/>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24,037</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28,677</w:t>
            </w:r>
          </w:p>
        </w:tc>
        <w:tc>
          <w:tcPr>
            <w:tcW w:w="0" w:type="dxa"/>
            <w:vAlign w:val="bottom"/>
          </w:tcPr>
          <w:p>
            <w:pPr>
              <w:spacing w:after="0"/>
              <w:rPr>
                <w:sz w:val="1"/>
                <w:szCs w:val="1"/>
                <w:color w:val="auto"/>
              </w:rPr>
            </w:pP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820" w:type="dxa"/>
            <w:vAlign w:val="bottom"/>
            <w:shd w:val="clear" w:color="auto" w:fill="CCEEFF"/>
          </w:tcPr>
          <w:p>
            <w:pPr>
              <w:spacing w:after="0"/>
              <w:rPr>
                <w:sz w:val="14"/>
                <w:szCs w:val="14"/>
                <w:color w:val="auto"/>
              </w:rPr>
            </w:pPr>
          </w:p>
        </w:tc>
        <w:tc>
          <w:tcPr>
            <w:tcW w:w="5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PARTNERS’ CAPITAL</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5,017</w:t>
            </w:r>
          </w:p>
        </w:tc>
        <w:tc>
          <w:tcPr>
            <w:tcW w:w="0" w:type="dxa"/>
            <w:vAlign w:val="bottom"/>
          </w:tcPr>
          <w:p>
            <w:pPr>
              <w:spacing w:after="0"/>
              <w:rPr>
                <w:sz w:val="1"/>
                <w:szCs w:val="1"/>
                <w:color w:val="auto"/>
              </w:rPr>
            </w:pP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Senior notes, net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9,067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8,939</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debt, net</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Long-term operating lease liabilities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 and deferred credits</w:t>
            </w: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64"/>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14,235</w:t>
            </w:r>
          </w:p>
        </w:tc>
        <w:tc>
          <w:tcPr>
            <w:tcW w:w="8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15,482</w:t>
            </w: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spacing w:after="0"/>
              <w:rPr>
                <w:sz w:val="17"/>
                <w:szCs w:val="17"/>
                <w:color w:val="auto"/>
              </w:rPr>
            </w:pPr>
          </w:p>
        </w:tc>
        <w:tc>
          <w:tcPr>
            <w:tcW w:w="5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Partners’ capital excluding noncontrolling interests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9,659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13,062</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7"/>
        </w:trPr>
        <w:tc>
          <w:tcPr>
            <w:tcW w:w="8240" w:type="dxa"/>
            <w:vAlign w:val="bottom"/>
            <w:gridSpan w:val="2"/>
          </w:tcPr>
          <w:p>
            <w:pPr>
              <w:ind w:left="120"/>
              <w:spacing w:after="0"/>
              <w:rPr>
                <w:sz w:val="20"/>
                <w:szCs w:val="20"/>
                <w:color w:val="auto"/>
              </w:rPr>
            </w:pPr>
            <w:r>
              <w:rPr>
                <w:rFonts w:ascii="Arial" w:cs="Arial" w:eastAsia="Arial" w:hAnsi="Arial"/>
                <w:sz w:val="18"/>
                <w:szCs w:val="18"/>
                <w:color w:val="auto"/>
              </w:rPr>
              <w:t>Total partners’ capital</w:t>
            </w:r>
          </w:p>
        </w:tc>
        <w:tc>
          <w:tcPr>
            <w:tcW w:w="1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9,802</w:t>
            </w:r>
          </w:p>
        </w:tc>
        <w:tc>
          <w:tcPr>
            <w:tcW w:w="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13,195</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 and partners’ capital</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24,037</w:t>
            </w:r>
          </w:p>
        </w:tc>
        <w:tc>
          <w:tcPr>
            <w:tcW w:w="80" w:type="dxa"/>
            <w:vAlign w:val="bottom"/>
            <w:shd w:val="clear" w:color="auto" w:fill="CCEEFF"/>
          </w:tcPr>
          <w:p>
            <w:pPr>
              <w:spacing w:after="0"/>
              <w:rPr>
                <w:sz w:val="24"/>
                <w:szCs w:val="24"/>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28,677</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82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 millions)</w:t>
            </w:r>
          </w:p>
        </w:tc>
        <w:tc>
          <w:tcPr>
            <w:tcW w:w="5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8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212"/>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2820" w:type="dxa"/>
            <w:vAlign w:val="bottom"/>
            <w:tcBorders>
              <w:bottom w:val="single" w:sz="8" w:color="CCEEFF"/>
            </w:tcBorders>
          </w:tcPr>
          <w:p>
            <w:pPr>
              <w:spacing w:after="0"/>
              <w:rPr>
                <w:sz w:val="16"/>
                <w:szCs w:val="16"/>
                <w:color w:val="auto"/>
              </w:rPr>
            </w:pPr>
          </w:p>
        </w:tc>
        <w:tc>
          <w:tcPr>
            <w:tcW w:w="54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729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9,393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9,187</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8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10,122</w:t>
            </w:r>
          </w:p>
        </w:tc>
        <w:tc>
          <w:tcPr>
            <w:tcW w:w="80" w:type="dxa"/>
            <w:vAlign w:val="bottom"/>
            <w:shd w:val="clear" w:color="auto" w:fill="CCEEFF"/>
          </w:tcPr>
          <w:p>
            <w:pPr>
              <w:spacing w:after="0"/>
              <w:rPr>
                <w:sz w:val="24"/>
                <w:szCs w:val="24"/>
                <w:color w:val="auto"/>
              </w:rPr>
            </w:pPr>
          </w:p>
        </w:tc>
        <w:tc>
          <w:tcPr>
            <w:tcW w:w="2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9,691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8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9,393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9,187</w:t>
            </w:r>
          </w:p>
        </w:tc>
        <w:tc>
          <w:tcPr>
            <w:tcW w:w="0" w:type="dxa"/>
            <w:vAlign w:val="bottom"/>
          </w:tcPr>
          <w:p>
            <w:pPr>
              <w:spacing w:after="0"/>
              <w:rPr>
                <w:sz w:val="1"/>
                <w:szCs w:val="1"/>
                <w:color w:val="auto"/>
              </w:rPr>
            </w:pP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Partners’ capital</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9,802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13,195</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book capitalization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19,195</w:t>
            </w: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22,382</w:t>
            </w:r>
          </w:p>
        </w:tc>
        <w:tc>
          <w:tcPr>
            <w:tcW w:w="0" w:type="dxa"/>
            <w:vAlign w:val="bottom"/>
          </w:tcPr>
          <w:p>
            <w:pPr>
              <w:spacing w:after="0"/>
              <w:rPr>
                <w:sz w:val="1"/>
                <w:szCs w:val="1"/>
                <w:color w:val="auto"/>
              </w:rPr>
            </w:pPr>
          </w:p>
        </w:tc>
      </w:tr>
      <w:tr>
        <w:trPr>
          <w:trHeight w:val="20"/>
        </w:trPr>
        <w:tc>
          <w:tcPr>
            <w:tcW w:w="824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240" w:type="dxa"/>
            <w:vAlign w:val="bottom"/>
            <w:gridSpan w:val="2"/>
          </w:tcPr>
          <w:p>
            <w:pPr>
              <w:ind w:left="360"/>
              <w:spacing w:after="0"/>
              <w:rPr>
                <w:sz w:val="20"/>
                <w:szCs w:val="20"/>
                <w:color w:val="auto"/>
              </w:rPr>
            </w:pPr>
            <w:r>
              <w:rPr>
                <w:rFonts w:ascii="Arial" w:cs="Arial" w:eastAsia="Arial" w:hAnsi="Arial"/>
                <w:sz w:val="18"/>
                <w:szCs w:val="18"/>
                <w:color w:val="auto"/>
              </w:rPr>
              <w:t>Total book capitalization, including short-term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19,924</w:t>
            </w:r>
          </w:p>
        </w:tc>
        <w:tc>
          <w:tcPr>
            <w:tcW w:w="80" w:type="dxa"/>
            <w:vAlign w:val="bottom"/>
          </w:tcPr>
          <w:p>
            <w:pPr>
              <w:spacing w:after="0"/>
              <w:rPr>
                <w:sz w:val="21"/>
                <w:szCs w:val="21"/>
                <w:color w:val="auto"/>
              </w:rPr>
            </w:pPr>
          </w:p>
        </w:tc>
        <w:tc>
          <w:tcPr>
            <w:tcW w:w="2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22,886</w:t>
            </w:r>
          </w:p>
        </w:tc>
        <w:tc>
          <w:tcPr>
            <w:tcW w:w="0" w:type="dxa"/>
            <w:vAlign w:val="bottom"/>
          </w:tcPr>
          <w:p>
            <w:pPr>
              <w:spacing w:after="0"/>
              <w:rPr>
                <w:sz w:val="1"/>
                <w:szCs w:val="1"/>
                <w:color w:val="auto"/>
              </w:rPr>
            </w:pP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shd w:val="clear" w:color="auto" w:fill="CCEEFF"/>
          </w:tcPr>
          <w:p>
            <w:pPr>
              <w:spacing w:after="0"/>
              <w:rPr>
                <w:sz w:val="15"/>
                <w:szCs w:val="15"/>
                <w:color w:val="auto"/>
              </w:rPr>
            </w:pPr>
          </w:p>
        </w:tc>
        <w:tc>
          <w:tcPr>
            <w:tcW w:w="5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Long-term debt-to-total book capitalization</w:t>
            </w:r>
          </w:p>
        </w:tc>
        <w:tc>
          <w:tcPr>
            <w:tcW w:w="2260" w:type="dxa"/>
            <w:vAlign w:val="bottom"/>
          </w:tcPr>
          <w:p>
            <w:pPr>
              <w:spacing w:after="0"/>
              <w:rPr>
                <w:sz w:val="20"/>
                <w:szCs w:val="20"/>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49</w:t>
            </w:r>
          </w:p>
        </w:tc>
        <w:tc>
          <w:tcPr>
            <w:tcW w:w="78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Total debt-to-total book capitalization, including short-term debt</w:t>
            </w:r>
          </w:p>
        </w:tc>
        <w:tc>
          <w:tcPr>
            <w:tcW w:w="226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7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CCEEFF"/>
            </w:tcBorders>
            <w:shd w:val="clear" w:color="auto" w:fill="CCEEFF"/>
          </w:tcPr>
          <w:p>
            <w:pPr>
              <w:spacing w:after="0"/>
              <w:rPr>
                <w:sz w:val="21"/>
                <w:szCs w:val="21"/>
                <w:color w:val="auto"/>
              </w:rPr>
            </w:pPr>
          </w:p>
        </w:tc>
      </w:tr>
      <w:tr>
        <w:trPr>
          <w:trHeight w:val="621"/>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260" w:type="dxa"/>
            <w:vAlign w:val="bottom"/>
          </w:tcPr>
          <w:p>
            <w:pPr>
              <w:jc w:val="center"/>
              <w:ind w:right="390"/>
              <w:spacing w:after="0"/>
              <w:rPr>
                <w:sz w:val="20"/>
                <w:szCs w:val="20"/>
                <w:color w:val="auto"/>
              </w:rPr>
            </w:pPr>
            <w:r>
              <w:rPr>
                <w:rFonts w:ascii="Arial" w:cs="Arial" w:eastAsia="Arial" w:hAnsi="Arial"/>
                <w:sz w:val="18"/>
                <w:szCs w:val="18"/>
                <w:color w:val="auto"/>
                <w:w w:val="91"/>
              </w:rPr>
              <w:t>- more -</w:t>
            </w: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20" w:type="dxa"/>
            <w:vAlign w:val="bottom"/>
          </w:tcPr>
          <w:p>
            <w:pPr>
              <w:spacing w:after="0"/>
              <w:rPr>
                <w:sz w:val="11"/>
                <w:szCs w:val="11"/>
                <w:color w:val="auto"/>
              </w:rPr>
            </w:pPr>
          </w:p>
        </w:tc>
        <w:tc>
          <w:tcPr>
            <w:tcW w:w="472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3260" w:type="dxa"/>
            <w:vAlign w:val="bottom"/>
            <w:tcBorders>
              <w:bottom w:val="single" w:sz="8" w:color="auto"/>
            </w:tcBorders>
            <w:gridSpan w:val="2"/>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331"/>
        </w:trPr>
        <w:tc>
          <w:tcPr>
            <w:tcW w:w="20" w:type="dxa"/>
            <w:vAlign w:val="bottom"/>
          </w:tcPr>
          <w:p>
            <w:pPr>
              <w:spacing w:after="0"/>
              <w:rPr>
                <w:sz w:val="24"/>
                <w:szCs w:val="24"/>
                <w:color w:val="auto"/>
              </w:rPr>
            </w:pPr>
          </w:p>
        </w:tc>
        <w:tc>
          <w:tcPr>
            <w:tcW w:w="4720" w:type="dxa"/>
            <w:vAlign w:val="bottom"/>
          </w:tcPr>
          <w:p>
            <w:pPr>
              <w:ind w:left="1680"/>
              <w:spacing w:after="0"/>
              <w:rPr>
                <w:sz w:val="20"/>
                <w:szCs w:val="20"/>
                <w:color w:val="auto"/>
              </w:rPr>
            </w:pPr>
            <w:r>
              <w:rPr>
                <w:rFonts w:ascii="Arial" w:cs="Arial" w:eastAsia="Arial" w:hAnsi="Arial"/>
                <w:sz w:val="18"/>
                <w:szCs w:val="18"/>
                <w:b w:val="1"/>
                <w:bCs w:val="1"/>
                <w:color w:val="auto"/>
              </w:rPr>
              <w:t>333 Clay Street, Suite 1600</w:t>
            </w:r>
          </w:p>
        </w:tc>
        <w:tc>
          <w:tcPr>
            <w:tcW w:w="2260" w:type="dxa"/>
            <w:vAlign w:val="bottom"/>
          </w:tcPr>
          <w:p>
            <w:pPr>
              <w:jc w:val="center"/>
              <w:ind w:right="370"/>
              <w:spacing w:after="0"/>
              <w:rPr>
                <w:sz w:val="20"/>
                <w:szCs w:val="20"/>
                <w:color w:val="auto"/>
              </w:rPr>
            </w:pPr>
            <w:r>
              <w:rPr>
                <w:rFonts w:ascii="Arial" w:cs="Arial" w:eastAsia="Arial" w:hAnsi="Arial"/>
                <w:sz w:val="18"/>
                <w:szCs w:val="18"/>
                <w:b w:val="1"/>
                <w:bCs w:val="1"/>
                <w:color w:val="auto"/>
                <w:w w:val="88"/>
              </w:rPr>
              <w:t>Houston, Texas 77002</w:t>
            </w:r>
          </w:p>
        </w:tc>
        <w:tc>
          <w:tcPr>
            <w:tcW w:w="326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713-646-4100 / 866-809-1291</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36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Page 12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INCOME/(LOSS)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6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96"/>
        </w:trPr>
        <w:tc>
          <w:tcPr>
            <w:tcW w:w="62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r>
      <w:tr>
        <w:trPr>
          <w:trHeight w:val="236"/>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Net Income/(Loss) per Common Unit</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Net income/(loss) attributable to PAA</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(2,705)</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1,416</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to Series A preferred unitholders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r>
      <w:tr>
        <w:trPr>
          <w:trHeight w:val="270"/>
        </w:trPr>
        <w:tc>
          <w:tcPr>
            <w:tcW w:w="6280" w:type="dxa"/>
            <w:vAlign w:val="bottom"/>
          </w:tcPr>
          <w:p>
            <w:pPr>
              <w:ind w:left="180"/>
              <w:spacing w:after="0"/>
              <w:rPr>
                <w:sz w:val="20"/>
                <w:szCs w:val="20"/>
                <w:color w:val="auto"/>
              </w:rPr>
            </w:pPr>
            <w:r>
              <w:rPr>
                <w:rFonts w:ascii="Arial" w:cs="Arial" w:eastAsia="Arial" w:hAnsi="Arial"/>
                <w:sz w:val="18"/>
                <w:szCs w:val="18"/>
                <w:color w:val="auto"/>
              </w:rPr>
              <w:t>Distributions to Series B preferred unitholders</w:t>
            </w:r>
          </w:p>
        </w:tc>
        <w:tc>
          <w:tcPr>
            <w:tcW w:w="26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(25)</w:t>
            </w:r>
          </w:p>
        </w:tc>
      </w:tr>
      <w:tr>
        <w:trPr>
          <w:trHeight w:val="270"/>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r>
      <w:tr>
        <w:trPr>
          <w:trHeight w:val="263"/>
        </w:trPr>
        <w:tc>
          <w:tcPr>
            <w:tcW w:w="6280" w:type="dxa"/>
            <w:vAlign w:val="bottom"/>
          </w:tcPr>
          <w:p>
            <w:pPr>
              <w:ind w:left="20"/>
              <w:spacing w:after="0"/>
              <w:rPr>
                <w:sz w:val="20"/>
                <w:szCs w:val="20"/>
                <w:color w:val="auto"/>
              </w:rPr>
            </w:pPr>
            <w:r>
              <w:rPr>
                <w:rFonts w:ascii="Arial" w:cs="Arial" w:eastAsia="Arial" w:hAnsi="Arial"/>
                <w:sz w:val="18"/>
                <w:szCs w:val="18"/>
                <w:color w:val="auto"/>
              </w:rPr>
              <w:t>Net income/(loss) allocated to common unitholders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(2,805)</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1,311</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6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Basic weighted average common units outstanding</w:t>
            </w:r>
          </w:p>
        </w:tc>
        <w:tc>
          <w:tcPr>
            <w:tcW w:w="26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727</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6"/>
        </w:trPr>
        <w:tc>
          <w:tcPr>
            <w:tcW w:w="6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70"/>
        </w:trPr>
        <w:tc>
          <w:tcPr>
            <w:tcW w:w="6280" w:type="dxa"/>
            <w:vAlign w:val="bottom"/>
          </w:tcPr>
          <w:p>
            <w:pPr>
              <w:ind w:left="20"/>
              <w:spacing w:after="0"/>
              <w:rPr>
                <w:sz w:val="20"/>
                <w:szCs w:val="20"/>
                <w:color w:val="auto"/>
              </w:rPr>
            </w:pPr>
            <w:r>
              <w:rPr>
                <w:rFonts w:ascii="Arial" w:cs="Arial" w:eastAsia="Arial" w:hAnsi="Arial"/>
                <w:sz w:val="18"/>
                <w:szCs w:val="18"/>
                <w:color w:val="auto"/>
              </w:rPr>
              <w:t>Basic net income/(loss) per common unit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1.80</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6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Diluted Net Income/(Loss) per Common Unit</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income/(loss) attributable to PAA</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1,416</w:t>
            </w:r>
          </w:p>
        </w:tc>
      </w:tr>
      <w:tr>
        <w:trPr>
          <w:trHeight w:val="270"/>
        </w:trPr>
        <w:tc>
          <w:tcPr>
            <w:tcW w:w="6280" w:type="dxa"/>
            <w:vAlign w:val="bottom"/>
          </w:tcPr>
          <w:p>
            <w:pPr>
              <w:ind w:left="180"/>
              <w:spacing w:after="0"/>
              <w:rPr>
                <w:sz w:val="20"/>
                <w:szCs w:val="20"/>
                <w:color w:val="auto"/>
              </w:rPr>
            </w:pPr>
            <w:r>
              <w:rPr>
                <w:rFonts w:ascii="Arial" w:cs="Arial" w:eastAsia="Arial" w:hAnsi="Arial"/>
                <w:sz w:val="18"/>
                <w:szCs w:val="18"/>
                <w:color w:val="auto"/>
              </w:rPr>
              <w:t>Distributions to Series A preferred unitholders</w:t>
            </w:r>
          </w:p>
        </w:tc>
        <w:tc>
          <w:tcPr>
            <w:tcW w:w="26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0"/>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to Series B preferred unitholders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r>
      <w:tr>
        <w:trPr>
          <w:trHeight w:val="270"/>
        </w:trPr>
        <w:tc>
          <w:tcPr>
            <w:tcW w:w="6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r>
      <w:tr>
        <w:trPr>
          <w:trHeight w:val="28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income/(loss) allocated to common unitholders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(2,805)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1,389</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common units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727</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Series A preferred units </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71</w:t>
            </w:r>
          </w:p>
        </w:tc>
      </w:tr>
      <w:tr>
        <w:trPr>
          <w:trHeight w:val="270"/>
        </w:trPr>
        <w:tc>
          <w:tcPr>
            <w:tcW w:w="6280" w:type="dxa"/>
            <w:vAlign w:val="bottom"/>
          </w:tcPr>
          <w:p>
            <w:pPr>
              <w:ind w:left="180"/>
              <w:spacing w:after="0"/>
              <w:rPr>
                <w:sz w:val="20"/>
                <w:szCs w:val="20"/>
                <w:color w:val="auto"/>
              </w:rPr>
            </w:pPr>
            <w:r>
              <w:rPr>
                <w:rFonts w:ascii="Arial" w:cs="Arial" w:eastAsia="Arial" w:hAnsi="Arial"/>
                <w:sz w:val="18"/>
                <w:szCs w:val="18"/>
                <w:color w:val="auto"/>
              </w:rPr>
              <w:t xml:space="preserve">Equity-indexed compensation plan awards </w:t>
            </w:r>
            <w:r>
              <w:rPr>
                <w:rFonts w:ascii="Arial" w:cs="Arial" w:eastAsia="Arial" w:hAnsi="Arial"/>
                <w:sz w:val="23"/>
                <w:szCs w:val="23"/>
                <w:color w:val="auto"/>
                <w:vertAlign w:val="superscript"/>
              </w:rPr>
              <w:t>(3)</w:t>
            </w:r>
          </w:p>
        </w:tc>
        <w:tc>
          <w:tcPr>
            <w:tcW w:w="260" w:type="dxa"/>
            <w:vAlign w:val="bottom"/>
          </w:tcPr>
          <w:p>
            <w:pPr>
              <w:spacing w:after="0"/>
              <w:rPr>
                <w:sz w:val="23"/>
                <w:szCs w:val="23"/>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2</w:t>
            </w:r>
          </w:p>
        </w:tc>
      </w:tr>
      <w:tr>
        <w:trPr>
          <w:trHeight w:val="288"/>
        </w:trPr>
        <w:tc>
          <w:tcPr>
            <w:tcW w:w="6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units outstanding</w:t>
            </w:r>
          </w:p>
        </w:tc>
        <w:tc>
          <w:tcPr>
            <w:tcW w:w="260" w:type="dxa"/>
            <w:vAlign w:val="bottom"/>
            <w:tcBorders>
              <w:top w:val="single" w:sz="8" w:color="auto"/>
              <w:bottom w:val="single" w:sz="8" w:color="auto"/>
            </w:tcBorders>
            <w:shd w:val="clear" w:color="auto" w:fill="CCEEFF"/>
          </w:tcPr>
          <w:p>
            <w:pPr>
              <w:spacing w:after="0"/>
              <w:rPr>
                <w:sz w:val="24"/>
                <w:szCs w:val="24"/>
                <w:color w:val="auto"/>
              </w:rPr>
            </w:pPr>
          </w:p>
        </w:tc>
        <w:tc>
          <w:tcPr>
            <w:tcW w:w="90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728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spacing w:after="0"/>
              <w:rPr>
                <w:sz w:val="24"/>
                <w:szCs w:val="24"/>
                <w:color w:val="auto"/>
              </w:rPr>
            </w:pPr>
          </w:p>
        </w:tc>
        <w:tc>
          <w:tcPr>
            <w:tcW w:w="8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800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spacing w:after="0"/>
              <w:rPr>
                <w:sz w:val="24"/>
                <w:szCs w:val="24"/>
                <w:color w:val="auto"/>
              </w:rPr>
            </w:pPr>
          </w:p>
        </w:tc>
        <w:tc>
          <w:tcPr>
            <w:tcW w:w="90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728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spacing w:after="0"/>
              <w:rPr>
                <w:sz w:val="24"/>
                <w:szCs w:val="24"/>
                <w:color w:val="auto"/>
              </w:rPr>
            </w:pPr>
          </w:p>
        </w:tc>
        <w:tc>
          <w:tcPr>
            <w:tcW w:w="8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800</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95"/>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income/(loss) per common unit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1.74</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340" w:right="60" w:hanging="332"/>
        <w:spacing w:after="0" w:line="226" w:lineRule="auto"/>
        <w:tabs>
          <w:tab w:leader="none" w:pos="34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income/(loss)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30" w:lineRule="exact"/>
        <w:rPr>
          <w:rFonts w:ascii="Arial" w:cs="Arial" w:eastAsia="Arial" w:hAnsi="Arial"/>
          <w:sz w:val="23"/>
          <w:szCs w:val="23"/>
          <w:color w:val="auto"/>
          <w:vertAlign w:val="superscript"/>
        </w:rPr>
      </w:pPr>
    </w:p>
    <w:p>
      <w:pPr>
        <w:ind w:left="340" w:right="140" w:hanging="332"/>
        <w:spacing w:after="0" w:line="229" w:lineRule="auto"/>
        <w:tabs>
          <w:tab w:leader="none" w:pos="340" w:val="left"/>
        </w:tabs>
        <w:numPr>
          <w:ilvl w:val="0"/>
          <w:numId w:val="12"/>
        </w:numPr>
        <w:rPr>
          <w:rFonts w:ascii="Arial" w:cs="Arial" w:eastAsia="Arial" w:hAnsi="Arial"/>
          <w:sz w:val="22"/>
          <w:szCs w:val="22"/>
          <w:color w:val="auto"/>
          <w:vertAlign w:val="superscript"/>
        </w:rPr>
      </w:pPr>
      <w:r>
        <w:rPr>
          <w:rFonts w:ascii="Arial" w:cs="Arial" w:eastAsia="Arial" w:hAnsi="Arial"/>
          <w:sz w:val="17"/>
          <w:szCs w:val="17"/>
          <w:color w:val="auto"/>
        </w:rPr>
        <w:t>The possible conversion of our Series A preferred units and the impact of equity-indexed compensation plan awards was excluded from the calculation of diluted net income/(loss) per common unit for the three and six months ended June 30, 2020 as the effect was antidilutive.</w:t>
      </w:r>
    </w:p>
    <w:p>
      <w:pPr>
        <w:spacing w:after="0" w:line="31" w:lineRule="exact"/>
        <w:rPr>
          <w:rFonts w:ascii="Arial" w:cs="Arial" w:eastAsia="Arial" w:hAnsi="Arial"/>
          <w:sz w:val="22"/>
          <w:szCs w:val="22"/>
          <w:color w:val="auto"/>
          <w:vertAlign w:val="superscript"/>
        </w:rPr>
      </w:pPr>
    </w:p>
    <w:p>
      <w:pPr>
        <w:ind w:left="340" w:right="20" w:hanging="332"/>
        <w:spacing w:after="0" w:line="228" w:lineRule="auto"/>
        <w:tabs>
          <w:tab w:leader="none" w:pos="34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months ended June 30, 2020, such LTIP awards did not change the presentation of diluted weighted average common units outstanding or diluted net income/(loss) per common unit, and for the six months ended June 30, 2020, the effect of such LTIP awards was antidilutive.</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Page 13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000" w:type="dxa"/>
            <w:vAlign w:val="bottom"/>
            <w:gridSpan w:val="4"/>
          </w:tcPr>
          <w:p>
            <w:pPr>
              <w:jc w:val="right"/>
              <w:ind w:right="475"/>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r>
      <w:tr>
        <w:trPr>
          <w:trHeight w:val="196"/>
        </w:trPr>
        <w:tc>
          <w:tcPr>
            <w:tcW w:w="66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r>
      <w:tr>
        <w:trPr>
          <w:trHeight w:val="202"/>
        </w:trPr>
        <w:tc>
          <w:tcPr>
            <w:tcW w:w="6640" w:type="dxa"/>
            <w:vAlign w:val="bottom"/>
            <w:shd w:val="clear" w:color="auto" w:fill="CCEEFF"/>
          </w:tcPr>
          <w:p>
            <w:pPr>
              <w:ind w:left="20"/>
              <w:spacing w:after="0" w:line="202" w:lineRule="exact"/>
              <w:rPr>
                <w:sz w:val="20"/>
                <w:szCs w:val="20"/>
                <w:color w:val="auto"/>
              </w:rPr>
            </w:pPr>
            <w:r>
              <w:rPr>
                <w:rFonts w:ascii="Arial" w:cs="Arial" w:eastAsia="Arial" w:hAnsi="Arial"/>
                <w:sz w:val="17"/>
                <w:szCs w:val="17"/>
                <w:b w:val="1"/>
                <w:bCs w:val="1"/>
                <w:color w:val="auto"/>
              </w:rPr>
              <w:t xml:space="preserve">Selected Items Impacting Comparability: </w:t>
            </w:r>
            <w:r>
              <w:rPr>
                <w:rFonts w:ascii="Arial" w:cs="Arial" w:eastAsia="Arial" w:hAnsi="Arial"/>
                <w:sz w:val="22"/>
                <w:szCs w:val="22"/>
                <w:b w:val="1"/>
                <w:bCs w:val="1"/>
                <w:color w:val="auto"/>
                <w:vertAlign w:val="superscript"/>
              </w:rPr>
              <w:t>(1)</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56"/>
        </w:trPr>
        <w:tc>
          <w:tcPr>
            <w:tcW w:w="6640" w:type="dxa"/>
            <w:vAlign w:val="bottom"/>
          </w:tcPr>
          <w:p>
            <w:pPr>
              <w:ind w:left="20"/>
              <w:spacing w:after="0"/>
              <w:rPr>
                <w:sz w:val="20"/>
                <w:szCs w:val="20"/>
                <w:color w:val="auto"/>
              </w:rPr>
            </w:pPr>
            <w:r>
              <w:rPr>
                <w:rFonts w:ascii="Arial" w:cs="Arial" w:eastAsia="Arial" w:hAnsi="Arial"/>
                <w:sz w:val="17"/>
                <w:szCs w:val="17"/>
                <w:color w:val="auto"/>
              </w:rPr>
              <w:t xml:space="preserve">Gains/(losses) from derivative activities, net of inventory valuation adjustments </w:t>
            </w:r>
            <w:r>
              <w:rPr>
                <w:rFonts w:ascii="Arial" w:cs="Arial" w:eastAsia="Arial" w:hAnsi="Arial"/>
                <w:sz w:val="22"/>
                <w:szCs w:val="22"/>
                <w:color w:val="auto"/>
                <w:vertAlign w:val="superscript"/>
              </w:rPr>
              <w:t>(2)</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22"/>
                <w:szCs w:val="22"/>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22"/>
                <w:szCs w:val="22"/>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(104)</w:t>
            </w:r>
          </w:p>
        </w:tc>
        <w:tc>
          <w:tcPr>
            <w:tcW w:w="120" w:type="dxa"/>
            <w:vAlign w:val="bottom"/>
          </w:tcPr>
          <w:p>
            <w:pPr>
              <w:spacing w:after="0"/>
              <w:rPr>
                <w:sz w:val="22"/>
                <w:szCs w:val="22"/>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75"/>
              <w:spacing w:after="0"/>
              <w:rPr>
                <w:sz w:val="20"/>
                <w:szCs w:val="20"/>
                <w:color w:val="auto"/>
              </w:rPr>
            </w:pPr>
            <w:r>
              <w:rPr>
                <w:rFonts w:ascii="Arial" w:cs="Arial" w:eastAsia="Arial" w:hAnsi="Arial"/>
                <w:sz w:val="17"/>
                <w:szCs w:val="17"/>
                <w:color w:val="auto"/>
              </w:rPr>
              <w:t>45</w:t>
            </w:r>
          </w:p>
        </w:tc>
      </w:tr>
      <w:tr>
        <w:trPr>
          <w:trHeight w:val="257"/>
        </w:trPr>
        <w:tc>
          <w:tcPr>
            <w:tcW w:w="6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Long-term inventory costing adjustments </w:t>
            </w:r>
            <w:r>
              <w:rPr>
                <w:rFonts w:ascii="Arial" w:cs="Arial" w:eastAsia="Arial" w:hAnsi="Arial"/>
                <w:sz w:val="22"/>
                <w:szCs w:val="22"/>
                <w:color w:val="auto"/>
                <w:vertAlign w:val="superscript"/>
              </w:rPr>
              <w:t>(3)</w:t>
            </w: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(64)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w:t>
            </w:r>
          </w:p>
        </w:tc>
      </w:tr>
      <w:tr>
        <w:trPr>
          <w:trHeight w:val="257"/>
        </w:trPr>
        <w:tc>
          <w:tcPr>
            <w:tcW w:w="6640" w:type="dxa"/>
            <w:vAlign w:val="bottom"/>
          </w:tcPr>
          <w:p>
            <w:pPr>
              <w:ind w:left="20"/>
              <w:spacing w:after="0"/>
              <w:rPr>
                <w:sz w:val="20"/>
                <w:szCs w:val="20"/>
                <w:color w:val="auto"/>
              </w:rPr>
            </w:pPr>
            <w:r>
              <w:rPr>
                <w:rFonts w:ascii="Arial" w:cs="Arial" w:eastAsia="Arial" w:hAnsi="Arial"/>
                <w:sz w:val="17"/>
                <w:szCs w:val="17"/>
                <w:color w:val="auto"/>
              </w:rPr>
              <w:t xml:space="preserve">Deficiencies under minimum volume commitments, net </w:t>
            </w:r>
            <w:r>
              <w:rPr>
                <w:rFonts w:ascii="Arial" w:cs="Arial" w:eastAsia="Arial" w:hAnsi="Arial"/>
                <w:sz w:val="22"/>
                <w:szCs w:val="22"/>
                <w:color w:val="auto"/>
                <w:vertAlign w:val="superscript"/>
              </w:rPr>
              <w:t>(4)</w:t>
            </w:r>
          </w:p>
        </w:tc>
        <w:tc>
          <w:tcPr>
            <w:tcW w:w="260" w:type="dxa"/>
            <w:vAlign w:val="bottom"/>
          </w:tcPr>
          <w:p>
            <w:pPr>
              <w:spacing w:after="0"/>
              <w:rPr>
                <w:sz w:val="22"/>
                <w:szCs w:val="22"/>
                <w:color w:val="auto"/>
              </w:rPr>
            </w:pP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ind w:right="75"/>
              <w:spacing w:after="0"/>
              <w:rPr>
                <w:sz w:val="20"/>
                <w:szCs w:val="20"/>
                <w:color w:val="auto"/>
              </w:rPr>
            </w:pPr>
            <w:r>
              <w:rPr>
                <w:rFonts w:ascii="Arial" w:cs="Arial" w:eastAsia="Arial" w:hAnsi="Arial"/>
                <w:sz w:val="17"/>
                <w:szCs w:val="17"/>
                <w:color w:val="auto"/>
              </w:rPr>
              <w:t>7</w:t>
            </w:r>
          </w:p>
        </w:tc>
      </w:tr>
      <w:tr>
        <w:trPr>
          <w:trHeight w:val="257"/>
        </w:trPr>
        <w:tc>
          <w:tcPr>
            <w:tcW w:w="6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Equity-indexed compensation expense </w:t>
            </w:r>
            <w:r>
              <w:rPr>
                <w:rFonts w:ascii="Arial" w:cs="Arial" w:eastAsia="Arial" w:hAnsi="Arial"/>
                <w:sz w:val="22"/>
                <w:szCs w:val="22"/>
                <w:color w:val="auto"/>
                <w:vertAlign w:val="superscript"/>
              </w:rPr>
              <w:t>(5)</w:t>
            </w: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w:t>
            </w:r>
          </w:p>
        </w:tc>
      </w:tr>
      <w:tr>
        <w:trPr>
          <w:trHeight w:val="257"/>
        </w:trPr>
        <w:tc>
          <w:tcPr>
            <w:tcW w:w="6640" w:type="dxa"/>
            <w:vAlign w:val="bottom"/>
          </w:tcPr>
          <w:p>
            <w:pPr>
              <w:ind w:left="20"/>
              <w:spacing w:after="0"/>
              <w:rPr>
                <w:sz w:val="20"/>
                <w:szCs w:val="20"/>
                <w:color w:val="auto"/>
              </w:rPr>
            </w:pPr>
            <w:r>
              <w:rPr>
                <w:rFonts w:ascii="Arial" w:cs="Arial" w:eastAsia="Arial" w:hAnsi="Arial"/>
                <w:sz w:val="17"/>
                <w:szCs w:val="17"/>
                <w:color w:val="auto"/>
              </w:rPr>
              <w:t xml:space="preserve">Net gain/(loss) on foreign currency revaluation </w:t>
            </w:r>
            <w:r>
              <w:rPr>
                <w:rFonts w:ascii="Arial" w:cs="Arial" w:eastAsia="Arial" w:hAnsi="Arial"/>
                <w:sz w:val="22"/>
                <w:szCs w:val="22"/>
                <w:color w:val="auto"/>
                <w:vertAlign w:val="superscript"/>
              </w:rPr>
              <w:t>(6)</w:t>
            </w:r>
          </w:p>
        </w:tc>
        <w:tc>
          <w:tcPr>
            <w:tcW w:w="260" w:type="dxa"/>
            <w:vAlign w:val="bottom"/>
          </w:tcPr>
          <w:p>
            <w:pPr>
              <w:spacing w:after="0"/>
              <w:rPr>
                <w:sz w:val="22"/>
                <w:szCs w:val="22"/>
                <w:color w:val="auto"/>
              </w:rPr>
            </w:pPr>
          </w:p>
        </w:tc>
        <w:tc>
          <w:tcPr>
            <w:tcW w:w="820" w:type="dxa"/>
            <w:vAlign w:val="bottom"/>
          </w:tcPr>
          <w:p>
            <w:pPr>
              <w:jc w:val="right"/>
              <w:ind w:right="77"/>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(12)</w:t>
            </w:r>
          </w:p>
        </w:tc>
      </w:tr>
      <w:tr>
        <w:trPr>
          <w:trHeight w:val="256"/>
        </w:trPr>
        <w:tc>
          <w:tcPr>
            <w:tcW w:w="6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Line 901 incident </w:t>
            </w:r>
            <w:r>
              <w:rPr>
                <w:rFonts w:ascii="Arial" w:cs="Arial" w:eastAsia="Arial" w:hAnsi="Arial"/>
                <w:sz w:val="22"/>
                <w:szCs w:val="22"/>
                <w:color w:val="auto"/>
                <w:vertAlign w:val="superscript"/>
              </w:rPr>
              <w:t>(7)</w:t>
            </w:r>
          </w:p>
        </w:tc>
        <w:tc>
          <w:tcPr>
            <w:tcW w:w="2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(10)</w:t>
            </w:r>
          </w:p>
        </w:tc>
      </w:tr>
      <w:tr>
        <w:trPr>
          <w:trHeight w:val="270"/>
        </w:trPr>
        <w:tc>
          <w:tcPr>
            <w:tcW w:w="6640" w:type="dxa"/>
            <w:vAlign w:val="bottom"/>
          </w:tcPr>
          <w:p>
            <w:pPr>
              <w:ind w:left="20"/>
              <w:spacing w:after="0"/>
              <w:rPr>
                <w:sz w:val="20"/>
                <w:szCs w:val="20"/>
                <w:color w:val="auto"/>
              </w:rPr>
            </w:pPr>
            <w:r>
              <w:rPr>
                <w:rFonts w:ascii="Arial" w:cs="Arial" w:eastAsia="Arial" w:hAnsi="Arial"/>
                <w:sz w:val="17"/>
                <w:szCs w:val="17"/>
                <w:color w:val="auto"/>
              </w:rPr>
              <w:t xml:space="preserve">Significant acquisition-related expenses </w:t>
            </w:r>
            <w:r>
              <w:rPr>
                <w:rFonts w:ascii="Arial" w:cs="Arial" w:eastAsia="Arial" w:hAnsi="Arial"/>
                <w:sz w:val="22"/>
                <w:szCs w:val="22"/>
                <w:color w:val="auto"/>
                <w:vertAlign w:val="superscript"/>
              </w:rPr>
              <w:t>(8)</w:t>
            </w:r>
          </w:p>
        </w:tc>
        <w:tc>
          <w:tcPr>
            <w:tcW w:w="26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3"/>
                <w:szCs w:val="2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3"/>
                <w:szCs w:val="23"/>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w:t>
            </w:r>
          </w:p>
        </w:tc>
      </w:tr>
      <w:tr>
        <w:trPr>
          <w:trHeight w:val="270"/>
        </w:trPr>
        <w:tc>
          <w:tcPr>
            <w:tcW w:w="6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Net gain on early repayment of senior notes </w:t>
            </w:r>
            <w:r>
              <w:rPr>
                <w:rFonts w:ascii="Arial" w:cs="Arial" w:eastAsia="Arial" w:hAnsi="Arial"/>
                <w:sz w:val="22"/>
                <w:szCs w:val="22"/>
                <w:color w:val="auto"/>
                <w:vertAlign w:val="superscript"/>
              </w:rPr>
              <w:t>(9)</w:t>
            </w: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w:t>
            </w:r>
          </w:p>
        </w:tc>
      </w:tr>
      <w:tr>
        <w:trPr>
          <w:trHeight w:val="248"/>
        </w:trPr>
        <w:tc>
          <w:tcPr>
            <w:tcW w:w="6640" w:type="dxa"/>
            <w:vAlign w:val="bottom"/>
          </w:tcPr>
          <w:p>
            <w:pPr>
              <w:ind w:left="180"/>
              <w:spacing w:after="0"/>
              <w:rPr>
                <w:sz w:val="20"/>
                <w:szCs w:val="20"/>
                <w:color w:val="auto"/>
              </w:rPr>
            </w:pPr>
            <w:r>
              <w:rPr>
                <w:rFonts w:ascii="Arial" w:cs="Arial" w:eastAsia="Arial" w:hAnsi="Arial"/>
                <w:sz w:val="17"/>
                <w:szCs w:val="17"/>
                <w:color w:val="auto"/>
              </w:rPr>
              <w:t>Selected items impacting comparability - Adjusted EBITDA</w:t>
            </w:r>
          </w:p>
        </w:tc>
        <w:tc>
          <w:tcPr>
            <w:tcW w:w="26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(205)</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19</w:t>
            </w:r>
          </w:p>
        </w:tc>
      </w:tr>
      <w:tr>
        <w:trPr>
          <w:trHeight w:val="258"/>
        </w:trPr>
        <w:tc>
          <w:tcPr>
            <w:tcW w:w="6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Gains/(losses) from derivative activities </w:t>
            </w:r>
            <w:r>
              <w:rPr>
                <w:rFonts w:ascii="Arial" w:cs="Arial" w:eastAsia="Arial" w:hAnsi="Arial"/>
                <w:sz w:val="22"/>
                <w:szCs w:val="22"/>
                <w:color w:val="auto"/>
                <w:vertAlign w:val="superscript"/>
              </w:rPr>
              <w:t>(2)</w:t>
            </w:r>
          </w:p>
        </w:tc>
        <w:tc>
          <w:tcPr>
            <w:tcW w:w="2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w:t>
            </w:r>
          </w:p>
        </w:tc>
      </w:tr>
      <w:tr>
        <w:trPr>
          <w:trHeight w:val="226"/>
        </w:trPr>
        <w:tc>
          <w:tcPr>
            <w:tcW w:w="6640" w:type="dxa"/>
            <w:vAlign w:val="bottom"/>
          </w:tcPr>
          <w:p>
            <w:pPr>
              <w:ind w:left="20"/>
              <w:spacing w:after="0"/>
              <w:rPr>
                <w:sz w:val="20"/>
                <w:szCs w:val="20"/>
                <w:color w:val="auto"/>
              </w:rPr>
            </w:pPr>
            <w:r>
              <w:rPr>
                <w:rFonts w:ascii="Arial" w:cs="Arial" w:eastAsia="Arial" w:hAnsi="Arial"/>
                <w:sz w:val="17"/>
                <w:szCs w:val="17"/>
                <w:color w:val="auto"/>
              </w:rPr>
              <w:t>Gain on/(impairment of) investments in unconsolidated entities, net</w:t>
            </w:r>
          </w:p>
        </w:tc>
        <w:tc>
          <w:tcPr>
            <w:tcW w:w="260" w:type="dxa"/>
            <w:vAlign w:val="bottom"/>
          </w:tcPr>
          <w:p>
            <w:pPr>
              <w:spacing w:after="0"/>
              <w:rPr>
                <w:sz w:val="19"/>
                <w:szCs w:val="19"/>
                <w:color w:val="auto"/>
              </w:rPr>
            </w:pP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ind w:right="75"/>
              <w:spacing w:after="0"/>
              <w:rPr>
                <w:sz w:val="20"/>
                <w:szCs w:val="20"/>
                <w:color w:val="auto"/>
              </w:rPr>
            </w:pPr>
            <w:r>
              <w:rPr>
                <w:rFonts w:ascii="Arial" w:cs="Arial" w:eastAsia="Arial" w:hAnsi="Arial"/>
                <w:sz w:val="17"/>
                <w:szCs w:val="17"/>
                <w:color w:val="auto"/>
              </w:rPr>
              <w:t>267</w:t>
            </w:r>
          </w:p>
        </w:tc>
      </w:tr>
      <w:tr>
        <w:trPr>
          <w:trHeight w:val="31"/>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Gains/(losses) on asset sales and asset impairments, net</w:t>
            </w: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(618)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r>
      <w:tr>
        <w:trPr>
          <w:trHeight w:val="243"/>
        </w:trPr>
        <w:tc>
          <w:tcPr>
            <w:tcW w:w="6640" w:type="dxa"/>
            <w:vAlign w:val="bottom"/>
          </w:tcPr>
          <w:p>
            <w:pPr>
              <w:ind w:left="20"/>
              <w:spacing w:after="0"/>
              <w:rPr>
                <w:sz w:val="20"/>
                <w:szCs w:val="20"/>
                <w:color w:val="auto"/>
              </w:rPr>
            </w:pPr>
            <w:r>
              <w:rPr>
                <w:rFonts w:ascii="Arial" w:cs="Arial" w:eastAsia="Arial" w:hAnsi="Arial"/>
                <w:sz w:val="17"/>
                <w:szCs w:val="17"/>
                <w:color w:val="auto"/>
              </w:rPr>
              <w:t>Goodwill impairment losses</w:t>
            </w:r>
          </w:p>
        </w:tc>
        <w:tc>
          <w:tcPr>
            <w:tcW w:w="26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1"/>
                <w:szCs w:val="21"/>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(2,515)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6"/>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Tax effect on selected items impacting comparability</w:t>
            </w: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36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15</w:t>
            </w:r>
          </w:p>
        </w:tc>
      </w:tr>
      <w:tr>
        <w:trPr>
          <w:trHeight w:val="250"/>
        </w:trPr>
        <w:tc>
          <w:tcPr>
            <w:tcW w:w="6640" w:type="dxa"/>
            <w:vAlign w:val="bottom"/>
          </w:tcPr>
          <w:p>
            <w:pPr>
              <w:ind w:left="180"/>
              <w:spacing w:after="0"/>
              <w:rPr>
                <w:sz w:val="20"/>
                <w:szCs w:val="20"/>
                <w:color w:val="auto"/>
              </w:rPr>
            </w:pPr>
            <w:r>
              <w:rPr>
                <w:rFonts w:ascii="Arial" w:cs="Arial" w:eastAsia="Arial" w:hAnsi="Arial"/>
                <w:sz w:val="17"/>
                <w:szCs w:val="17"/>
                <w:color w:val="auto"/>
              </w:rPr>
              <w:t>Selected items impacting comparability - Adjusted net income attributable to PAA</w:t>
            </w:r>
          </w:p>
        </w:tc>
        <w:tc>
          <w:tcPr>
            <w:tcW w:w="2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(91)</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(105)</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(3,393)</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300</w:t>
            </w:r>
          </w:p>
        </w:tc>
      </w:tr>
      <w:tr>
        <w:trPr>
          <w:trHeight w:val="20"/>
        </w:trPr>
        <w:tc>
          <w:tcPr>
            <w:tcW w:w="6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6"/>
          <w:szCs w:val="16"/>
          <w:color w:val="auto"/>
          <w:vertAlign w:val="superscript"/>
        </w:rPr>
      </w:pPr>
      <w:r>
        <w:rPr>
          <w:rFonts w:ascii="Arial" w:cs="Arial" w:eastAsia="Arial" w:hAnsi="Arial"/>
          <w:sz w:val="13"/>
          <w:szCs w:val="13"/>
          <w:color w:val="auto"/>
        </w:rPr>
        <w:t>Certain of our non-GAAP financial measures may not be impacted by each of the selected items impacting comparability.</w:t>
      </w:r>
    </w:p>
    <w:p>
      <w:pPr>
        <w:spacing w:after="0" w:line="52" w:lineRule="exact"/>
        <w:rPr>
          <w:rFonts w:ascii="Arial" w:cs="Arial" w:eastAsia="Arial" w:hAnsi="Arial"/>
          <w:sz w:val="16"/>
          <w:szCs w:val="16"/>
          <w:color w:val="auto"/>
          <w:vertAlign w:val="superscript"/>
        </w:rPr>
      </w:pPr>
    </w:p>
    <w:p>
      <w:pPr>
        <w:ind w:left="340" w:right="60" w:hanging="332"/>
        <w:spacing w:after="0" w:line="248" w:lineRule="auto"/>
        <w:tabs>
          <w:tab w:leader="none" w:pos="327" w:val="left"/>
        </w:tabs>
        <w:numPr>
          <w:ilvl w:val="0"/>
          <w:numId w:val="13"/>
        </w:numPr>
        <w:rPr>
          <w:rFonts w:ascii="Arial" w:cs="Arial" w:eastAsia="Arial" w:hAnsi="Arial"/>
          <w:sz w:val="15"/>
          <w:szCs w:val="15"/>
          <w:color w:val="auto"/>
          <w:vertAlign w:val="superscript"/>
        </w:rPr>
      </w:pPr>
      <w:r>
        <w:rPr>
          <w:rFonts w:ascii="Arial" w:cs="Arial" w:eastAsia="Arial" w:hAnsi="Arial"/>
          <w:sz w:val="12"/>
          <w:szCs w:val="12"/>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results.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w:t>
      </w:r>
    </w:p>
    <w:p>
      <w:pPr>
        <w:spacing w:after="0" w:line="37" w:lineRule="exact"/>
        <w:rPr>
          <w:rFonts w:ascii="Arial" w:cs="Arial" w:eastAsia="Arial" w:hAnsi="Arial"/>
          <w:sz w:val="15"/>
          <w:szCs w:val="15"/>
          <w:color w:val="auto"/>
          <w:vertAlign w:val="superscript"/>
        </w:rPr>
      </w:pPr>
    </w:p>
    <w:p>
      <w:pPr>
        <w:ind w:left="340" w:right="80" w:hanging="332"/>
        <w:spacing w:after="0" w:line="229" w:lineRule="auto"/>
        <w:tabs>
          <w:tab w:leader="none" w:pos="327" w:val="left"/>
        </w:tabs>
        <w:numPr>
          <w:ilvl w:val="0"/>
          <w:numId w:val="13"/>
        </w:numPr>
        <w:rPr>
          <w:rFonts w:ascii="Arial" w:cs="Arial" w:eastAsia="Arial" w:hAnsi="Arial"/>
          <w:sz w:val="16"/>
          <w:szCs w:val="16"/>
          <w:color w:val="auto"/>
          <w:vertAlign w:val="superscript"/>
        </w:rPr>
      </w:pPr>
      <w:r>
        <w:rPr>
          <w:rFonts w:ascii="Arial" w:cs="Arial" w:eastAsia="Arial" w:hAnsi="Arial"/>
          <w:sz w:val="13"/>
          <w:szCs w:val="13"/>
          <w:color w:val="auto"/>
        </w:rPr>
        <w:t>We carry crude oil and NGL inventory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44" w:lineRule="exact"/>
        <w:rPr>
          <w:rFonts w:ascii="Arial" w:cs="Arial" w:eastAsia="Arial" w:hAnsi="Arial"/>
          <w:sz w:val="16"/>
          <w:szCs w:val="16"/>
          <w:color w:val="auto"/>
          <w:vertAlign w:val="superscript"/>
        </w:rPr>
      </w:pPr>
    </w:p>
    <w:p>
      <w:pPr>
        <w:ind w:left="340" w:right="60" w:hanging="332"/>
        <w:spacing w:after="0" w:line="234" w:lineRule="auto"/>
        <w:tabs>
          <w:tab w:leader="none" w:pos="327" w:val="left"/>
        </w:tabs>
        <w:numPr>
          <w:ilvl w:val="0"/>
          <w:numId w:val="13"/>
        </w:numPr>
        <w:rPr>
          <w:rFonts w:ascii="Arial" w:cs="Arial" w:eastAsia="Arial" w:hAnsi="Arial"/>
          <w:sz w:val="16"/>
          <w:szCs w:val="16"/>
          <w:color w:val="auto"/>
          <w:vertAlign w:val="superscript"/>
        </w:rPr>
      </w:pPr>
      <w:r>
        <w:rPr>
          <w:rFonts w:ascii="Arial" w:cs="Arial" w:eastAsia="Arial" w:hAnsi="Arial"/>
          <w:sz w:val="13"/>
          <w:szCs w:val="13"/>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42" w:lineRule="exact"/>
        <w:rPr>
          <w:rFonts w:ascii="Arial" w:cs="Arial" w:eastAsia="Arial" w:hAnsi="Arial"/>
          <w:sz w:val="16"/>
          <w:szCs w:val="16"/>
          <w:color w:val="auto"/>
          <w:vertAlign w:val="superscript"/>
        </w:rPr>
      </w:pPr>
    </w:p>
    <w:p>
      <w:pPr>
        <w:ind w:left="340" w:right="240" w:hanging="332"/>
        <w:spacing w:after="0" w:line="250" w:lineRule="auto"/>
        <w:tabs>
          <w:tab w:leader="none" w:pos="327" w:val="left"/>
        </w:tabs>
        <w:numPr>
          <w:ilvl w:val="0"/>
          <w:numId w:val="13"/>
        </w:numPr>
        <w:rPr>
          <w:rFonts w:ascii="Arial" w:cs="Arial" w:eastAsia="Arial" w:hAnsi="Arial"/>
          <w:sz w:val="15"/>
          <w:szCs w:val="15"/>
          <w:color w:val="auto"/>
          <w:vertAlign w:val="superscript"/>
        </w:rPr>
      </w:pPr>
      <w:r>
        <w:rPr>
          <w:rFonts w:ascii="Arial" w:cs="Arial" w:eastAsia="Arial" w:hAnsi="Arial"/>
          <w:sz w:val="12"/>
          <w:szCs w:val="12"/>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and the majority of the awards are expected to be settled in units. The portion of compensation expense associated with awards that are certain to be settled in cash is not considered a selected item impacting comparability.</w:t>
      </w:r>
    </w:p>
    <w:p>
      <w:pPr>
        <w:spacing w:after="0" w:line="37" w:lineRule="exact"/>
        <w:rPr>
          <w:rFonts w:ascii="Arial" w:cs="Arial" w:eastAsia="Arial" w:hAnsi="Arial"/>
          <w:sz w:val="15"/>
          <w:szCs w:val="15"/>
          <w:color w:val="auto"/>
          <w:vertAlign w:val="superscript"/>
        </w:rPr>
      </w:pPr>
    </w:p>
    <w:p>
      <w:pPr>
        <w:ind w:left="340" w:right="160" w:hanging="332"/>
        <w:spacing w:after="0" w:line="222" w:lineRule="auto"/>
        <w:tabs>
          <w:tab w:leader="none" w:pos="327" w:val="left"/>
        </w:tabs>
        <w:numPr>
          <w:ilvl w:val="0"/>
          <w:numId w:val="13"/>
        </w:numPr>
        <w:rPr>
          <w:rFonts w:ascii="Arial" w:cs="Arial" w:eastAsia="Arial" w:hAnsi="Arial"/>
          <w:sz w:val="16"/>
          <w:szCs w:val="16"/>
          <w:color w:val="auto"/>
          <w:vertAlign w:val="superscript"/>
        </w:rPr>
      </w:pPr>
      <w:r>
        <w:rPr>
          <w:rFonts w:ascii="Arial" w:cs="Arial" w:eastAsia="Arial" w:hAnsi="Arial"/>
          <w:sz w:val="13"/>
          <w:szCs w:val="13"/>
          <w:color w:val="auto"/>
        </w:rPr>
        <w:t>During the periods presented, there were fluctuations in the value of the Canadian dollar to the U.S. dollar, resulting in gains and losses that were not related to our core operating results for the period and were thus classified as a selected item impacting comparability.</w:t>
      </w:r>
    </w:p>
    <w:p>
      <w:pPr>
        <w:spacing w:after="0" w:line="18" w:lineRule="exact"/>
        <w:rPr>
          <w:rFonts w:ascii="Arial" w:cs="Arial" w:eastAsia="Arial" w:hAnsi="Arial"/>
          <w:sz w:val="16"/>
          <w:szCs w:val="16"/>
          <w:color w:val="auto"/>
          <w:vertAlign w:val="superscript"/>
        </w:rPr>
      </w:pPr>
    </w:p>
    <w:p>
      <w:pPr>
        <w:ind w:left="320" w:hanging="312"/>
        <w:spacing w:after="0"/>
        <w:tabs>
          <w:tab w:leader="none" w:pos="320" w:val="left"/>
        </w:tabs>
        <w:numPr>
          <w:ilvl w:val="0"/>
          <w:numId w:val="13"/>
        </w:numPr>
        <w:rPr>
          <w:rFonts w:ascii="Arial" w:cs="Arial" w:eastAsia="Arial" w:hAnsi="Arial"/>
          <w:sz w:val="16"/>
          <w:szCs w:val="16"/>
          <w:color w:val="auto"/>
          <w:vertAlign w:val="superscript"/>
        </w:rPr>
      </w:pPr>
      <w:r>
        <w:rPr>
          <w:rFonts w:ascii="Arial" w:cs="Arial" w:eastAsia="Arial" w:hAnsi="Arial"/>
          <w:sz w:val="13"/>
          <w:szCs w:val="13"/>
          <w:color w:val="auto"/>
        </w:rPr>
        <w:t>Includes costs recognized during the period related to the Line 901 incident that occurred in May 2015, net of amounts we believe are probable of recovery from insurance.</w:t>
      </w:r>
    </w:p>
    <w:p>
      <w:pPr>
        <w:spacing w:after="0" w:line="52" w:lineRule="exact"/>
        <w:rPr>
          <w:rFonts w:ascii="Arial" w:cs="Arial" w:eastAsia="Arial" w:hAnsi="Arial"/>
          <w:sz w:val="16"/>
          <w:szCs w:val="16"/>
          <w:color w:val="auto"/>
          <w:vertAlign w:val="superscript"/>
        </w:rPr>
      </w:pPr>
    </w:p>
    <w:p>
      <w:pPr>
        <w:ind w:left="320" w:hanging="312"/>
        <w:spacing w:after="0" w:line="195" w:lineRule="auto"/>
        <w:tabs>
          <w:tab w:leader="none" w:pos="320" w:val="left"/>
        </w:tabs>
        <w:numPr>
          <w:ilvl w:val="0"/>
          <w:numId w:val="13"/>
        </w:numPr>
        <w:rPr>
          <w:rFonts w:ascii="Arial" w:cs="Arial" w:eastAsia="Arial" w:hAnsi="Arial"/>
          <w:sz w:val="16"/>
          <w:szCs w:val="16"/>
          <w:color w:val="auto"/>
          <w:vertAlign w:val="superscript"/>
        </w:rPr>
      </w:pPr>
      <w:r>
        <w:rPr>
          <w:rFonts w:ascii="Arial" w:cs="Arial" w:eastAsia="Arial" w:hAnsi="Arial"/>
          <w:sz w:val="13"/>
          <w:szCs w:val="13"/>
          <w:color w:val="auto"/>
        </w:rPr>
        <w:t>Includes acquisition-related expenses associated with the Felix Midstream LLC acquisition in February 2020.</w:t>
      </w:r>
    </w:p>
    <w:p>
      <w:pPr>
        <w:spacing w:after="0" w:line="53" w:lineRule="exact"/>
        <w:rPr>
          <w:rFonts w:ascii="Arial" w:cs="Arial" w:eastAsia="Arial" w:hAnsi="Arial"/>
          <w:sz w:val="16"/>
          <w:szCs w:val="16"/>
          <w:color w:val="auto"/>
          <w:vertAlign w:val="superscript"/>
        </w:rPr>
      </w:pPr>
    </w:p>
    <w:p>
      <w:pPr>
        <w:ind w:left="320" w:hanging="312"/>
        <w:spacing w:after="0" w:line="195" w:lineRule="auto"/>
        <w:tabs>
          <w:tab w:leader="none" w:pos="320" w:val="left"/>
        </w:tabs>
        <w:numPr>
          <w:ilvl w:val="0"/>
          <w:numId w:val="13"/>
        </w:numPr>
        <w:rPr>
          <w:rFonts w:ascii="Arial" w:cs="Arial" w:eastAsia="Arial" w:hAnsi="Arial"/>
          <w:sz w:val="16"/>
          <w:szCs w:val="16"/>
          <w:color w:val="auto"/>
          <w:vertAlign w:val="superscript"/>
        </w:rPr>
      </w:pPr>
      <w:r>
        <w:rPr>
          <w:rFonts w:ascii="Arial" w:cs="Arial" w:eastAsia="Arial" w:hAnsi="Arial"/>
          <w:sz w:val="13"/>
          <w:szCs w:val="13"/>
          <w:color w:val="auto"/>
        </w:rPr>
        <w:t>Includes net gains recognized in connection with the repurchase of our outstanding senior notes on the open market.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Page 14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 xml:space="preserve">Selected Items Impacting Comparability: </w:t>
      </w:r>
      <w:r>
        <w:rPr>
          <w:rFonts w:ascii="Arial" w:cs="Arial" w:eastAsia="Arial" w:hAnsi="Arial"/>
          <w:sz w:val="22"/>
          <w:szCs w:val="22"/>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Gains/(losses) from derivative activities, net of inventory valuation adjustments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 xml:space="preserve">Long-term inventory costing adjustments </w:t>
      </w:r>
      <w:r>
        <w:rPr>
          <w:rFonts w:ascii="Arial" w:cs="Arial" w:eastAsia="Arial" w:hAnsi="Arial"/>
          <w:sz w:val="22"/>
          <w:szCs w:val="22"/>
          <w:color w:val="auto"/>
          <w:vertAlign w:val="superscript"/>
        </w:rPr>
        <w:t>(3)</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Deficiencies under minimum volume commitments, net </w:t>
      </w:r>
      <w:r>
        <w:rPr>
          <w:rFonts w:ascii="Arial" w:cs="Arial" w:eastAsia="Arial" w:hAnsi="Arial"/>
          <w:sz w:val="22"/>
          <w:szCs w:val="22"/>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 xml:space="preserve">Equity-indexed compensation expense </w:t>
      </w:r>
      <w:r>
        <w:rPr>
          <w:rFonts w:ascii="Arial" w:cs="Arial" w:eastAsia="Arial" w:hAnsi="Arial"/>
          <w:sz w:val="22"/>
          <w:szCs w:val="22"/>
          <w:color w:val="auto"/>
          <w:vertAlign w:val="superscript"/>
        </w:rPr>
        <w:t>(5)</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Net gain/(loss) on foreign currency revaluation </w:t>
      </w:r>
      <w:r>
        <w:rPr>
          <w:rFonts w:ascii="Arial" w:cs="Arial" w:eastAsia="Arial" w:hAnsi="Arial"/>
          <w:sz w:val="22"/>
          <w:szCs w:val="22"/>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6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 xml:space="preserve">Line 901 incident </w:t>
      </w:r>
      <w:r>
        <w:rPr>
          <w:rFonts w:ascii="Arial" w:cs="Arial" w:eastAsia="Arial" w:hAnsi="Arial"/>
          <w:sz w:val="22"/>
          <w:szCs w:val="22"/>
          <w:color w:val="auto"/>
          <w:vertAlign w:val="superscript"/>
        </w:rPr>
        <w:t>(7)</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Selected items impacting comparability -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Gains/(losses) from derivative activities </w:t>
      </w:r>
      <w:r>
        <w:rPr>
          <w:rFonts w:ascii="Arial" w:cs="Arial" w:eastAsia="Arial" w:hAnsi="Arial"/>
          <w:sz w:val="22"/>
          <w:szCs w:val="22"/>
          <w:color w:val="auto"/>
          <w:vertAlign w:val="superscript"/>
        </w:rPr>
        <w:t>(2)</w:t>
      </w:r>
    </w:p>
    <w:p>
      <w:pPr>
        <w:ind w:left="20"/>
        <w:spacing w:after="0"/>
        <w:rPr>
          <w:sz w:val="20"/>
          <w:szCs w:val="20"/>
          <w:color w:val="auto"/>
        </w:rPr>
      </w:pPr>
      <w:r>
        <w:rPr>
          <w:rFonts w:ascii="Arial" w:cs="Arial" w:eastAsia="Arial" w:hAnsi="Arial"/>
          <w:sz w:val="17"/>
          <w:szCs w:val="17"/>
          <w:color w:val="auto"/>
        </w:rPr>
        <w:t>Gain on investment in unconsolidated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Gains/(losses) on asset sales and asset impairments, net</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Tax effect on selected items impacting comparability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5"/>
          <w:szCs w:val="15"/>
          <w:color w:val="auto"/>
        </w:rPr>
        <w:t>Selected items impacting comparability - Adjusted net income attributable to PAA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24599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Twelve Months Ended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14230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2018</w:t>
            </w:r>
          </w:p>
        </w:tc>
      </w:tr>
      <w:tr>
        <w:trPr>
          <w:trHeight w:val="428"/>
        </w:trPr>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(158)</w:t>
            </w:r>
          </w:p>
        </w:tc>
        <w:tc>
          <w:tcPr>
            <w:tcW w:w="120" w:type="dxa"/>
            <w:vAlign w:val="bottom"/>
          </w:tcPr>
          <w:p>
            <w:pPr>
              <w:spacing w:after="0"/>
              <w:rPr>
                <w:sz w:val="24"/>
                <w:szCs w:val="24"/>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76"/>
              <w:spacing w:after="0"/>
              <w:rPr>
                <w:sz w:val="20"/>
                <w:szCs w:val="20"/>
                <w:color w:val="auto"/>
              </w:rPr>
            </w:pPr>
            <w:r>
              <w:rPr>
                <w:rFonts w:ascii="Arial" w:cs="Arial" w:eastAsia="Arial" w:hAnsi="Arial"/>
                <w:sz w:val="17"/>
                <w:szCs w:val="17"/>
                <w:color w:val="auto"/>
              </w:rPr>
              <w:t>505</w:t>
            </w:r>
          </w:p>
        </w:tc>
      </w:tr>
      <w:tr>
        <w:trPr>
          <w:trHeight w:val="257"/>
        </w:trPr>
        <w:tc>
          <w:tcPr>
            <w:tcW w:w="240" w:type="dxa"/>
            <w:vAlign w:val="bottom"/>
          </w:tcPr>
          <w:p>
            <w:pPr>
              <w:spacing w:after="0"/>
              <w:rPr>
                <w:sz w:val="22"/>
                <w:szCs w:val="22"/>
                <w:color w:val="auto"/>
              </w:rPr>
            </w:pPr>
          </w:p>
        </w:tc>
        <w:tc>
          <w:tcPr>
            <w:tcW w:w="820" w:type="dxa"/>
            <w:vAlign w:val="bottom"/>
          </w:tcPr>
          <w:p>
            <w:pPr>
              <w:jc w:val="right"/>
              <w:ind w:right="56"/>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(21)</w:t>
            </w:r>
          </w:p>
        </w:tc>
      </w:tr>
      <w:tr>
        <w:trPr>
          <w:trHeight w:val="257"/>
        </w:trPr>
        <w:tc>
          <w:tcPr>
            <w:tcW w:w="240" w:type="dxa"/>
            <w:vAlign w:val="bottom"/>
          </w:tcPr>
          <w:p>
            <w:pPr>
              <w:spacing w:after="0"/>
              <w:rPr>
                <w:sz w:val="22"/>
                <w:szCs w:val="22"/>
                <w:color w:val="auto"/>
              </w:rPr>
            </w:pPr>
          </w:p>
        </w:tc>
        <w:tc>
          <w:tcPr>
            <w:tcW w:w="820" w:type="dxa"/>
            <w:vAlign w:val="bottom"/>
          </w:tcPr>
          <w:p>
            <w:pPr>
              <w:jc w:val="right"/>
              <w:ind w:right="56"/>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(7)</w:t>
            </w:r>
          </w:p>
        </w:tc>
      </w:tr>
      <w:tr>
        <w:trPr>
          <w:trHeight w:val="257"/>
        </w:trPr>
        <w:tc>
          <w:tcPr>
            <w:tcW w:w="24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(55)</w:t>
            </w:r>
          </w:p>
        </w:tc>
      </w:tr>
      <w:tr>
        <w:trPr>
          <w:trHeight w:val="256"/>
        </w:trPr>
        <w:tc>
          <w:tcPr>
            <w:tcW w:w="240" w:type="dxa"/>
            <w:vAlign w:val="bottom"/>
          </w:tcPr>
          <w:p>
            <w:pPr>
              <w:spacing w:after="0"/>
              <w:rPr>
                <w:sz w:val="22"/>
                <w:szCs w:val="22"/>
                <w:color w:val="auto"/>
              </w:rPr>
            </w:pPr>
          </w:p>
        </w:tc>
        <w:tc>
          <w:tcPr>
            <w:tcW w:w="820" w:type="dxa"/>
            <w:vAlign w:val="bottom"/>
          </w:tcPr>
          <w:p>
            <w:pPr>
              <w:jc w:val="right"/>
              <w:ind w:right="56"/>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76"/>
              <w:spacing w:after="0"/>
              <w:rPr>
                <w:sz w:val="20"/>
                <w:szCs w:val="20"/>
                <w:color w:val="auto"/>
              </w:rPr>
            </w:pPr>
            <w:r>
              <w:rPr>
                <w:rFonts w:ascii="Arial" w:cs="Arial" w:eastAsia="Arial" w:hAnsi="Arial"/>
                <w:sz w:val="17"/>
                <w:szCs w:val="17"/>
                <w:color w:val="auto"/>
              </w:rPr>
              <w:t>1</w:t>
            </w:r>
          </w:p>
        </w:tc>
      </w:tr>
      <w:tr>
        <w:trPr>
          <w:trHeight w:val="257"/>
        </w:trPr>
        <w:tc>
          <w:tcPr>
            <w:tcW w:w="24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76"/>
              <w:spacing w:after="0"/>
              <w:rPr>
                <w:sz w:val="20"/>
                <w:szCs w:val="20"/>
                <w:color w:val="auto"/>
              </w:rPr>
            </w:pPr>
            <w:r>
              <w:rPr>
                <w:rFonts w:ascii="Arial" w:cs="Arial" w:eastAsia="Arial" w:hAnsi="Arial"/>
                <w:sz w:val="17"/>
                <w:szCs w:val="17"/>
                <w:color w:val="auto"/>
              </w:rPr>
              <w:t>—</w:t>
            </w:r>
          </w:p>
        </w:tc>
      </w:tr>
      <w:tr>
        <w:trPr>
          <w:trHeight w:val="31"/>
        </w:trPr>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9"/>
        </w:trPr>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(146)</w:t>
            </w:r>
          </w:p>
        </w:tc>
        <w:tc>
          <w:tcPr>
            <w:tcW w:w="12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76"/>
              <w:spacing w:after="0"/>
              <w:rPr>
                <w:sz w:val="20"/>
                <w:szCs w:val="20"/>
                <w:color w:val="auto"/>
              </w:rPr>
            </w:pPr>
            <w:r>
              <w:rPr>
                <w:rFonts w:ascii="Arial" w:cs="Arial" w:eastAsia="Arial" w:hAnsi="Arial"/>
                <w:sz w:val="17"/>
                <w:szCs w:val="17"/>
                <w:color w:val="auto"/>
              </w:rPr>
              <w:t>423</w:t>
            </w:r>
          </w:p>
        </w:tc>
      </w:tr>
      <w:tr>
        <w:trPr>
          <w:trHeight w:val="257"/>
        </w:trPr>
        <w:tc>
          <w:tcPr>
            <w:tcW w:w="24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76"/>
              <w:spacing w:after="0"/>
              <w:rPr>
                <w:sz w:val="20"/>
                <w:szCs w:val="20"/>
                <w:color w:val="auto"/>
              </w:rPr>
            </w:pPr>
            <w:r>
              <w:rPr>
                <w:rFonts w:ascii="Arial" w:cs="Arial" w:eastAsia="Arial" w:hAnsi="Arial"/>
                <w:sz w:val="17"/>
                <w:szCs w:val="17"/>
                <w:color w:val="auto"/>
              </w:rPr>
              <w:t>4</w:t>
            </w:r>
          </w:p>
        </w:tc>
      </w:tr>
      <w:tr>
        <w:trPr>
          <w:trHeight w:val="257"/>
        </w:trPr>
        <w:tc>
          <w:tcPr>
            <w:tcW w:w="240" w:type="dxa"/>
            <w:vAlign w:val="bottom"/>
          </w:tcPr>
          <w:p>
            <w:pPr>
              <w:spacing w:after="0"/>
              <w:rPr>
                <w:sz w:val="22"/>
                <w:szCs w:val="22"/>
                <w:color w:val="auto"/>
              </w:rPr>
            </w:pPr>
          </w:p>
        </w:tc>
        <w:tc>
          <w:tcPr>
            <w:tcW w:w="820" w:type="dxa"/>
            <w:vAlign w:val="bottom"/>
          </w:tcPr>
          <w:p>
            <w:pPr>
              <w:jc w:val="right"/>
              <w:ind w:right="56"/>
              <w:spacing w:after="0"/>
              <w:rPr>
                <w:sz w:val="20"/>
                <w:szCs w:val="20"/>
                <w:color w:val="auto"/>
              </w:rPr>
            </w:pPr>
            <w:r>
              <w:rPr>
                <w:rFonts w:ascii="Arial" w:cs="Arial" w:eastAsia="Arial" w:hAnsi="Arial"/>
                <w:sz w:val="17"/>
                <w:szCs w:val="17"/>
                <w:color w:val="auto"/>
              </w:rPr>
              <w:t>271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76"/>
              <w:spacing w:after="0"/>
              <w:rPr>
                <w:sz w:val="20"/>
                <w:szCs w:val="20"/>
                <w:color w:val="auto"/>
              </w:rPr>
            </w:pPr>
            <w:r>
              <w:rPr>
                <w:rFonts w:ascii="Arial" w:cs="Arial" w:eastAsia="Arial" w:hAnsi="Arial"/>
                <w:sz w:val="17"/>
                <w:szCs w:val="17"/>
                <w:color w:val="auto"/>
              </w:rPr>
              <w:t>200</w:t>
            </w:r>
          </w:p>
        </w:tc>
      </w:tr>
      <w:tr>
        <w:trPr>
          <w:trHeight w:val="256"/>
        </w:trPr>
        <w:tc>
          <w:tcPr>
            <w:tcW w:w="24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76"/>
              <w:spacing w:after="0"/>
              <w:rPr>
                <w:sz w:val="20"/>
                <w:szCs w:val="20"/>
                <w:color w:val="auto"/>
              </w:rPr>
            </w:pPr>
            <w:r>
              <w:rPr>
                <w:rFonts w:ascii="Arial" w:cs="Arial" w:eastAsia="Arial" w:hAnsi="Arial"/>
                <w:sz w:val="17"/>
                <w:szCs w:val="17"/>
                <w:color w:val="auto"/>
              </w:rPr>
              <w:t>114</w:t>
            </w:r>
          </w:p>
        </w:tc>
      </w:tr>
      <w:tr>
        <w:trPr>
          <w:trHeight w:val="257"/>
        </w:trPr>
        <w:tc>
          <w:tcPr>
            <w:tcW w:w="240" w:type="dxa"/>
            <w:vAlign w:val="bottom"/>
          </w:tcPr>
          <w:p>
            <w:pPr>
              <w:spacing w:after="0"/>
              <w:rPr>
                <w:sz w:val="22"/>
                <w:szCs w:val="22"/>
                <w:color w:val="auto"/>
              </w:rPr>
            </w:pPr>
          </w:p>
        </w:tc>
        <w:tc>
          <w:tcPr>
            <w:tcW w:w="820" w:type="dxa"/>
            <w:vAlign w:val="bottom"/>
          </w:tcPr>
          <w:p>
            <w:pPr>
              <w:jc w:val="right"/>
              <w:ind w:right="56"/>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(95)</w:t>
            </w:r>
          </w:p>
        </w:tc>
      </w:tr>
      <w:tr>
        <w:trPr>
          <w:trHeight w:val="31"/>
        </w:trPr>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9"/>
        </w:trPr>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56"/>
              <w:spacing w:after="0"/>
              <w:rPr>
                <w:sz w:val="20"/>
                <w:szCs w:val="20"/>
                <w:color w:val="auto"/>
              </w:rPr>
            </w:pPr>
            <w:r>
              <w:rPr>
                <w:rFonts w:ascii="Arial" w:cs="Arial" w:eastAsia="Arial" w:hAnsi="Arial"/>
                <w:sz w:val="17"/>
                <w:szCs w:val="17"/>
                <w:color w:val="auto"/>
              </w:rPr>
              <w:t>108</w:t>
            </w:r>
          </w:p>
        </w:tc>
        <w:tc>
          <w:tcPr>
            <w:tcW w:w="12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76"/>
              <w:spacing w:after="0"/>
              <w:rPr>
                <w:sz w:val="20"/>
                <w:szCs w:val="20"/>
                <w:color w:val="auto"/>
              </w:rPr>
            </w:pPr>
            <w:r>
              <w:rPr>
                <w:rFonts w:ascii="Arial" w:cs="Arial" w:eastAsia="Arial" w:hAnsi="Arial"/>
                <w:sz w:val="17"/>
                <w:szCs w:val="17"/>
                <w:color w:val="auto"/>
              </w:rPr>
              <w:t>646</w:t>
            </w:r>
          </w:p>
        </w:tc>
      </w:tr>
      <w:tr>
        <w:trPr>
          <w:trHeight w:val="31"/>
        </w:trPr>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80" w:space="720"/>
            <w:col w:w="2240"/>
          </w:cols>
          <w:pgMar w:left="320" w:top="368" w:right="339" w:bottom="1440" w:gutter="0" w:footer="0" w:header="0"/>
          <w:type w:val="continuous"/>
        </w:sectPr>
      </w:pPr>
    </w:p>
    <w:p>
      <w:pPr>
        <w:spacing w:after="0" w:line="335"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9"/>
          <w:szCs w:val="9"/>
          <w:color w:val="auto"/>
        </w:rPr>
      </w:pPr>
      <w:r>
        <w:rPr>
          <w:rFonts w:ascii="Arial" w:cs="Arial" w:eastAsia="Arial" w:hAnsi="Arial"/>
          <w:sz w:val="14"/>
          <w:szCs w:val="14"/>
          <w:color w:val="auto"/>
        </w:rPr>
        <w:t>Certain of our non-GAAP financial measures may not be impacted by each of the selected items impacting comparability.</w:t>
      </w:r>
    </w:p>
    <w:p>
      <w:pPr>
        <w:spacing w:after="0" w:line="55" w:lineRule="exact"/>
        <w:rPr>
          <w:rFonts w:ascii="Arial" w:cs="Arial" w:eastAsia="Arial" w:hAnsi="Arial"/>
          <w:sz w:val="9"/>
          <w:szCs w:val="9"/>
          <w:color w:val="auto"/>
        </w:rPr>
      </w:pPr>
    </w:p>
    <w:p>
      <w:pPr>
        <w:ind w:left="340" w:right="40" w:hanging="332"/>
        <w:spacing w:after="0" w:line="247" w:lineRule="auto"/>
        <w:tabs>
          <w:tab w:leader="none" w:pos="327" w:val="left"/>
        </w:tabs>
        <w:numPr>
          <w:ilvl w:val="0"/>
          <w:numId w:val="14"/>
        </w:numPr>
        <w:rPr>
          <w:rFonts w:ascii="Arial" w:cs="Arial" w:eastAsia="Arial" w:hAnsi="Arial"/>
          <w:sz w:val="9"/>
          <w:szCs w:val="9"/>
          <w:color w:val="auto"/>
        </w:rPr>
      </w:pPr>
      <w:r>
        <w:rPr>
          <w:rFonts w:ascii="Arial" w:cs="Arial" w:eastAsia="Arial" w:hAnsi="Arial"/>
          <w:sz w:val="14"/>
          <w:szCs w:val="14"/>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results.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w:t>
      </w:r>
    </w:p>
    <w:p>
      <w:pPr>
        <w:spacing w:after="0" w:line="31" w:lineRule="exact"/>
        <w:rPr>
          <w:rFonts w:ascii="Arial" w:cs="Arial" w:eastAsia="Arial" w:hAnsi="Arial"/>
          <w:sz w:val="9"/>
          <w:szCs w:val="9"/>
          <w:color w:val="auto"/>
        </w:rPr>
      </w:pPr>
    </w:p>
    <w:p>
      <w:pPr>
        <w:ind w:left="340" w:right="20" w:hanging="332"/>
        <w:spacing w:after="0" w:line="277" w:lineRule="auto"/>
        <w:tabs>
          <w:tab w:leader="none" w:pos="327" w:val="left"/>
        </w:tabs>
        <w:numPr>
          <w:ilvl w:val="0"/>
          <w:numId w:val="14"/>
        </w:numPr>
        <w:rPr>
          <w:rFonts w:ascii="Arial" w:cs="Arial" w:eastAsia="Arial" w:hAnsi="Arial"/>
          <w:sz w:val="9"/>
          <w:szCs w:val="9"/>
          <w:color w:val="auto"/>
        </w:rPr>
      </w:pPr>
      <w:r>
        <w:rPr>
          <w:rFonts w:ascii="Arial" w:cs="Arial" w:eastAsia="Arial" w:hAnsi="Arial"/>
          <w:sz w:val="13"/>
          <w:szCs w:val="13"/>
          <w:color w:val="auto"/>
        </w:rPr>
        <w:t>We carry crude oil and NGL inventory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11" w:lineRule="exact"/>
        <w:rPr>
          <w:rFonts w:ascii="Arial" w:cs="Arial" w:eastAsia="Arial" w:hAnsi="Arial"/>
          <w:sz w:val="9"/>
          <w:szCs w:val="9"/>
          <w:color w:val="auto"/>
        </w:rPr>
      </w:pPr>
    </w:p>
    <w:p>
      <w:pPr>
        <w:ind w:left="340" w:right="80" w:hanging="332"/>
        <w:spacing w:after="0" w:line="292" w:lineRule="auto"/>
        <w:tabs>
          <w:tab w:leader="none" w:pos="327" w:val="left"/>
        </w:tabs>
        <w:numPr>
          <w:ilvl w:val="0"/>
          <w:numId w:val="14"/>
        </w:numPr>
        <w:rPr>
          <w:rFonts w:ascii="Arial" w:cs="Arial" w:eastAsia="Arial" w:hAnsi="Arial"/>
          <w:sz w:val="8"/>
          <w:szCs w:val="8"/>
          <w:color w:val="auto"/>
        </w:rPr>
      </w:pPr>
      <w:r>
        <w:rPr>
          <w:rFonts w:ascii="Arial" w:cs="Arial" w:eastAsia="Arial" w:hAnsi="Arial"/>
          <w:sz w:val="12"/>
          <w:szCs w:val="12"/>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6" w:lineRule="exact"/>
        <w:rPr>
          <w:rFonts w:ascii="Arial" w:cs="Arial" w:eastAsia="Arial" w:hAnsi="Arial"/>
          <w:sz w:val="8"/>
          <w:szCs w:val="8"/>
          <w:color w:val="auto"/>
        </w:rPr>
      </w:pPr>
    </w:p>
    <w:p>
      <w:pPr>
        <w:ind w:left="340" w:right="100" w:hanging="332"/>
        <w:spacing w:after="0" w:line="249" w:lineRule="auto"/>
        <w:tabs>
          <w:tab w:leader="none" w:pos="327" w:val="left"/>
        </w:tabs>
        <w:numPr>
          <w:ilvl w:val="0"/>
          <w:numId w:val="14"/>
        </w:numPr>
        <w:rPr>
          <w:rFonts w:ascii="Arial" w:cs="Arial" w:eastAsia="Arial" w:hAnsi="Arial"/>
          <w:sz w:val="9"/>
          <w:szCs w:val="9"/>
          <w:color w:val="auto"/>
        </w:rPr>
      </w:pPr>
      <w:r>
        <w:rPr>
          <w:rFonts w:ascii="Arial" w:cs="Arial" w:eastAsia="Arial" w:hAnsi="Arial"/>
          <w:sz w:val="14"/>
          <w:szCs w:val="14"/>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and the majority of the awards are expected to be settled in units. The portion of compensation expense associated with awards that are certain to be settled in cash is not considered a selected item impacting comparability.</w:t>
      </w:r>
    </w:p>
    <w:p>
      <w:pPr>
        <w:spacing w:after="0" w:line="28" w:lineRule="exact"/>
        <w:rPr>
          <w:rFonts w:ascii="Arial" w:cs="Arial" w:eastAsia="Arial" w:hAnsi="Arial"/>
          <w:sz w:val="9"/>
          <w:szCs w:val="9"/>
          <w:color w:val="auto"/>
        </w:rPr>
      </w:pPr>
    </w:p>
    <w:p>
      <w:pPr>
        <w:ind w:left="340" w:right="60" w:hanging="332"/>
        <w:spacing w:after="0" w:line="273" w:lineRule="auto"/>
        <w:tabs>
          <w:tab w:leader="none" w:pos="327" w:val="left"/>
        </w:tabs>
        <w:numPr>
          <w:ilvl w:val="0"/>
          <w:numId w:val="14"/>
        </w:numPr>
        <w:rPr>
          <w:rFonts w:ascii="Arial" w:cs="Arial" w:eastAsia="Arial" w:hAnsi="Arial"/>
          <w:sz w:val="9"/>
          <w:szCs w:val="9"/>
          <w:color w:val="auto"/>
        </w:rPr>
      </w:pPr>
      <w:r>
        <w:rPr>
          <w:rFonts w:ascii="Arial" w:cs="Arial" w:eastAsia="Arial" w:hAnsi="Arial"/>
          <w:sz w:val="14"/>
          <w:szCs w:val="14"/>
          <w:color w:val="auto"/>
        </w:rPr>
        <w:t>During the periods presented, there were fluctuations in the value of the Canadian dollar to the U.S. dollar, resulting in gains and losses that were not related to our core operating results for the period and were thus classified as a selected item impacting comparability.</w:t>
      </w:r>
    </w:p>
    <w:p>
      <w:pPr>
        <w:spacing w:after="0" w:line="11" w:lineRule="exact"/>
        <w:rPr>
          <w:rFonts w:ascii="Arial" w:cs="Arial" w:eastAsia="Arial" w:hAnsi="Arial"/>
          <w:sz w:val="9"/>
          <w:szCs w:val="9"/>
          <w:color w:val="auto"/>
        </w:rPr>
      </w:pPr>
    </w:p>
    <w:p>
      <w:pPr>
        <w:ind w:left="320" w:hanging="312"/>
        <w:spacing w:after="0"/>
        <w:tabs>
          <w:tab w:leader="none" w:pos="320" w:val="left"/>
        </w:tabs>
        <w:numPr>
          <w:ilvl w:val="0"/>
          <w:numId w:val="14"/>
        </w:numPr>
        <w:rPr>
          <w:rFonts w:ascii="Arial" w:cs="Arial" w:eastAsia="Arial" w:hAnsi="Arial"/>
          <w:sz w:val="9"/>
          <w:szCs w:val="9"/>
          <w:color w:val="auto"/>
        </w:rPr>
      </w:pPr>
      <w:r>
        <w:rPr>
          <w:rFonts w:ascii="Arial" w:cs="Arial" w:eastAsia="Arial" w:hAnsi="Arial"/>
          <w:sz w:val="14"/>
          <w:szCs w:val="14"/>
          <w:color w:val="auto"/>
        </w:rPr>
        <w:t>Includes costs recognized during the period related to the Line 901 incident that occurred in May 2015, net of amounts we believe are probable of recovery from insurance.</w:t>
      </w:r>
    </w:p>
    <w:p>
      <w:pPr>
        <w:spacing w:after="0" w:line="59" w:lineRule="exact"/>
        <w:rPr>
          <w:rFonts w:ascii="Arial" w:cs="Arial" w:eastAsia="Arial" w:hAnsi="Arial"/>
          <w:sz w:val="9"/>
          <w:szCs w:val="9"/>
          <w:color w:val="auto"/>
        </w:rPr>
      </w:pPr>
    </w:p>
    <w:p>
      <w:pPr>
        <w:ind w:left="5440" w:hanging="106"/>
        <w:spacing w:after="0"/>
        <w:tabs>
          <w:tab w:leader="none" w:pos="54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Page 15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ADJUSTED NET INCOME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6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6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Adjusted Net Income per Common Unit</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Net income/(loss) attributable to PAA</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(2,705)</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shd w:val="clear" w:color="auto" w:fill="CCEEFF"/>
          </w:tcPr>
          <w:p>
            <w:pPr>
              <w:ind w:left="180"/>
              <w:spacing w:after="0" w:line="182" w:lineRule="exact"/>
              <w:rPr>
                <w:sz w:val="20"/>
                <w:szCs w:val="20"/>
                <w:color w:val="auto"/>
              </w:rPr>
            </w:pPr>
            <w:r>
              <w:rPr>
                <w:rFonts w:ascii="Arial" w:cs="Arial" w:eastAsia="Arial" w:hAnsi="Arial"/>
                <w:sz w:val="18"/>
                <w:szCs w:val="18"/>
                <w:color w:val="auto"/>
                <w:w w:val="94"/>
              </w:rPr>
              <w:t>Selected items impacting comparability - Adjusted net income attributable to PAA</w:t>
            </w: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3,393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151"/>
        </w:trPr>
        <w:tc>
          <w:tcPr>
            <w:tcW w:w="6280" w:type="dxa"/>
            <w:vAlign w:val="bottom"/>
            <w:shd w:val="clear" w:color="auto" w:fill="CCEEFF"/>
          </w:tcPr>
          <w:p>
            <w:pPr>
              <w:ind w:left="360"/>
              <w:spacing w:after="0"/>
              <w:rPr>
                <w:sz w:val="20"/>
                <w:szCs w:val="20"/>
                <w:color w:val="auto"/>
              </w:rPr>
            </w:pPr>
            <w:r>
              <w:rPr>
                <w:rFonts w:ascii="Arial" w:cs="Arial" w:eastAsia="Arial" w:hAnsi="Arial"/>
                <w:sz w:val="12"/>
                <w:szCs w:val="12"/>
                <w:color w:val="auto"/>
              </w:rPr>
              <w:t>(2)</w:t>
            </w:r>
          </w:p>
        </w:tc>
        <w:tc>
          <w:tcPr>
            <w:tcW w:w="2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6280" w:type="dxa"/>
            <w:vAlign w:val="bottom"/>
          </w:tcPr>
          <w:p>
            <w:pPr>
              <w:ind w:left="20"/>
              <w:spacing w:after="0"/>
              <w:rPr>
                <w:sz w:val="20"/>
                <w:szCs w:val="20"/>
                <w:color w:val="auto"/>
              </w:rPr>
            </w:pPr>
            <w:r>
              <w:rPr>
                <w:rFonts w:ascii="Arial" w:cs="Arial" w:eastAsia="Arial" w:hAnsi="Arial"/>
                <w:sz w:val="18"/>
                <w:szCs w:val="18"/>
                <w:color w:val="auto"/>
              </w:rPr>
              <w:t>Adjusted net income attributable to PAA</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to Series A preferred unitholders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0"/>
        </w:trPr>
        <w:tc>
          <w:tcPr>
            <w:tcW w:w="6280" w:type="dxa"/>
            <w:vAlign w:val="bottom"/>
          </w:tcPr>
          <w:p>
            <w:pPr>
              <w:ind w:left="180"/>
              <w:spacing w:after="0"/>
              <w:rPr>
                <w:sz w:val="20"/>
                <w:szCs w:val="20"/>
                <w:color w:val="auto"/>
              </w:rPr>
            </w:pPr>
            <w:r>
              <w:rPr>
                <w:rFonts w:ascii="Arial" w:cs="Arial" w:eastAsia="Arial" w:hAnsi="Arial"/>
                <w:sz w:val="18"/>
                <w:szCs w:val="18"/>
                <w:color w:val="auto"/>
              </w:rPr>
              <w:t>Distributions to Series B preferred unitholders</w:t>
            </w:r>
          </w:p>
        </w:tc>
        <w:tc>
          <w:tcPr>
            <w:tcW w:w="26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0"/>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3"/>
        </w:trPr>
        <w:tc>
          <w:tcPr>
            <w:tcW w:w="6280" w:type="dxa"/>
            <w:vAlign w:val="bottom"/>
          </w:tcPr>
          <w:p>
            <w:pPr>
              <w:ind w:left="20"/>
              <w:spacing w:after="0"/>
              <w:rPr>
                <w:sz w:val="20"/>
                <w:szCs w:val="20"/>
                <w:color w:val="auto"/>
              </w:rPr>
            </w:pPr>
            <w:r>
              <w:rPr>
                <w:rFonts w:ascii="Arial" w:cs="Arial" w:eastAsia="Arial" w:hAnsi="Arial"/>
                <w:sz w:val="18"/>
                <w:szCs w:val="18"/>
                <w:color w:val="auto"/>
              </w:rPr>
              <w:t>Adjusted net income allocated to common unitholders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Basic weighted average common units outstanding</w:t>
            </w:r>
          </w:p>
        </w:tc>
        <w:tc>
          <w:tcPr>
            <w:tcW w:w="26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2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20"/>
              <w:spacing w:after="0"/>
              <w:rPr>
                <w:sz w:val="20"/>
                <w:szCs w:val="20"/>
                <w:color w:val="auto"/>
              </w:rPr>
            </w:pPr>
            <w:r>
              <w:rPr>
                <w:rFonts w:ascii="Arial" w:cs="Arial" w:eastAsia="Arial" w:hAnsi="Arial"/>
                <w:sz w:val="18"/>
                <w:szCs w:val="18"/>
                <w:color w:val="auto"/>
              </w:rPr>
              <w:t>Basic adjusted net income per common unit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Diluted Adjusted Net Income per Common Unit</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income/(loss) attributable to PAA</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183"/>
        </w:trPr>
        <w:tc>
          <w:tcPr>
            <w:tcW w:w="6280" w:type="dxa"/>
            <w:vAlign w:val="bottom"/>
          </w:tcPr>
          <w:p>
            <w:pPr>
              <w:ind w:left="180"/>
              <w:spacing w:after="0" w:line="182" w:lineRule="exact"/>
              <w:rPr>
                <w:sz w:val="20"/>
                <w:szCs w:val="20"/>
                <w:color w:val="auto"/>
              </w:rPr>
            </w:pPr>
            <w:r>
              <w:rPr>
                <w:rFonts w:ascii="Arial" w:cs="Arial" w:eastAsia="Arial" w:hAnsi="Arial"/>
                <w:sz w:val="18"/>
                <w:szCs w:val="18"/>
                <w:color w:val="auto"/>
                <w:w w:val="94"/>
              </w:rPr>
              <w:t>Selected items impacting comparability - Adjusted net income attributable to PAA</w:t>
            </w:r>
          </w:p>
        </w:tc>
        <w:tc>
          <w:tcPr>
            <w:tcW w:w="260" w:type="dxa"/>
            <w:vAlign w:val="bottom"/>
          </w:tcPr>
          <w:p>
            <w:pPr>
              <w:spacing w:after="0"/>
              <w:rPr>
                <w:sz w:val="15"/>
                <w:szCs w:val="15"/>
                <w:color w:val="auto"/>
              </w:rPr>
            </w:pPr>
          </w:p>
        </w:tc>
        <w:tc>
          <w:tcPr>
            <w:tcW w:w="900" w:type="dxa"/>
            <w:vAlign w:val="bottom"/>
            <w:vMerge w:val="restart"/>
          </w:tcPr>
          <w:p>
            <w:pPr>
              <w:jc w:val="right"/>
              <w:ind w:right="72"/>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vMerge w:val="restart"/>
          </w:tcPr>
          <w:p>
            <w:pPr>
              <w:jc w:val="right"/>
              <w:ind w:right="7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restart"/>
          </w:tcPr>
          <w:p>
            <w:pPr>
              <w:jc w:val="right"/>
              <w:ind w:right="72"/>
              <w:spacing w:after="0"/>
              <w:rPr>
                <w:sz w:val="20"/>
                <w:szCs w:val="20"/>
                <w:color w:val="auto"/>
              </w:rPr>
            </w:pPr>
            <w:r>
              <w:rPr>
                <w:rFonts w:ascii="Arial" w:cs="Arial" w:eastAsia="Arial" w:hAnsi="Arial"/>
                <w:sz w:val="18"/>
                <w:szCs w:val="18"/>
                <w:color w:val="auto"/>
              </w:rPr>
              <w:t>3,393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vMerge w:val="restart"/>
          </w:tcPr>
          <w:p>
            <w:pPr>
              <w:jc w:val="right"/>
              <w:ind w:right="1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151"/>
        </w:trPr>
        <w:tc>
          <w:tcPr>
            <w:tcW w:w="6280" w:type="dxa"/>
            <w:vAlign w:val="bottom"/>
            <w:tcBorders>
              <w:bottom w:val="single" w:sz="8" w:color="CCEEFF"/>
            </w:tcBorders>
          </w:tcPr>
          <w:p>
            <w:pPr>
              <w:ind w:left="360"/>
              <w:spacing w:after="0"/>
              <w:rPr>
                <w:sz w:val="20"/>
                <w:szCs w:val="20"/>
                <w:color w:val="auto"/>
              </w:rPr>
            </w:pPr>
            <w:r>
              <w:rPr>
                <w:rFonts w:ascii="Arial" w:cs="Arial" w:eastAsia="Arial" w:hAnsi="Arial"/>
                <w:sz w:val="12"/>
                <w:szCs w:val="12"/>
                <w:color w:val="auto"/>
              </w:rPr>
              <w:t>(2)</w:t>
            </w: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 attributable to PAA</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70"/>
        </w:trPr>
        <w:tc>
          <w:tcPr>
            <w:tcW w:w="6280" w:type="dxa"/>
            <w:vAlign w:val="bottom"/>
          </w:tcPr>
          <w:p>
            <w:pPr>
              <w:ind w:left="180"/>
              <w:spacing w:after="0"/>
              <w:rPr>
                <w:sz w:val="20"/>
                <w:szCs w:val="20"/>
                <w:color w:val="auto"/>
              </w:rPr>
            </w:pPr>
            <w:r>
              <w:rPr>
                <w:rFonts w:ascii="Arial" w:cs="Arial" w:eastAsia="Arial" w:hAnsi="Arial"/>
                <w:sz w:val="18"/>
                <w:szCs w:val="18"/>
                <w:color w:val="auto"/>
              </w:rPr>
              <w:t>Distributions to Series A preferred unitholders</w:t>
            </w:r>
          </w:p>
        </w:tc>
        <w:tc>
          <w:tcPr>
            <w:tcW w:w="26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to Series B preferred unitholders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0"/>
        </w:trPr>
        <w:tc>
          <w:tcPr>
            <w:tcW w:w="6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8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 allocated to common unitholders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common units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Series A preferred units </w:t>
            </w:r>
            <w:r>
              <w:rPr>
                <w:rFonts w:ascii="Arial" w:cs="Arial" w:eastAsia="Arial" w:hAnsi="Arial"/>
                <w:sz w:val="23"/>
                <w:szCs w:val="23"/>
                <w:color w:val="auto"/>
                <w:vertAlign w:val="superscript"/>
              </w:rPr>
              <w:t>(3)</w:t>
            </w:r>
          </w:p>
        </w:tc>
        <w:tc>
          <w:tcPr>
            <w:tcW w:w="2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0"/>
        </w:trPr>
        <w:tc>
          <w:tcPr>
            <w:tcW w:w="6280" w:type="dxa"/>
            <w:vAlign w:val="bottom"/>
          </w:tcPr>
          <w:p>
            <w:pPr>
              <w:ind w:left="180"/>
              <w:spacing w:after="0"/>
              <w:rPr>
                <w:sz w:val="20"/>
                <w:szCs w:val="20"/>
                <w:color w:val="auto"/>
              </w:rPr>
            </w:pPr>
            <w:r>
              <w:rPr>
                <w:rFonts w:ascii="Arial" w:cs="Arial" w:eastAsia="Arial" w:hAnsi="Arial"/>
                <w:sz w:val="18"/>
                <w:szCs w:val="18"/>
                <w:color w:val="auto"/>
              </w:rPr>
              <w:t xml:space="preserve">Equity-indexed compensation plan awards </w:t>
            </w:r>
            <w:r>
              <w:rPr>
                <w:rFonts w:ascii="Arial" w:cs="Arial" w:eastAsia="Arial" w:hAnsi="Arial"/>
                <w:sz w:val="23"/>
                <w:szCs w:val="23"/>
                <w:color w:val="auto"/>
                <w:vertAlign w:val="superscript"/>
              </w:rPr>
              <w:t>(4)</w:t>
            </w:r>
          </w:p>
        </w:tc>
        <w:tc>
          <w:tcPr>
            <w:tcW w:w="260" w:type="dxa"/>
            <w:vAlign w:val="bottom"/>
          </w:tcPr>
          <w:p>
            <w:pPr>
              <w:spacing w:after="0"/>
              <w:rPr>
                <w:sz w:val="23"/>
                <w:szCs w:val="23"/>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88"/>
        </w:trPr>
        <w:tc>
          <w:tcPr>
            <w:tcW w:w="6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units outstanding</w:t>
            </w:r>
          </w:p>
        </w:tc>
        <w:tc>
          <w:tcPr>
            <w:tcW w:w="260" w:type="dxa"/>
            <w:vAlign w:val="bottom"/>
            <w:tcBorders>
              <w:top w:val="single" w:sz="8" w:color="auto"/>
              <w:bottom w:val="single" w:sz="8" w:color="auto"/>
            </w:tcBorders>
            <w:shd w:val="clear" w:color="auto" w:fill="CCEEFF"/>
          </w:tcPr>
          <w:p>
            <w:pPr>
              <w:spacing w:after="0"/>
              <w:rPr>
                <w:sz w:val="24"/>
                <w:szCs w:val="24"/>
                <w:color w:val="auto"/>
              </w:rPr>
            </w:pPr>
          </w:p>
        </w:tc>
        <w:tc>
          <w:tcPr>
            <w:tcW w:w="90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728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spacing w:after="0"/>
              <w:rPr>
                <w:sz w:val="24"/>
                <w:szCs w:val="24"/>
                <w:color w:val="auto"/>
              </w:rPr>
            </w:pPr>
          </w:p>
        </w:tc>
        <w:tc>
          <w:tcPr>
            <w:tcW w:w="8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800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spacing w:after="0"/>
              <w:rPr>
                <w:sz w:val="24"/>
                <w:szCs w:val="24"/>
                <w:color w:val="auto"/>
              </w:rPr>
            </w:pPr>
          </w:p>
        </w:tc>
        <w:tc>
          <w:tcPr>
            <w:tcW w:w="90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729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spacing w:after="0"/>
              <w:rPr>
                <w:sz w:val="24"/>
                <w:szCs w:val="24"/>
                <w:color w:val="auto"/>
              </w:rPr>
            </w:pPr>
          </w:p>
        </w:tc>
        <w:tc>
          <w:tcPr>
            <w:tcW w:w="8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adjusted net income per common unit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0.81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40" w:right="40" w:hanging="332"/>
        <w:spacing w:after="0" w:line="227" w:lineRule="auto"/>
        <w:tabs>
          <w:tab w:leader="none" w:pos="327" w:val="left"/>
        </w:tabs>
        <w:numPr>
          <w:ilvl w:val="0"/>
          <w:numId w:val="15"/>
        </w:numPr>
        <w:rPr>
          <w:rFonts w:ascii="Arial" w:cs="Arial" w:eastAsia="Arial" w:hAnsi="Arial"/>
          <w:sz w:val="16"/>
          <w:szCs w:val="16"/>
          <w:color w:val="auto"/>
          <w:vertAlign w:val="superscript"/>
        </w:rPr>
      </w:pPr>
      <w:r>
        <w:rPr>
          <w:rFonts w:ascii="Arial" w:cs="Arial" w:eastAsia="Arial" w:hAnsi="Arial"/>
          <w:sz w:val="13"/>
          <w:szCs w:val="13"/>
          <w:color w:val="auto"/>
        </w:rPr>
        <w:t>We calculate adjusted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18" w:lineRule="exact"/>
        <w:rPr>
          <w:rFonts w:ascii="Arial" w:cs="Arial" w:eastAsia="Arial" w:hAnsi="Arial"/>
          <w:sz w:val="16"/>
          <w:szCs w:val="16"/>
          <w:color w:val="auto"/>
          <w:vertAlign w:val="superscript"/>
        </w:rPr>
      </w:pPr>
    </w:p>
    <w:p>
      <w:pPr>
        <w:ind w:left="320" w:hanging="312"/>
        <w:spacing w:after="0"/>
        <w:tabs>
          <w:tab w:leader="none" w:pos="320" w:val="left"/>
        </w:tabs>
        <w:numPr>
          <w:ilvl w:val="0"/>
          <w:numId w:val="15"/>
        </w:numPr>
        <w:rPr>
          <w:rFonts w:ascii="Arial" w:cs="Arial" w:eastAsia="Arial" w:hAnsi="Arial"/>
          <w:sz w:val="16"/>
          <w:szCs w:val="16"/>
          <w:color w:val="auto"/>
          <w:vertAlign w:val="superscript"/>
        </w:rPr>
      </w:pPr>
      <w:r>
        <w:rPr>
          <w:rFonts w:ascii="Arial" w:cs="Arial" w:eastAsia="Arial" w:hAnsi="Arial"/>
          <w:sz w:val="13"/>
          <w:szCs w:val="13"/>
          <w:color w:val="auto"/>
        </w:rPr>
        <w:t>Certain of our non-GAAP financial measures may not be impacted by each of the selected items impacting comparability.</w:t>
      </w:r>
    </w:p>
    <w:p>
      <w:pPr>
        <w:spacing w:after="0" w:line="52" w:lineRule="exact"/>
        <w:rPr>
          <w:rFonts w:ascii="Arial" w:cs="Arial" w:eastAsia="Arial" w:hAnsi="Arial"/>
          <w:sz w:val="16"/>
          <w:szCs w:val="16"/>
          <w:color w:val="auto"/>
          <w:vertAlign w:val="superscript"/>
        </w:rPr>
      </w:pPr>
    </w:p>
    <w:p>
      <w:pPr>
        <w:ind w:left="320" w:hanging="312"/>
        <w:spacing w:after="0" w:line="223" w:lineRule="auto"/>
        <w:tabs>
          <w:tab w:leader="none" w:pos="320" w:val="left"/>
        </w:tabs>
        <w:numPr>
          <w:ilvl w:val="0"/>
          <w:numId w:val="15"/>
        </w:numPr>
        <w:rPr>
          <w:rFonts w:ascii="Arial" w:cs="Arial" w:eastAsia="Arial" w:hAnsi="Arial"/>
          <w:sz w:val="14"/>
          <w:szCs w:val="14"/>
          <w:color w:val="auto"/>
          <w:vertAlign w:val="superscript"/>
        </w:rPr>
      </w:pPr>
      <w:r>
        <w:rPr>
          <w:rFonts w:ascii="Arial" w:cs="Arial" w:eastAsia="Arial" w:hAnsi="Arial"/>
          <w:sz w:val="11"/>
          <w:szCs w:val="11"/>
          <w:color w:val="auto"/>
        </w:rPr>
        <w:t>The possible conversion of our Series A preferred units were excluded from the calculation of diluted net income per common unit for the three and six months ended June 30, 2020 as the effect was antidilutive.</w:t>
      </w:r>
    </w:p>
    <w:p>
      <w:pPr>
        <w:spacing w:after="0" w:line="52" w:lineRule="exact"/>
        <w:rPr>
          <w:rFonts w:ascii="Arial" w:cs="Arial" w:eastAsia="Arial" w:hAnsi="Arial"/>
          <w:sz w:val="14"/>
          <w:szCs w:val="14"/>
          <w:color w:val="auto"/>
          <w:vertAlign w:val="superscript"/>
        </w:rPr>
      </w:pPr>
    </w:p>
    <w:p>
      <w:pPr>
        <w:ind w:left="340" w:right="60" w:hanging="332"/>
        <w:spacing w:after="0" w:line="226" w:lineRule="auto"/>
        <w:tabs>
          <w:tab w:leader="none" w:pos="327" w:val="left"/>
        </w:tabs>
        <w:numPr>
          <w:ilvl w:val="0"/>
          <w:numId w:val="15"/>
        </w:numPr>
        <w:rPr>
          <w:rFonts w:ascii="Arial" w:cs="Arial" w:eastAsia="Arial" w:hAnsi="Arial"/>
          <w:sz w:val="16"/>
          <w:szCs w:val="16"/>
          <w:color w:val="auto"/>
          <w:vertAlign w:val="superscript"/>
        </w:rPr>
      </w:pPr>
      <w:r>
        <w:rPr>
          <w:rFonts w:ascii="Arial" w:cs="Arial" w:eastAsia="Arial" w:hAnsi="Arial"/>
          <w:sz w:val="13"/>
          <w:szCs w:val="13"/>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months ended June 30, 2020, such LTIP awards did not change the presentation of diluted weighted average common units outstanding or diluted adjusted net income per common unit.</w:t>
      </w:r>
    </w:p>
    <w:p>
      <w:pPr>
        <w:spacing w:after="0" w:line="42" w:lineRule="exact"/>
        <w:rPr>
          <w:rFonts w:ascii="Arial" w:cs="Arial" w:eastAsia="Arial" w:hAnsi="Arial"/>
          <w:sz w:val="16"/>
          <w:szCs w:val="16"/>
          <w:color w:val="auto"/>
          <w:vertAlign w:val="superscript"/>
        </w:rPr>
      </w:pPr>
    </w:p>
    <w:p>
      <w:pPr>
        <w:ind w:left="5440" w:hanging="106"/>
        <w:spacing w:after="0"/>
        <w:tabs>
          <w:tab w:leader="none" w:pos="5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Page 16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Income/(Loss) Per Common Unit to Adjusted Net Income Per Common Unit Reconciliations: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6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96"/>
        </w:trPr>
        <w:tc>
          <w:tcPr>
            <w:tcW w:w="62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income/(loss) per common unit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ind w:left="136"/>
              <w:spacing w:after="0"/>
              <w:rPr>
                <w:sz w:val="20"/>
                <w:szCs w:val="20"/>
                <w:color w:val="auto"/>
              </w:rPr>
            </w:pPr>
            <w:r>
              <w:rPr>
                <w:rFonts w:ascii="Arial" w:cs="Arial" w:eastAsia="Arial" w:hAnsi="Arial"/>
                <w:sz w:val="18"/>
                <w:szCs w:val="18"/>
                <w:color w:val="auto"/>
                <w:w w:val="93"/>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center"/>
              <w:ind w:left="133"/>
              <w:spacing w:after="0"/>
              <w:rPr>
                <w:sz w:val="20"/>
                <w:szCs w:val="20"/>
                <w:color w:val="auto"/>
              </w:rPr>
            </w:pPr>
            <w:r>
              <w:rPr>
                <w:rFonts w:ascii="Arial" w:cs="Arial" w:eastAsia="Arial" w:hAnsi="Arial"/>
                <w:sz w:val="18"/>
                <w:szCs w:val="18"/>
                <w:color w:val="auto"/>
                <w:w w:val="85"/>
              </w:rPr>
              <w:t>1.80</w:t>
            </w:r>
          </w:p>
        </w:tc>
      </w:tr>
      <w:tr>
        <w:trPr>
          <w:trHeight w:val="27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center"/>
              <w:ind w:left="176"/>
              <w:spacing w:after="0"/>
              <w:rPr>
                <w:sz w:val="20"/>
                <w:szCs w:val="20"/>
                <w:color w:val="auto"/>
              </w:rPr>
            </w:pPr>
            <w:r>
              <w:rPr>
                <w:rFonts w:ascii="Arial" w:cs="Arial" w:eastAsia="Arial" w:hAnsi="Arial"/>
                <w:sz w:val="18"/>
                <w:szCs w:val="18"/>
                <w:color w:val="auto"/>
                <w:w w:val="91"/>
              </w:rPr>
              <w:t>4.66</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center"/>
              <w:ind w:left="113"/>
              <w:spacing w:after="0"/>
              <w:rPr>
                <w:sz w:val="20"/>
                <w:szCs w:val="20"/>
                <w:color w:val="auto"/>
              </w:rPr>
            </w:pPr>
            <w:r>
              <w:rPr>
                <w:rFonts w:ascii="Arial" w:cs="Arial" w:eastAsia="Arial" w:hAnsi="Arial"/>
                <w:sz w:val="18"/>
                <w:szCs w:val="18"/>
                <w:color w:val="auto"/>
                <w:w w:val="93"/>
              </w:rPr>
              <w:t>(0.41)</w:t>
            </w:r>
          </w:p>
        </w:tc>
      </w:tr>
      <w:tr>
        <w:trPr>
          <w:trHeight w:val="28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adjusted net income per common unit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176"/>
              <w:spacing w:after="0"/>
              <w:rPr>
                <w:sz w:val="20"/>
                <w:szCs w:val="20"/>
                <w:color w:val="auto"/>
              </w:rPr>
            </w:pPr>
            <w:r>
              <w:rPr>
                <w:rFonts w:ascii="Arial" w:cs="Arial" w:eastAsia="Arial" w:hAnsi="Arial"/>
                <w:sz w:val="18"/>
                <w:szCs w:val="18"/>
                <w:color w:val="auto"/>
                <w:w w:val="91"/>
              </w:rPr>
              <w:t>0.81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center"/>
              <w:ind w:left="133"/>
              <w:spacing w:after="0"/>
              <w:rPr>
                <w:sz w:val="20"/>
                <w:szCs w:val="20"/>
                <w:color w:val="auto"/>
              </w:rPr>
            </w:pPr>
            <w:r>
              <w:rPr>
                <w:rFonts w:ascii="Arial" w:cs="Arial" w:eastAsia="Arial" w:hAnsi="Arial"/>
                <w:sz w:val="18"/>
                <w:szCs w:val="18"/>
                <w:color w:val="auto"/>
                <w:w w:val="85"/>
              </w:rPr>
              <w:t>1.39</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income/(loss) per common unit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ind w:left="136"/>
              <w:spacing w:after="0"/>
              <w:rPr>
                <w:sz w:val="20"/>
                <w:szCs w:val="20"/>
                <w:color w:val="auto"/>
              </w:rPr>
            </w:pPr>
            <w:r>
              <w:rPr>
                <w:rFonts w:ascii="Arial" w:cs="Arial" w:eastAsia="Arial" w:hAnsi="Arial"/>
                <w:sz w:val="18"/>
                <w:szCs w:val="18"/>
                <w:color w:val="auto"/>
                <w:w w:val="93"/>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center"/>
              <w:ind w:left="133"/>
              <w:spacing w:after="0"/>
              <w:rPr>
                <w:sz w:val="20"/>
                <w:szCs w:val="20"/>
                <w:color w:val="auto"/>
              </w:rPr>
            </w:pPr>
            <w:r>
              <w:rPr>
                <w:rFonts w:ascii="Arial" w:cs="Arial" w:eastAsia="Arial" w:hAnsi="Arial"/>
                <w:sz w:val="18"/>
                <w:szCs w:val="18"/>
                <w:color w:val="auto"/>
                <w:w w:val="85"/>
              </w:rPr>
              <w:t>1.74</w:t>
            </w:r>
          </w:p>
        </w:tc>
      </w:tr>
      <w:tr>
        <w:trPr>
          <w:trHeight w:val="27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center"/>
              <w:ind w:left="176"/>
              <w:spacing w:after="0"/>
              <w:rPr>
                <w:sz w:val="20"/>
                <w:szCs w:val="20"/>
                <w:color w:val="auto"/>
              </w:rPr>
            </w:pPr>
            <w:r>
              <w:rPr>
                <w:rFonts w:ascii="Arial" w:cs="Arial" w:eastAsia="Arial" w:hAnsi="Arial"/>
                <w:sz w:val="18"/>
                <w:szCs w:val="18"/>
                <w:color w:val="auto"/>
                <w:w w:val="91"/>
              </w:rPr>
              <w:t>4.66</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center"/>
              <w:ind w:left="113"/>
              <w:spacing w:after="0"/>
              <w:rPr>
                <w:sz w:val="20"/>
                <w:szCs w:val="20"/>
                <w:color w:val="auto"/>
              </w:rPr>
            </w:pPr>
            <w:r>
              <w:rPr>
                <w:rFonts w:ascii="Arial" w:cs="Arial" w:eastAsia="Arial" w:hAnsi="Arial"/>
                <w:sz w:val="18"/>
                <w:szCs w:val="18"/>
                <w:color w:val="auto"/>
                <w:w w:val="93"/>
              </w:rPr>
              <w:t>(0.38)</w:t>
            </w:r>
          </w:p>
        </w:tc>
      </w:tr>
      <w:tr>
        <w:trPr>
          <w:trHeight w:val="28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adjusted net income per common unit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176"/>
              <w:spacing w:after="0"/>
              <w:rPr>
                <w:sz w:val="20"/>
                <w:szCs w:val="20"/>
                <w:color w:val="auto"/>
              </w:rPr>
            </w:pPr>
            <w:r>
              <w:rPr>
                <w:rFonts w:ascii="Arial" w:cs="Arial" w:eastAsia="Arial" w:hAnsi="Arial"/>
                <w:sz w:val="18"/>
                <w:szCs w:val="18"/>
                <w:color w:val="auto"/>
                <w:w w:val="91"/>
              </w:rPr>
              <w:t>0.81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center"/>
              <w:ind w:left="133"/>
              <w:spacing w:after="0"/>
              <w:rPr>
                <w:sz w:val="20"/>
                <w:szCs w:val="20"/>
                <w:color w:val="auto"/>
              </w:rPr>
            </w:pPr>
            <w:r>
              <w:rPr>
                <w:rFonts w:ascii="Arial" w:cs="Arial" w:eastAsia="Arial" w:hAnsi="Arial"/>
                <w:sz w:val="18"/>
                <w:szCs w:val="18"/>
                <w:color w:val="auto"/>
                <w:w w:val="85"/>
              </w:rPr>
              <w:t>1.36</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40" w:right="120" w:hanging="332"/>
        <w:spacing w:after="0" w:line="227" w:lineRule="auto"/>
        <w:tabs>
          <w:tab w:leader="none" w:pos="328"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See the “Selected Items Impacting Comparability” and the “Computation of Basic and Diluted Adjusted Net Income/(Loss) Per Common Unit” tables for additional information.</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Diluted net income per common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-147320</wp:posOffset>
            </wp:positionV>
            <wp:extent cx="7089140" cy="179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89140" cy="179705"/>
                    </a:xfrm>
                    <a:prstGeom prst="rect">
                      <a:avLst/>
                    </a:prstGeom>
                    <a:noFill/>
                  </pic:spPr>
                </pic:pic>
              </a:graphicData>
            </a:graphic>
          </wp:anchor>
        </w:drawing>
      </w:r>
    </w:p>
    <w:p>
      <w:pPr>
        <w:spacing w:after="0" w:line="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-20955</wp:posOffset>
            </wp:positionV>
            <wp:extent cx="7089140" cy="1968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89140" cy="196850"/>
                    </a:xfrm>
                    <a:prstGeom prst="rect">
                      <a:avLst/>
                    </a:prstGeom>
                    <a:noFill/>
                  </pic:spPr>
                </pic:pic>
              </a:graphicData>
            </a:graphic>
          </wp:anchor>
        </w:drawing>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Diluted adjusted net income per common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24599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See the “Selected Items Impacting Comparability” table for additional information.</w:t>
      </w:r>
    </w:p>
    <w:p>
      <w:pPr>
        <w:spacing w:after="0" w:line="55" w:lineRule="exact"/>
        <w:rPr>
          <w:rFonts w:ascii="Arial" w:cs="Arial" w:eastAsia="Arial" w:hAnsi="Arial"/>
          <w:sz w:val="21"/>
          <w:szCs w:val="21"/>
          <w:color w:val="auto"/>
          <w:vertAlign w:val="superscript"/>
        </w:rPr>
      </w:pPr>
    </w:p>
    <w:p>
      <w:pPr>
        <w:ind w:left="5440" w:hanging="106"/>
        <w:spacing w:after="0"/>
        <w:tabs>
          <w:tab w:leader="none" w:pos="54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Twelve Months Ended</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15430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r>
      <w:tr>
        <w:trPr>
          <w:trHeight w:val="243"/>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center"/>
              <w:ind w:left="175"/>
              <w:spacing w:after="0"/>
              <w:rPr>
                <w:sz w:val="20"/>
                <w:szCs w:val="20"/>
                <w:color w:val="auto"/>
              </w:rPr>
            </w:pPr>
            <w:r>
              <w:rPr>
                <w:rFonts w:ascii="Arial" w:cs="Arial" w:eastAsia="Arial" w:hAnsi="Arial"/>
                <w:sz w:val="18"/>
                <w:szCs w:val="18"/>
                <w:color w:val="auto"/>
                <w:w w:val="91"/>
              </w:rPr>
              <w:t>2.65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center"/>
              <w:ind w:left="175"/>
              <w:spacing w:after="0"/>
              <w:rPr>
                <w:sz w:val="20"/>
                <w:szCs w:val="20"/>
                <w:color w:val="auto"/>
              </w:rPr>
            </w:pPr>
            <w:r>
              <w:rPr>
                <w:rFonts w:ascii="Arial" w:cs="Arial" w:eastAsia="Arial" w:hAnsi="Arial"/>
                <w:sz w:val="18"/>
                <w:szCs w:val="18"/>
                <w:color w:val="auto"/>
                <w:w w:val="91"/>
              </w:rPr>
              <w:t>2.71</w:t>
            </w:r>
          </w:p>
        </w:tc>
      </w:tr>
      <w:tr>
        <w:trPr>
          <w:trHeight w:val="270"/>
        </w:trPr>
        <w:tc>
          <w:tcPr>
            <w:tcW w:w="260" w:type="dxa"/>
            <w:vAlign w:val="bottom"/>
          </w:tcPr>
          <w:p>
            <w:pPr>
              <w:spacing w:after="0"/>
              <w:rPr>
                <w:sz w:val="23"/>
                <w:szCs w:val="23"/>
                <w:color w:val="auto"/>
              </w:rPr>
            </w:pPr>
          </w:p>
        </w:tc>
        <w:tc>
          <w:tcPr>
            <w:tcW w:w="900" w:type="dxa"/>
            <w:vAlign w:val="bottom"/>
          </w:tcPr>
          <w:p>
            <w:pPr>
              <w:jc w:val="center"/>
              <w:ind w:left="155"/>
              <w:spacing w:after="0"/>
              <w:rPr>
                <w:sz w:val="20"/>
                <w:szCs w:val="20"/>
                <w:color w:val="auto"/>
              </w:rPr>
            </w:pPr>
            <w:r>
              <w:rPr>
                <w:rFonts w:ascii="Arial" w:cs="Arial" w:eastAsia="Arial" w:hAnsi="Arial"/>
                <w:sz w:val="18"/>
                <w:szCs w:val="18"/>
                <w:color w:val="auto"/>
                <w:w w:val="89"/>
              </w:rPr>
              <w:t>(0.14)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center"/>
              <w:ind w:left="135"/>
              <w:spacing w:after="0"/>
              <w:rPr>
                <w:sz w:val="20"/>
                <w:szCs w:val="20"/>
                <w:color w:val="auto"/>
              </w:rPr>
            </w:pPr>
            <w:r>
              <w:rPr>
                <w:rFonts w:ascii="Arial" w:cs="Arial" w:eastAsia="Arial" w:hAnsi="Arial"/>
                <w:sz w:val="18"/>
                <w:szCs w:val="18"/>
                <w:color w:val="auto"/>
                <w:w w:val="93"/>
              </w:rPr>
              <w:t>(0.83)</w:t>
            </w:r>
          </w:p>
        </w:tc>
      </w:tr>
      <w:tr>
        <w:trPr>
          <w:trHeight w:val="27"/>
        </w:trPr>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center"/>
              <w:ind w:left="175"/>
              <w:spacing w:after="0"/>
              <w:rPr>
                <w:sz w:val="20"/>
                <w:szCs w:val="20"/>
                <w:color w:val="auto"/>
              </w:rPr>
            </w:pPr>
            <w:r>
              <w:rPr>
                <w:rFonts w:ascii="Arial" w:cs="Arial" w:eastAsia="Arial" w:hAnsi="Arial"/>
                <w:sz w:val="18"/>
                <w:szCs w:val="18"/>
                <w:color w:val="auto"/>
                <w:w w:val="91"/>
              </w:rPr>
              <w:t>2.51</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center"/>
              <w:ind w:left="175"/>
              <w:spacing w:after="0"/>
              <w:rPr>
                <w:sz w:val="20"/>
                <w:szCs w:val="20"/>
                <w:color w:val="auto"/>
              </w:rPr>
            </w:pPr>
            <w:r>
              <w:rPr>
                <w:rFonts w:ascii="Arial" w:cs="Arial" w:eastAsia="Arial" w:hAnsi="Arial"/>
                <w:sz w:val="18"/>
                <w:szCs w:val="18"/>
                <w:color w:val="auto"/>
                <w:w w:val="91"/>
              </w:rPr>
              <w:t>1.88</w:t>
            </w:r>
          </w:p>
        </w:tc>
      </w:tr>
      <w:tr>
        <w:trPr>
          <w:trHeight w:val="27"/>
        </w:trPr>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340" w:lineRule="exact"/>
        <w:rPr>
          <w:sz w:val="20"/>
          <w:szCs w:val="20"/>
          <w:color w:val="auto"/>
        </w:rPr>
      </w:pPr>
    </w:p>
    <w:p>
      <w:pPr>
        <w:sectPr>
          <w:pgSz w:w="11900" w:h="16838" w:orient="portrait"/>
          <w:cols w:equalWidth="0" w:num="2">
            <w:col w:w="8060" w:space="720"/>
            <w:col w:w="2460"/>
          </w:cols>
          <w:pgMar w:left="320" w:top="368" w:right="339" w:bottom="1440" w:gutter="0" w:footer="0" w:header="0"/>
          <w:type w:val="continuous"/>
        </w:sectPr>
      </w:pPr>
    </w:p>
    <w:p>
      <w:pPr>
        <w:spacing w:after="0" w:line="59"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Page 17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ratio data)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6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6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Income/(Loss) to Adjusted EBITDA and Implied DCF Reconciliation</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20"/>
              <w:spacing w:after="0"/>
              <w:rPr>
                <w:sz w:val="20"/>
                <w:szCs w:val="20"/>
                <w:color w:val="auto"/>
              </w:rPr>
            </w:pPr>
            <w:r>
              <w:rPr>
                <w:rFonts w:ascii="Arial" w:cs="Arial" w:eastAsia="Arial" w:hAnsi="Arial"/>
                <w:sz w:val="18"/>
                <w:szCs w:val="18"/>
                <w:color w:val="auto"/>
              </w:rPr>
              <w:t>Net Income/(Loss)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(2,701)</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70"/>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0"/>
        </w:trPr>
        <w:tc>
          <w:tcPr>
            <w:tcW w:w="6280" w:type="dxa"/>
            <w:vAlign w:val="bottom"/>
          </w:tcPr>
          <w:p>
            <w:pPr>
              <w:ind w:left="180"/>
              <w:spacing w:after="0"/>
              <w:rPr>
                <w:sz w:val="20"/>
                <w:szCs w:val="20"/>
                <w:color w:val="auto"/>
              </w:rPr>
            </w:pPr>
            <w:r>
              <w:rPr>
                <w:rFonts w:ascii="Arial" w:cs="Arial" w:eastAsia="Arial" w:hAnsi="Arial"/>
                <w:sz w:val="18"/>
                <w:szCs w:val="18"/>
                <w:color w:val="auto"/>
              </w:rPr>
              <w:t>Income tax expense/(benefit)</w:t>
            </w:r>
          </w:p>
        </w:tc>
        <w:tc>
          <w:tcPr>
            <w:tcW w:w="26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0"/>
        </w:trPr>
        <w:tc>
          <w:tcPr>
            <w:tcW w:w="6280" w:type="dxa"/>
            <w:vAlign w:val="bottom"/>
          </w:tcPr>
          <w:p>
            <w:pPr>
              <w:ind w:left="180"/>
              <w:spacing w:after="0"/>
              <w:rPr>
                <w:sz w:val="20"/>
                <w:szCs w:val="20"/>
                <w:color w:val="auto"/>
              </w:rPr>
            </w:pPr>
            <w:r>
              <w:rPr>
                <w:rFonts w:ascii="Arial" w:cs="Arial" w:eastAsia="Arial" w:hAnsi="Arial"/>
                <w:sz w:val="18"/>
                <w:szCs w:val="18"/>
                <w:color w:val="auto"/>
              </w:rPr>
              <w:t>(Gains)/losses on asset sales and asset impairments, net</w:t>
            </w:r>
          </w:p>
        </w:tc>
        <w:tc>
          <w:tcPr>
            <w:tcW w:w="26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impairment losses</w:t>
            </w:r>
          </w:p>
        </w:tc>
        <w:tc>
          <w:tcPr>
            <w:tcW w:w="2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280" w:type="dxa"/>
            <w:vAlign w:val="bottom"/>
          </w:tcPr>
          <w:p>
            <w:pPr>
              <w:ind w:left="180"/>
              <w:spacing w:after="0"/>
              <w:rPr>
                <w:sz w:val="20"/>
                <w:szCs w:val="20"/>
                <w:color w:val="auto"/>
              </w:rPr>
            </w:pPr>
            <w:r>
              <w:rPr>
                <w:rFonts w:ascii="Arial" w:cs="Arial" w:eastAsia="Arial" w:hAnsi="Arial"/>
                <w:sz w:val="18"/>
                <w:szCs w:val="18"/>
                <w:color w:val="auto"/>
              </w:rPr>
              <w:t>(Gain on)/impairment of investments in unconsolidated entities, net</w:t>
            </w:r>
          </w:p>
        </w:tc>
        <w:tc>
          <w:tcPr>
            <w:tcW w:w="26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70"/>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0"/>
        </w:trPr>
        <w:tc>
          <w:tcPr>
            <w:tcW w:w="6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3"/>
                <w:szCs w:val="23"/>
                <w:color w:val="auto"/>
                <w:vertAlign w:val="superscript"/>
              </w:rPr>
              <w:t>(2)</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70"/>
        </w:trPr>
        <w:tc>
          <w:tcPr>
            <w:tcW w:w="6280" w:type="dxa"/>
            <w:vAlign w:val="bottom"/>
          </w:tcPr>
          <w:p>
            <w:pPr>
              <w:ind w:left="180"/>
              <w:spacing w:after="0"/>
              <w:rPr>
                <w:sz w:val="20"/>
                <w:szCs w:val="20"/>
                <w:color w:val="auto"/>
              </w:rPr>
            </w:pPr>
            <w:r>
              <w:rPr>
                <w:rFonts w:ascii="Arial" w:cs="Arial" w:eastAsia="Arial" w:hAnsi="Arial"/>
                <w:sz w:val="18"/>
                <w:szCs w:val="18"/>
                <w:color w:val="auto"/>
              </w:rPr>
              <w:t xml:space="preserve">Interest expense, net of certain non-cash items </w:t>
            </w:r>
            <w:r>
              <w:rPr>
                <w:rFonts w:ascii="Arial" w:cs="Arial" w:eastAsia="Arial" w:hAnsi="Arial"/>
                <w:sz w:val="23"/>
                <w:szCs w:val="23"/>
                <w:color w:val="auto"/>
                <w:vertAlign w:val="superscript"/>
              </w:rPr>
              <w:t>(3)</w:t>
            </w:r>
          </w:p>
        </w:tc>
        <w:tc>
          <w:tcPr>
            <w:tcW w:w="26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0"/>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Maintenance capital</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0"/>
        </w:trPr>
        <w:tc>
          <w:tcPr>
            <w:tcW w:w="6280" w:type="dxa"/>
            <w:vAlign w:val="bottom"/>
          </w:tcPr>
          <w:p>
            <w:pPr>
              <w:ind w:left="180"/>
              <w:spacing w:after="0"/>
              <w:rPr>
                <w:sz w:val="20"/>
                <w:szCs w:val="20"/>
                <w:color w:val="auto"/>
              </w:rPr>
            </w:pPr>
            <w:r>
              <w:rPr>
                <w:rFonts w:ascii="Arial" w:cs="Arial" w:eastAsia="Arial" w:hAnsi="Arial"/>
                <w:sz w:val="18"/>
                <w:szCs w:val="18"/>
                <w:color w:val="auto"/>
              </w:rPr>
              <w:t>Current income tax expense</w:t>
            </w:r>
          </w:p>
        </w:tc>
        <w:tc>
          <w:tcPr>
            <w:tcW w:w="26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75"/>
        </w:trPr>
        <w:tc>
          <w:tcPr>
            <w:tcW w:w="62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4"/>
              </w:rPr>
              <w:t>Distributions from unconsolidated entities in excess of/(less than) adjusted equity</w:t>
            </w: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earnings </w:t>
            </w:r>
            <w:r>
              <w:rPr>
                <w:rFonts w:ascii="Arial" w:cs="Arial" w:eastAsia="Arial" w:hAnsi="Arial"/>
                <w:sz w:val="23"/>
                <w:szCs w:val="23"/>
                <w:color w:val="auto"/>
                <w:vertAlign w:val="superscript"/>
              </w:rPr>
              <w:t>(4)</w:t>
            </w: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180"/>
              <w:spacing w:after="0"/>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(5)</w:t>
            </w:r>
          </w:p>
        </w:tc>
        <w:tc>
          <w:tcPr>
            <w:tcW w:w="26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Implied DCF</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70"/>
        </w:trPr>
        <w:tc>
          <w:tcPr>
            <w:tcW w:w="6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3"/>
                <w:szCs w:val="23"/>
                <w:color w:val="auto"/>
                <w:vertAlign w:val="superscript"/>
              </w:rPr>
              <w:t>(6)</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89"/>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Implied DCF Available to Common Unitholders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Units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Weighted Average Common Units and Common Equivalent Units</w:t>
            </w:r>
          </w:p>
        </w:tc>
        <w:tc>
          <w:tcPr>
            <w:tcW w:w="26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20"/>
              <w:spacing w:after="0"/>
              <w:rPr>
                <w:sz w:val="20"/>
                <w:szCs w:val="20"/>
                <w:color w:val="auto"/>
              </w:rPr>
            </w:pPr>
            <w:r>
              <w:rPr>
                <w:rFonts w:ascii="Arial" w:cs="Arial" w:eastAsia="Arial" w:hAnsi="Arial"/>
                <w:sz w:val="18"/>
                <w:szCs w:val="18"/>
                <w:color w:val="auto"/>
              </w:rPr>
              <w:t xml:space="preserve">Implied DCF per Common Unit </w:t>
            </w:r>
            <w:r>
              <w:rPr>
                <w:rFonts w:ascii="Arial" w:cs="Arial" w:eastAsia="Arial" w:hAnsi="Arial"/>
                <w:sz w:val="23"/>
                <w:szCs w:val="23"/>
                <w:color w:val="auto"/>
                <w:vertAlign w:val="superscript"/>
              </w:rPr>
              <w:t>(7)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Implied DCF per Common Unit and Common Equivalent Unit </w:t>
            </w:r>
            <w:r>
              <w:rPr>
                <w:rFonts w:ascii="Arial" w:cs="Arial" w:eastAsia="Arial" w:hAnsi="Arial"/>
                <w:sz w:val="23"/>
                <w:szCs w:val="23"/>
                <w:color w:val="auto"/>
                <w:vertAlign w:val="superscript"/>
              </w:rPr>
              <w:t>(8)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162"/>
        </w:trPr>
        <w:tc>
          <w:tcPr>
            <w:tcW w:w="6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Distribution Paid per Common Unit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70"/>
        </w:trPr>
        <w:tc>
          <w:tcPr>
            <w:tcW w:w="6280" w:type="dxa"/>
            <w:vAlign w:val="bottom"/>
          </w:tcPr>
          <w:p>
            <w:pPr>
              <w:ind w:left="20"/>
              <w:spacing w:after="0"/>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Unit Distribution Coverage Ratio</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2.27x</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2.02x</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2.27x</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2.46x</w:t>
            </w:r>
          </w:p>
        </w:tc>
        <w:tc>
          <w:tcPr>
            <w:tcW w:w="0" w:type="dxa"/>
            <w:vAlign w:val="bottom"/>
          </w:tcPr>
          <w:p>
            <w:pPr>
              <w:spacing w:after="0"/>
              <w:rPr>
                <w:sz w:val="1"/>
                <w:szCs w:val="1"/>
                <w:color w:val="auto"/>
              </w:rPr>
            </w:pPr>
          </w:p>
        </w:tc>
      </w:tr>
      <w:tr>
        <w:trPr>
          <w:trHeight w:val="162"/>
        </w:trPr>
        <w:tc>
          <w:tcPr>
            <w:tcW w:w="6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Implied DCF Excess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7"/>
        </w:trPr>
        <w:tc>
          <w:tcPr>
            <w:tcW w:w="62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5"/>
          <w:szCs w:val="15"/>
          <w:color w:val="auto"/>
          <w:vertAlign w:val="superscript"/>
        </w:rPr>
      </w:pPr>
      <w:r>
        <w:rPr>
          <w:rFonts w:ascii="Arial" w:cs="Arial" w:eastAsia="Arial" w:hAnsi="Arial"/>
          <w:sz w:val="12"/>
          <w:szCs w:val="12"/>
          <w:color w:val="auto"/>
        </w:rPr>
        <w:t>Adjustment to add back our proportionate share of depreciation and amortization expense of unconsolidated entities.</w:t>
      </w:r>
    </w:p>
    <w:p>
      <w:pPr>
        <w:spacing w:after="0" w:line="48"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18"/>
        </w:numPr>
        <w:rPr>
          <w:rFonts w:ascii="Arial" w:cs="Arial" w:eastAsia="Arial" w:hAnsi="Arial"/>
          <w:sz w:val="15"/>
          <w:szCs w:val="15"/>
          <w:color w:val="auto"/>
          <w:vertAlign w:val="superscript"/>
        </w:rPr>
      </w:pPr>
      <w:r>
        <w:rPr>
          <w:rFonts w:ascii="Arial" w:cs="Arial" w:eastAsia="Arial" w:hAnsi="Arial"/>
          <w:sz w:val="12"/>
          <w:szCs w:val="12"/>
          <w:color w:val="auto"/>
        </w:rPr>
        <w:t>Certain of our non-GAAP financial measures may not be impacted by each of the selected items impacting comparability.</w:t>
      </w:r>
    </w:p>
    <w:p>
      <w:pPr>
        <w:spacing w:after="0" w:line="49"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18"/>
        </w:numPr>
        <w:rPr>
          <w:rFonts w:ascii="Arial" w:cs="Arial" w:eastAsia="Arial" w:hAnsi="Arial"/>
          <w:sz w:val="15"/>
          <w:szCs w:val="15"/>
          <w:color w:val="auto"/>
          <w:vertAlign w:val="superscript"/>
        </w:rPr>
      </w:pPr>
      <w:r>
        <w:rPr>
          <w:rFonts w:ascii="Arial" w:cs="Arial" w:eastAsia="Arial" w:hAnsi="Arial"/>
          <w:sz w:val="12"/>
          <w:szCs w:val="12"/>
          <w:color w:val="auto"/>
        </w:rPr>
        <w:t>Excludes certain non-cash items impacting interest expense such as amortization of debt issuance costs and terminated interest rate swaps.</w:t>
      </w:r>
    </w:p>
    <w:p>
      <w:pPr>
        <w:spacing w:after="0" w:line="49"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18"/>
        </w:numPr>
        <w:rPr>
          <w:rFonts w:ascii="Arial" w:cs="Arial" w:eastAsia="Arial" w:hAnsi="Arial"/>
          <w:sz w:val="15"/>
          <w:szCs w:val="15"/>
          <w:color w:val="auto"/>
          <w:vertAlign w:val="superscript"/>
        </w:rPr>
      </w:pPr>
      <w:r>
        <w:rPr>
          <w:rFonts w:ascii="Arial" w:cs="Arial" w:eastAsia="Arial" w:hAnsi="Arial"/>
          <w:sz w:val="12"/>
          <w:szCs w:val="12"/>
          <w:color w:val="auto"/>
        </w:rPr>
        <w:t>Comprised of cash distributions received from unconsolidated entities less equity earnings in unconsolidated entities (adjusted for our proportionate share of depreciation and amortization).</w:t>
      </w:r>
    </w:p>
    <w:p>
      <w:pPr>
        <w:spacing w:after="0" w:line="49"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18"/>
        </w:numPr>
        <w:rPr>
          <w:rFonts w:ascii="Arial" w:cs="Arial" w:eastAsia="Arial" w:hAnsi="Arial"/>
          <w:sz w:val="15"/>
          <w:szCs w:val="15"/>
          <w:color w:val="auto"/>
          <w:vertAlign w:val="superscript"/>
        </w:rPr>
      </w:pPr>
      <w:r>
        <w:rPr>
          <w:rFonts w:ascii="Arial" w:cs="Arial" w:eastAsia="Arial" w:hAnsi="Arial"/>
          <w:sz w:val="12"/>
          <w:szCs w:val="12"/>
          <w:color w:val="auto"/>
        </w:rPr>
        <w:t>Cash distributions paid during the period presented.</w:t>
      </w:r>
    </w:p>
    <w:p>
      <w:pPr>
        <w:spacing w:after="0" w:line="49" w:lineRule="exact"/>
        <w:rPr>
          <w:rFonts w:ascii="Arial" w:cs="Arial" w:eastAsia="Arial" w:hAnsi="Arial"/>
          <w:sz w:val="15"/>
          <w:szCs w:val="15"/>
          <w:color w:val="auto"/>
          <w:vertAlign w:val="superscript"/>
        </w:rPr>
      </w:pPr>
    </w:p>
    <w:p>
      <w:pPr>
        <w:jc w:val="both"/>
        <w:ind w:left="340" w:right="160" w:hanging="332"/>
        <w:spacing w:after="0" w:line="219" w:lineRule="auto"/>
        <w:tabs>
          <w:tab w:leader="none" w:pos="334" w:val="left"/>
        </w:tabs>
        <w:numPr>
          <w:ilvl w:val="0"/>
          <w:numId w:val="18"/>
        </w:numPr>
        <w:rPr>
          <w:rFonts w:ascii="Arial" w:cs="Arial" w:eastAsia="Arial" w:hAnsi="Arial"/>
          <w:sz w:val="15"/>
          <w:szCs w:val="15"/>
          <w:color w:val="auto"/>
          <w:vertAlign w:val="superscript"/>
        </w:rPr>
      </w:pPr>
      <w:r>
        <w:rPr>
          <w:rFonts w:ascii="Arial" w:cs="Arial" w:eastAsia="Arial" w:hAnsi="Arial"/>
          <w:sz w:val="12"/>
          <w:szCs w:val="12"/>
          <w:color w:val="auto"/>
        </w:rPr>
        <w:t>Cash distributions paid to our preferred unitholders during the period presented. The current $0.5250 quarterly ($2.10 annualized) per unit distribution requirement of our Series A preferred units was paid-in-kind for each quarterly distribution from their issuance through February 2018. Distributions on our Series A preferred units have been paid in cash since the May 2018 quarterly distribution. The current $61.25 per unit annual distribution requirement of our Series B preferred units, is payable in cash semi-annually in arrears on May 15 and November 15.</w:t>
      </w:r>
    </w:p>
    <w:p>
      <w:pPr>
        <w:spacing w:after="0" w:line="17" w:lineRule="exact"/>
        <w:rPr>
          <w:rFonts w:ascii="Arial" w:cs="Arial" w:eastAsia="Arial" w:hAnsi="Arial"/>
          <w:sz w:val="15"/>
          <w:szCs w:val="15"/>
          <w:color w:val="auto"/>
          <w:vertAlign w:val="superscript"/>
        </w:rPr>
      </w:pPr>
    </w:p>
    <w:p>
      <w:pPr>
        <w:ind w:left="320" w:hanging="312"/>
        <w:spacing w:after="0"/>
        <w:tabs>
          <w:tab w:leader="none" w:pos="320" w:val="left"/>
        </w:tabs>
        <w:numPr>
          <w:ilvl w:val="0"/>
          <w:numId w:val="18"/>
        </w:numPr>
        <w:rPr>
          <w:rFonts w:ascii="Arial" w:cs="Arial" w:eastAsia="Arial" w:hAnsi="Arial"/>
          <w:sz w:val="15"/>
          <w:szCs w:val="15"/>
          <w:color w:val="auto"/>
          <w:vertAlign w:val="superscript"/>
        </w:rPr>
      </w:pPr>
      <w:r>
        <w:rPr>
          <w:rFonts w:ascii="Arial" w:cs="Arial" w:eastAsia="Arial" w:hAnsi="Arial"/>
          <w:sz w:val="12"/>
          <w:szCs w:val="12"/>
          <w:color w:val="auto"/>
        </w:rPr>
        <w:t>Implied DCF Available to Common Unitholders for the period divided by the weighted average common units outstanding for the period.</w:t>
      </w:r>
    </w:p>
    <w:p>
      <w:pPr>
        <w:spacing w:after="0" w:line="48" w:lineRule="exact"/>
        <w:rPr>
          <w:rFonts w:ascii="Arial" w:cs="Arial" w:eastAsia="Arial" w:hAnsi="Arial"/>
          <w:sz w:val="15"/>
          <w:szCs w:val="15"/>
          <w:color w:val="auto"/>
          <w:vertAlign w:val="superscript"/>
        </w:rPr>
      </w:pPr>
    </w:p>
    <w:p>
      <w:pPr>
        <w:ind w:left="340" w:right="40" w:hanging="332"/>
        <w:spacing w:after="0" w:line="262" w:lineRule="auto"/>
        <w:tabs>
          <w:tab w:leader="none" w:pos="334" w:val="left"/>
        </w:tabs>
        <w:numPr>
          <w:ilvl w:val="0"/>
          <w:numId w:val="18"/>
        </w:numPr>
        <w:rPr>
          <w:rFonts w:ascii="Arial" w:cs="Arial" w:eastAsia="Arial" w:hAnsi="Arial"/>
          <w:sz w:val="13"/>
          <w:szCs w:val="13"/>
          <w:color w:val="auto"/>
          <w:vertAlign w:val="superscript"/>
        </w:rPr>
      </w:pPr>
      <w:r>
        <w:rPr>
          <w:rFonts w:ascii="Arial" w:cs="Arial" w:eastAsia="Arial" w:hAnsi="Arial"/>
          <w:sz w:val="10"/>
          <w:szCs w:val="10"/>
          <w:color w:val="auto"/>
        </w:rPr>
        <w:t>Implied DCF Available to Common Unitholders for the period, adjusted for Series A preferred unit cash distributions paid, divided by the weighted average common units and common equivalent units outstanding for the period. Our Series A preferred units are convertible into common units, generally on a one-for-one basis and subject to customary anti-dilution adjustments, in whole or in part, subject to certain minimum conversion amounts.</w:t>
      </w:r>
    </w:p>
    <w:p>
      <w:pPr>
        <w:spacing w:after="0" w:line="19" w:lineRule="exact"/>
        <w:rPr>
          <w:rFonts w:ascii="Arial" w:cs="Arial" w:eastAsia="Arial" w:hAnsi="Arial"/>
          <w:sz w:val="13"/>
          <w:szCs w:val="13"/>
          <w:color w:val="auto"/>
          <w:vertAlign w:val="superscript"/>
        </w:rPr>
      </w:pPr>
    </w:p>
    <w:p>
      <w:pPr>
        <w:ind w:left="5440" w:hanging="106"/>
        <w:spacing w:after="0"/>
        <w:tabs>
          <w:tab w:leader="none" w:pos="54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Page 18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ratio data)</w:t>
      </w:r>
    </w:p>
    <w:p>
      <w:pPr>
        <w:spacing w:after="0" w:line="40"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Twelve Months Ended</w:t>
      </w:r>
    </w:p>
    <w:p>
      <w:pPr>
        <w:spacing w:after="0" w:line="4"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13335</wp:posOffset>
            </wp:positionV>
            <wp:extent cx="15430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r>
      <w:tr>
        <w:trPr>
          <w:trHeight w:val="236"/>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to Adjusted EBITDA and Implied DCF Reconciliation</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2,216</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431</w:t>
            </w: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198</w:t>
            </w: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520</w:t>
            </w: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(Gains)/losses on asset sales and asset impairments, net</w:t>
            </w:r>
          </w:p>
        </w:tc>
        <w:tc>
          <w:tcPr>
            <w:tcW w:w="28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(114)</w:t>
            </w: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investment in unconsolidated entities</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28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56</w:t>
            </w: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3"/>
                <w:szCs w:val="23"/>
                <w:color w:val="auto"/>
                <w:vertAlign w:val="superscript"/>
              </w:rPr>
              <w:t>(2)</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(423)</w:t>
            </w:r>
          </w:p>
        </w:tc>
      </w:tr>
      <w:tr>
        <w:trPr>
          <w:trHeight w:val="263"/>
        </w:trPr>
        <w:tc>
          <w:tcPr>
            <w:tcW w:w="88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3,237</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2,684</w:t>
            </w:r>
          </w:p>
        </w:tc>
      </w:tr>
      <w:tr>
        <w:trPr>
          <w:trHeight w:val="20"/>
        </w:trPr>
        <w:tc>
          <w:tcPr>
            <w:tcW w:w="8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64"/>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Interest expense, net of certain non-cash items </w:t>
            </w:r>
            <w:r>
              <w:rPr>
                <w:rFonts w:ascii="Arial" w:cs="Arial" w:eastAsia="Arial" w:hAnsi="Arial"/>
                <w:sz w:val="23"/>
                <w:szCs w:val="23"/>
                <w:color w:val="auto"/>
                <w:vertAlign w:val="superscript"/>
              </w:rPr>
              <w:t>(3)</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(419)</w:t>
            </w: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Maintenance capital</w:t>
            </w:r>
          </w:p>
        </w:tc>
        <w:tc>
          <w:tcPr>
            <w:tcW w:w="28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(252)</w:t>
            </w: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income tax expense</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 xml:space="preserve">Distributions from unconsolidated entities in excess of/(less than) adjusted equity earnings </w:t>
            </w:r>
            <w:r>
              <w:rPr>
                <w:rFonts w:ascii="Arial" w:cs="Arial" w:eastAsia="Arial" w:hAnsi="Arial"/>
                <w:sz w:val="23"/>
                <w:szCs w:val="23"/>
                <w:color w:val="auto"/>
                <w:vertAlign w:val="superscript"/>
              </w:rPr>
              <w:t>(4)</w:t>
            </w:r>
          </w:p>
        </w:tc>
        <w:tc>
          <w:tcPr>
            <w:tcW w:w="28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w:t>
            </w: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(5)</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37"/>
        </w:trPr>
        <w:tc>
          <w:tcPr>
            <w:tcW w:w="8800" w:type="dxa"/>
            <w:vAlign w:val="bottom"/>
          </w:tcPr>
          <w:p>
            <w:pPr>
              <w:ind w:left="20"/>
              <w:spacing w:after="0"/>
              <w:rPr>
                <w:sz w:val="20"/>
                <w:szCs w:val="20"/>
                <w:color w:val="auto"/>
              </w:rPr>
            </w:pPr>
            <w:r>
              <w:rPr>
                <w:rFonts w:ascii="Arial" w:cs="Arial" w:eastAsia="Arial" w:hAnsi="Arial"/>
                <w:sz w:val="18"/>
                <w:szCs w:val="18"/>
                <w:color w:val="auto"/>
              </w:rPr>
              <w:t>Implied DCF</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2,376</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1,948</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3"/>
                <w:szCs w:val="23"/>
                <w:color w:val="auto"/>
                <w:vertAlign w:val="superscript"/>
              </w:rPr>
              <w:t>(6)</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(161)</w:t>
            </w:r>
          </w:p>
        </w:tc>
      </w:tr>
      <w:tr>
        <w:trPr>
          <w:trHeight w:val="264"/>
        </w:trPr>
        <w:tc>
          <w:tcPr>
            <w:tcW w:w="8800" w:type="dxa"/>
            <w:vAlign w:val="bottom"/>
          </w:tcPr>
          <w:p>
            <w:pPr>
              <w:ind w:left="20"/>
              <w:spacing w:after="0"/>
              <w:rPr>
                <w:sz w:val="20"/>
                <w:szCs w:val="20"/>
                <w:color w:val="auto"/>
              </w:rPr>
            </w:pPr>
            <w:r>
              <w:rPr>
                <w:rFonts w:ascii="Arial" w:cs="Arial" w:eastAsia="Arial" w:hAnsi="Arial"/>
                <w:sz w:val="18"/>
                <w:szCs w:val="18"/>
                <w:color w:val="auto"/>
              </w:rPr>
              <w:t>Implied DCF Available to Common Unitholders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2,178</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1,787</w:t>
            </w:r>
          </w:p>
        </w:tc>
      </w:tr>
      <w:tr>
        <w:trPr>
          <w:trHeight w:val="20"/>
        </w:trPr>
        <w:tc>
          <w:tcPr>
            <w:tcW w:w="8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29"/>
        </w:trPr>
        <w:tc>
          <w:tcPr>
            <w:tcW w:w="8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Weighted Average Common Units Outstanding</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726</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Units and Common Equivalent Units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w:t>
            </w:r>
          </w:p>
        </w:tc>
      </w:tr>
      <w:tr>
        <w:trPr>
          <w:trHeight w:val="162"/>
        </w:trPr>
        <w:tc>
          <w:tcPr>
            <w:tcW w:w="8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7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Implied DCF per Common Unit </w:t>
            </w:r>
            <w:r>
              <w:rPr>
                <w:rFonts w:ascii="Arial" w:cs="Arial" w:eastAsia="Arial" w:hAnsi="Arial"/>
                <w:sz w:val="23"/>
                <w:szCs w:val="23"/>
                <w:color w:val="auto"/>
                <w:vertAlign w:val="superscript"/>
              </w:rPr>
              <w:t>(7)</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2.46</w:t>
            </w:r>
          </w:p>
        </w:tc>
      </w:tr>
      <w:tr>
        <w:trPr>
          <w:trHeight w:val="270"/>
        </w:trPr>
        <w:tc>
          <w:tcPr>
            <w:tcW w:w="8800" w:type="dxa"/>
            <w:vAlign w:val="bottom"/>
          </w:tcPr>
          <w:p>
            <w:pPr>
              <w:ind w:left="20"/>
              <w:spacing w:after="0"/>
              <w:rPr>
                <w:sz w:val="20"/>
                <w:szCs w:val="20"/>
                <w:color w:val="auto"/>
              </w:rPr>
            </w:pPr>
            <w:r>
              <w:rPr>
                <w:rFonts w:ascii="Arial" w:cs="Arial" w:eastAsia="Arial" w:hAnsi="Arial"/>
                <w:sz w:val="18"/>
                <w:szCs w:val="18"/>
                <w:color w:val="auto"/>
              </w:rPr>
              <w:t xml:space="preserve">Implied DCF per Common Unit and Common Equivalent Unit </w:t>
            </w:r>
            <w:r>
              <w:rPr>
                <w:rFonts w:ascii="Arial" w:cs="Arial" w:eastAsia="Arial" w:hAnsi="Arial"/>
                <w:sz w:val="23"/>
                <w:szCs w:val="23"/>
                <w:color w:val="auto"/>
                <w:vertAlign w:val="superscript"/>
              </w:rPr>
              <w:t>(8)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2.38</w:t>
            </w:r>
          </w:p>
        </w:tc>
      </w:tr>
      <w:tr>
        <w:trPr>
          <w:trHeight w:val="162"/>
        </w:trPr>
        <w:tc>
          <w:tcPr>
            <w:tcW w:w="8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Cash Distribution Paid per Common Unit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1.20</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(5)</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1,004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871</w:t>
            </w: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Common Unit Distribution Coverage Ratio</w:t>
            </w:r>
          </w:p>
        </w:tc>
        <w:tc>
          <w:tcPr>
            <w:tcW w:w="28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2.17x</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2.05x</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62"/>
        </w:trPr>
        <w:tc>
          <w:tcPr>
            <w:tcW w:w="8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Implied DCF Excess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916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4599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5"/>
          <w:szCs w:val="15"/>
          <w:color w:val="auto"/>
          <w:vertAlign w:val="superscript"/>
        </w:rPr>
      </w:pPr>
      <w:r>
        <w:rPr>
          <w:rFonts w:ascii="Arial" w:cs="Arial" w:eastAsia="Arial" w:hAnsi="Arial"/>
          <w:sz w:val="12"/>
          <w:szCs w:val="12"/>
          <w:color w:val="auto"/>
        </w:rPr>
        <w:t>Adjustment to add back our proportionate share of depreciation and amortization expense of unconsolidated entities.</w:t>
      </w:r>
    </w:p>
    <w:p>
      <w:pPr>
        <w:spacing w:after="0" w:line="48"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19"/>
        </w:numPr>
        <w:rPr>
          <w:rFonts w:ascii="Arial" w:cs="Arial" w:eastAsia="Arial" w:hAnsi="Arial"/>
          <w:sz w:val="15"/>
          <w:szCs w:val="15"/>
          <w:color w:val="auto"/>
          <w:vertAlign w:val="superscript"/>
        </w:rPr>
      </w:pPr>
      <w:r>
        <w:rPr>
          <w:rFonts w:ascii="Arial" w:cs="Arial" w:eastAsia="Arial" w:hAnsi="Arial"/>
          <w:sz w:val="12"/>
          <w:szCs w:val="12"/>
          <w:color w:val="auto"/>
        </w:rPr>
        <w:t>Certain of our non-GAAP financial measures may not be impacted by each of the selected items impacting comparability.</w:t>
      </w:r>
    </w:p>
    <w:p>
      <w:pPr>
        <w:spacing w:after="0" w:line="49"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19"/>
        </w:numPr>
        <w:rPr>
          <w:rFonts w:ascii="Arial" w:cs="Arial" w:eastAsia="Arial" w:hAnsi="Arial"/>
          <w:sz w:val="15"/>
          <w:szCs w:val="15"/>
          <w:color w:val="auto"/>
          <w:vertAlign w:val="superscript"/>
        </w:rPr>
      </w:pPr>
      <w:r>
        <w:rPr>
          <w:rFonts w:ascii="Arial" w:cs="Arial" w:eastAsia="Arial" w:hAnsi="Arial"/>
          <w:sz w:val="12"/>
          <w:szCs w:val="12"/>
          <w:color w:val="auto"/>
        </w:rPr>
        <w:t>Excludes certain non-cash items impacting interest expense such as amortization of debt issuance costs and terminated interest rate swaps.</w:t>
      </w:r>
    </w:p>
    <w:p>
      <w:pPr>
        <w:spacing w:after="0" w:line="49"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19"/>
        </w:numPr>
        <w:rPr>
          <w:rFonts w:ascii="Arial" w:cs="Arial" w:eastAsia="Arial" w:hAnsi="Arial"/>
          <w:sz w:val="15"/>
          <w:szCs w:val="15"/>
          <w:color w:val="auto"/>
          <w:vertAlign w:val="superscript"/>
        </w:rPr>
      </w:pPr>
      <w:r>
        <w:rPr>
          <w:rFonts w:ascii="Arial" w:cs="Arial" w:eastAsia="Arial" w:hAnsi="Arial"/>
          <w:sz w:val="12"/>
          <w:szCs w:val="12"/>
          <w:color w:val="auto"/>
        </w:rPr>
        <w:t>Comprised of cash distributions received from unconsolidated entities less equity earnings in unconsolidated entities (adjusted for our proportionate share of depreciation and amortization).</w:t>
      </w:r>
    </w:p>
    <w:p>
      <w:pPr>
        <w:spacing w:after="0" w:line="49"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19"/>
        </w:numPr>
        <w:rPr>
          <w:rFonts w:ascii="Arial" w:cs="Arial" w:eastAsia="Arial" w:hAnsi="Arial"/>
          <w:sz w:val="15"/>
          <w:szCs w:val="15"/>
          <w:color w:val="auto"/>
          <w:vertAlign w:val="superscript"/>
        </w:rPr>
      </w:pPr>
      <w:r>
        <w:rPr>
          <w:rFonts w:ascii="Arial" w:cs="Arial" w:eastAsia="Arial" w:hAnsi="Arial"/>
          <w:sz w:val="12"/>
          <w:szCs w:val="12"/>
          <w:color w:val="auto"/>
        </w:rPr>
        <w:t>Cash distributions paid during the period presented.</w:t>
      </w:r>
    </w:p>
    <w:p>
      <w:pPr>
        <w:spacing w:after="0" w:line="49" w:lineRule="exact"/>
        <w:rPr>
          <w:rFonts w:ascii="Arial" w:cs="Arial" w:eastAsia="Arial" w:hAnsi="Arial"/>
          <w:sz w:val="15"/>
          <w:szCs w:val="15"/>
          <w:color w:val="auto"/>
          <w:vertAlign w:val="superscript"/>
        </w:rPr>
      </w:pPr>
    </w:p>
    <w:p>
      <w:pPr>
        <w:ind w:left="340" w:right="40" w:hanging="332"/>
        <w:spacing w:after="0" w:line="219" w:lineRule="auto"/>
        <w:tabs>
          <w:tab w:leader="none" w:pos="334" w:val="left"/>
        </w:tabs>
        <w:numPr>
          <w:ilvl w:val="0"/>
          <w:numId w:val="19"/>
        </w:numPr>
        <w:rPr>
          <w:rFonts w:ascii="Arial" w:cs="Arial" w:eastAsia="Arial" w:hAnsi="Arial"/>
          <w:sz w:val="15"/>
          <w:szCs w:val="15"/>
          <w:color w:val="auto"/>
          <w:vertAlign w:val="superscript"/>
        </w:rPr>
      </w:pPr>
      <w:r>
        <w:rPr>
          <w:rFonts w:ascii="Arial" w:cs="Arial" w:eastAsia="Arial" w:hAnsi="Arial"/>
          <w:sz w:val="12"/>
          <w:szCs w:val="12"/>
          <w:color w:val="auto"/>
        </w:rPr>
        <w:t>Cash distributions paid to our preferred unitholders during the period presented. The $0.5250 quarterly ($2.10 annualized) per unit distribution requirement of our Series A preferred units was paid-in-kind for each quarterly distribution from their issuance through February 2018. Distributions on our Series A preferred units have been paid in cash since the May 2018 quarterly distribution. The $61.25 per unit annual distribution requirement of our Series B preferred units, is payable in cash semi-annually in arrears on May 15 and November 15.</w:t>
      </w:r>
    </w:p>
    <w:p>
      <w:pPr>
        <w:spacing w:after="0" w:line="17" w:lineRule="exact"/>
        <w:rPr>
          <w:rFonts w:ascii="Arial" w:cs="Arial" w:eastAsia="Arial" w:hAnsi="Arial"/>
          <w:sz w:val="15"/>
          <w:szCs w:val="15"/>
          <w:color w:val="auto"/>
          <w:vertAlign w:val="superscript"/>
        </w:rPr>
      </w:pPr>
    </w:p>
    <w:p>
      <w:pPr>
        <w:ind w:left="320" w:hanging="312"/>
        <w:spacing w:after="0"/>
        <w:tabs>
          <w:tab w:leader="none" w:pos="320" w:val="left"/>
        </w:tabs>
        <w:numPr>
          <w:ilvl w:val="0"/>
          <w:numId w:val="19"/>
        </w:numPr>
        <w:rPr>
          <w:rFonts w:ascii="Arial" w:cs="Arial" w:eastAsia="Arial" w:hAnsi="Arial"/>
          <w:sz w:val="15"/>
          <w:szCs w:val="15"/>
          <w:color w:val="auto"/>
          <w:vertAlign w:val="superscript"/>
        </w:rPr>
      </w:pPr>
      <w:r>
        <w:rPr>
          <w:rFonts w:ascii="Arial" w:cs="Arial" w:eastAsia="Arial" w:hAnsi="Arial"/>
          <w:sz w:val="12"/>
          <w:szCs w:val="12"/>
          <w:color w:val="auto"/>
        </w:rPr>
        <w:t>Implied DCF Available to Common Unitholders for the period divided by the weighted average common units outstanding for the period.</w:t>
      </w:r>
    </w:p>
    <w:p>
      <w:pPr>
        <w:spacing w:after="0" w:line="48" w:lineRule="exact"/>
        <w:rPr>
          <w:rFonts w:ascii="Arial" w:cs="Arial" w:eastAsia="Arial" w:hAnsi="Arial"/>
          <w:sz w:val="15"/>
          <w:szCs w:val="15"/>
          <w:color w:val="auto"/>
          <w:vertAlign w:val="superscript"/>
        </w:rPr>
      </w:pPr>
    </w:p>
    <w:p>
      <w:pPr>
        <w:ind w:left="340" w:right="40" w:hanging="332"/>
        <w:spacing w:after="0" w:line="262" w:lineRule="auto"/>
        <w:tabs>
          <w:tab w:leader="none" w:pos="334" w:val="left"/>
        </w:tabs>
        <w:numPr>
          <w:ilvl w:val="0"/>
          <w:numId w:val="19"/>
        </w:numPr>
        <w:rPr>
          <w:rFonts w:ascii="Arial" w:cs="Arial" w:eastAsia="Arial" w:hAnsi="Arial"/>
          <w:sz w:val="13"/>
          <w:szCs w:val="13"/>
          <w:color w:val="auto"/>
          <w:vertAlign w:val="superscript"/>
        </w:rPr>
      </w:pPr>
      <w:r>
        <w:rPr>
          <w:rFonts w:ascii="Arial" w:cs="Arial" w:eastAsia="Arial" w:hAnsi="Arial"/>
          <w:sz w:val="10"/>
          <w:szCs w:val="10"/>
          <w:color w:val="auto"/>
        </w:rPr>
        <w:t>Implied DCF Available to Common Unitholders for the period, adjusted for Series A preferred unit cash distributions paid, divided by the weighted average common units and common equivalent units outstanding for the period. Our Series A preferred units are convertible into common units, generally on a one-for-one basis and subject to customary anti-dilution adjustments, in whole or in part, subject to certain minimum conversion amounts.</w:t>
      </w:r>
    </w:p>
    <w:p>
      <w:pPr>
        <w:spacing w:after="0" w:line="262" w:lineRule="exact"/>
        <w:rPr>
          <w:rFonts w:ascii="Arial" w:cs="Arial" w:eastAsia="Arial" w:hAnsi="Arial"/>
          <w:sz w:val="13"/>
          <w:szCs w:val="13"/>
          <w:color w:val="auto"/>
          <w:vertAlign w:val="superscript"/>
        </w:rPr>
      </w:pPr>
    </w:p>
    <w:p>
      <w:pPr>
        <w:ind w:left="5440" w:hanging="106"/>
        <w:spacing w:after="0"/>
        <w:tabs>
          <w:tab w:leader="none" w:pos="54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Page 19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Income/(Loss) Per Common Unit to Implied DCF Per Common Unit and Common Equivalent Unit Reconciliations: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60" w:type="dxa"/>
            <w:vAlign w:val="bottom"/>
            <w:gridSpan w:val="4"/>
          </w:tcPr>
          <w:p>
            <w:pPr>
              <w:jc w:val="center"/>
              <w:ind w:right="173"/>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6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396"/>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6"/>
                <w:szCs w:val="16"/>
                <w:color w:val="auto"/>
              </w:rPr>
            </w:pPr>
          </w:p>
        </w:tc>
      </w:tr>
      <w:tr>
        <w:trPr>
          <w:trHeight w:val="196"/>
        </w:trPr>
        <w:tc>
          <w:tcPr>
            <w:tcW w:w="62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6"/>
              </w:rPr>
              <w:t>2019</w:t>
            </w:r>
          </w:p>
        </w:tc>
      </w:tr>
      <w:tr>
        <w:trPr>
          <w:trHeight w:val="249"/>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income/(loss) per common unit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ind w:left="136"/>
              <w:spacing w:after="0"/>
              <w:rPr>
                <w:sz w:val="20"/>
                <w:szCs w:val="20"/>
                <w:color w:val="auto"/>
              </w:rPr>
            </w:pPr>
            <w:r>
              <w:rPr>
                <w:rFonts w:ascii="Arial" w:cs="Arial" w:eastAsia="Arial" w:hAnsi="Arial"/>
                <w:sz w:val="18"/>
                <w:szCs w:val="18"/>
                <w:color w:val="auto"/>
                <w:w w:val="93"/>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center"/>
              <w:ind w:left="53"/>
              <w:spacing w:after="0"/>
              <w:rPr>
                <w:sz w:val="20"/>
                <w:szCs w:val="20"/>
                <w:color w:val="auto"/>
              </w:rPr>
            </w:pPr>
            <w:r>
              <w:rPr>
                <w:rFonts w:ascii="Arial" w:cs="Arial" w:eastAsia="Arial" w:hAnsi="Arial"/>
                <w:sz w:val="18"/>
                <w:szCs w:val="18"/>
                <w:color w:val="auto"/>
                <w:w w:val="85"/>
              </w:rPr>
              <w:t>1.80</w:t>
            </w:r>
          </w:p>
        </w:tc>
      </w:tr>
      <w:tr>
        <w:trPr>
          <w:trHeight w:val="27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23"/>
                <w:szCs w:val="23"/>
                <w:color w:val="auto"/>
                <w:vertAlign w:val="superscript"/>
              </w:rPr>
              <w:t>(1) (2)</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center"/>
              <w:ind w:left="176"/>
              <w:spacing w:after="0"/>
              <w:rPr>
                <w:sz w:val="20"/>
                <w:szCs w:val="20"/>
                <w:color w:val="auto"/>
              </w:rPr>
            </w:pPr>
            <w:r>
              <w:rPr>
                <w:rFonts w:ascii="Arial" w:cs="Arial" w:eastAsia="Arial" w:hAnsi="Arial"/>
                <w:sz w:val="18"/>
                <w:szCs w:val="18"/>
                <w:color w:val="auto"/>
                <w:w w:val="91"/>
              </w:rPr>
              <w:t>5.08</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center"/>
              <w:ind w:left="33"/>
              <w:spacing w:after="0"/>
              <w:rPr>
                <w:sz w:val="20"/>
                <w:szCs w:val="20"/>
                <w:color w:val="auto"/>
              </w:rPr>
            </w:pPr>
            <w:r>
              <w:rPr>
                <w:rFonts w:ascii="Arial" w:cs="Arial" w:eastAsia="Arial" w:hAnsi="Arial"/>
                <w:sz w:val="18"/>
                <w:szCs w:val="18"/>
                <w:color w:val="auto"/>
                <w:w w:val="93"/>
              </w:rPr>
              <w:t>(0.17)</w:t>
            </w:r>
          </w:p>
        </w:tc>
      </w:tr>
      <w:tr>
        <w:trPr>
          <w:trHeight w:val="28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Implied DCF per common unit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176"/>
              <w:spacing w:after="0"/>
              <w:rPr>
                <w:sz w:val="20"/>
                <w:szCs w:val="20"/>
                <w:color w:val="auto"/>
              </w:rPr>
            </w:pPr>
            <w:r>
              <w:rPr>
                <w:rFonts w:ascii="Arial" w:cs="Arial" w:eastAsia="Arial" w:hAnsi="Arial"/>
                <w:sz w:val="18"/>
                <w:szCs w:val="18"/>
                <w:color w:val="auto"/>
                <w:w w:val="91"/>
              </w:rPr>
              <w:t>1.23</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center"/>
              <w:ind w:left="53"/>
              <w:spacing w:after="0"/>
              <w:rPr>
                <w:sz w:val="20"/>
                <w:szCs w:val="20"/>
                <w:color w:val="auto"/>
              </w:rPr>
            </w:pPr>
            <w:r>
              <w:rPr>
                <w:rFonts w:ascii="Arial" w:cs="Arial" w:eastAsia="Arial" w:hAnsi="Arial"/>
                <w:sz w:val="18"/>
                <w:szCs w:val="18"/>
                <w:color w:val="auto"/>
                <w:w w:val="85"/>
              </w:rPr>
              <w:t>1.63</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income/(loss) per common unit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ind w:left="136"/>
              <w:spacing w:after="0"/>
              <w:rPr>
                <w:sz w:val="20"/>
                <w:szCs w:val="20"/>
                <w:color w:val="auto"/>
              </w:rPr>
            </w:pPr>
            <w:r>
              <w:rPr>
                <w:rFonts w:ascii="Arial" w:cs="Arial" w:eastAsia="Arial" w:hAnsi="Arial"/>
                <w:sz w:val="18"/>
                <w:szCs w:val="18"/>
                <w:color w:val="auto"/>
                <w:w w:val="93"/>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center"/>
              <w:ind w:left="53"/>
              <w:spacing w:after="0"/>
              <w:rPr>
                <w:sz w:val="20"/>
                <w:szCs w:val="20"/>
                <w:color w:val="auto"/>
              </w:rPr>
            </w:pPr>
            <w:r>
              <w:rPr>
                <w:rFonts w:ascii="Arial" w:cs="Arial" w:eastAsia="Arial" w:hAnsi="Arial"/>
                <w:sz w:val="18"/>
                <w:szCs w:val="18"/>
                <w:color w:val="auto"/>
                <w:w w:val="85"/>
              </w:rPr>
              <w:t>1.80</w:t>
            </w:r>
          </w:p>
        </w:tc>
      </w:tr>
      <w:tr>
        <w:trPr>
          <w:trHeight w:val="27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Reconciling items per common unit and common equivalent unit </w:t>
            </w:r>
            <w:r>
              <w:rPr>
                <w:rFonts w:ascii="Arial" w:cs="Arial" w:eastAsia="Arial" w:hAnsi="Arial"/>
                <w:sz w:val="23"/>
                <w:szCs w:val="23"/>
                <w:color w:val="auto"/>
                <w:vertAlign w:val="superscript"/>
              </w:rPr>
              <w:t>(1) (3)</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center"/>
              <w:ind w:left="176"/>
              <w:spacing w:after="0"/>
              <w:rPr>
                <w:sz w:val="20"/>
                <w:szCs w:val="20"/>
                <w:color w:val="auto"/>
              </w:rPr>
            </w:pPr>
            <w:r>
              <w:rPr>
                <w:rFonts w:ascii="Arial" w:cs="Arial" w:eastAsia="Arial" w:hAnsi="Arial"/>
                <w:sz w:val="18"/>
                <w:szCs w:val="18"/>
                <w:color w:val="auto"/>
                <w:w w:val="91"/>
              </w:rPr>
              <w:t>5.06</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center"/>
              <w:ind w:left="33"/>
              <w:spacing w:after="0"/>
              <w:rPr>
                <w:sz w:val="20"/>
                <w:szCs w:val="20"/>
                <w:color w:val="auto"/>
              </w:rPr>
            </w:pPr>
            <w:r>
              <w:rPr>
                <w:rFonts w:ascii="Arial" w:cs="Arial" w:eastAsia="Arial" w:hAnsi="Arial"/>
                <w:sz w:val="18"/>
                <w:szCs w:val="18"/>
                <w:color w:val="auto"/>
                <w:w w:val="93"/>
              </w:rPr>
              <w:t>(0.22)</w:t>
            </w:r>
          </w:p>
        </w:tc>
      </w:tr>
      <w:tr>
        <w:trPr>
          <w:trHeight w:val="289"/>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Implied DCF per common unit and common equivalent unit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0.71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176"/>
              <w:spacing w:after="0"/>
              <w:rPr>
                <w:sz w:val="20"/>
                <w:szCs w:val="20"/>
                <w:color w:val="auto"/>
              </w:rPr>
            </w:pPr>
            <w:r>
              <w:rPr>
                <w:rFonts w:ascii="Arial" w:cs="Arial" w:eastAsia="Arial" w:hAnsi="Arial"/>
                <w:sz w:val="18"/>
                <w:szCs w:val="18"/>
                <w:color w:val="auto"/>
                <w:w w:val="91"/>
              </w:rPr>
              <w:t>1.21</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center"/>
              <w:ind w:left="53"/>
              <w:spacing w:after="0"/>
              <w:rPr>
                <w:sz w:val="20"/>
                <w:szCs w:val="20"/>
                <w:color w:val="auto"/>
              </w:rPr>
            </w:pPr>
            <w:r>
              <w:rPr>
                <w:rFonts w:ascii="Arial" w:cs="Arial" w:eastAsia="Arial" w:hAnsi="Arial"/>
                <w:sz w:val="18"/>
                <w:szCs w:val="18"/>
                <w:color w:val="auto"/>
                <w:w w:val="85"/>
              </w:rPr>
              <w:t>1.58</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59"/>
        </w:trPr>
        <w:tc>
          <w:tcPr>
            <w:tcW w:w="6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gridSpan w:val="4"/>
          </w:tcPr>
          <w:p>
            <w:pPr>
              <w:jc w:val="center"/>
              <w:ind w:right="173"/>
              <w:spacing w:after="0"/>
              <w:rPr>
                <w:sz w:val="20"/>
                <w:szCs w:val="20"/>
                <w:color w:val="auto"/>
              </w:rPr>
            </w:pPr>
            <w:r>
              <w:rPr>
                <w:rFonts w:ascii="Arial" w:cs="Arial" w:eastAsia="Arial" w:hAnsi="Arial"/>
                <w:sz w:val="14"/>
                <w:szCs w:val="14"/>
                <w:b w:val="1"/>
                <w:bCs w:val="1"/>
                <w:color w:val="auto"/>
                <w:w w:val="93"/>
              </w:rPr>
              <w:t>Twelve Months Ended</w:t>
            </w:r>
          </w:p>
        </w:tc>
      </w:tr>
      <w:tr>
        <w:trPr>
          <w:trHeight w:val="192"/>
        </w:trPr>
        <w:tc>
          <w:tcPr>
            <w:tcW w:w="6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396"/>
              <w:spacing w:after="0"/>
              <w:rPr>
                <w:sz w:val="20"/>
                <w:szCs w:val="20"/>
                <w:color w:val="auto"/>
              </w:rPr>
            </w:pPr>
            <w:r>
              <w:rPr>
                <w:rFonts w:ascii="Arial" w:cs="Arial" w:eastAsia="Arial" w:hAnsi="Arial"/>
                <w:sz w:val="14"/>
                <w:szCs w:val="14"/>
                <w:b w:val="1"/>
                <w:bCs w:val="1"/>
                <w:color w:val="auto"/>
                <w:w w:val="92"/>
              </w:rPr>
              <w:t>December 31,</w:t>
            </w:r>
          </w:p>
        </w:tc>
        <w:tc>
          <w:tcPr>
            <w:tcW w:w="760" w:type="dxa"/>
            <w:vAlign w:val="bottom"/>
            <w:tcBorders>
              <w:bottom w:val="single" w:sz="8" w:color="auto"/>
            </w:tcBorders>
          </w:tcPr>
          <w:p>
            <w:pPr>
              <w:spacing w:after="0"/>
              <w:rPr>
                <w:sz w:val="16"/>
                <w:szCs w:val="16"/>
                <w:color w:val="auto"/>
              </w:rPr>
            </w:pPr>
          </w:p>
        </w:tc>
      </w:tr>
      <w:tr>
        <w:trPr>
          <w:trHeight w:val="196"/>
        </w:trPr>
        <w:tc>
          <w:tcPr>
            <w:tcW w:w="628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 per common unit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ind w:left="176"/>
              <w:spacing w:after="0"/>
              <w:rPr>
                <w:sz w:val="20"/>
                <w:szCs w:val="20"/>
                <w:color w:val="auto"/>
              </w:rPr>
            </w:pPr>
            <w:r>
              <w:rPr>
                <w:rFonts w:ascii="Arial" w:cs="Arial" w:eastAsia="Arial" w:hAnsi="Arial"/>
                <w:sz w:val="18"/>
                <w:szCs w:val="18"/>
                <w:color w:val="auto"/>
                <w:w w:val="91"/>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center"/>
              <w:ind w:left="53"/>
              <w:spacing w:after="0"/>
              <w:rPr>
                <w:sz w:val="20"/>
                <w:szCs w:val="20"/>
                <w:color w:val="auto"/>
              </w:rPr>
            </w:pPr>
            <w:r>
              <w:rPr>
                <w:rFonts w:ascii="Arial" w:cs="Arial" w:eastAsia="Arial" w:hAnsi="Arial"/>
                <w:sz w:val="18"/>
                <w:szCs w:val="18"/>
                <w:color w:val="auto"/>
                <w:w w:val="85"/>
              </w:rPr>
              <w:t>2.77</w:t>
            </w:r>
          </w:p>
        </w:tc>
      </w:tr>
      <w:tr>
        <w:trPr>
          <w:trHeight w:val="27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23"/>
                <w:szCs w:val="23"/>
                <w:color w:val="auto"/>
                <w:vertAlign w:val="superscript"/>
              </w:rPr>
              <w:t>(1) (4)</w:t>
            </w:r>
          </w:p>
        </w:tc>
        <w:tc>
          <w:tcPr>
            <w:tcW w:w="26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center"/>
              <w:ind w:left="176"/>
              <w:spacing w:after="0"/>
              <w:rPr>
                <w:sz w:val="20"/>
                <w:szCs w:val="20"/>
                <w:color w:val="auto"/>
              </w:rPr>
            </w:pPr>
            <w:r>
              <w:rPr>
                <w:rFonts w:ascii="Arial" w:cs="Arial" w:eastAsia="Arial" w:hAnsi="Arial"/>
                <w:sz w:val="18"/>
                <w:szCs w:val="18"/>
                <w:color w:val="auto"/>
                <w:w w:val="91"/>
              </w:rPr>
              <w:t>0.29</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center"/>
              <w:ind w:left="33"/>
              <w:spacing w:after="0"/>
              <w:rPr>
                <w:sz w:val="20"/>
                <w:szCs w:val="20"/>
                <w:color w:val="auto"/>
              </w:rPr>
            </w:pPr>
            <w:r>
              <w:rPr>
                <w:rFonts w:ascii="Arial" w:cs="Arial" w:eastAsia="Arial" w:hAnsi="Arial"/>
                <w:sz w:val="18"/>
                <w:szCs w:val="18"/>
                <w:color w:val="auto"/>
                <w:w w:val="93"/>
              </w:rPr>
              <w:t>(0.31)</w:t>
            </w:r>
          </w:p>
        </w:tc>
      </w:tr>
      <w:tr>
        <w:trPr>
          <w:trHeight w:val="28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Implied DCF per common unit</w:t>
            </w: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176"/>
              <w:spacing w:after="0"/>
              <w:rPr>
                <w:sz w:val="20"/>
                <w:szCs w:val="20"/>
                <w:color w:val="auto"/>
              </w:rPr>
            </w:pPr>
            <w:r>
              <w:rPr>
                <w:rFonts w:ascii="Arial" w:cs="Arial" w:eastAsia="Arial" w:hAnsi="Arial"/>
                <w:sz w:val="18"/>
                <w:szCs w:val="18"/>
                <w:color w:val="auto"/>
                <w:w w:val="91"/>
              </w:rPr>
              <w:t>2.99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center"/>
              <w:ind w:left="53"/>
              <w:spacing w:after="0"/>
              <w:rPr>
                <w:sz w:val="20"/>
                <w:szCs w:val="20"/>
                <w:color w:val="auto"/>
              </w:rPr>
            </w:pPr>
            <w:r>
              <w:rPr>
                <w:rFonts w:ascii="Arial" w:cs="Arial" w:eastAsia="Arial" w:hAnsi="Arial"/>
                <w:sz w:val="18"/>
                <w:szCs w:val="18"/>
                <w:color w:val="auto"/>
                <w:w w:val="85"/>
              </w:rPr>
              <w:t>2.46</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 per common unit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ind w:left="176"/>
              <w:spacing w:after="0"/>
              <w:rPr>
                <w:sz w:val="20"/>
                <w:szCs w:val="20"/>
                <w:color w:val="auto"/>
              </w:rPr>
            </w:pPr>
            <w:r>
              <w:rPr>
                <w:rFonts w:ascii="Arial" w:cs="Arial" w:eastAsia="Arial" w:hAnsi="Arial"/>
                <w:sz w:val="18"/>
                <w:szCs w:val="18"/>
                <w:color w:val="auto"/>
                <w:w w:val="91"/>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center"/>
              <w:ind w:left="53"/>
              <w:spacing w:after="0"/>
              <w:rPr>
                <w:sz w:val="20"/>
                <w:szCs w:val="20"/>
                <w:color w:val="auto"/>
              </w:rPr>
            </w:pPr>
            <w:r>
              <w:rPr>
                <w:rFonts w:ascii="Arial" w:cs="Arial" w:eastAsia="Arial" w:hAnsi="Arial"/>
                <w:sz w:val="18"/>
                <w:szCs w:val="18"/>
                <w:color w:val="auto"/>
                <w:w w:val="85"/>
              </w:rPr>
              <w:t>2.77</w:t>
            </w:r>
          </w:p>
        </w:tc>
      </w:tr>
      <w:tr>
        <w:trPr>
          <w:trHeight w:val="27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Reconciling items per common unit and common equivalent unit </w:t>
            </w:r>
            <w:r>
              <w:rPr>
                <w:rFonts w:ascii="Arial" w:cs="Arial" w:eastAsia="Arial" w:hAnsi="Arial"/>
                <w:sz w:val="23"/>
                <w:szCs w:val="23"/>
                <w:color w:val="auto"/>
                <w:vertAlign w:val="superscript"/>
              </w:rPr>
              <w:t>(1) (5)</w:t>
            </w:r>
          </w:p>
        </w:tc>
        <w:tc>
          <w:tcPr>
            <w:tcW w:w="26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center"/>
              <w:ind w:left="176"/>
              <w:spacing w:after="0"/>
              <w:rPr>
                <w:sz w:val="20"/>
                <w:szCs w:val="20"/>
                <w:color w:val="auto"/>
              </w:rPr>
            </w:pPr>
            <w:r>
              <w:rPr>
                <w:rFonts w:ascii="Arial" w:cs="Arial" w:eastAsia="Arial" w:hAnsi="Arial"/>
                <w:sz w:val="18"/>
                <w:szCs w:val="18"/>
                <w:color w:val="auto"/>
                <w:w w:val="91"/>
              </w:rPr>
              <w:t>0.21</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center"/>
              <w:ind w:left="33"/>
              <w:spacing w:after="0"/>
              <w:rPr>
                <w:sz w:val="20"/>
                <w:szCs w:val="20"/>
                <w:color w:val="auto"/>
              </w:rPr>
            </w:pPr>
            <w:r>
              <w:rPr>
                <w:rFonts w:ascii="Arial" w:cs="Arial" w:eastAsia="Arial" w:hAnsi="Arial"/>
                <w:sz w:val="18"/>
                <w:szCs w:val="18"/>
                <w:color w:val="auto"/>
                <w:w w:val="93"/>
              </w:rPr>
              <w:t>(0.39)</w:t>
            </w:r>
          </w:p>
        </w:tc>
      </w:tr>
      <w:tr>
        <w:trPr>
          <w:trHeight w:val="28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Implied DCF per common unit and common equivalent unit</w:t>
            </w: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176"/>
              <w:spacing w:after="0"/>
              <w:rPr>
                <w:sz w:val="20"/>
                <w:szCs w:val="20"/>
                <w:color w:val="auto"/>
              </w:rPr>
            </w:pPr>
            <w:r>
              <w:rPr>
                <w:rFonts w:ascii="Arial" w:cs="Arial" w:eastAsia="Arial" w:hAnsi="Arial"/>
                <w:sz w:val="18"/>
                <w:szCs w:val="18"/>
                <w:color w:val="auto"/>
                <w:w w:val="91"/>
              </w:rPr>
              <w:t>2.91</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center"/>
              <w:ind w:left="53"/>
              <w:spacing w:after="0"/>
              <w:rPr>
                <w:sz w:val="20"/>
                <w:szCs w:val="20"/>
                <w:color w:val="auto"/>
              </w:rPr>
            </w:pPr>
            <w:r>
              <w:rPr>
                <w:rFonts w:ascii="Arial" w:cs="Arial" w:eastAsia="Arial" w:hAnsi="Arial"/>
                <w:sz w:val="18"/>
                <w:szCs w:val="18"/>
                <w:color w:val="auto"/>
                <w:w w:val="85"/>
              </w:rPr>
              <w:t>2.38</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40" w:right="80" w:hanging="332"/>
        <w:spacing w:after="0" w:line="227" w:lineRule="auto"/>
        <w:tabs>
          <w:tab w:leader="none" w:pos="32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to Net Income to calculate Implied DCF Available to Common Unitholders. See the “Net Income/(Loss) to Adjusted EBITDA and Implied DCF Reconciliation” table for additional information.</w:t>
      </w:r>
    </w:p>
    <w:p>
      <w:pPr>
        <w:spacing w:after="0" w:line="5"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of 728 million, 727 million, 728 million and 727 million, respectively.</w:t>
      </w:r>
    </w:p>
    <w:p>
      <w:pPr>
        <w:spacing w:after="0" w:line="55" w:lineRule="exact"/>
        <w:rPr>
          <w:rFonts w:ascii="Arial" w:cs="Arial" w:eastAsia="Arial" w:hAnsi="Arial"/>
          <w:sz w:val="23"/>
          <w:szCs w:val="23"/>
          <w:color w:val="auto"/>
          <w:vertAlign w:val="superscript"/>
        </w:rPr>
      </w:pPr>
    </w:p>
    <w:p>
      <w:pPr>
        <w:ind w:left="340" w:right="240" w:hanging="332"/>
        <w:spacing w:after="0" w:line="219" w:lineRule="auto"/>
        <w:tabs>
          <w:tab w:leader="none" w:pos="32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as well as weighted average Series A preferred units outstanding of 71 million for each of the periods presented.</w:t>
      </w:r>
    </w:p>
    <w:p>
      <w:pPr>
        <w:spacing w:after="0" w:line="5"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of 727 million and 726 million, respectively.</w:t>
      </w:r>
    </w:p>
    <w:p>
      <w:pPr>
        <w:spacing w:after="0" w:line="55" w:lineRule="exact"/>
        <w:rPr>
          <w:rFonts w:ascii="Arial" w:cs="Arial" w:eastAsia="Arial" w:hAnsi="Arial"/>
          <w:sz w:val="23"/>
          <w:szCs w:val="23"/>
          <w:color w:val="auto"/>
          <w:vertAlign w:val="superscript"/>
        </w:rPr>
      </w:pPr>
    </w:p>
    <w:p>
      <w:pPr>
        <w:ind w:left="340" w:right="240" w:hanging="332"/>
        <w:spacing w:after="0" w:line="219" w:lineRule="auto"/>
        <w:tabs>
          <w:tab w:leader="none" w:pos="32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as well as weighted average Series A preferred units outstanding of 71 million for each of the periods presented.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Page 20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6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96"/>
        </w:trPr>
        <w:tc>
          <w:tcPr>
            <w:tcW w:w="62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r>
      <w:tr>
        <w:trPr>
          <w:trHeight w:val="216"/>
        </w:trPr>
        <w:tc>
          <w:tcPr>
            <w:tcW w:w="6280" w:type="dxa"/>
            <w:vAlign w:val="bottom"/>
            <w:shd w:val="clear" w:color="auto" w:fill="CCEEFF"/>
          </w:tcPr>
          <w:p>
            <w:pPr>
              <w:ind w:left="20"/>
              <w:spacing w:after="0" w:line="215" w:lineRule="exact"/>
              <w:rPr>
                <w:sz w:val="20"/>
                <w:szCs w:val="20"/>
                <w:color w:val="auto"/>
              </w:rPr>
            </w:pPr>
            <w:r>
              <w:rPr>
                <w:rFonts w:ascii="Arial" w:cs="Arial" w:eastAsia="Arial" w:hAnsi="Arial"/>
                <w:sz w:val="18"/>
                <w:szCs w:val="18"/>
                <w:b w:val="1"/>
                <w:bCs w:val="1"/>
                <w:color w:val="auto"/>
                <w:w w:val="99"/>
              </w:rPr>
              <w:t xml:space="preserve">Free Cash Flow and Free Cash Flow After Distributions Reconciliation </w:t>
            </w:r>
            <w:r>
              <w:rPr>
                <w:rFonts w:ascii="Arial" w:cs="Arial" w:eastAsia="Arial" w:hAnsi="Arial"/>
                <w:sz w:val="23"/>
                <w:szCs w:val="23"/>
                <w:b w:val="1"/>
                <w:bCs w:val="1"/>
                <w:color w:val="auto"/>
                <w:w w:val="99"/>
                <w:vertAlign w:val="superscript"/>
              </w:rPr>
              <w:t>(1)</w:t>
            </w:r>
            <w:r>
              <w:rPr>
                <w:rFonts w:ascii="Arial" w:cs="Arial" w:eastAsia="Arial" w:hAnsi="Arial"/>
                <w:sz w:val="18"/>
                <w:szCs w:val="18"/>
                <w:b w:val="1"/>
                <w:bCs w:val="1"/>
                <w:color w:val="auto"/>
                <w:w w:val="99"/>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1,464</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Adjustments to reconcile net cash provided by operating activities to free cash flow:</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1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(978)</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contributions from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70"/>
        </w:trPr>
        <w:tc>
          <w:tcPr>
            <w:tcW w:w="6280" w:type="dxa"/>
            <w:vAlign w:val="bottom"/>
          </w:tcPr>
          <w:p>
            <w:pPr>
              <w:ind w:left="140"/>
              <w:spacing w:after="0"/>
              <w:rPr>
                <w:sz w:val="20"/>
                <w:szCs w:val="20"/>
                <w:color w:val="auto"/>
              </w:rPr>
            </w:pPr>
            <w:r>
              <w:rPr>
                <w:rFonts w:ascii="Arial" w:cs="Arial" w:eastAsia="Arial" w:hAnsi="Arial"/>
                <w:sz w:val="18"/>
                <w:szCs w:val="18"/>
                <w:color w:val="auto"/>
              </w:rPr>
              <w:t xml:space="preserve">Cash distributions paid to noncontrolling interests </w:t>
            </w:r>
            <w:r>
              <w:rPr>
                <w:rFonts w:ascii="Arial" w:cs="Arial" w:eastAsia="Arial" w:hAnsi="Arial"/>
                <w:sz w:val="23"/>
                <w:szCs w:val="23"/>
                <w:color w:val="auto"/>
                <w:vertAlign w:val="superscript"/>
              </w:rPr>
              <w:t>(2)</w:t>
            </w:r>
          </w:p>
        </w:tc>
        <w:tc>
          <w:tcPr>
            <w:tcW w:w="26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0"/>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Sale of noncontrolling interest in a subsidiary</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128</w:t>
            </w:r>
          </w:p>
        </w:tc>
      </w:tr>
      <w:tr>
        <w:trPr>
          <w:trHeight w:val="237"/>
        </w:trPr>
        <w:tc>
          <w:tcPr>
            <w:tcW w:w="628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614</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Cash distributions </w:t>
            </w:r>
            <w:r>
              <w:rPr>
                <w:rFonts w:ascii="Arial" w:cs="Arial" w:eastAsia="Arial" w:hAnsi="Arial"/>
                <w:sz w:val="23"/>
                <w:szCs w:val="23"/>
                <w:color w:val="auto"/>
                <w:vertAlign w:val="superscript"/>
              </w:rPr>
              <w:t>(3)</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(579)</w:t>
            </w:r>
          </w:p>
        </w:tc>
      </w:tr>
      <w:tr>
        <w:trPr>
          <w:trHeight w:val="263"/>
        </w:trPr>
        <w:tc>
          <w:tcPr>
            <w:tcW w:w="6280" w:type="dxa"/>
            <w:vAlign w:val="bottom"/>
          </w:tcPr>
          <w:p>
            <w:pPr>
              <w:ind w:left="20"/>
              <w:spacing w:after="0"/>
              <w:rPr>
                <w:sz w:val="20"/>
                <w:szCs w:val="20"/>
                <w:color w:val="auto"/>
              </w:rPr>
            </w:pPr>
            <w:r>
              <w:rPr>
                <w:rFonts w:ascii="Arial" w:cs="Arial" w:eastAsia="Arial" w:hAnsi="Arial"/>
                <w:sz w:val="18"/>
                <w:szCs w:val="18"/>
                <w:color w:val="auto"/>
              </w:rPr>
              <w:t>Free cash flow after distributions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35</w:t>
            </w:r>
          </w:p>
        </w:tc>
      </w:tr>
      <w:tr>
        <w:trPr>
          <w:trHeight w:val="21"/>
        </w:trPr>
        <w:tc>
          <w:tcPr>
            <w:tcW w:w="6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40" w:right="420" w:hanging="332"/>
        <w:spacing w:after="0" w:line="227" w:lineRule="auto"/>
        <w:tabs>
          <w:tab w:leader="none" w:pos="328"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Management uses the Non-GAAP financial measures Free Cash Flow and Free Cash Flow After Distributions to assess the amount of cash that is available for distributions, debt repayments and other general partnership purposes.</w:t>
      </w:r>
    </w:p>
    <w:p>
      <w:pPr>
        <w:spacing w:after="0" w:line="5"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during the period presented.</w:t>
      </w:r>
    </w:p>
    <w:p>
      <w:pPr>
        <w:spacing w:after="0" w:line="55"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to preferred and common unitholders during the period.</w:t>
      </w:r>
    </w:p>
    <w:p>
      <w:pPr>
        <w:spacing w:after="0" w:line="56" w:lineRule="exact"/>
        <w:rPr>
          <w:rFonts w:ascii="Arial" w:cs="Arial" w:eastAsia="Arial" w:hAnsi="Arial"/>
          <w:sz w:val="23"/>
          <w:szCs w:val="23"/>
          <w:color w:val="auto"/>
          <w:vertAlign w:val="superscript"/>
        </w:rPr>
      </w:pPr>
    </w:p>
    <w:p>
      <w:pPr>
        <w:ind w:left="5440" w:hanging="106"/>
        <w:spacing w:after="0"/>
        <w:tabs>
          <w:tab w:leader="none" w:pos="54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9"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Page 21</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June 30, 2020</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June 30, 2019</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5"/>
              </w:rPr>
              <w:t>Transportation</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center"/>
              <w:ind w:right="72"/>
              <w:spacing w:after="0"/>
              <w:rPr>
                <w:sz w:val="20"/>
                <w:szCs w:val="20"/>
                <w:color w:val="auto"/>
              </w:rPr>
            </w:pPr>
            <w:r>
              <w:rPr>
                <w:rFonts w:ascii="Arial" w:cs="Arial" w:eastAsia="Arial" w:hAnsi="Arial"/>
                <w:sz w:val="14"/>
                <w:szCs w:val="14"/>
                <w:b w:val="1"/>
                <w:bCs w:val="1"/>
                <w:color w:val="auto"/>
                <w:w w:val="93"/>
              </w:rPr>
              <w:t>Facilities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Supply and</w:t>
            </w:r>
          </w:p>
        </w:tc>
        <w:tc>
          <w:tcPr>
            <w:tcW w:w="120" w:type="dxa"/>
            <w:vAlign w:val="bottom"/>
          </w:tcPr>
          <w:p>
            <w:pPr>
              <w:spacing w:after="0"/>
              <w:rPr>
                <w:sz w:val="13"/>
                <w:szCs w:val="13"/>
                <w:color w:val="auto"/>
              </w:rPr>
            </w:pPr>
          </w:p>
        </w:tc>
        <w:tc>
          <w:tcPr>
            <w:tcW w:w="11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7"/>
              </w:rPr>
              <w:t>Transportation</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93"/>
              </w:rPr>
              <w:t>Facilities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12"/>
              <w:spacing w:after="0" w:line="153" w:lineRule="exact"/>
              <w:rPr>
                <w:sz w:val="20"/>
                <w:szCs w:val="20"/>
                <w:color w:val="auto"/>
              </w:rPr>
            </w:pPr>
            <w:r>
              <w:rPr>
                <w:rFonts w:ascii="Arial" w:cs="Arial" w:eastAsia="Arial" w:hAnsi="Arial"/>
                <w:sz w:val="14"/>
                <w:szCs w:val="14"/>
                <w:b w:val="1"/>
                <w:bCs w:val="1"/>
                <w:color w:val="auto"/>
              </w:rPr>
              <w:t>Supply and</w:t>
            </w:r>
          </w:p>
        </w:tc>
        <w:tc>
          <w:tcPr>
            <w:tcW w:w="0" w:type="dxa"/>
            <w:vAlign w:val="bottom"/>
          </w:tcPr>
          <w:p>
            <w:pPr>
              <w:spacing w:after="0"/>
              <w:rPr>
                <w:sz w:val="1"/>
                <w:szCs w:val="1"/>
                <w:color w:val="auto"/>
              </w:rPr>
            </w:pPr>
          </w:p>
        </w:tc>
      </w:tr>
      <w:tr>
        <w:trPr>
          <w:trHeight w:val="192"/>
        </w:trPr>
        <w:tc>
          <w:tcPr>
            <w:tcW w:w="30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Logistics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7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457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2,925</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559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7,915</w:t>
            </w:r>
          </w:p>
        </w:tc>
        <w:tc>
          <w:tcPr>
            <w:tcW w:w="0" w:type="dxa"/>
            <w:vAlign w:val="bottom"/>
          </w:tcPr>
          <w:p>
            <w:pPr>
              <w:spacing w:after="0"/>
              <w:rPr>
                <w:sz w:val="1"/>
                <w:szCs w:val="1"/>
                <w:color w:val="auto"/>
              </w:rPr>
            </w:pPr>
          </w:p>
        </w:tc>
      </w:tr>
      <w:tr>
        <w:trPr>
          <w:trHeight w:val="270"/>
        </w:trPr>
        <w:tc>
          <w:tcPr>
            <w:tcW w:w="3000" w:type="dxa"/>
            <w:vAlign w:val="bottom"/>
          </w:tcPr>
          <w:p>
            <w:pPr>
              <w:ind w:left="20"/>
              <w:spacing w:after="0"/>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2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(2,903)</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(7,700)</w:t>
            </w:r>
          </w:p>
        </w:tc>
        <w:tc>
          <w:tcPr>
            <w:tcW w:w="0" w:type="dxa"/>
            <w:vAlign w:val="bottom"/>
          </w:tcPr>
          <w:p>
            <w:pPr>
              <w:spacing w:after="0"/>
              <w:rPr>
                <w:sz w:val="1"/>
                <w:szCs w:val="1"/>
                <w:color w:val="auto"/>
              </w:rPr>
            </w:pPr>
          </w:p>
        </w:tc>
      </w:tr>
      <w:tr>
        <w:trPr>
          <w:trHeight w:val="27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76"/>
        </w:trPr>
        <w:tc>
          <w:tcPr>
            <w:tcW w:w="3000" w:type="dxa"/>
            <w:vAlign w:val="bottom"/>
          </w:tcPr>
          <w:p>
            <w:pPr>
              <w:ind w:left="20"/>
              <w:spacing w:after="0" w:line="176" w:lineRule="exact"/>
              <w:rPr>
                <w:sz w:val="20"/>
                <w:szCs w:val="20"/>
                <w:color w:val="auto"/>
              </w:rPr>
            </w:pPr>
            <w:r>
              <w:rPr>
                <w:rFonts w:ascii="Arial" w:cs="Arial" w:eastAsia="Arial" w:hAnsi="Arial"/>
                <w:sz w:val="18"/>
                <w:szCs w:val="18"/>
                <w:color w:val="auto"/>
              </w:rPr>
              <w:t>Segment general and administrative</w:t>
            </w:r>
          </w:p>
        </w:tc>
        <w:tc>
          <w:tcPr>
            <w:tcW w:w="120" w:type="dxa"/>
            <w:vAlign w:val="bottom"/>
          </w:tcPr>
          <w:p>
            <w:pPr>
              <w:spacing w:after="0"/>
              <w:rPr>
                <w:sz w:val="15"/>
                <w:szCs w:val="15"/>
                <w:color w:val="auto"/>
              </w:rPr>
            </w:pP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right"/>
              <w:ind w:right="32"/>
              <w:spacing w:after="0"/>
              <w:rPr>
                <w:sz w:val="20"/>
                <w:szCs w:val="20"/>
                <w:color w:val="auto"/>
              </w:rPr>
            </w:pPr>
            <w:r>
              <w:rPr>
                <w:rFonts w:ascii="Arial" w:cs="Arial" w:eastAsia="Arial" w:hAnsi="Arial"/>
                <w:sz w:val="18"/>
                <w:szCs w:val="18"/>
                <w:color w:val="auto"/>
              </w:rPr>
              <w:t>(21)</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ind w:right="3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30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Equity earnings in unconsolidated</w:t>
            </w: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entities</w:t>
            </w: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tcPr>
          <w:p>
            <w:pPr>
              <w:ind w:left="180"/>
              <w:spacing w:after="0" w:line="176" w:lineRule="exact"/>
              <w:rPr>
                <w:sz w:val="20"/>
                <w:szCs w:val="20"/>
                <w:color w:val="auto"/>
              </w:rPr>
            </w:pPr>
            <w:r>
              <w:rPr>
                <w:rFonts w:ascii="Arial" w:cs="Arial" w:eastAsia="Arial" w:hAnsi="Arial"/>
                <w:sz w:val="18"/>
                <w:szCs w:val="18"/>
                <w:color w:val="auto"/>
              </w:rPr>
              <w:t>Depreciation and amortization of</w:t>
            </w:r>
          </w:p>
        </w:tc>
        <w:tc>
          <w:tcPr>
            <w:tcW w:w="120" w:type="dxa"/>
            <w:vAlign w:val="bottom"/>
          </w:tcPr>
          <w:p>
            <w:pPr>
              <w:spacing w:after="0"/>
              <w:rPr>
                <w:sz w:val="15"/>
                <w:szCs w:val="15"/>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Borders>
              <w:right w:val="single" w:sz="8" w:color="auto"/>
            </w:tcBorders>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ind w:right="7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8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tcPr>
          <w:p>
            <w:pPr>
              <w:ind w:left="340"/>
              <w:spacing w:after="0"/>
              <w:rPr>
                <w:sz w:val="20"/>
                <w:szCs w:val="20"/>
                <w:color w:val="auto"/>
              </w:rPr>
            </w:pPr>
            <w:r>
              <w:rPr>
                <w:rFonts w:ascii="Arial" w:cs="Arial" w:eastAsia="Arial" w:hAnsi="Arial"/>
                <w:sz w:val="18"/>
                <w:szCs w:val="18"/>
                <w:color w:val="auto"/>
              </w:rPr>
              <w:t>unconsolidated entities</w:t>
            </w: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Borders>
              <w:right w:val="single" w:sz="8" w:color="auto"/>
            </w:tcBorders>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(Gains)/losses from derivative</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4"/>
              </w:rPr>
              <w:t>activities, net of inventory valuation</w:t>
            </w: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97</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w:t>
            </w: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line="176" w:lineRule="exact"/>
              <w:rPr>
                <w:sz w:val="20"/>
                <w:szCs w:val="20"/>
                <w:color w:val="auto"/>
              </w:rPr>
            </w:pPr>
            <w:r>
              <w:rPr>
                <w:rFonts w:ascii="Arial" w:cs="Arial" w:eastAsia="Arial" w:hAnsi="Arial"/>
                <w:sz w:val="18"/>
                <w:szCs w:val="18"/>
                <w:color w:val="auto"/>
              </w:rPr>
              <w:t>Long-term inventory costing</w:t>
            </w:r>
          </w:p>
        </w:tc>
        <w:tc>
          <w:tcPr>
            <w:tcW w:w="120" w:type="dxa"/>
            <w:vAlign w:val="bottom"/>
          </w:tcPr>
          <w:p>
            <w:pPr>
              <w:spacing w:after="0"/>
              <w:rPr>
                <w:sz w:val="15"/>
                <w:szCs w:val="15"/>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60" w:type="dxa"/>
            <w:vAlign w:val="bottom"/>
            <w:vMerge w:val="restart"/>
          </w:tcPr>
          <w:p>
            <w:pPr>
              <w:jc w:val="right"/>
              <w:ind w:right="32"/>
              <w:spacing w:after="0"/>
              <w:rPr>
                <w:sz w:val="20"/>
                <w:szCs w:val="20"/>
                <w:color w:val="auto"/>
              </w:rPr>
            </w:pPr>
            <w:r>
              <w:rPr>
                <w:rFonts w:ascii="Arial" w:cs="Arial" w:eastAsia="Arial" w:hAnsi="Arial"/>
                <w:sz w:val="18"/>
                <w:szCs w:val="18"/>
                <w:color w:val="auto"/>
              </w:rPr>
              <w:t>(51)</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ind w:right="7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80" w:type="dxa"/>
            <w:vAlign w:val="bottom"/>
            <w:vMerge w:val="restart"/>
          </w:tcPr>
          <w:p>
            <w:pPr>
              <w:jc w:val="right"/>
              <w:ind w:right="7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3000" w:type="dxa"/>
            <w:vAlign w:val="bottom"/>
          </w:tcPr>
          <w:p>
            <w:pPr>
              <w:ind w:left="340"/>
              <w:spacing w:after="0"/>
              <w:rPr>
                <w:sz w:val="20"/>
                <w:szCs w:val="20"/>
                <w:color w:val="auto"/>
              </w:rPr>
            </w:pPr>
            <w:r>
              <w:rPr>
                <w:rFonts w:ascii="Arial" w:cs="Arial" w:eastAsia="Arial" w:hAnsi="Arial"/>
                <w:sz w:val="18"/>
                <w:szCs w:val="18"/>
                <w:color w:val="auto"/>
              </w:rPr>
              <w:t>adjustments</w:t>
            </w: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6"/>
              </w:rPr>
              <w:t>Deficiencies under minimum volume</w:t>
            </w: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commitments, net</w:t>
            </w: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00" w:type="dxa"/>
            <w:vAlign w:val="bottom"/>
          </w:tcPr>
          <w:p>
            <w:pPr>
              <w:ind w:left="180"/>
              <w:spacing w:after="0"/>
              <w:rPr>
                <w:sz w:val="20"/>
                <w:szCs w:val="20"/>
                <w:color w:val="auto"/>
              </w:rPr>
            </w:pPr>
            <w:r>
              <w:rPr>
                <w:rFonts w:ascii="Arial" w:cs="Arial" w:eastAsia="Arial" w:hAnsi="Arial"/>
                <w:sz w:val="18"/>
                <w:szCs w:val="18"/>
                <w:color w:val="auto"/>
                <w:w w:val="90"/>
              </w:rPr>
              <w:t>Equity-indexed compensation expense</w:t>
            </w:r>
          </w:p>
        </w:tc>
        <w:tc>
          <w:tcPr>
            <w:tcW w:w="120" w:type="dxa"/>
            <w:vAlign w:val="bottom"/>
          </w:tcPr>
          <w:p>
            <w:pPr>
              <w:spacing w:after="0"/>
              <w:rPr>
                <w:sz w:val="23"/>
                <w:szCs w:val="23"/>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loss on foreign currency</w:t>
            </w: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revaluation</w:t>
            </w: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Line 901 incident</w:t>
            </w: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346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410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Includes intersegment amounts.</w:t>
      </w:r>
    </w:p>
    <w:p>
      <w:pPr>
        <w:spacing w:after="0" w:line="55"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Field operating costs and Segment general and administrative expenses include equity-indexed compensation expense.</w:t>
      </w:r>
    </w:p>
    <w:p>
      <w:pPr>
        <w:spacing w:after="0" w:line="56" w:lineRule="exact"/>
        <w:rPr>
          <w:rFonts w:ascii="Arial" w:cs="Arial" w:eastAsia="Arial" w:hAnsi="Arial"/>
          <w:sz w:val="23"/>
          <w:szCs w:val="23"/>
          <w:color w:val="auto"/>
          <w:vertAlign w:val="superscript"/>
        </w:rPr>
      </w:pPr>
    </w:p>
    <w:p>
      <w:pPr>
        <w:ind w:left="340" w:right="80" w:hanging="332"/>
        <w:spacing w:after="0" w:line="246" w:lineRule="auto"/>
        <w:tabs>
          <w:tab w:leader="none" w:pos="328"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3" w:lineRule="exact"/>
        <w:rPr>
          <w:rFonts w:ascii="Arial" w:cs="Arial" w:eastAsia="Arial" w:hAnsi="Arial"/>
          <w:sz w:val="21"/>
          <w:szCs w:val="21"/>
          <w:color w:val="auto"/>
          <w:vertAlign w:val="superscript"/>
        </w:rPr>
      </w:pPr>
    </w:p>
    <w:p>
      <w:pPr>
        <w:ind w:left="340" w:right="120" w:hanging="332"/>
        <w:spacing w:after="0" w:line="234" w:lineRule="auto"/>
        <w:tabs>
          <w:tab w:leader="none" w:pos="328"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20"/>
          </w:cols>
          <w:pgMar w:left="320" w:top="368"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Page 22</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Six Months Ended</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Six Months Ended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June 30, 2020</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June 30, 2019</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Transportation</w:t>
            </w:r>
          </w:p>
        </w:tc>
        <w:tc>
          <w:tcPr>
            <w:tcW w:w="14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Facilities</w:t>
            </w:r>
          </w:p>
        </w:tc>
        <w:tc>
          <w:tcPr>
            <w:tcW w:w="200" w:type="dxa"/>
            <w:vAlign w:val="bottom"/>
          </w:tcPr>
          <w:p>
            <w:pPr>
              <w:spacing w:after="0"/>
              <w:rPr>
                <w:sz w:val="13"/>
                <w:szCs w:val="13"/>
                <w:color w:val="auto"/>
              </w:rPr>
            </w:pPr>
          </w:p>
        </w:tc>
        <w:tc>
          <w:tcPr>
            <w:tcW w:w="1280" w:type="dxa"/>
            <w:vAlign w:val="bottom"/>
            <w:gridSpan w:val="3"/>
          </w:tcPr>
          <w:p>
            <w:pPr>
              <w:jc w:val="center"/>
              <w:ind w:right="420"/>
              <w:spacing w:after="0" w:line="153" w:lineRule="exact"/>
              <w:rPr>
                <w:sz w:val="20"/>
                <w:szCs w:val="20"/>
                <w:color w:val="auto"/>
              </w:rPr>
            </w:pPr>
            <w:r>
              <w:rPr>
                <w:rFonts w:ascii="Arial" w:cs="Arial" w:eastAsia="Arial" w:hAnsi="Arial"/>
                <w:sz w:val="14"/>
                <w:szCs w:val="14"/>
                <w:b w:val="1"/>
                <w:bCs w:val="1"/>
                <w:color w:val="auto"/>
                <w:w w:val="92"/>
              </w:rPr>
              <w:t>Supply and</w:t>
            </w:r>
          </w:p>
        </w:tc>
        <w:tc>
          <w:tcPr>
            <w:tcW w:w="12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Facilities</w:t>
            </w:r>
          </w:p>
        </w:tc>
        <w:tc>
          <w:tcPr>
            <w:tcW w:w="180" w:type="dxa"/>
            <w:vAlign w:val="bottom"/>
          </w:tcPr>
          <w:p>
            <w:pPr>
              <w:spacing w:after="0"/>
              <w:rPr>
                <w:sz w:val="13"/>
                <w:szCs w:val="13"/>
                <w:color w:val="auto"/>
              </w:rPr>
            </w:pPr>
          </w:p>
        </w:tc>
        <w:tc>
          <w:tcPr>
            <w:tcW w:w="1080" w:type="dxa"/>
            <w:vAlign w:val="bottom"/>
          </w:tcPr>
          <w:p>
            <w:pPr>
              <w:jc w:val="right"/>
              <w:ind w:right="212"/>
              <w:spacing w:after="0" w:line="153" w:lineRule="exact"/>
              <w:rPr>
                <w:sz w:val="20"/>
                <w:szCs w:val="20"/>
                <w:color w:val="auto"/>
              </w:rPr>
            </w:pPr>
            <w:r>
              <w:rPr>
                <w:rFonts w:ascii="Arial" w:cs="Arial" w:eastAsia="Arial" w:hAnsi="Arial"/>
                <w:sz w:val="14"/>
                <w:szCs w:val="14"/>
                <w:b w:val="1"/>
                <w:bCs w:val="1"/>
                <w:color w:val="auto"/>
              </w:rPr>
              <w:t>Supply and</w:t>
            </w:r>
          </w:p>
        </w:tc>
        <w:tc>
          <w:tcPr>
            <w:tcW w:w="0" w:type="dxa"/>
            <w:vAlign w:val="bottom"/>
          </w:tcPr>
          <w:p>
            <w:pPr>
              <w:spacing w:after="0"/>
              <w:rPr>
                <w:sz w:val="1"/>
                <w:szCs w:val="1"/>
                <w:color w:val="auto"/>
              </w:rPr>
            </w:pPr>
          </w:p>
        </w:tc>
      </w:tr>
      <w:tr>
        <w:trPr>
          <w:trHeight w:val="192"/>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Logistics</w:t>
            </w: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272"/>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70"/>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1,036</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589</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10,834</w:t>
            </w:r>
          </w:p>
        </w:tc>
        <w:tc>
          <w:tcPr>
            <w:tcW w:w="120" w:type="dxa"/>
            <w:vAlign w:val="bottom"/>
            <w:tcBorders>
              <w:top w:val="single" w:sz="8" w:color="CCEEFF"/>
              <w:right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1,115</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589</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15,938</w:t>
            </w:r>
          </w:p>
        </w:tc>
        <w:tc>
          <w:tcPr>
            <w:tcW w:w="0" w:type="dxa"/>
            <w:vAlign w:val="bottom"/>
          </w:tcPr>
          <w:p>
            <w:pPr>
              <w:spacing w:after="0"/>
              <w:rPr>
                <w:sz w:val="1"/>
                <w:szCs w:val="1"/>
                <w:color w:val="auto"/>
              </w:rPr>
            </w:pPr>
          </w:p>
        </w:tc>
      </w:tr>
      <w:tr>
        <w:trPr>
          <w:trHeight w:val="270"/>
        </w:trPr>
        <w:tc>
          <w:tcPr>
            <w:tcW w:w="3000" w:type="dxa"/>
            <w:vAlign w:val="bottom"/>
          </w:tcPr>
          <w:p>
            <w:pPr>
              <w:ind w:left="20"/>
              <w:spacing w:after="0"/>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2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(10,717)</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(15,262)</w:t>
            </w:r>
          </w:p>
        </w:tc>
        <w:tc>
          <w:tcPr>
            <w:tcW w:w="0" w:type="dxa"/>
            <w:vAlign w:val="bottom"/>
          </w:tcPr>
          <w:p>
            <w:pPr>
              <w:spacing w:after="0"/>
              <w:rPr>
                <w:sz w:val="1"/>
                <w:szCs w:val="1"/>
                <w:color w:val="auto"/>
              </w:rPr>
            </w:pPr>
          </w:p>
        </w:tc>
      </w:tr>
      <w:tr>
        <w:trPr>
          <w:trHeight w:val="27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(103)</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75"/>
        </w:trPr>
        <w:tc>
          <w:tcPr>
            <w:tcW w:w="3000" w:type="dxa"/>
            <w:vAlign w:val="bottom"/>
          </w:tcPr>
          <w:p>
            <w:pPr>
              <w:ind w:left="20"/>
              <w:spacing w:after="0" w:line="176" w:lineRule="exact"/>
              <w:rPr>
                <w:sz w:val="20"/>
                <w:szCs w:val="20"/>
                <w:color w:val="auto"/>
              </w:rPr>
            </w:pPr>
            <w:r>
              <w:rPr>
                <w:rFonts w:ascii="Arial" w:cs="Arial" w:eastAsia="Arial" w:hAnsi="Arial"/>
                <w:sz w:val="18"/>
                <w:szCs w:val="18"/>
                <w:color w:val="auto"/>
              </w:rPr>
              <w:t>Segment general and administrative</w:t>
            </w:r>
          </w:p>
        </w:tc>
        <w:tc>
          <w:tcPr>
            <w:tcW w:w="120" w:type="dxa"/>
            <w:vAlign w:val="bottom"/>
          </w:tcPr>
          <w:p>
            <w:pPr>
              <w:spacing w:after="0"/>
              <w:rPr>
                <w:sz w:val="15"/>
                <w:szCs w:val="15"/>
                <w:color w:val="auto"/>
              </w:rPr>
            </w:pP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vMerge w:val="restart"/>
          </w:tcPr>
          <w:p>
            <w:pPr>
              <w:jc w:val="right"/>
              <w:ind w:right="32"/>
              <w:spacing w:after="0"/>
              <w:rPr>
                <w:sz w:val="20"/>
                <w:szCs w:val="20"/>
                <w:color w:val="auto"/>
              </w:rPr>
            </w:pPr>
            <w:r>
              <w:rPr>
                <w:rFonts w:ascii="Arial" w:cs="Arial" w:eastAsia="Arial" w:hAnsi="Arial"/>
                <w:sz w:val="18"/>
                <w:szCs w:val="18"/>
                <w:color w:val="auto"/>
              </w:rPr>
              <w:t>(44)</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ind w:right="1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ind w:right="32"/>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30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Equity earnings in unconsolidated</w:t>
            </w: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entities</w:t>
            </w: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tcPr>
          <w:p>
            <w:pPr>
              <w:ind w:left="180"/>
              <w:spacing w:after="0" w:line="176" w:lineRule="exact"/>
              <w:rPr>
                <w:sz w:val="20"/>
                <w:szCs w:val="20"/>
                <w:color w:val="auto"/>
              </w:rPr>
            </w:pPr>
            <w:r>
              <w:rPr>
                <w:rFonts w:ascii="Arial" w:cs="Arial" w:eastAsia="Arial" w:hAnsi="Arial"/>
                <w:sz w:val="18"/>
                <w:szCs w:val="18"/>
                <w:color w:val="auto"/>
              </w:rPr>
              <w:t>Depreciation and amortization of</w:t>
            </w:r>
          </w:p>
        </w:tc>
        <w:tc>
          <w:tcPr>
            <w:tcW w:w="120" w:type="dxa"/>
            <w:vAlign w:val="bottom"/>
          </w:tcPr>
          <w:p>
            <w:pPr>
              <w:spacing w:after="0"/>
              <w:rPr>
                <w:sz w:val="15"/>
                <w:szCs w:val="15"/>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Borders>
              <w:right w:val="single" w:sz="8" w:color="auto"/>
            </w:tcBorders>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ind w:right="7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8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tcPr>
          <w:p>
            <w:pPr>
              <w:ind w:left="340"/>
              <w:spacing w:after="0"/>
              <w:rPr>
                <w:sz w:val="20"/>
                <w:szCs w:val="20"/>
                <w:color w:val="auto"/>
              </w:rPr>
            </w:pPr>
            <w:r>
              <w:rPr>
                <w:rFonts w:ascii="Arial" w:cs="Arial" w:eastAsia="Arial" w:hAnsi="Arial"/>
                <w:sz w:val="18"/>
                <w:szCs w:val="18"/>
                <w:color w:val="auto"/>
              </w:rPr>
              <w:t>unconsolidated entities</w:t>
            </w: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Borders>
              <w:right w:val="single" w:sz="8" w:color="auto"/>
            </w:tcBorders>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(Gains)/losses from derivative</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4"/>
              </w:rPr>
              <w:t>activities, net of inventory valuation</w:t>
            </w:r>
          </w:p>
        </w:tc>
        <w:tc>
          <w:tcPr>
            <w:tcW w:w="12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121</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w:t>
            </w: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line="176" w:lineRule="exact"/>
              <w:rPr>
                <w:sz w:val="20"/>
                <w:szCs w:val="20"/>
                <w:color w:val="auto"/>
              </w:rPr>
            </w:pPr>
            <w:r>
              <w:rPr>
                <w:rFonts w:ascii="Arial" w:cs="Arial" w:eastAsia="Arial" w:hAnsi="Arial"/>
                <w:sz w:val="18"/>
                <w:szCs w:val="18"/>
                <w:color w:val="auto"/>
              </w:rPr>
              <w:t>Long-term inventory costing</w:t>
            </w:r>
          </w:p>
        </w:tc>
        <w:tc>
          <w:tcPr>
            <w:tcW w:w="120" w:type="dxa"/>
            <w:vAlign w:val="bottom"/>
          </w:tcPr>
          <w:p>
            <w:pPr>
              <w:spacing w:after="0"/>
              <w:rPr>
                <w:sz w:val="15"/>
                <w:szCs w:val="15"/>
                <w:color w:val="auto"/>
              </w:rPr>
            </w:pPr>
          </w:p>
        </w:tc>
        <w:tc>
          <w:tcPr>
            <w:tcW w:w="12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60" w:type="dxa"/>
            <w:vAlign w:val="bottom"/>
            <w:vMerge w:val="restart"/>
          </w:tcPr>
          <w:p>
            <w:pPr>
              <w:jc w:val="right"/>
              <w:ind w:right="72"/>
              <w:spacing w:after="0"/>
              <w:rPr>
                <w:sz w:val="20"/>
                <w:szCs w:val="20"/>
                <w:color w:val="auto"/>
              </w:rPr>
            </w:pPr>
            <w:r>
              <w:rPr>
                <w:rFonts w:ascii="Arial" w:cs="Arial" w:eastAsia="Arial" w:hAnsi="Arial"/>
                <w:sz w:val="18"/>
                <w:szCs w:val="18"/>
                <w:color w:val="auto"/>
              </w:rPr>
              <w:t>64</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80" w:type="dxa"/>
            <w:vAlign w:val="bottom"/>
            <w:vMerge w:val="restart"/>
          </w:tcPr>
          <w:p>
            <w:pPr>
              <w:jc w:val="right"/>
              <w:ind w:right="7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000" w:type="dxa"/>
            <w:vAlign w:val="bottom"/>
          </w:tcPr>
          <w:p>
            <w:pPr>
              <w:ind w:left="340"/>
              <w:spacing w:after="0"/>
              <w:rPr>
                <w:sz w:val="20"/>
                <w:szCs w:val="20"/>
                <w:color w:val="auto"/>
              </w:rPr>
            </w:pPr>
            <w:r>
              <w:rPr>
                <w:rFonts w:ascii="Arial" w:cs="Arial" w:eastAsia="Arial" w:hAnsi="Arial"/>
                <w:sz w:val="18"/>
                <w:szCs w:val="18"/>
                <w:color w:val="auto"/>
              </w:rPr>
              <w:t>adjustments</w:t>
            </w: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6"/>
              </w:rPr>
              <w:t>Deficiencies under minimum volume</w:t>
            </w:r>
          </w:p>
        </w:tc>
        <w:tc>
          <w:tcPr>
            <w:tcW w:w="12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commitments, net</w:t>
            </w: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00" w:type="dxa"/>
            <w:vAlign w:val="bottom"/>
          </w:tcPr>
          <w:p>
            <w:pPr>
              <w:ind w:left="180"/>
              <w:spacing w:after="0"/>
              <w:rPr>
                <w:sz w:val="20"/>
                <w:szCs w:val="20"/>
                <w:color w:val="auto"/>
              </w:rPr>
            </w:pPr>
            <w:r>
              <w:rPr>
                <w:rFonts w:ascii="Arial" w:cs="Arial" w:eastAsia="Arial" w:hAnsi="Arial"/>
                <w:sz w:val="18"/>
                <w:szCs w:val="18"/>
                <w:color w:val="auto"/>
                <w:w w:val="90"/>
              </w:rPr>
              <w:t>Equity-indexed compensation expense</w:t>
            </w:r>
          </w:p>
        </w:tc>
        <w:tc>
          <w:tcPr>
            <w:tcW w:w="120" w:type="dxa"/>
            <w:vAlign w:val="bottom"/>
          </w:tcPr>
          <w:p>
            <w:pPr>
              <w:spacing w:after="0"/>
              <w:rPr>
                <w:sz w:val="23"/>
                <w:szCs w:val="23"/>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(gain)/loss on foreign currency</w:t>
            </w:r>
          </w:p>
        </w:tc>
        <w:tc>
          <w:tcPr>
            <w:tcW w:w="12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revaluation</w:t>
            </w: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00" w:type="dxa"/>
            <w:vAlign w:val="bottom"/>
          </w:tcPr>
          <w:p>
            <w:pPr>
              <w:ind w:left="180"/>
              <w:spacing w:after="0"/>
              <w:rPr>
                <w:sz w:val="20"/>
                <w:szCs w:val="20"/>
                <w:color w:val="auto"/>
              </w:rPr>
            </w:pPr>
            <w:r>
              <w:rPr>
                <w:rFonts w:ascii="Arial" w:cs="Arial" w:eastAsia="Arial" w:hAnsi="Arial"/>
                <w:sz w:val="18"/>
                <w:szCs w:val="18"/>
                <w:color w:val="auto"/>
              </w:rPr>
              <w:t>Line 901 incident</w:t>
            </w:r>
          </w:p>
        </w:tc>
        <w:tc>
          <w:tcPr>
            <w:tcW w:w="120" w:type="dxa"/>
            <w:vAlign w:val="bottom"/>
          </w:tcPr>
          <w:p>
            <w:pPr>
              <w:spacing w:after="0"/>
              <w:rPr>
                <w:sz w:val="23"/>
                <w:szCs w:val="23"/>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Significant acquisition-related</w:t>
            </w: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expenses</w:t>
            </w: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000" w:type="dxa"/>
            <w:vAlign w:val="bottom"/>
          </w:tcPr>
          <w:p>
            <w:pPr>
              <w:ind w:left="20"/>
              <w:spacing w:after="0"/>
              <w:rPr>
                <w:sz w:val="20"/>
                <w:szCs w:val="20"/>
                <w:color w:val="auto"/>
              </w:rPr>
            </w:pPr>
            <w:r>
              <w:rPr>
                <w:rFonts w:ascii="Arial" w:cs="Arial" w:eastAsia="Arial" w:hAnsi="Arial"/>
                <w:sz w:val="18"/>
                <w:szCs w:val="18"/>
                <w:color w:val="auto"/>
              </w:rPr>
              <w:t>Segment 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144</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000" w:type="dxa"/>
            <w:vAlign w:val="bottom"/>
          </w:tcPr>
          <w:p>
            <w:pPr>
              <w:ind w:left="20"/>
              <w:spacing w:after="0"/>
              <w:rPr>
                <w:sz w:val="20"/>
                <w:szCs w:val="20"/>
                <w:color w:val="auto"/>
              </w:rPr>
            </w:pPr>
            <w:r>
              <w:rPr>
                <w:rFonts w:ascii="Arial" w:cs="Arial" w:eastAsia="Arial" w:hAnsi="Arial"/>
                <w:sz w:val="18"/>
                <w:szCs w:val="18"/>
                <w:color w:val="auto"/>
              </w:rPr>
              <w:t>Maintenance capital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Includes intersegment amounts.</w:t>
      </w:r>
    </w:p>
    <w:p>
      <w:pPr>
        <w:spacing w:after="0" w:line="55"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Field operating costs and Segment general and administrative expenses include equity-indexed compensation expense.</w:t>
      </w:r>
    </w:p>
    <w:p>
      <w:pPr>
        <w:spacing w:after="0" w:line="56" w:lineRule="exact"/>
        <w:rPr>
          <w:rFonts w:ascii="Arial" w:cs="Arial" w:eastAsia="Arial" w:hAnsi="Arial"/>
          <w:sz w:val="23"/>
          <w:szCs w:val="23"/>
          <w:color w:val="auto"/>
          <w:vertAlign w:val="superscript"/>
        </w:rPr>
      </w:pPr>
    </w:p>
    <w:p>
      <w:pPr>
        <w:ind w:left="340" w:right="80" w:hanging="332"/>
        <w:spacing w:after="0" w:line="246" w:lineRule="auto"/>
        <w:tabs>
          <w:tab w:leader="none" w:pos="328" w:val="left"/>
        </w:tabs>
        <w:numPr>
          <w:ilvl w:val="0"/>
          <w:numId w:val="23"/>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3" w:lineRule="exact"/>
        <w:rPr>
          <w:rFonts w:ascii="Arial" w:cs="Arial" w:eastAsia="Arial" w:hAnsi="Arial"/>
          <w:sz w:val="21"/>
          <w:szCs w:val="21"/>
          <w:color w:val="auto"/>
          <w:vertAlign w:val="superscript"/>
        </w:rPr>
      </w:pPr>
    </w:p>
    <w:p>
      <w:pPr>
        <w:ind w:left="340" w:right="120" w:hanging="332"/>
        <w:spacing w:after="0" w:line="234" w:lineRule="auto"/>
        <w:tabs>
          <w:tab w:leader="none" w:pos="328"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20"/>
          </w:cols>
          <w:pgMar w:left="320" w:top="368"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Page 23</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 BY SEGMENT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tbl>
      <w:tblPr>
        <w:tblLayout w:type="fixed"/>
        <w:tblInd w:w="0" w:type="dxa"/>
        <w:tblCellMar>
          <w:top w:w="0" w:type="dxa"/>
          <w:left w:w="0" w:type="dxa"/>
          <w:bottom w:w="0" w:type="dxa"/>
          <w:right w:w="0" w:type="dxa"/>
        </w:tblCellMar>
      </w:tblPr>
      <w:tr>
        <w:trPr>
          <w:trHeight w:val="150"/>
        </w:trPr>
        <w:tc>
          <w:tcPr>
            <w:tcW w:w="6320" w:type="dxa"/>
            <w:vAlign w:val="bottom"/>
          </w:tcPr>
          <w:p>
            <w:pPr>
              <w:spacing w:after="0"/>
              <w:rPr>
                <w:sz w:val="13"/>
                <w:szCs w:val="13"/>
                <w:color w:val="auto"/>
              </w:rPr>
            </w:pPr>
          </w:p>
        </w:tc>
        <w:tc>
          <w:tcPr>
            <w:tcW w:w="2500" w:type="dxa"/>
            <w:vAlign w:val="bottom"/>
            <w:gridSpan w:val="5"/>
          </w:tcPr>
          <w:p>
            <w:pPr>
              <w:jc w:val="center"/>
              <w:ind w:right="120"/>
              <w:spacing w:after="0" w:line="150" w:lineRule="exact"/>
              <w:rPr>
                <w:sz w:val="20"/>
                <w:szCs w:val="20"/>
                <w:color w:val="auto"/>
              </w:rPr>
            </w:pPr>
            <w:r>
              <w:rPr>
                <w:rFonts w:ascii="Arial" w:cs="Arial" w:eastAsia="Arial" w:hAnsi="Arial"/>
                <w:sz w:val="14"/>
                <w:szCs w:val="14"/>
                <w:b w:val="1"/>
                <w:bCs w:val="1"/>
                <w:color w:val="auto"/>
                <w:w w:val="93"/>
              </w:rPr>
              <w:t>Three Months Ended</w:t>
            </w:r>
          </w:p>
        </w:tc>
        <w:tc>
          <w:tcPr>
            <w:tcW w:w="2420" w:type="dxa"/>
            <w:vAlign w:val="bottom"/>
            <w:gridSpan w:val="4"/>
          </w:tcPr>
          <w:p>
            <w:pPr>
              <w:jc w:val="center"/>
              <w:spacing w:after="0" w:line="150" w:lineRule="exact"/>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6320" w:type="dxa"/>
            <w:vAlign w:val="bottom"/>
          </w:tcPr>
          <w:p>
            <w:pPr>
              <w:spacing w:after="0"/>
              <w:rPr>
                <w:sz w:val="16"/>
                <w:szCs w:val="16"/>
                <w:color w:val="auto"/>
              </w:rPr>
            </w:pPr>
          </w:p>
        </w:tc>
        <w:tc>
          <w:tcPr>
            <w:tcW w:w="1560" w:type="dxa"/>
            <w:vAlign w:val="bottom"/>
            <w:tcBorders>
              <w:bottom w:val="single" w:sz="8" w:color="auto"/>
            </w:tcBorders>
            <w:gridSpan w:val="3"/>
          </w:tcPr>
          <w:p>
            <w:pPr>
              <w:jc w:val="center"/>
              <w:ind w:left="732"/>
              <w:spacing w:after="0"/>
              <w:rPr>
                <w:sz w:val="20"/>
                <w:szCs w:val="20"/>
                <w:color w:val="auto"/>
              </w:rPr>
            </w:pPr>
            <w:r>
              <w:rPr>
                <w:rFonts w:ascii="Arial" w:cs="Arial" w:eastAsia="Arial" w:hAnsi="Arial"/>
                <w:sz w:val="14"/>
                <w:szCs w:val="14"/>
                <w:b w:val="1"/>
                <w:bCs w:val="1"/>
                <w:color w:val="auto"/>
                <w:w w:val="89"/>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Borders>
              <w:bottom w:val="single" w:sz="8" w:color="auto"/>
            </w:tcBorders>
            <w:gridSpan w:val="3"/>
          </w:tcPr>
          <w:p>
            <w:pPr>
              <w:jc w:val="center"/>
              <w:ind w:left="752"/>
              <w:spacing w:after="0"/>
              <w:rPr>
                <w:sz w:val="20"/>
                <w:szCs w:val="20"/>
                <w:color w:val="auto"/>
              </w:rPr>
            </w:pPr>
            <w:r>
              <w:rPr>
                <w:rFonts w:ascii="Arial" w:cs="Arial" w:eastAsia="Arial" w:hAnsi="Arial"/>
                <w:sz w:val="14"/>
                <w:szCs w:val="14"/>
                <w:b w:val="1"/>
                <w:bCs w:val="1"/>
                <w:color w:val="auto"/>
                <w:w w:val="89"/>
              </w:rPr>
              <w:t>June 30,</w:t>
            </w:r>
          </w:p>
        </w:tc>
        <w:tc>
          <w:tcPr>
            <w:tcW w:w="840" w:type="dxa"/>
            <w:vAlign w:val="bottom"/>
            <w:tcBorders>
              <w:bottom w:val="single" w:sz="8" w:color="auto"/>
            </w:tcBorders>
          </w:tcPr>
          <w:p>
            <w:pPr>
              <w:spacing w:after="0"/>
              <w:rPr>
                <w:sz w:val="16"/>
                <w:szCs w:val="16"/>
                <w:color w:val="auto"/>
              </w:rPr>
            </w:pPr>
          </w:p>
        </w:tc>
      </w:tr>
      <w:tr>
        <w:trPr>
          <w:trHeight w:val="196"/>
        </w:trPr>
        <w:tc>
          <w:tcPr>
            <w:tcW w:w="63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0"/>
              </w:rPr>
              <w:t>Transportation segment (average daily volumes in thousands of barrels per day):</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Tariff activities volumes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6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Crude oil pipelines (by region):</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70"/>
        </w:trPr>
        <w:tc>
          <w:tcPr>
            <w:tcW w:w="6320" w:type="dxa"/>
            <w:vAlign w:val="bottom"/>
          </w:tcPr>
          <w:p>
            <w:pPr>
              <w:ind w:left="360"/>
              <w:spacing w:after="0"/>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(2)</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4,161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4,575</w:t>
            </w:r>
          </w:p>
        </w:tc>
        <w:tc>
          <w:tcPr>
            <w:tcW w:w="100" w:type="dxa"/>
            <w:vAlign w:val="bottom"/>
          </w:tcPr>
          <w:p>
            <w:pPr>
              <w:spacing w:after="0"/>
              <w:rPr>
                <w:sz w:val="23"/>
                <w:szCs w:val="23"/>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4,663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4,423</w:t>
            </w:r>
          </w:p>
        </w:tc>
      </w:tr>
      <w:tr>
        <w:trPr>
          <w:trHeight w:val="270"/>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(2)</w:t>
            </w: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454</w:t>
            </w:r>
          </w:p>
        </w:tc>
      </w:tr>
      <w:tr>
        <w:trPr>
          <w:trHeight w:val="270"/>
        </w:trPr>
        <w:tc>
          <w:tcPr>
            <w:tcW w:w="6320" w:type="dxa"/>
            <w:vAlign w:val="bottom"/>
          </w:tcPr>
          <w:p>
            <w:pPr>
              <w:ind w:left="360"/>
              <w:spacing w:after="0"/>
              <w:rPr>
                <w:sz w:val="20"/>
                <w:szCs w:val="20"/>
                <w:color w:val="auto"/>
              </w:rPr>
            </w:pPr>
            <w:r>
              <w:rPr>
                <w:rFonts w:ascii="Arial" w:cs="Arial" w:eastAsia="Arial" w:hAnsi="Arial"/>
                <w:sz w:val="18"/>
                <w:szCs w:val="18"/>
                <w:color w:val="auto"/>
              </w:rPr>
              <w:t xml:space="preserve">Central </w:t>
            </w:r>
            <w:r>
              <w:rPr>
                <w:rFonts w:ascii="Arial" w:cs="Arial" w:eastAsia="Arial" w:hAnsi="Arial"/>
                <w:sz w:val="23"/>
                <w:szCs w:val="23"/>
                <w:color w:val="auto"/>
                <w:vertAlign w:val="superscript"/>
              </w:rPr>
              <w:t>(2)</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3"/>
                <w:szCs w:val="23"/>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517</w:t>
            </w:r>
          </w:p>
        </w:tc>
      </w:tr>
      <w:tr>
        <w:trPr>
          <w:trHeight w:val="270"/>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Gulf Coast</w:t>
            </w: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152</w:t>
            </w:r>
          </w:p>
        </w:tc>
      </w:tr>
      <w:tr>
        <w:trPr>
          <w:trHeight w:val="270"/>
        </w:trPr>
        <w:tc>
          <w:tcPr>
            <w:tcW w:w="6320" w:type="dxa"/>
            <w:vAlign w:val="bottom"/>
          </w:tcPr>
          <w:p>
            <w:pPr>
              <w:ind w:left="360"/>
              <w:spacing w:after="0"/>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(2)</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3"/>
                <w:szCs w:val="23"/>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307</w:t>
            </w:r>
          </w:p>
        </w:tc>
      </w:tr>
      <w:tr>
        <w:trPr>
          <w:trHeight w:val="270"/>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Western</w:t>
            </w: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188</w:t>
            </w:r>
          </w:p>
        </w:tc>
      </w:tr>
      <w:tr>
        <w:trPr>
          <w:trHeight w:val="270"/>
        </w:trPr>
        <w:tc>
          <w:tcPr>
            <w:tcW w:w="6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Canada</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tcPr>
          <w:p>
            <w:pPr>
              <w:spacing w:after="0"/>
              <w:rPr>
                <w:sz w:val="23"/>
                <w:szCs w:val="23"/>
                <w:color w:val="auto"/>
              </w:rPr>
            </w:pP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321</w:t>
            </w:r>
          </w:p>
        </w:tc>
      </w:tr>
      <w:tr>
        <w:trPr>
          <w:trHeight w:val="263"/>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Crude oil pipelines</w:t>
            </w: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5,656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6,522</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6,315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6,362</w:t>
            </w:r>
          </w:p>
        </w:tc>
      </w:tr>
      <w:tr>
        <w:trPr>
          <w:trHeight w:val="270"/>
        </w:trPr>
        <w:tc>
          <w:tcPr>
            <w:tcW w:w="6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NGL pipelines</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tcPr>
          <w:p>
            <w:pPr>
              <w:spacing w:after="0"/>
              <w:rPr>
                <w:sz w:val="23"/>
                <w:szCs w:val="23"/>
                <w:color w:val="auto"/>
              </w:rPr>
            </w:pP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196</w:t>
            </w:r>
          </w:p>
        </w:tc>
      </w:tr>
      <w:tr>
        <w:trPr>
          <w:trHeight w:val="244"/>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Tariff activities total volumes</w:t>
            </w: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5,850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6,704</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6,505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6,558</w:t>
            </w:r>
          </w:p>
        </w:tc>
      </w:tr>
      <w:tr>
        <w:trPr>
          <w:trHeight w:val="270"/>
        </w:trPr>
        <w:tc>
          <w:tcPr>
            <w:tcW w:w="6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Trucking volumes</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tcPr>
          <w:p>
            <w:pPr>
              <w:spacing w:after="0"/>
              <w:rPr>
                <w:sz w:val="23"/>
                <w:szCs w:val="23"/>
                <w:color w:val="auto"/>
              </w:rPr>
            </w:pP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88</w:t>
            </w:r>
          </w:p>
        </w:tc>
      </w:tr>
      <w:tr>
        <w:trPr>
          <w:trHeight w:val="289"/>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Transportation segment total volumes</w:t>
            </w: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5,914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6,787</w:t>
            </w: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6,585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6,646</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Facilities segment (average monthly volumes):</w:t>
            </w: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70"/>
        </w:trPr>
        <w:tc>
          <w:tcPr>
            <w:tcW w:w="6320" w:type="dxa"/>
            <w:vAlign w:val="bottom"/>
          </w:tcPr>
          <w:p>
            <w:pPr>
              <w:ind w:left="180"/>
              <w:spacing w:after="0"/>
              <w:rPr>
                <w:sz w:val="20"/>
                <w:szCs w:val="20"/>
                <w:color w:val="auto"/>
              </w:rPr>
            </w:pPr>
            <w:r>
              <w:rPr>
                <w:rFonts w:ascii="Arial" w:cs="Arial" w:eastAsia="Arial" w:hAnsi="Arial"/>
                <w:sz w:val="18"/>
                <w:szCs w:val="18"/>
                <w:color w:val="auto"/>
              </w:rPr>
              <w:t xml:space="preserve">Liquids storage (average monthly capacity in millions of barrels) </w:t>
            </w:r>
            <w:r>
              <w:rPr>
                <w:rFonts w:ascii="Arial" w:cs="Arial" w:eastAsia="Arial" w:hAnsi="Arial"/>
                <w:sz w:val="23"/>
                <w:szCs w:val="23"/>
                <w:color w:val="auto"/>
                <w:vertAlign w:val="superscript"/>
              </w:rPr>
              <w:t>(3)</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3"/>
                <w:szCs w:val="23"/>
                <w:color w:val="auto"/>
              </w:rPr>
            </w:pP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109</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89"/>
        </w:trPr>
        <w:tc>
          <w:tcPr>
            <w:tcW w:w="6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Natural gas storage (average monthly working capacity in billions of cubic feet)</w:t>
            </w: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63</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6320" w:type="dxa"/>
            <w:vAlign w:val="bottom"/>
          </w:tcPr>
          <w:p>
            <w:pPr>
              <w:ind w:left="180"/>
              <w:spacing w:after="0"/>
              <w:rPr>
                <w:sz w:val="20"/>
                <w:szCs w:val="20"/>
                <w:color w:val="auto"/>
              </w:rPr>
            </w:pPr>
            <w:r>
              <w:rPr>
                <w:rFonts w:ascii="Arial" w:cs="Arial" w:eastAsia="Arial" w:hAnsi="Arial"/>
                <w:sz w:val="18"/>
                <w:szCs w:val="18"/>
                <w:color w:val="auto"/>
              </w:rPr>
              <w:t>NGL fractionation (average volumes in thousands of barrels per day)</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147</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89"/>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 xml:space="preserve">Facilities segment total volumes (average monthly volumes in millions of barrels) </w:t>
            </w:r>
            <w:r>
              <w:rPr>
                <w:rFonts w:ascii="Arial" w:cs="Arial" w:eastAsia="Arial" w:hAnsi="Arial"/>
                <w:sz w:val="23"/>
                <w:szCs w:val="23"/>
                <w:color w:val="auto"/>
                <w:w w:val="94"/>
                <w:vertAlign w:val="superscript"/>
              </w:rPr>
              <w:t>(4)</w:t>
            </w: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124</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5"/>
        </w:trPr>
        <w:tc>
          <w:tcPr>
            <w:tcW w:w="6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89"/>
              </w:rPr>
              <w:t>Supply and Logistics segment (average daily volumes in thousands of barrels per</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30"/>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day):</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70"/>
        </w:trPr>
        <w:tc>
          <w:tcPr>
            <w:tcW w:w="6320" w:type="dxa"/>
            <w:vAlign w:val="bottom"/>
          </w:tcPr>
          <w:p>
            <w:pPr>
              <w:ind w:left="180"/>
              <w:spacing w:after="0"/>
              <w:rPr>
                <w:sz w:val="20"/>
                <w:szCs w:val="20"/>
                <w:color w:val="auto"/>
              </w:rPr>
            </w:pPr>
            <w:r>
              <w:rPr>
                <w:rFonts w:ascii="Arial" w:cs="Arial" w:eastAsia="Arial" w:hAnsi="Arial"/>
                <w:sz w:val="18"/>
                <w:szCs w:val="18"/>
                <w:color w:val="auto"/>
              </w:rPr>
              <w:t>Crude oil lease gathering purchases</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23"/>
                <w:szCs w:val="23"/>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1,115</w:t>
            </w:r>
          </w:p>
        </w:tc>
      </w:tr>
      <w:tr>
        <w:trPr>
          <w:trHeight w:val="270"/>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NGL sales</w:t>
            </w: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242</w:t>
            </w:r>
          </w:p>
        </w:tc>
      </w:tr>
      <w:tr>
        <w:trPr>
          <w:trHeight w:val="263"/>
        </w:trPr>
        <w:tc>
          <w:tcPr>
            <w:tcW w:w="6320" w:type="dxa"/>
            <w:vAlign w:val="bottom"/>
          </w:tcPr>
          <w:p>
            <w:pPr>
              <w:ind w:left="20"/>
              <w:spacing w:after="0"/>
              <w:rPr>
                <w:sz w:val="20"/>
                <w:szCs w:val="20"/>
                <w:color w:val="auto"/>
              </w:rPr>
            </w:pPr>
            <w:r>
              <w:rPr>
                <w:rFonts w:ascii="Arial" w:cs="Arial" w:eastAsia="Arial" w:hAnsi="Arial"/>
                <w:sz w:val="18"/>
                <w:szCs w:val="18"/>
                <w:color w:val="auto"/>
              </w:rPr>
              <w:t>Supply and Logistics segment total volumes</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22"/>
                <w:szCs w:val="22"/>
                <w:color w:val="auto"/>
              </w:rPr>
            </w:pP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1,357</w:t>
            </w:r>
          </w:p>
        </w:tc>
      </w:tr>
      <w:tr>
        <w:trPr>
          <w:trHeight w:val="21"/>
        </w:trPr>
        <w:tc>
          <w:tcPr>
            <w:tcW w:w="6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Average volumes are calculated as the total volumes (attributable to our interest) for the period divided by the number of days or months in the period.</w:t>
      </w:r>
    </w:p>
    <w:p>
      <w:pPr>
        <w:spacing w:after="0" w:line="55" w:lineRule="exact"/>
        <w:rPr>
          <w:rFonts w:ascii="Arial" w:cs="Arial" w:eastAsia="Arial" w:hAnsi="Arial"/>
          <w:sz w:val="21"/>
          <w:szCs w:val="21"/>
          <w:color w:val="auto"/>
          <w:vertAlign w:val="superscript"/>
        </w:rPr>
      </w:pPr>
    </w:p>
    <w:p>
      <w:pPr>
        <w:ind w:left="320" w:hanging="312"/>
        <w:spacing w:after="0" w:line="194" w:lineRule="auto"/>
        <w:tabs>
          <w:tab w:leader="none" w:pos="32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56"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Includes volumes (attributable to our interest) from facilities owned by unconsolidated entities.</w:t>
      </w:r>
    </w:p>
    <w:p>
      <w:pPr>
        <w:spacing w:after="0" w:line="56" w:lineRule="exact"/>
        <w:rPr>
          <w:rFonts w:ascii="Arial" w:cs="Arial" w:eastAsia="Arial" w:hAnsi="Arial"/>
          <w:sz w:val="23"/>
          <w:szCs w:val="23"/>
          <w:color w:val="auto"/>
          <w:vertAlign w:val="superscript"/>
        </w:rPr>
      </w:pPr>
    </w:p>
    <w:p>
      <w:pPr>
        <w:ind w:left="340" w:right="260" w:hanging="332"/>
        <w:spacing w:after="0" w:line="241" w:lineRule="auto"/>
        <w:tabs>
          <w:tab w:leader="none" w:pos="328" w:val="left"/>
        </w:tabs>
        <w:numPr>
          <w:ilvl w:val="0"/>
          <w:numId w:val="24"/>
        </w:numPr>
        <w:rPr>
          <w:rFonts w:ascii="Arial" w:cs="Arial" w:eastAsia="Arial" w:hAnsi="Arial"/>
          <w:sz w:val="22"/>
          <w:szCs w:val="22"/>
          <w:color w:val="auto"/>
          <w:vertAlign w:val="superscript"/>
        </w:rPr>
      </w:pPr>
      <w:r>
        <w:rPr>
          <w:rFonts w:ascii="Arial" w:cs="Arial" w:eastAsia="Arial" w:hAnsi="Arial"/>
          <w:sz w:val="17"/>
          <w:szCs w:val="17"/>
          <w:color w:val="auto"/>
        </w:rPr>
        <w:t>Facilities segment total volumes is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period and divided by the number of months in the period.</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Page 24</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SEGMENT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Fee-based Segment Adjusted EBITDA to Adjusted EBITDA Reconciliations: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000" w:type="dxa"/>
            <w:vAlign w:val="bottom"/>
            <w:gridSpan w:val="4"/>
          </w:tcPr>
          <w:p>
            <w:pPr>
              <w:jc w:val="right"/>
              <w:ind w:right="55"/>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4"/>
          </w:tcPr>
          <w:p>
            <w:pPr>
              <w:jc w:val="center"/>
              <w:ind w:right="173"/>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62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455"/>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396"/>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6"/>
                <w:szCs w:val="16"/>
                <w:color w:val="auto"/>
              </w:rPr>
            </w:pPr>
          </w:p>
        </w:tc>
      </w:tr>
      <w:tr>
        <w:trPr>
          <w:trHeight w:val="196"/>
        </w:trPr>
        <w:tc>
          <w:tcPr>
            <w:tcW w:w="628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6"/>
              </w:rPr>
              <w:t>2019</w:t>
            </w:r>
          </w:p>
        </w:tc>
      </w:tr>
      <w:tr>
        <w:trPr>
          <w:trHeight w:val="249"/>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Transportation Segment Adjusted EBITDA</w:t>
            </w:r>
          </w:p>
        </w:tc>
        <w:tc>
          <w:tcPr>
            <w:tcW w:w="72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86"/>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809</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Facilities Segment Adjusted EBITDA</w:t>
            </w:r>
          </w:p>
        </w:tc>
        <w:tc>
          <w:tcPr>
            <w:tcW w:w="720" w:type="dxa"/>
            <w:vAlign w:val="bottom"/>
          </w:tcPr>
          <w:p>
            <w:pPr>
              <w:spacing w:after="0"/>
              <w:rPr>
                <w:sz w:val="21"/>
                <w:szCs w:val="21"/>
                <w:color w:val="auto"/>
              </w:rPr>
            </w:pPr>
          </w:p>
        </w:tc>
        <w:tc>
          <w:tcPr>
            <w:tcW w:w="440" w:type="dxa"/>
            <w:vAlign w:val="bottom"/>
          </w:tcPr>
          <w:p>
            <w:pPr>
              <w:jc w:val="right"/>
              <w:ind w:right="73"/>
              <w:spacing w:after="0"/>
              <w:rPr>
                <w:sz w:val="20"/>
                <w:szCs w:val="20"/>
                <w:color w:val="auto"/>
              </w:rPr>
            </w:pPr>
            <w:r>
              <w:rPr>
                <w:rFonts w:ascii="Arial" w:cs="Arial" w:eastAsia="Arial" w:hAnsi="Arial"/>
                <w:sz w:val="18"/>
                <w:szCs w:val="18"/>
                <w:color w:val="auto"/>
                <w:w w:val="86"/>
              </w:rPr>
              <w:t>174</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w w:val="79"/>
              </w:rPr>
              <w:t>172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6"/>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356</w:t>
            </w:r>
          </w:p>
        </w:tc>
      </w:tr>
      <w:tr>
        <w:trPr>
          <w:trHeight w:val="27"/>
        </w:trPr>
        <w:tc>
          <w:tcPr>
            <w:tcW w:w="62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Fee-based Segment Adjusted EBITDA</w:t>
            </w:r>
          </w:p>
        </w:tc>
        <w:tc>
          <w:tcPr>
            <w:tcW w:w="72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86"/>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1,172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1,165</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Supply and Logistics Segment Adjusted EBITDA</w:t>
            </w:r>
          </w:p>
        </w:tc>
        <w:tc>
          <w:tcPr>
            <w:tcW w:w="720" w:type="dxa"/>
            <w:vAlign w:val="bottom"/>
          </w:tcPr>
          <w:p>
            <w:pPr>
              <w:spacing w:after="0"/>
              <w:rPr>
                <w:sz w:val="21"/>
                <w:szCs w:val="21"/>
                <w:color w:val="auto"/>
              </w:rPr>
            </w:pPr>
          </w:p>
        </w:tc>
        <w:tc>
          <w:tcPr>
            <w:tcW w:w="440" w:type="dxa"/>
            <w:vAlign w:val="bottom"/>
          </w:tcPr>
          <w:p>
            <w:pPr>
              <w:jc w:val="right"/>
              <w:ind w:right="7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w w:val="79"/>
              </w:rPr>
              <w:t>200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6"/>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478</w:t>
            </w:r>
          </w:p>
        </w:tc>
      </w:tr>
      <w:tr>
        <w:trPr>
          <w:trHeight w:val="27"/>
        </w:trPr>
        <w:tc>
          <w:tcPr>
            <w:tcW w:w="6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Adjusted other income/(expense), net </w:t>
            </w:r>
            <w:r>
              <w:rPr>
                <w:rFonts w:ascii="Arial" w:cs="Arial" w:eastAsia="Arial" w:hAnsi="Arial"/>
                <w:sz w:val="23"/>
                <w:szCs w:val="23"/>
                <w:color w:val="auto"/>
                <w:vertAlign w:val="superscript"/>
              </w:rPr>
              <w:t>(1)</w:t>
            </w:r>
          </w:p>
        </w:tc>
        <w:tc>
          <w:tcPr>
            <w:tcW w:w="7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w:t>
            </w:r>
          </w:p>
        </w:tc>
      </w:tr>
      <w:tr>
        <w:trPr>
          <w:trHeight w:val="263"/>
        </w:trPr>
        <w:tc>
          <w:tcPr>
            <w:tcW w:w="6280" w:type="dxa"/>
            <w:vAlign w:val="bottom"/>
          </w:tcPr>
          <w:p>
            <w:pPr>
              <w:ind w:left="20"/>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(2)</w:t>
            </w:r>
          </w:p>
        </w:tc>
        <w:tc>
          <w:tcPr>
            <w:tcW w:w="720" w:type="dxa"/>
            <w:vAlign w:val="bottom"/>
            <w:tcBorders>
              <w:bottom w:val="single" w:sz="8" w:color="auto"/>
            </w:tcBorders>
          </w:tcPr>
          <w:p>
            <w:pPr>
              <w:jc w:val="right"/>
              <w:ind w:right="537"/>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86"/>
              </w:rPr>
              <w:t>524</w:t>
            </w:r>
          </w:p>
        </w:tc>
        <w:tc>
          <w:tcPr>
            <w:tcW w:w="100" w:type="dxa"/>
            <w:vAlign w:val="bottom"/>
          </w:tcPr>
          <w:p>
            <w:pPr>
              <w:spacing w:after="0"/>
              <w:rPr>
                <w:sz w:val="22"/>
                <w:szCs w:val="22"/>
                <w:color w:val="auto"/>
              </w:rPr>
            </w:pPr>
          </w:p>
        </w:tc>
        <w:tc>
          <w:tcPr>
            <w:tcW w:w="74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784</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1,646</w:t>
            </w:r>
          </w:p>
        </w:tc>
      </w:tr>
      <w:tr>
        <w:trPr>
          <w:trHeight w:val="21"/>
        </w:trPr>
        <w:tc>
          <w:tcPr>
            <w:tcW w:w="6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r>
      <w:tr>
        <w:trPr>
          <w:trHeight w:val="578"/>
        </w:trPr>
        <w:tc>
          <w:tcPr>
            <w:tcW w:w="6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gridSpan w:val="4"/>
          </w:tcPr>
          <w:p>
            <w:pPr>
              <w:jc w:val="center"/>
              <w:ind w:right="173"/>
              <w:spacing w:after="0"/>
              <w:rPr>
                <w:sz w:val="20"/>
                <w:szCs w:val="20"/>
                <w:color w:val="auto"/>
              </w:rPr>
            </w:pPr>
            <w:r>
              <w:rPr>
                <w:rFonts w:ascii="Arial" w:cs="Arial" w:eastAsia="Arial" w:hAnsi="Arial"/>
                <w:sz w:val="14"/>
                <w:szCs w:val="14"/>
                <w:b w:val="1"/>
                <w:bCs w:val="1"/>
                <w:color w:val="auto"/>
                <w:w w:val="93"/>
              </w:rPr>
              <w:t>Twelve Months Ended</w:t>
            </w:r>
          </w:p>
        </w:tc>
      </w:tr>
      <w:tr>
        <w:trPr>
          <w:trHeight w:val="192"/>
        </w:trPr>
        <w:tc>
          <w:tcPr>
            <w:tcW w:w="6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396"/>
              <w:spacing w:after="0"/>
              <w:rPr>
                <w:sz w:val="20"/>
                <w:szCs w:val="20"/>
                <w:color w:val="auto"/>
              </w:rPr>
            </w:pPr>
            <w:r>
              <w:rPr>
                <w:rFonts w:ascii="Arial" w:cs="Arial" w:eastAsia="Arial" w:hAnsi="Arial"/>
                <w:sz w:val="14"/>
                <w:szCs w:val="14"/>
                <w:b w:val="1"/>
                <w:bCs w:val="1"/>
                <w:color w:val="auto"/>
                <w:w w:val="92"/>
              </w:rPr>
              <w:t>December 31,</w:t>
            </w:r>
          </w:p>
        </w:tc>
        <w:tc>
          <w:tcPr>
            <w:tcW w:w="760" w:type="dxa"/>
            <w:vAlign w:val="bottom"/>
            <w:tcBorders>
              <w:bottom w:val="single" w:sz="8" w:color="auto"/>
            </w:tcBorders>
          </w:tcPr>
          <w:p>
            <w:pPr>
              <w:spacing w:after="0"/>
              <w:rPr>
                <w:sz w:val="16"/>
                <w:szCs w:val="16"/>
                <w:color w:val="auto"/>
              </w:rPr>
            </w:pPr>
          </w:p>
        </w:tc>
      </w:tr>
      <w:tr>
        <w:trPr>
          <w:trHeight w:val="196"/>
        </w:trPr>
        <w:tc>
          <w:tcPr>
            <w:tcW w:w="628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Transportation Segment Adjusted EBITDA</w:t>
            </w:r>
          </w:p>
        </w:tc>
        <w:tc>
          <w:tcPr>
            <w:tcW w:w="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1,722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1,508</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Facilities Segment Adjusted EBITDA</w:t>
            </w: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6"/>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711</w:t>
            </w:r>
          </w:p>
        </w:tc>
      </w:tr>
      <w:tr>
        <w:trPr>
          <w:trHeight w:val="27"/>
        </w:trPr>
        <w:tc>
          <w:tcPr>
            <w:tcW w:w="62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Fee-based Segment Adjusted EBITDA</w:t>
            </w:r>
          </w:p>
        </w:tc>
        <w:tc>
          <w:tcPr>
            <w:tcW w:w="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2,427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2,219</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Supply and Logistics Segment Adjusted EBITDA</w:t>
            </w: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6"/>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462</w:t>
            </w:r>
          </w:p>
        </w:tc>
      </w:tr>
      <w:tr>
        <w:trPr>
          <w:trHeight w:val="27"/>
        </w:trPr>
        <w:tc>
          <w:tcPr>
            <w:tcW w:w="6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Adjusted other income/(expense), net </w:t>
            </w:r>
            <w:r>
              <w:rPr>
                <w:rFonts w:ascii="Arial" w:cs="Arial" w:eastAsia="Arial" w:hAnsi="Arial"/>
                <w:sz w:val="23"/>
                <w:szCs w:val="23"/>
                <w:color w:val="auto"/>
                <w:vertAlign w:val="superscript"/>
              </w:rPr>
              <w:t>(3)</w:t>
            </w:r>
          </w:p>
        </w:tc>
        <w:tc>
          <w:tcPr>
            <w:tcW w:w="7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w:t>
            </w:r>
          </w:p>
        </w:tc>
      </w:tr>
      <w:tr>
        <w:trPr>
          <w:trHeight w:val="263"/>
        </w:trPr>
        <w:tc>
          <w:tcPr>
            <w:tcW w:w="6280" w:type="dxa"/>
            <w:vAlign w:val="bottom"/>
          </w:tcPr>
          <w:p>
            <w:pPr>
              <w:ind w:left="20"/>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(2)</w:t>
            </w: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3,237</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2,684</w:t>
            </w:r>
          </w:p>
        </w:tc>
      </w:tr>
      <w:tr>
        <w:trPr>
          <w:trHeight w:val="20"/>
        </w:trPr>
        <w:tc>
          <w:tcPr>
            <w:tcW w:w="6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both"/>
        <w:ind w:left="340" w:right="60" w:hanging="332"/>
        <w:spacing w:after="0" w:line="234" w:lineRule="auto"/>
        <w:tabs>
          <w:tab w:leader="none" w:pos="328"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Represents “Other income/(expense), net” as reported on our Condensed Consolidated Statements of Operations, adjusted for selected items impacting comparability of $(17) million, $8 million, $16 million and $(15) million for the three and six months ended June 30, 2020 and 2019, respectively. See the “Selected Items Impacting Comparability” table for additional information.</w:t>
      </w:r>
    </w:p>
    <w:p>
      <w:pPr>
        <w:spacing w:after="0" w:line="6"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See the “Net Income/(Loss) to Adjusted EBITDA and Implied DCF Reconciliation” table for reconciliation to Net Income/(Loss).</w:t>
      </w:r>
    </w:p>
    <w:p>
      <w:pPr>
        <w:spacing w:after="0" w:line="55" w:lineRule="exact"/>
        <w:rPr>
          <w:rFonts w:ascii="Arial" w:cs="Arial" w:eastAsia="Arial" w:hAnsi="Arial"/>
          <w:sz w:val="23"/>
          <w:szCs w:val="23"/>
          <w:color w:val="auto"/>
          <w:vertAlign w:val="superscript"/>
        </w:rPr>
      </w:pPr>
    </w:p>
    <w:p>
      <w:pPr>
        <w:ind w:left="340" w:right="60" w:hanging="332"/>
        <w:spacing w:after="0" w:line="219" w:lineRule="auto"/>
        <w:tabs>
          <w:tab w:leader="none" w:pos="328"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Represents “Other income/(expense), net” as reported on our Condensed Consolidated Statements of Operations, adjusted for selected items impacting comparability of $(17) million and $10 million for the twelve months ended December 31,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auto"/>
        </w:rPr>
        <w:t>Page 25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2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2020</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2019</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PAA</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4"/>
              </w:rPr>
              <w:t xml:space="preserve">Adjustments </w:t>
            </w:r>
            <w:r>
              <w:rPr>
                <w:rFonts w:ascii="Arial" w:cs="Arial" w:eastAsia="Arial" w:hAnsi="Arial"/>
                <w:sz w:val="9"/>
                <w:szCs w:val="9"/>
                <w:b w:val="1"/>
                <w:bCs w:val="1"/>
                <w:color w:val="auto"/>
                <w:w w:val="94"/>
              </w:rPr>
              <w:t>(1)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PAGP</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PAA</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4"/>
              </w:rPr>
              <w:t xml:space="preserve">Adjustments </w:t>
            </w:r>
            <w:r>
              <w:rPr>
                <w:rFonts w:ascii="Arial" w:cs="Arial" w:eastAsia="Arial" w:hAnsi="Arial"/>
                <w:sz w:val="9"/>
                <w:szCs w:val="9"/>
                <w:b w:val="1"/>
                <w:bCs w:val="1"/>
                <w:color w:val="auto"/>
                <w:w w:val="94"/>
              </w:rPr>
              <w:t>(1)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3,225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3,225</w:t>
            </w:r>
          </w:p>
        </w:tc>
        <w:tc>
          <w:tcPr>
            <w:tcW w:w="120" w:type="dxa"/>
            <w:vAlign w:val="bottom"/>
            <w:tcBorders>
              <w:right w:val="single" w:sz="8" w:color="auto"/>
            </w:tcBorders>
            <w:shd w:val="clear" w:color="auto" w:fill="CCEEFF"/>
          </w:tcPr>
          <w:p>
            <w:pPr>
              <w:spacing w:after="0"/>
              <w:rPr>
                <w:sz w:val="23"/>
                <w:szCs w:val="23"/>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8,253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8,253</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2,525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2,525</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7,244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7,244</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253</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74</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166</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w w:val="96"/>
              </w:rPr>
              <w:t>(Gains)/losses on asset sales and asset</w:t>
            </w:r>
          </w:p>
        </w:tc>
        <w:tc>
          <w:tcPr>
            <w:tcW w:w="260" w:type="dxa"/>
            <w:vAlign w:val="bottom"/>
          </w:tcPr>
          <w:p>
            <w:pPr>
              <w:spacing w:after="0"/>
              <w:rPr>
                <w:sz w:val="15"/>
                <w:szCs w:val="15"/>
                <w:color w:val="auto"/>
              </w:rPr>
            </w:pPr>
          </w:p>
        </w:tc>
        <w:tc>
          <w:tcPr>
            <w:tcW w:w="86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rPr>
              <w:t>impairments, net</w:t>
            </w: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losses</w:t>
            </w:r>
          </w:p>
        </w:tc>
        <w:tc>
          <w:tcPr>
            <w:tcW w:w="2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12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3,015</w:t>
            </w: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3,017</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7,802</w:t>
            </w: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7,804</w:t>
            </w:r>
          </w:p>
        </w:tc>
        <w:tc>
          <w:tcPr>
            <w:tcW w:w="0" w:type="dxa"/>
            <w:vAlign w:val="bottom"/>
          </w:tcPr>
          <w:p>
            <w:pPr>
              <w:spacing w:after="0"/>
              <w:rPr>
                <w:sz w:val="1"/>
                <w:szCs w:val="1"/>
                <w:color w:val="auto"/>
              </w:rPr>
            </w:pPr>
          </w:p>
        </w:tc>
      </w:tr>
      <w:tr>
        <w:trPr>
          <w:trHeight w:val="148"/>
        </w:trPr>
        <w:tc>
          <w:tcPr>
            <w:tcW w:w="3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208</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148"/>
        </w:trPr>
        <w:tc>
          <w:tcPr>
            <w:tcW w:w="3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Equity earnings in unconsolidated entities</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81</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w w:val="99"/>
              </w:rPr>
              <w:t>Gain on/(impairment of) investments in</w:t>
            </w:r>
          </w:p>
        </w:tc>
        <w:tc>
          <w:tcPr>
            <w:tcW w:w="260" w:type="dxa"/>
            <w:vAlign w:val="bottom"/>
          </w:tcPr>
          <w:p>
            <w:pPr>
              <w:spacing w:after="0"/>
              <w:rPr>
                <w:sz w:val="15"/>
                <w:szCs w:val="15"/>
                <w:color w:val="auto"/>
              </w:rPr>
            </w:pPr>
          </w:p>
        </w:tc>
        <w:tc>
          <w:tcPr>
            <w:tcW w:w="860" w:type="dxa"/>
            <w:vAlign w:val="bottom"/>
            <w:vMerge w:val="restart"/>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(69)</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3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00" w:type="dxa"/>
            <w:vAlign w:val="bottom"/>
            <w:vMerge w:val="restart"/>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rPr>
              <w:t>unconsolidated entities, net</w:t>
            </w: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(108)</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color w:val="auto"/>
              </w:rPr>
              <w:t>Other income/(expense), net</w:t>
            </w: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18</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8"/>
        </w:trPr>
        <w:tc>
          <w:tcPr>
            <w:tcW w:w="3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INCOME BEFORE TAX</w:t>
            </w: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130</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 benefit</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right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29"/>
        </w:trPr>
        <w:tc>
          <w:tcPr>
            <w:tcW w:w="3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137</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income attributable to</w:t>
            </w: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(121)</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(358)</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12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NET INCOME ATTRIBUTABLE TO</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ind w:right="71"/>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ind w:right="12"/>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ind w:right="71"/>
              <w:spacing w:after="0"/>
              <w:rPr>
                <w:sz w:val="20"/>
                <w:szCs w:val="20"/>
                <w:color w:val="auto"/>
              </w:rPr>
            </w:pPr>
            <w:r>
              <w:rPr>
                <w:rFonts w:ascii="Arial" w:cs="Arial" w:eastAsia="Arial" w:hAnsi="Arial"/>
                <w:sz w:val="18"/>
                <w:szCs w:val="18"/>
                <w:color w:val="auto"/>
              </w:rPr>
              <w:t>16</w:t>
            </w:r>
          </w:p>
        </w:tc>
        <w:tc>
          <w:tcPr>
            <w:tcW w:w="120" w:type="dxa"/>
            <w:vAlign w:val="bottom"/>
            <w:tcBorders>
              <w:right w:val="single" w:sz="8" w:color="auto"/>
            </w:tcBorders>
          </w:tcPr>
          <w:p>
            <w:pPr>
              <w:spacing w:after="0"/>
              <w:rPr>
                <w:sz w:val="13"/>
                <w:szCs w:val="13"/>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71"/>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vMerge w:val="restart"/>
          </w:tcPr>
          <w:p>
            <w:pPr>
              <w:jc w:val="right"/>
              <w:ind w:right="32"/>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ind w:right="7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3"/>
        </w:trPr>
        <w:tc>
          <w:tcPr>
            <w:tcW w:w="31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PAGP</w:t>
            </w:r>
          </w:p>
        </w:tc>
        <w:tc>
          <w:tcPr>
            <w:tcW w:w="2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4340" w:type="dxa"/>
            <w:vAlign w:val="bottom"/>
            <w:gridSpan w:val="4"/>
          </w:tcPr>
          <w:p>
            <w:pPr>
              <w:ind w:left="20"/>
              <w:spacing w:after="0"/>
              <w:rPr>
                <w:sz w:val="20"/>
                <w:szCs w:val="20"/>
                <w:color w:val="auto"/>
              </w:rPr>
            </w:pPr>
            <w:r>
              <w:rPr>
                <w:rFonts w:ascii="Arial" w:cs="Arial" w:eastAsia="Arial" w:hAnsi="Arial"/>
                <w:sz w:val="18"/>
                <w:szCs w:val="18"/>
                <w:b w:val="1"/>
                <w:bCs w:val="1"/>
                <w:color w:val="auto"/>
              </w:rPr>
              <w:t>BASIC NET INCOME PER CLASS A SHARE</w:t>
            </w: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0.09</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4340" w:type="dxa"/>
            <w:vAlign w:val="bottom"/>
            <w:gridSpan w:val="4"/>
          </w:tcPr>
          <w:p>
            <w:pPr>
              <w:ind w:left="20"/>
              <w:spacing w:after="0"/>
              <w:rPr>
                <w:sz w:val="20"/>
                <w:szCs w:val="20"/>
                <w:color w:val="auto"/>
              </w:rPr>
            </w:pPr>
            <w:r>
              <w:rPr>
                <w:rFonts w:ascii="Arial" w:cs="Arial" w:eastAsia="Arial" w:hAnsi="Arial"/>
                <w:sz w:val="18"/>
                <w:szCs w:val="18"/>
                <w:b w:val="1"/>
                <w:bCs w:val="1"/>
                <w:color w:val="auto"/>
              </w:rPr>
              <w:t>DILUTED NET INCOME PER CLASS A SHARE</w:t>
            </w: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0.09</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5880" w:type="dxa"/>
            <w:vAlign w:val="bottom"/>
            <w:gridSpan w:val="7"/>
          </w:tcPr>
          <w:p>
            <w:pPr>
              <w:ind w:left="20"/>
              <w:spacing w:after="0"/>
              <w:rPr>
                <w:sz w:val="20"/>
                <w:szCs w:val="20"/>
                <w:color w:val="auto"/>
              </w:rPr>
            </w:pPr>
            <w:r>
              <w:rPr>
                <w:rFonts w:ascii="Arial" w:cs="Arial" w:eastAsia="Arial" w:hAnsi="Arial"/>
                <w:sz w:val="18"/>
                <w:szCs w:val="18"/>
                <w:b w:val="1"/>
                <w:bCs w:val="1"/>
                <w:color w:val="auto"/>
              </w:rPr>
              <w:t>BASIC WEIGHTED AVERAGE CLASS A SHARES OUTSTANDING</w:t>
            </w: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184</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520" w:type="dxa"/>
            <w:vAlign w:val="bottom"/>
            <w:gridSpan w:val="5"/>
          </w:tcPr>
          <w:p>
            <w:pPr>
              <w:ind w:left="20"/>
              <w:spacing w:after="0" w:line="176" w:lineRule="exact"/>
              <w:rPr>
                <w:sz w:val="20"/>
                <w:szCs w:val="20"/>
                <w:color w:val="auto"/>
              </w:rPr>
            </w:pPr>
            <w:r>
              <w:rPr>
                <w:rFonts w:ascii="Arial" w:cs="Arial" w:eastAsia="Arial" w:hAnsi="Arial"/>
                <w:sz w:val="18"/>
                <w:szCs w:val="18"/>
                <w:b w:val="1"/>
                <w:bCs w:val="1"/>
                <w:color w:val="auto"/>
              </w:rPr>
              <w:t>DILUTED WEIGHTED AVERAGE CLASS A SHARES</w:t>
            </w: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ind w:right="71"/>
              <w:spacing w:after="0"/>
              <w:rPr>
                <w:sz w:val="20"/>
                <w:szCs w:val="20"/>
                <w:color w:val="auto"/>
              </w:rPr>
            </w:pPr>
            <w:r>
              <w:rPr>
                <w:rFonts w:ascii="Arial" w:cs="Arial" w:eastAsia="Arial" w:hAnsi="Arial"/>
                <w:sz w:val="18"/>
                <w:szCs w:val="18"/>
                <w:color w:val="auto"/>
              </w:rPr>
              <w:t>184</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ind w:right="71"/>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3"/>
        </w:trPr>
        <w:tc>
          <w:tcPr>
            <w:tcW w:w="31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OUTSTANDING</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22"/>
          <w:szCs w:val="22"/>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spacing w:after="0" w:line="59" w:lineRule="exact"/>
        <w:rPr>
          <w:rFonts w:ascii="Arial" w:cs="Arial" w:eastAsia="Arial" w:hAnsi="Arial"/>
          <w:sz w:val="22"/>
          <w:szCs w:val="22"/>
          <w:color w:val="auto"/>
          <w:vertAlign w:val="superscript"/>
        </w:rPr>
      </w:pPr>
    </w:p>
    <w:p>
      <w:pPr>
        <w:ind w:left="5440" w:hanging="106"/>
        <w:spacing w:after="0"/>
        <w:tabs>
          <w:tab w:leader="none" w:pos="54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9"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00"/>
          </w:cols>
          <w:pgMar w:left="320" w:top="368" w:right="37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auto"/>
        </w:rPr>
        <w:t>Page 26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2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Six Months Ended</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Six Months Ended</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2020</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2019</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PAA</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4"/>
              </w:rPr>
              <w:t xml:space="preserve">Adjustments </w:t>
            </w:r>
            <w:r>
              <w:rPr>
                <w:rFonts w:ascii="Arial" w:cs="Arial" w:eastAsia="Arial" w:hAnsi="Arial"/>
                <w:sz w:val="9"/>
                <w:szCs w:val="9"/>
                <w:b w:val="1"/>
                <w:bCs w:val="1"/>
                <w:color w:val="auto"/>
                <w:w w:val="94"/>
              </w:rPr>
              <w:t>(1)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PAGP</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PAA</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4"/>
              </w:rPr>
              <w:t xml:space="preserve">Adjustments </w:t>
            </w:r>
            <w:r>
              <w:rPr>
                <w:rFonts w:ascii="Arial" w:cs="Arial" w:eastAsia="Arial" w:hAnsi="Arial"/>
                <w:sz w:val="9"/>
                <w:szCs w:val="9"/>
                <w:b w:val="1"/>
                <w:bCs w:val="1"/>
                <w:color w:val="auto"/>
                <w:w w:val="94"/>
              </w:rPr>
              <w:t>(1)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6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11,494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11,494</w:t>
            </w:r>
          </w:p>
        </w:tc>
        <w:tc>
          <w:tcPr>
            <w:tcW w:w="120" w:type="dxa"/>
            <w:vAlign w:val="bottom"/>
            <w:tcBorders>
              <w:right w:val="single" w:sz="8" w:color="auto"/>
            </w:tcBorders>
            <w:shd w:val="clear" w:color="auto" w:fill="CCEEFF"/>
          </w:tcPr>
          <w:p>
            <w:pPr>
              <w:spacing w:after="0"/>
              <w:rPr>
                <w:sz w:val="23"/>
                <w:szCs w:val="23"/>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16,628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16,628</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9,893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9,893</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14,362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14,362</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557</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144</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335</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w w:val="96"/>
              </w:rPr>
              <w:t>(Gains)/losses on asset sales and asset</w:t>
            </w:r>
          </w:p>
        </w:tc>
        <w:tc>
          <w:tcPr>
            <w:tcW w:w="260" w:type="dxa"/>
            <w:vAlign w:val="bottom"/>
          </w:tcPr>
          <w:p>
            <w:pPr>
              <w:spacing w:after="0"/>
              <w:rPr>
                <w:sz w:val="15"/>
                <w:szCs w:val="15"/>
                <w:color w:val="auto"/>
              </w:rPr>
            </w:pPr>
          </w:p>
        </w:tc>
        <w:tc>
          <w:tcPr>
            <w:tcW w:w="860" w:type="dxa"/>
            <w:vAlign w:val="bottom"/>
            <w:vMerge w:val="restart"/>
          </w:tcPr>
          <w:p>
            <w:pPr>
              <w:jc w:val="right"/>
              <w:ind w:right="71"/>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00" w:type="dxa"/>
            <w:vAlign w:val="bottom"/>
            <w:vMerge w:val="restart"/>
          </w:tcPr>
          <w:p>
            <w:pPr>
              <w:jc w:val="right"/>
              <w:ind w:right="71"/>
              <w:spacing w:after="0"/>
              <w:rPr>
                <w:sz w:val="20"/>
                <w:szCs w:val="20"/>
                <w:color w:val="auto"/>
              </w:rPr>
            </w:pPr>
            <w:r>
              <w:rPr>
                <w:rFonts w:ascii="Arial" w:cs="Arial" w:eastAsia="Arial" w:hAnsi="Arial"/>
                <w:sz w:val="18"/>
                <w:szCs w:val="18"/>
                <w:color w:val="auto"/>
              </w:rPr>
              <w:t>618</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4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00" w:type="dxa"/>
            <w:vAlign w:val="bottom"/>
            <w:vMerge w:val="restart"/>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rPr>
              <w:t>impairments, net</w:t>
            </w: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losses</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2,515</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12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14,057</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14,062</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15,463</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15,467</w:t>
            </w:r>
          </w:p>
        </w:tc>
        <w:tc>
          <w:tcPr>
            <w:tcW w:w="0" w:type="dxa"/>
            <w:vAlign w:val="bottom"/>
          </w:tcPr>
          <w:p>
            <w:pPr>
              <w:spacing w:after="0"/>
              <w:rPr>
                <w:sz w:val="1"/>
                <w:szCs w:val="1"/>
                <w:color w:val="auto"/>
              </w:rPr>
            </w:pPr>
          </w:p>
        </w:tc>
      </w:tr>
      <w:tr>
        <w:trPr>
          <w:trHeight w:val="148"/>
        </w:trPr>
        <w:tc>
          <w:tcPr>
            <w:tcW w:w="3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OPERATING INCOME/(LOSS)</w:t>
            </w:r>
          </w:p>
        </w:tc>
        <w:tc>
          <w:tcPr>
            <w:tcW w:w="260" w:type="dxa"/>
            <w:vAlign w:val="bottom"/>
          </w:tcPr>
          <w:p>
            <w:pPr>
              <w:spacing w:after="0"/>
              <w:rPr>
                <w:sz w:val="23"/>
                <w:szCs w:val="23"/>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(2,563)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(2,568)</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148"/>
        </w:trPr>
        <w:tc>
          <w:tcPr>
            <w:tcW w:w="3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Equity earnings in unconsolidated entities</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191</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w w:val="99"/>
              </w:rPr>
              <w:t>Gain on/(impairment of) investments in</w:t>
            </w:r>
          </w:p>
        </w:tc>
        <w:tc>
          <w:tcPr>
            <w:tcW w:w="260" w:type="dxa"/>
            <w:vAlign w:val="bottom"/>
          </w:tcPr>
          <w:p>
            <w:pPr>
              <w:spacing w:after="0"/>
              <w:rPr>
                <w:sz w:val="15"/>
                <w:szCs w:val="15"/>
                <w:color w:val="auto"/>
              </w:rPr>
            </w:pPr>
          </w:p>
        </w:tc>
        <w:tc>
          <w:tcPr>
            <w:tcW w:w="860" w:type="dxa"/>
            <w:vAlign w:val="bottom"/>
            <w:vMerge w:val="restart"/>
          </w:tcPr>
          <w:p>
            <w:pPr>
              <w:jc w:val="right"/>
              <w:ind w:right="31"/>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(91)</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ind w:right="71"/>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00" w:type="dxa"/>
            <w:vAlign w:val="bottom"/>
            <w:vMerge w:val="restart"/>
          </w:tcPr>
          <w:p>
            <w:pPr>
              <w:jc w:val="right"/>
              <w:ind w:right="71"/>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rPr>
              <w:t>unconsolidated entities, net</w:t>
            </w: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(215)</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color w:val="auto"/>
              </w:rPr>
              <w:t>Other income/(expense), net</w:t>
            </w:r>
          </w:p>
        </w:tc>
        <w:tc>
          <w:tcPr>
            <w:tcW w:w="260" w:type="dxa"/>
            <w:vAlign w:val="bottom"/>
          </w:tcPr>
          <w:p>
            <w:pPr>
              <w:spacing w:after="0"/>
              <w:rPr>
                <w:sz w:val="23"/>
                <w:szCs w:val="23"/>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28"/>
        </w:trPr>
        <w:tc>
          <w:tcPr>
            <w:tcW w:w="3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INCOME/(LOSS) BEFORE TAX</w:t>
            </w:r>
          </w:p>
        </w:tc>
        <w:tc>
          <w:tcPr>
            <w:tcW w:w="260" w:type="dxa"/>
            <w:vAlign w:val="bottom"/>
          </w:tcPr>
          <w:p>
            <w:pPr>
              <w:spacing w:after="0"/>
              <w:rPr>
                <w:sz w:val="23"/>
                <w:szCs w:val="23"/>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(2,691)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(2,696)</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1,419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 (expense)/benefit</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right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29"/>
        </w:trPr>
        <w:tc>
          <w:tcPr>
            <w:tcW w:w="3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NET INCOME/(LOSS)</w:t>
            </w:r>
          </w:p>
        </w:tc>
        <w:tc>
          <w:tcPr>
            <w:tcW w:w="260" w:type="dxa"/>
            <w:vAlign w:val="bottom"/>
          </w:tcPr>
          <w:p>
            <w:pPr>
              <w:spacing w:after="0"/>
              <w:rPr>
                <w:sz w:val="23"/>
                <w:szCs w:val="23"/>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(2,701)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(2,556)</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(income)/loss attributable to</w:t>
            </w: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1,995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1,991</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(1,125)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12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NET INCOME/(LOSS)</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ind w:right="31"/>
              <w:spacing w:after="0"/>
              <w:rPr>
                <w:sz w:val="20"/>
                <w:szCs w:val="20"/>
                <w:color w:val="auto"/>
              </w:rPr>
            </w:pPr>
            <w:r>
              <w:rPr>
                <w:rFonts w:ascii="Arial" w:cs="Arial" w:eastAsia="Arial" w:hAnsi="Arial"/>
                <w:sz w:val="18"/>
                <w:szCs w:val="18"/>
                <w:color w:val="auto"/>
              </w:rPr>
              <w:t>(2,705)</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ind w:right="73"/>
              <w:spacing w:after="0"/>
              <w:rPr>
                <w:sz w:val="20"/>
                <w:szCs w:val="20"/>
                <w:color w:val="auto"/>
              </w:rPr>
            </w:pPr>
            <w:r>
              <w:rPr>
                <w:rFonts w:ascii="Arial" w:cs="Arial" w:eastAsia="Arial" w:hAnsi="Arial"/>
                <w:sz w:val="18"/>
                <w:szCs w:val="18"/>
                <w:color w:val="auto"/>
              </w:rPr>
              <w:t>2,140</w:t>
            </w:r>
          </w:p>
        </w:tc>
        <w:tc>
          <w:tcPr>
            <w:tcW w:w="12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(565)</w:t>
            </w:r>
          </w:p>
        </w:tc>
        <w:tc>
          <w:tcPr>
            <w:tcW w:w="120" w:type="dxa"/>
            <w:vAlign w:val="bottom"/>
            <w:tcBorders>
              <w:right w:val="single" w:sz="8" w:color="auto"/>
            </w:tcBorders>
          </w:tcPr>
          <w:p>
            <w:pPr>
              <w:spacing w:after="0"/>
              <w:rPr>
                <w:sz w:val="13"/>
                <w:szCs w:val="13"/>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71"/>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ind w:right="33"/>
              <w:spacing w:after="0"/>
              <w:rPr>
                <w:sz w:val="20"/>
                <w:szCs w:val="20"/>
                <w:color w:val="auto"/>
              </w:rPr>
            </w:pPr>
            <w:r>
              <w:rPr>
                <w:rFonts w:ascii="Arial" w:cs="Arial" w:eastAsia="Arial" w:hAnsi="Arial"/>
                <w:sz w:val="18"/>
                <w:szCs w:val="18"/>
                <w:color w:val="auto"/>
              </w:rPr>
              <w:t>(1,203)</w:t>
            </w:r>
          </w:p>
        </w:tc>
        <w:tc>
          <w:tcPr>
            <w:tcW w:w="12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ind w:right="71"/>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3"/>
        </w:trPr>
        <w:tc>
          <w:tcPr>
            <w:tcW w:w="31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ATTRIBUTABLE TO PAGP</w:t>
            </w:r>
          </w:p>
        </w:tc>
        <w:tc>
          <w:tcPr>
            <w:tcW w:w="2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4340" w:type="dxa"/>
            <w:vAlign w:val="bottom"/>
            <w:gridSpan w:val="4"/>
          </w:tcPr>
          <w:p>
            <w:pPr>
              <w:ind w:left="20"/>
              <w:spacing w:after="0"/>
              <w:rPr>
                <w:sz w:val="20"/>
                <w:szCs w:val="20"/>
                <w:color w:val="auto"/>
              </w:rPr>
            </w:pPr>
            <w:r>
              <w:rPr>
                <w:rFonts w:ascii="Arial" w:cs="Arial" w:eastAsia="Arial" w:hAnsi="Arial"/>
                <w:sz w:val="18"/>
                <w:szCs w:val="18"/>
                <w:b w:val="1"/>
                <w:bCs w:val="1"/>
                <w:color w:val="auto"/>
                <w:w w:val="99"/>
              </w:rPr>
              <w:t>BASIC NET INCOME/(LOSS) PER CLASS A SHARE</w:t>
            </w: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(3.08)</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5880" w:type="dxa"/>
            <w:vAlign w:val="bottom"/>
            <w:gridSpan w:val="7"/>
          </w:tcPr>
          <w:p>
            <w:pPr>
              <w:ind w:left="20"/>
              <w:spacing w:after="0"/>
              <w:rPr>
                <w:sz w:val="20"/>
                <w:szCs w:val="20"/>
                <w:color w:val="auto"/>
              </w:rPr>
            </w:pPr>
            <w:r>
              <w:rPr>
                <w:rFonts w:ascii="Arial" w:cs="Arial" w:eastAsia="Arial" w:hAnsi="Arial"/>
                <w:sz w:val="18"/>
                <w:szCs w:val="18"/>
                <w:b w:val="1"/>
                <w:bCs w:val="1"/>
                <w:color w:val="auto"/>
              </w:rPr>
              <w:t>DILUTED NET INCOME/(LOSS) PER CLASS A SHARE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(3.08)</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5880" w:type="dxa"/>
            <w:vAlign w:val="bottom"/>
            <w:gridSpan w:val="7"/>
          </w:tcPr>
          <w:p>
            <w:pPr>
              <w:ind w:left="20"/>
              <w:spacing w:after="0"/>
              <w:rPr>
                <w:sz w:val="20"/>
                <w:szCs w:val="20"/>
                <w:color w:val="auto"/>
              </w:rPr>
            </w:pPr>
            <w:r>
              <w:rPr>
                <w:rFonts w:ascii="Arial" w:cs="Arial" w:eastAsia="Arial" w:hAnsi="Arial"/>
                <w:sz w:val="18"/>
                <w:szCs w:val="18"/>
                <w:b w:val="1"/>
                <w:bCs w:val="1"/>
                <w:color w:val="auto"/>
              </w:rPr>
              <w:t>BASIC WEIGHTED AVERAGE CLASS A SHARES OUTSTANDING</w:t>
            </w: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183</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480" w:type="dxa"/>
            <w:vAlign w:val="bottom"/>
            <w:gridSpan w:val="5"/>
          </w:tcPr>
          <w:p>
            <w:pPr>
              <w:ind w:left="20"/>
              <w:spacing w:after="0" w:line="176" w:lineRule="exact"/>
              <w:rPr>
                <w:sz w:val="20"/>
                <w:szCs w:val="20"/>
                <w:color w:val="auto"/>
              </w:rPr>
            </w:pPr>
            <w:r>
              <w:rPr>
                <w:rFonts w:ascii="Arial" w:cs="Arial" w:eastAsia="Arial" w:hAnsi="Arial"/>
                <w:sz w:val="18"/>
                <w:szCs w:val="18"/>
                <w:b w:val="1"/>
                <w:bCs w:val="1"/>
                <w:color w:val="auto"/>
              </w:rPr>
              <w:t>DILUTED WEIGHTED AVERAGE CLASS A SHARES</w:t>
            </w: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ind w:right="71"/>
              <w:spacing w:after="0"/>
              <w:rPr>
                <w:sz w:val="20"/>
                <w:szCs w:val="20"/>
                <w:color w:val="auto"/>
              </w:rPr>
            </w:pPr>
            <w:r>
              <w:rPr>
                <w:rFonts w:ascii="Arial" w:cs="Arial" w:eastAsia="Arial" w:hAnsi="Arial"/>
                <w:sz w:val="18"/>
                <w:szCs w:val="18"/>
                <w:color w:val="auto"/>
              </w:rPr>
              <w:t>183</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ind w:right="71"/>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43"/>
        </w:trPr>
        <w:tc>
          <w:tcPr>
            <w:tcW w:w="31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OUTSTANDING</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22"/>
          <w:szCs w:val="22"/>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spacing w:after="0" w:line="59" w:lineRule="exact"/>
        <w:rPr>
          <w:rFonts w:ascii="Arial" w:cs="Arial" w:eastAsia="Arial" w:hAnsi="Arial"/>
          <w:sz w:val="22"/>
          <w:szCs w:val="22"/>
          <w:color w:val="auto"/>
          <w:vertAlign w:val="superscript"/>
        </w:rPr>
      </w:pPr>
    </w:p>
    <w:p>
      <w:pPr>
        <w:ind w:left="5440" w:hanging="106"/>
        <w:spacing w:after="0"/>
        <w:tabs>
          <w:tab w:leader="none" w:pos="54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9"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00"/>
          </w:cols>
          <w:pgMar w:left="320" w:top="368"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t>Page 27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June 30, 2020</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2019</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Consolidating</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PAA</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 xml:space="preserve">Adjustments </w:t>
            </w:r>
            <w:r>
              <w:rPr>
                <w:rFonts w:ascii="Arial" w:cs="Arial" w:eastAsia="Arial" w:hAnsi="Arial"/>
                <w:sz w:val="9"/>
                <w:szCs w:val="9"/>
                <w:b w:val="1"/>
                <w:bCs w:val="1"/>
                <w:color w:val="auto"/>
                <w:w w:val="94"/>
              </w:rPr>
              <w:t>(1)</w:t>
            </w:r>
          </w:p>
        </w:tc>
        <w:tc>
          <w:tcPr>
            <w:tcW w:w="260" w:type="dxa"/>
            <w:vAlign w:val="bottom"/>
          </w:tcPr>
          <w:p>
            <w:pPr>
              <w:spacing w:after="0"/>
              <w:rPr>
                <w:sz w:val="18"/>
                <w:szCs w:val="18"/>
                <w:color w:val="auto"/>
              </w:rPr>
            </w:pPr>
          </w:p>
        </w:tc>
        <w:tc>
          <w:tcPr>
            <w:tcW w:w="1120" w:type="dxa"/>
            <w:vAlign w:val="bottom"/>
            <w:gridSpan w:val="3"/>
          </w:tcPr>
          <w:p>
            <w:pPr>
              <w:ind w:left="140"/>
              <w:spacing w:after="0"/>
              <w:rPr>
                <w:sz w:val="20"/>
                <w:szCs w:val="20"/>
                <w:color w:val="auto"/>
              </w:rPr>
            </w:pPr>
            <w:r>
              <w:rPr>
                <w:rFonts w:ascii="Arial" w:cs="Arial" w:eastAsia="Arial" w:hAnsi="Arial"/>
                <w:sz w:val="14"/>
                <w:szCs w:val="14"/>
                <w:b w:val="1"/>
                <w:bCs w:val="1"/>
                <w:color w:val="auto"/>
              </w:rPr>
              <w:t>PAGP</w:t>
            </w:r>
          </w:p>
        </w:tc>
        <w:tc>
          <w:tcPr>
            <w:tcW w:w="26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 xml:space="preserve">Adjustments </w:t>
            </w:r>
            <w:r>
              <w:rPr>
                <w:rFonts w:ascii="Arial" w:cs="Arial" w:eastAsia="Arial" w:hAnsi="Arial"/>
                <w:sz w:val="9"/>
                <w:szCs w:val="9"/>
                <w:b w:val="1"/>
                <w:bCs w:val="1"/>
                <w:color w:val="auto"/>
                <w:w w:val="92"/>
              </w:rPr>
              <w:t>(1)</w:t>
            </w:r>
          </w:p>
        </w:tc>
        <w:tc>
          <w:tcPr>
            <w:tcW w:w="240" w:type="dxa"/>
            <w:vAlign w:val="bottom"/>
          </w:tcPr>
          <w:p>
            <w:pPr>
              <w:spacing w:after="0"/>
              <w:rPr>
                <w:sz w:val="18"/>
                <w:szCs w:val="18"/>
                <w:color w:val="auto"/>
              </w:rPr>
            </w:pPr>
          </w:p>
        </w:tc>
        <w:tc>
          <w:tcPr>
            <w:tcW w:w="920" w:type="dxa"/>
            <w:vAlign w:val="bottom"/>
          </w:tcPr>
          <w:p>
            <w:pPr>
              <w:jc w:val="right"/>
              <w:ind w:right="291"/>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15"/>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3,161</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3,163</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4,612</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4,614</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14,600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14,610</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15,355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15,367</w:t>
            </w: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color w:val="auto"/>
              </w:rPr>
              <w:t>Investments in unconsolidated entities</w:t>
            </w:r>
          </w:p>
        </w:tc>
        <w:tc>
          <w:tcPr>
            <w:tcW w:w="280" w:type="dxa"/>
            <w:vAlign w:val="bottom"/>
          </w:tcPr>
          <w:p>
            <w:pPr>
              <w:spacing w:after="0"/>
              <w:rPr>
                <w:sz w:val="23"/>
                <w:szCs w:val="23"/>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3,781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3,781</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3,683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3,683</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0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2,540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280" w:type="dxa"/>
            <w:vAlign w:val="bottom"/>
          </w:tcPr>
          <w:p>
            <w:pPr>
              <w:spacing w:after="0"/>
              <w:rPr>
                <w:sz w:val="23"/>
                <w:szCs w:val="23"/>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1,442</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Linefill and base gas</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962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962</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981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176"/>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Long-term operating lease right-of-use</w:t>
            </w:r>
          </w:p>
        </w:tc>
        <w:tc>
          <w:tcPr>
            <w:tcW w:w="280" w:type="dxa"/>
            <w:vAlign w:val="bottom"/>
          </w:tcPr>
          <w:p>
            <w:pPr>
              <w:spacing w:after="0"/>
              <w:rPr>
                <w:sz w:val="15"/>
                <w:szCs w:val="15"/>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00" w:type="dxa"/>
            <w:vAlign w:val="bottom"/>
            <w:vMerge w:val="restart"/>
          </w:tcPr>
          <w:p>
            <w:pPr>
              <w:jc w:val="right"/>
              <w:ind w:right="71"/>
              <w:spacing w:after="0"/>
              <w:rPr>
                <w:sz w:val="20"/>
                <w:szCs w:val="20"/>
                <w:color w:val="auto"/>
              </w:rPr>
            </w:pPr>
            <w:r>
              <w:rPr>
                <w:rFonts w:ascii="Arial" w:cs="Arial" w:eastAsia="Arial" w:hAnsi="Arial"/>
                <w:sz w:val="18"/>
                <w:szCs w:val="18"/>
                <w:color w:val="auto"/>
              </w:rPr>
              <w:t>416</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ind w:right="71"/>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ind w:right="71"/>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Arial" w:cs="Arial" w:eastAsia="Arial" w:hAnsi="Arial"/>
                <w:sz w:val="18"/>
                <w:szCs w:val="18"/>
                <w:color w:val="auto"/>
              </w:rPr>
              <w:t>assets, net</w:t>
            </w: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inventory</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assets, net</w:t>
            </w: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992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990</w:t>
            </w:r>
          </w:p>
        </w:tc>
        <w:tc>
          <w:tcPr>
            <w:tcW w:w="120" w:type="dxa"/>
            <w:vAlign w:val="bottom"/>
            <w:tcBorders>
              <w:bottom w:val="single" w:sz="8" w:color="CCEEFF"/>
              <w:right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88"/>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24,037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1,452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25,489</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28,677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1,292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29,969</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LIABILITIES AND PARTNERS’</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CAPITAL</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3,633</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3,634</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5,017</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5,019</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net</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9,067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9,067</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8,939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8,939</w:t>
            </w: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color w:val="auto"/>
              </w:rPr>
              <w:t>Other long-term debt, net</w:t>
            </w:r>
          </w:p>
        </w:tc>
        <w:tc>
          <w:tcPr>
            <w:tcW w:w="280" w:type="dxa"/>
            <w:vAlign w:val="bottom"/>
          </w:tcPr>
          <w:p>
            <w:pPr>
              <w:spacing w:after="0"/>
              <w:rPr>
                <w:sz w:val="23"/>
                <w:szCs w:val="23"/>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326</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356</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176"/>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Other long-term liabilities and deferred</w:t>
            </w:r>
          </w:p>
        </w:tc>
        <w:tc>
          <w:tcPr>
            <w:tcW w:w="280" w:type="dxa"/>
            <w:vAlign w:val="bottom"/>
          </w:tcPr>
          <w:p>
            <w:pPr>
              <w:spacing w:after="0"/>
              <w:rPr>
                <w:sz w:val="15"/>
                <w:szCs w:val="15"/>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00" w:type="dxa"/>
            <w:vAlign w:val="bottom"/>
            <w:vMerge w:val="restart"/>
          </w:tcPr>
          <w:p>
            <w:pPr>
              <w:jc w:val="right"/>
              <w:ind w:right="71"/>
              <w:spacing w:after="0"/>
              <w:rPr>
                <w:sz w:val="20"/>
                <w:szCs w:val="20"/>
                <w:color w:val="auto"/>
              </w:rPr>
            </w:pPr>
            <w:r>
              <w:rPr>
                <w:rFonts w:ascii="Arial" w:cs="Arial" w:eastAsia="Arial" w:hAnsi="Arial"/>
                <w:sz w:val="18"/>
                <w:szCs w:val="18"/>
                <w:color w:val="auto"/>
              </w:rPr>
              <w:t>853</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ind w:right="71"/>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ind w:right="71"/>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Arial" w:cs="Arial" w:eastAsia="Arial" w:hAnsi="Arial"/>
                <w:sz w:val="18"/>
                <w:szCs w:val="18"/>
                <w:color w:val="auto"/>
              </w:rPr>
              <w:t>credits</w:t>
            </w: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1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14,235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14,236</w:t>
            </w:r>
          </w:p>
        </w:tc>
        <w:tc>
          <w:tcPr>
            <w:tcW w:w="120" w:type="dxa"/>
            <w:vAlign w:val="bottom"/>
            <w:tcBorders>
              <w:top w:val="single" w:sz="8" w:color="CCEEFF"/>
              <w:right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15,482</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15,484</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Partners’ capital excluding noncontrolling</w:t>
            </w:r>
          </w:p>
        </w:tc>
        <w:tc>
          <w:tcPr>
            <w:tcW w:w="2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9,659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(8,194)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1,465</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13,062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(10,907)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2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9,645</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9,788</w:t>
            </w:r>
          </w:p>
        </w:tc>
        <w:tc>
          <w:tcPr>
            <w:tcW w:w="120" w:type="dxa"/>
            <w:vAlign w:val="bottom"/>
            <w:tcBorders>
              <w:bottom w:val="single" w:sz="8" w:color="CCEEFF"/>
              <w:right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12,197</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12,330</w:t>
            </w:r>
          </w:p>
        </w:tc>
        <w:tc>
          <w:tcPr>
            <w:tcW w:w="0" w:type="dxa"/>
            <w:vAlign w:val="bottom"/>
          </w:tcPr>
          <w:p>
            <w:pPr>
              <w:spacing w:after="0"/>
              <w:rPr>
                <w:sz w:val="1"/>
                <w:szCs w:val="1"/>
                <w:color w:val="auto"/>
              </w:rPr>
            </w:pPr>
          </w:p>
        </w:tc>
      </w:tr>
      <w:tr>
        <w:trPr>
          <w:trHeight w:val="263"/>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partners’ capital</w:t>
            </w:r>
          </w:p>
        </w:tc>
        <w:tc>
          <w:tcPr>
            <w:tcW w:w="2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9,802</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1,451</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11,253</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13,195</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14,485</w:t>
            </w:r>
          </w:p>
        </w:tc>
        <w:tc>
          <w:tcPr>
            <w:tcW w:w="0" w:type="dxa"/>
            <w:vAlign w:val="bottom"/>
          </w:tcPr>
          <w:p>
            <w:pPr>
              <w:spacing w:after="0"/>
              <w:rPr>
                <w:sz w:val="1"/>
                <w:szCs w:val="1"/>
                <w:color w:val="auto"/>
              </w:rPr>
            </w:pPr>
          </w:p>
        </w:tc>
      </w:tr>
      <w:tr>
        <w:trPr>
          <w:trHeight w:val="304"/>
        </w:trPr>
        <w:tc>
          <w:tcPr>
            <w:tcW w:w="3120" w:type="dxa"/>
            <w:vAlign w:val="bottom"/>
          </w:tcPr>
          <w:p>
            <w:pPr>
              <w:ind w:left="360"/>
              <w:spacing w:after="0"/>
              <w:rPr>
                <w:sz w:val="20"/>
                <w:szCs w:val="20"/>
                <w:color w:val="auto"/>
              </w:rPr>
            </w:pPr>
            <w:r>
              <w:rPr>
                <w:rFonts w:ascii="Arial" w:cs="Arial" w:eastAsia="Arial" w:hAnsi="Arial"/>
                <w:sz w:val="18"/>
                <w:szCs w:val="18"/>
                <w:color w:val="auto"/>
                <w:w w:val="97"/>
              </w:rPr>
              <w:t>Total liabilities and partners’ capital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24,037</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1,452</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25,489</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28,677</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29,969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auto"/>
        </w:rPr>
        <w:t>Page 28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396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INCOME/(LOSS) PER CLASS A SHARE </w:t>
      </w:r>
      <w:r>
        <w:rPr>
          <w:rFonts w:ascii="Arial" w:cs="Arial" w:eastAsia="Arial" w:hAnsi="Arial"/>
          <w:sz w:val="18"/>
          <w:szCs w:val="18"/>
          <w:color w:val="auto"/>
        </w:rPr>
        <w:t>(in millions, except per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160" w:type="dxa"/>
            <w:vAlign w:val="bottom"/>
            <w:gridSpan w:val="4"/>
          </w:tcPr>
          <w:p>
            <w:pPr>
              <w:jc w:val="right"/>
              <w:ind w:right="93"/>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58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493"/>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4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Net Income/(Loss) per Class A Share</w:t>
            </w:r>
          </w:p>
        </w:tc>
        <w:tc>
          <w:tcPr>
            <w:tcW w:w="7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80"/>
              <w:spacing w:after="0"/>
              <w:rPr>
                <w:sz w:val="20"/>
                <w:szCs w:val="20"/>
                <w:color w:val="auto"/>
              </w:rPr>
            </w:pPr>
            <w:r>
              <w:rPr>
                <w:rFonts w:ascii="Arial" w:cs="Arial" w:eastAsia="Arial" w:hAnsi="Arial"/>
                <w:sz w:val="18"/>
                <w:szCs w:val="18"/>
                <w:color w:val="auto"/>
              </w:rPr>
              <w:t>Net income/(loss) attributable to PAGP</w:t>
            </w:r>
          </w:p>
        </w:tc>
        <w:tc>
          <w:tcPr>
            <w:tcW w:w="780" w:type="dxa"/>
            <w:vAlign w:val="bottom"/>
          </w:tcPr>
          <w:p>
            <w:pPr>
              <w:jc w:val="right"/>
              <w:ind w:right="595"/>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780" w:type="dxa"/>
            <w:vAlign w:val="bottom"/>
          </w:tcPr>
          <w:p>
            <w:pPr>
              <w:jc w:val="right"/>
              <w:ind w:right="593"/>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Basic weighted average Class A shares outstanding</w:t>
            </w: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56"/>
        </w:trPr>
        <w:tc>
          <w:tcPr>
            <w:tcW w:w="5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5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Basic net income/(loss) per Class A share</w:t>
            </w:r>
          </w:p>
        </w:tc>
        <w:tc>
          <w:tcPr>
            <w:tcW w:w="780" w:type="dxa"/>
            <w:vAlign w:val="bottom"/>
            <w:tcBorders>
              <w:bottom w:val="single" w:sz="8" w:color="CCEEFF"/>
            </w:tcBorders>
            <w:shd w:val="clear" w:color="auto" w:fill="CCEEFF"/>
          </w:tcPr>
          <w:p>
            <w:pPr>
              <w:jc w:val="right"/>
              <w:ind w:right="595"/>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1"/>
              </w:rPr>
              <w:t>0.09</w:t>
            </w: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59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1"/>
              </w:rPr>
              <w:t>0.41</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Net Income/(Loss) per Class A Share</w:t>
            </w: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80"/>
              <w:spacing w:after="0"/>
              <w:rPr>
                <w:sz w:val="20"/>
                <w:szCs w:val="20"/>
                <w:color w:val="auto"/>
              </w:rPr>
            </w:pPr>
            <w:r>
              <w:rPr>
                <w:rFonts w:ascii="Arial" w:cs="Arial" w:eastAsia="Arial" w:hAnsi="Arial"/>
                <w:sz w:val="18"/>
                <w:szCs w:val="18"/>
                <w:color w:val="auto"/>
              </w:rPr>
              <w:t>Net income/(loss) attributable to PAGP</w:t>
            </w:r>
          </w:p>
        </w:tc>
        <w:tc>
          <w:tcPr>
            <w:tcW w:w="780" w:type="dxa"/>
            <w:vAlign w:val="bottom"/>
          </w:tcPr>
          <w:p>
            <w:pPr>
              <w:jc w:val="right"/>
              <w:ind w:right="595"/>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780" w:type="dxa"/>
            <w:vAlign w:val="bottom"/>
          </w:tcPr>
          <w:p>
            <w:pPr>
              <w:jc w:val="right"/>
              <w:ind w:right="593"/>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Incremental net income attributable to PAGP resulting from assumed</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exchange of AAP Management Units</w:t>
            </w:r>
          </w:p>
        </w:tc>
        <w:tc>
          <w:tcPr>
            <w:tcW w:w="7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840" w:type="dxa"/>
            <w:vAlign w:val="bottom"/>
          </w:tcPr>
          <w:p>
            <w:pPr>
              <w:ind w:left="80"/>
              <w:spacing w:after="0"/>
              <w:rPr>
                <w:sz w:val="20"/>
                <w:szCs w:val="20"/>
                <w:color w:val="auto"/>
              </w:rPr>
            </w:pPr>
            <w:r>
              <w:rPr>
                <w:rFonts w:ascii="Arial" w:cs="Arial" w:eastAsia="Arial" w:hAnsi="Arial"/>
                <w:sz w:val="18"/>
                <w:szCs w:val="18"/>
                <w:color w:val="auto"/>
                <w:w w:val="92"/>
              </w:rPr>
              <w:t>Net income/(loss) attributable to PAGP including incremental net income from</w:t>
            </w:r>
          </w:p>
        </w:tc>
        <w:tc>
          <w:tcPr>
            <w:tcW w:w="780" w:type="dxa"/>
            <w:vAlign w:val="bottom"/>
            <w:tcBorders>
              <w:top w:val="single" w:sz="8" w:color="auto"/>
            </w:tcBorders>
            <w:vMerge w:val="restart"/>
          </w:tcPr>
          <w:p>
            <w:pPr>
              <w:jc w:val="right"/>
              <w:ind w:right="595"/>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780" w:type="dxa"/>
            <w:vAlign w:val="bottom"/>
            <w:tcBorders>
              <w:top w:val="single" w:sz="8" w:color="auto"/>
            </w:tcBorders>
            <w:vMerge w:val="restart"/>
          </w:tcPr>
          <w:p>
            <w:pPr>
              <w:jc w:val="right"/>
              <w:ind w:right="593"/>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5"/>
        </w:trPr>
        <w:tc>
          <w:tcPr>
            <w:tcW w:w="5840" w:type="dxa"/>
            <w:vAlign w:val="bottom"/>
          </w:tcPr>
          <w:p>
            <w:pPr>
              <w:ind w:left="80"/>
              <w:spacing w:after="0"/>
              <w:rPr>
                <w:sz w:val="20"/>
                <w:szCs w:val="20"/>
                <w:color w:val="auto"/>
              </w:rPr>
            </w:pPr>
            <w:r>
              <w:rPr>
                <w:rFonts w:ascii="Arial" w:cs="Arial" w:eastAsia="Arial" w:hAnsi="Arial"/>
                <w:sz w:val="18"/>
                <w:szCs w:val="18"/>
                <w:color w:val="auto"/>
              </w:rPr>
              <w:t>assumed exchange of AAP Management Units</w:t>
            </w:r>
          </w:p>
        </w:tc>
        <w:tc>
          <w:tcPr>
            <w:tcW w:w="780" w:type="dxa"/>
            <w:vAlign w:val="bottom"/>
            <w:tcBorders>
              <w:bottom w:val="single" w:sz="8" w:color="auto"/>
            </w:tcBorders>
            <w:vMerge w:val="continue"/>
          </w:tcPr>
          <w:p>
            <w:pPr>
              <w:spacing w:after="0"/>
              <w:rPr>
                <w:sz w:val="20"/>
                <w:szCs w:val="20"/>
                <w:color w:val="auto"/>
              </w:rPr>
            </w:pPr>
          </w:p>
        </w:tc>
        <w:tc>
          <w:tcPr>
            <w:tcW w:w="4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4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80"/>
              <w:spacing w:after="0"/>
              <w:rPr>
                <w:sz w:val="20"/>
                <w:szCs w:val="20"/>
                <w:color w:val="auto"/>
              </w:rPr>
            </w:pPr>
            <w:r>
              <w:rPr>
                <w:rFonts w:ascii="Arial" w:cs="Arial" w:eastAsia="Arial" w:hAnsi="Arial"/>
                <w:sz w:val="18"/>
                <w:szCs w:val="18"/>
                <w:color w:val="auto"/>
              </w:rPr>
              <w:t>Basic weighted average Class A shares outstanding</w:t>
            </w:r>
          </w:p>
        </w:tc>
        <w:tc>
          <w:tcPr>
            <w:tcW w:w="780" w:type="dxa"/>
            <w:vAlign w:val="bottom"/>
          </w:tcPr>
          <w:p>
            <w:pPr>
              <w:spacing w:after="0"/>
              <w:rPr>
                <w:sz w:val="21"/>
                <w:szCs w:val="21"/>
                <w:color w:val="auto"/>
              </w:rPr>
            </w:pP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2"/>
              </w:rPr>
              <w:t>Dilutive shares resulting from assumed exchange of AAP Management Units</w:t>
            </w:r>
          </w:p>
        </w:tc>
        <w:tc>
          <w:tcPr>
            <w:tcW w:w="7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840" w:type="dxa"/>
            <w:vAlign w:val="bottom"/>
          </w:tcPr>
          <w:p>
            <w:pPr>
              <w:ind w:left="80"/>
              <w:spacing w:after="0"/>
              <w:rPr>
                <w:sz w:val="20"/>
                <w:szCs w:val="20"/>
                <w:color w:val="auto"/>
              </w:rPr>
            </w:pPr>
            <w:r>
              <w:rPr>
                <w:rFonts w:ascii="Arial" w:cs="Arial" w:eastAsia="Arial" w:hAnsi="Arial"/>
                <w:sz w:val="18"/>
                <w:szCs w:val="18"/>
                <w:color w:val="auto"/>
              </w:rPr>
              <w:t>Diluted weighted average Class A shares outstanding</w:t>
            </w:r>
          </w:p>
        </w:tc>
        <w:tc>
          <w:tcPr>
            <w:tcW w:w="7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100"/>
              <w:spacing w:after="0"/>
              <w:rPr>
                <w:sz w:val="20"/>
                <w:szCs w:val="20"/>
                <w:color w:val="auto"/>
              </w:rPr>
            </w:pPr>
            <w:r>
              <w:rPr>
                <w:rFonts w:ascii="Arial" w:cs="Arial" w:eastAsia="Arial" w:hAnsi="Arial"/>
                <w:sz w:val="18"/>
                <w:szCs w:val="18"/>
                <w:color w:val="auto"/>
              </w:rPr>
              <w:t xml:space="preserve">Diluted net income/(loss) per Class A share </w:t>
            </w:r>
            <w:r>
              <w:rPr>
                <w:rFonts w:ascii="Arial" w:cs="Arial" w:eastAsia="Arial" w:hAnsi="Arial"/>
                <w:sz w:val="23"/>
                <w:szCs w:val="23"/>
                <w:color w:val="auto"/>
                <w:vertAlign w:val="superscript"/>
              </w:rPr>
              <w:t>(1)</w:t>
            </w:r>
          </w:p>
        </w:tc>
        <w:tc>
          <w:tcPr>
            <w:tcW w:w="780" w:type="dxa"/>
            <w:vAlign w:val="bottom"/>
            <w:tcBorders>
              <w:bottom w:val="single" w:sz="8" w:color="auto"/>
            </w:tcBorders>
          </w:tcPr>
          <w:p>
            <w:pPr>
              <w:jc w:val="right"/>
              <w:ind w:right="595"/>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1"/>
              </w:rPr>
              <w:t>0.09</w:t>
            </w:r>
          </w:p>
        </w:tc>
        <w:tc>
          <w:tcPr>
            <w:tcW w:w="120" w:type="dxa"/>
            <w:vAlign w:val="bottom"/>
          </w:tcPr>
          <w:p>
            <w:pPr>
              <w:spacing w:after="0"/>
              <w:rPr>
                <w:sz w:val="23"/>
                <w:szCs w:val="23"/>
                <w:color w:val="auto"/>
              </w:rPr>
            </w:pPr>
          </w:p>
        </w:tc>
        <w:tc>
          <w:tcPr>
            <w:tcW w:w="780" w:type="dxa"/>
            <w:vAlign w:val="bottom"/>
            <w:tcBorders>
              <w:bottom w:val="single" w:sz="8" w:color="auto"/>
            </w:tcBorders>
          </w:tcPr>
          <w:p>
            <w:pPr>
              <w:jc w:val="right"/>
              <w:ind w:right="59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1"/>
              </w:rPr>
              <w:t>0.40</w:t>
            </w:r>
          </w:p>
        </w:tc>
        <w:tc>
          <w:tcPr>
            <w:tcW w:w="120" w:type="dxa"/>
            <w:vAlign w:val="bottom"/>
          </w:tcPr>
          <w:p>
            <w:pPr>
              <w:spacing w:after="0"/>
              <w:rPr>
                <w:sz w:val="23"/>
                <w:szCs w:val="23"/>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3"/>
                <w:szCs w:val="23"/>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340" w:right="180" w:hanging="332"/>
        <w:spacing w:after="0" w:line="231" w:lineRule="auto"/>
        <w:tabs>
          <w:tab w:leader="none" w:pos="334" w:val="left"/>
        </w:tabs>
        <w:numPr>
          <w:ilvl w:val="0"/>
          <w:numId w:val="29"/>
        </w:numPr>
        <w:rPr>
          <w:rFonts w:ascii="Arial" w:cs="Arial" w:eastAsia="Arial" w:hAnsi="Arial"/>
          <w:sz w:val="22"/>
          <w:szCs w:val="22"/>
          <w:color w:val="auto"/>
          <w:vertAlign w:val="superscript"/>
        </w:rPr>
      </w:pPr>
      <w:r>
        <w:rPr>
          <w:rFonts w:ascii="Arial" w:cs="Arial" w:eastAsia="Arial" w:hAnsi="Arial"/>
          <w:sz w:val="17"/>
          <w:szCs w:val="17"/>
          <w:color w:val="auto"/>
        </w:rPr>
        <w:t>For the three and six months ended June 30, 2020 and 2019, the possible exchange of any AAP units would not have had a dilutive effect on basic net income/(loss) per Class A share. For the three months ended June 30, 2020 and the six months ended June 30, 2020 and 2019, the possible exchange of AAP Management units would not have had a dilutive effect on basic net income/(loss) per Class A share.</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Contacts</w:t>
      </w:r>
      <w:r>
        <w:rPr>
          <w:rFonts w:ascii="Arial" w:cs="Arial" w:eastAsia="Arial" w:hAnsi="Arial"/>
          <w:sz w:val="18"/>
          <w:szCs w:val="18"/>
          <w:color w:val="auto"/>
        </w:rPr>
        <w:t>:</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Roy Lamoreaux</w:t>
      </w:r>
    </w:p>
    <w:p>
      <w:pPr>
        <w:spacing w:after="0" w:line="63" w:lineRule="exact"/>
        <w:rPr>
          <w:sz w:val="20"/>
          <w:szCs w:val="20"/>
          <w:color w:val="auto"/>
        </w:rPr>
      </w:pPr>
    </w:p>
    <w:p>
      <w:pPr>
        <w:ind w:left="20" w:right="5480"/>
        <w:spacing w:after="0" w:line="340" w:lineRule="auto"/>
        <w:rPr>
          <w:sz w:val="20"/>
          <w:szCs w:val="20"/>
          <w:color w:val="auto"/>
        </w:rPr>
      </w:pPr>
      <w:r>
        <w:rPr>
          <w:rFonts w:ascii="Arial" w:cs="Arial" w:eastAsia="Arial" w:hAnsi="Arial"/>
          <w:sz w:val="18"/>
          <w:szCs w:val="18"/>
          <w:color w:val="auto"/>
        </w:rPr>
        <w:t>Vice President, Investor Relations, Communications and Government Relations (866) 809-1291</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Brett Magill</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 Investor Relations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(866) 809-1291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sectPr>
      <w:pgSz w:w="11900" w:h="16838" w:orient="portrait"/>
      <w:cols w:equalWidth="0" w:num="1">
        <w:col w:w="11240"/>
      </w:cols>
      <w:pgMar w:left="320" w:top="3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decimal"/>
      <w:start w:val="104"/>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lvl w:ilvl="1">
      <w:lvlJc w:val="left"/>
      <w:lvlText w:val="-"/>
      <w:numFmt w:val="bullet"/>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
      <w:numFmt w:val="bullet"/>
      <w:start w:val="1"/>
    </w:lvl>
    <w:lvl w:ilvl="1">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lvl w:ilvl="1">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
    </w:lvl>
    <w:lvl w:ilvl="1">
      <w:lvlJc w:val="left"/>
      <w:lvlText w:val="-"/>
      <w:numFmt w:val="bullet"/>
      <w:start w:val="1"/>
    </w:lvl>
  </w:abstractNum>
  <w:abstractNum w:abstractNumId="14">
    <w:nsid w:val="721DA317"/>
    <w:multiLevelType w:val="hybridMultilevel"/>
    <w:lvl w:ilvl="0">
      <w:lvlJc w:val="left"/>
      <w:lvlText w:val="(%1)"/>
      <w:numFmt w:val="decimal"/>
      <w:start w:val="1"/>
    </w:lvl>
    <w:lvl w:ilvl="1">
      <w:lvlJc w:val="left"/>
      <w:lvlText w:val="-"/>
      <w:numFmt w:val="bullet"/>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
    </w:lvl>
    <w:lvl w:ilvl="1">
      <w:lvlJc w:val="left"/>
      <w:lvlText w:val="-"/>
      <w:numFmt w:val="bullet"/>
      <w:start w:val="1"/>
    </w:lvl>
  </w:abstractNum>
  <w:abstractNum w:abstractNumId="17">
    <w:nsid w:val="6763845E"/>
    <w:multiLevelType w:val="hybridMultilevel"/>
    <w:lvl w:ilvl="0">
      <w:lvlJc w:val="left"/>
      <w:lvlText w:val="(%1)"/>
      <w:numFmt w:val="decimal"/>
      <w:start w:val="1"/>
    </w:lvl>
    <w:lvl w:ilvl="1">
      <w:lvlJc w:val="left"/>
      <w:lvlText w:val="-"/>
      <w:numFmt w:val="bullet"/>
      <w:start w:val="1"/>
    </w:lvl>
  </w:abstractNum>
  <w:abstractNum w:abstractNumId="18">
    <w:nsid w:val="75A2A8D4"/>
    <w:multiLevelType w:val="hybridMultilevel"/>
    <w:lvl w:ilvl="0">
      <w:lvlJc w:val="left"/>
      <w:lvlText w:val="(%1)"/>
      <w:numFmt w:val="decimal"/>
      <w:start w:val="1"/>
    </w:lvl>
    <w:lvl w:ilvl="1">
      <w:lvlJc w:val="left"/>
      <w:lvlText w:val="-"/>
      <w:numFmt w:val="bullet"/>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lvl w:ilvl="1">
      <w:lvlJc w:val="left"/>
      <w:lvlText w:val="-"/>
      <w:numFmt w:val="bullet"/>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1"/>
    </w:lvl>
    <w:lvl w:ilvl="1">
      <w:lvlJc w:val="left"/>
      <w:lvlText w:val="-"/>
      <w:numFmt w:val="bullet"/>
      <w:start w:val="1"/>
    </w:lvl>
  </w:abstractNum>
  <w:abstractNum w:abstractNumId="26">
    <w:nsid w:val="2CA88611"/>
    <w:multiLevelType w:val="hybridMultilevel"/>
    <w:lvl w:ilvl="0">
      <w:lvlJc w:val="left"/>
      <w:lvlText w:val="(%1)"/>
      <w:numFmt w:val="decimal"/>
      <w:start w:val="1"/>
    </w:lvl>
    <w:lvl w:ilvl="1">
      <w:lvlJc w:val="left"/>
      <w:lvlText w:val="-"/>
      <w:numFmt w:val="bullet"/>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2020-08-04T15:28:57Z</dcterms:created>
  <dcterms:modified xsi:type="dcterms:W3CDTF">2020-08-04T15:28:57Z</dcterms:modified>
</cp:coreProperties>
</file>