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10,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November 14, 2025, the registrant’s consolidated subsidiaries, Plains All American Pipeline, L.P. (“PAA”) and PAA Finance Corp. (together with PAA, the “Issuers”) completed the public offering (the “Offering”) of $750 million aggregate principal amount of the Issuers’ debt securities, consisting of $300 million aggregate principal amount of 4.700% Senior Notes due 2031 (the “2031 Notes”) and $450 million aggregate principal amount of 5.600% Senior Notes due 2036 (the “2036 Notes,” and, together with the 2031 Notes, the “Notes”). The 2031 Notes and the 2036 Notes were offered as additional issuances of the Issuers’ 4.700% Senior Notes due 2031 and 5.600% Senior Notes due 2036, of which $700 million and $550 million aggregate principal amount, respectively, were issued on September 8, 2025. The 2031 Notes and 2036 Notes form a single series with the initial notes of their respective series, have identical terms as the initial notes of their respective series, and have the same CUSIP number as and trade interchangeably with the initial notes of their respective series. Immediately following the issuance of the 2031 Notes issued in the Offering, there are $1 billion aggregate principal amount of the 2031 Notes outstanding. Immediately following the issuance of the 2036 Notes issued in the Offering, there are $1 billion aggregate principal amount of the 2036 Notes outstanding.</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terms of the Notes are governed by the indenture (the “Base Indenture,” </w:t>
      </w:r>
      <w:r>
        <w:rPr>
          <w:rFonts w:ascii="Times New Roman" w:cs="Times New Roman" w:eastAsia="Times New Roman" w:hAnsi="Times New Roman"/>
          <w:sz w:val="18"/>
          <w:szCs w:val="18"/>
          <w:color w:val="212529"/>
        </w:rPr>
        <w:t>and as amended and supplemented by the Supplemental Indentures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(defined below), the “Indenture”) dated as of September 25, 2002 by and among the Issuers and U.S. Bank Trust Company, National Association (as successor trustee), as trustee (the “Trustee”), as supplemented by the Thirty-Fifth Supplemental Indenture dated as of September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12529"/>
        </w:rPr>
        <w:t xml:space="preserve">, 2025 by and among the Issuers and the Trustee (the “35th Supplemental Indenture”) relating to the issuance of the 2031 Notes and the Thirty-Sixth Supplemental Indenture dated as of September </w:t>
      </w:r>
      <w:r>
        <w:rPr>
          <w:rFonts w:ascii="Times New Roman" w:cs="Times New Roman" w:eastAsia="Times New Roman" w:hAnsi="Times New Roman"/>
          <w:sz w:val="18"/>
          <w:szCs w:val="18"/>
          <w:color w:val="000000"/>
        </w:rPr>
        <w:t>8, 2025 by and among the Issuers and the Trustee (the “36th Supplemental Indenture,” and, together with the 35th Supplemental Indenture,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“Supplemental Indentures”) relating to the issuance of the 2036 Notes.</w:t>
      </w:r>
    </w:p>
    <w:p>
      <w:pPr>
        <w:spacing w:after="0" w:line="18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The 2031 Notes will mature on January 15, 2031, and the 2036 Notes will mature on </w:t>
      </w:r>
      <w:r>
        <w:rPr>
          <w:rFonts w:ascii="Times New Roman" w:cs="Times New Roman" w:eastAsia="Times New Roman" w:hAnsi="Times New Roman"/>
          <w:sz w:val="18"/>
          <w:szCs w:val="18"/>
          <w:color w:val="000000"/>
        </w:rPr>
        <w:t>January 15, 2036</w:t>
      </w:r>
      <w:r>
        <w:rPr>
          <w:rFonts w:ascii="Times New Roman" w:cs="Times New Roman" w:eastAsia="Times New Roman" w:hAnsi="Times New Roman"/>
          <w:sz w:val="18"/>
          <w:szCs w:val="18"/>
          <w:color w:val="212529"/>
        </w:rPr>
        <w:t>. Interest is payable on the Notes on each January 15 and July 15, commencing on January 15, 2026. The Issuers may redeem some or all of the Notes at any time and from time to time prior to maturity at the redemption prices specified in the Indenture.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12529"/>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12529"/>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of either series,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212529"/>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Other material terms of the Notes, the Base Indenture and the Supplemental Indentures are described in the prospectus supplement,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November 10, 2025 (the “prospectus supplement”), to the prospectus, dated September 6, 2024, which is included in the Registration Statement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below). The foregoing descriptions of the Indenture and the Notes are qualified in their entirety by reference to such Indenture (including the forms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Notes attached thereto). Copies of the 35th Supplemental Indenture and the 36th Supplemental Indenture are filed as Exhibit 4.1 and Exhibit 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respectively, to PAA’s Current Report on Form 8-K and are incorporated herein by reference.</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1.01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November 10, 2025, the Issuers entered into an underwriting agreement (the “Underwriting Agreement”) with Citigroup Global Markets Inc., CIBC World Markets Corp., RBC Capital Markets, LLC, and SMBC Nikko Securities America, Inc., as representatives of the several underwriters named therein (collectively, the “Underwriters”), relating to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were offered and sold under the Issuers’ shelf registration statement on Form S-3 (Registration No. 333-281967)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September 6, 2024 (the “Registration Statement”), and are described in the prospectus supplement.</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to PAA’s Current Report on Form 8-K, filed as of the date hereof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8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11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16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gridSpan w:val="2"/>
          </w:tcPr>
          <w:p>
            <w:pPr>
              <w:jc w:val="center"/>
              <w:ind w:left="490"/>
              <w:spacing w:after="0" w:line="169"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EE"/>
              </w:rPr>
              <w:t>Underwriting Agreement dated November 10, 2025 by and among Plains All American Pipeline, L.P., PAA Finance Corp. and</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Citigroup Global Markets Inc., CIBC World Markets Corp., RBC Capital Markets, LLC and SMBC Nikko Securities America, Inc., as</w:t>
            </w: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representatives of the several underwriters named therein (incorporated by reference to Exhibit 1.1 of PAA's Current Report on Form</w:t>
            </w:r>
          </w:p>
        </w:tc>
        <w:tc>
          <w:tcPr>
            <w:tcW w:w="6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8-K filed on November 14, 2025).</w:t>
            </w:r>
          </w:p>
        </w:tc>
      </w:tr>
      <w:tr>
        <w:trPr>
          <w:trHeight w:val="20"/>
        </w:trPr>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00" w:type="dxa"/>
            <w:vAlign w:val="bottom"/>
            <w:gridSpan w:val="2"/>
          </w:tcPr>
          <w:p>
            <w:pPr>
              <w:jc w:val="center"/>
              <w:ind w:left="490"/>
              <w:spacing w:after="0" w:line="196" w:lineRule="exact"/>
              <w:rPr>
                <w:rFonts w:ascii="Times New Roman" w:cs="Times New Roman" w:eastAsia="Times New Roman" w:hAnsi="Times New Roman"/>
                <w:sz w:val="18"/>
                <w:szCs w:val="18"/>
                <w:color w:val="0000EE"/>
                <w:w w:val="97"/>
              </w:rPr>
            </w:pPr>
            <w:hyperlink r:id="rId1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Thirty-Fifth Supplemental Indenture, dated September 8, 2025, by and among Plains All American Pipeline, L.P., PAA Finance Corp.</w:t>
              </w:r>
            </w:hyperlink>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and U.S. Bank Trust Company, National Association, as trustee (incorporated by reference to Exhibit 4.1 of PAA’s Current Report on</w:t>
              </w:r>
            </w:hyperlink>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Form 8-K filed on September 8, 2025).</w:t>
              </w:r>
            </w:hyperlink>
          </w:p>
        </w:tc>
        <w:tc>
          <w:tcPr>
            <w:tcW w:w="682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800" w:type="dxa"/>
            <w:vAlign w:val="bottom"/>
            <w:gridSpan w:val="2"/>
          </w:tcPr>
          <w:p>
            <w:pPr>
              <w:jc w:val="center"/>
              <w:ind w:left="490"/>
              <w:spacing w:after="0" w:line="196" w:lineRule="exact"/>
              <w:rPr>
                <w:rFonts w:ascii="Times New Roman" w:cs="Times New Roman" w:eastAsia="Times New Roman" w:hAnsi="Times New Roman"/>
                <w:sz w:val="18"/>
                <w:szCs w:val="18"/>
                <w:color w:val="0000EE"/>
                <w:w w:val="97"/>
              </w:rPr>
            </w:pPr>
            <w:hyperlink r:id="rId1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Form of 4.700% Senior Notes due 2031 (included as Exhibit A in Exhibit 4.1) (incorporated by reference to Exhibit 4.2 of PAA’s</w:t>
              </w:r>
            </w:hyperlink>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Current Report on Form 8-K filed on September 8, 2025).</w:t>
              </w:r>
            </w:hyperlink>
          </w:p>
        </w:tc>
        <w:tc>
          <w:tcPr>
            <w:tcW w:w="5580" w:type="dxa"/>
            <w:vAlign w:val="bottom"/>
            <w:gridSpan w:val="6"/>
          </w:tcPr>
          <w:p>
            <w:pPr>
              <w:spacing w:after="0"/>
              <w:rPr>
                <w:sz w:val="17"/>
                <w:szCs w:val="17"/>
                <w:color w:val="auto"/>
              </w:rPr>
            </w:pPr>
          </w:p>
        </w:tc>
      </w:tr>
      <w:tr>
        <w:trPr>
          <w:trHeight w:val="196"/>
        </w:trPr>
        <w:tc>
          <w:tcPr>
            <w:tcW w:w="800" w:type="dxa"/>
            <w:vAlign w:val="bottom"/>
            <w:gridSpan w:val="2"/>
          </w:tcPr>
          <w:p>
            <w:pPr>
              <w:jc w:val="center"/>
              <w:ind w:left="490"/>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Thirty-Sixth Supplemental Indenture, dated September 8, 2025, by and among Plains All American Pipeline, L.P., PAA Finance Corp.</w:t>
              </w:r>
            </w:hyperlink>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54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and U.S. Bank Trust Company, National Association, as trustee (incorporated by reference to Exhibit 4.3 of PAA’s Current Report on</w:t>
              </w:r>
            </w:hyperlink>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Form 8-K filed on September 8, 2025).</w:t>
              </w:r>
            </w:hyperlink>
          </w:p>
        </w:tc>
        <w:tc>
          <w:tcPr>
            <w:tcW w:w="682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800" w:type="dxa"/>
            <w:vAlign w:val="bottom"/>
            <w:gridSpan w:val="2"/>
          </w:tcPr>
          <w:p>
            <w:pPr>
              <w:jc w:val="center"/>
              <w:ind w:left="490"/>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of 5.600% Senior Notes due 2036 (included as Exhibit A in Exhibit 4.3) (incorporated by reference to Exhibit 4.4 of PAA’s</w:t>
              </w:r>
            </w:hyperlink>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Current Report on Form 8-K filed on September 8, 2025).</w:t>
              </w:r>
            </w:hyperlink>
          </w:p>
        </w:tc>
        <w:tc>
          <w:tcPr>
            <w:tcW w:w="5580" w:type="dxa"/>
            <w:vAlign w:val="bottom"/>
            <w:gridSpan w:val="6"/>
          </w:tcPr>
          <w:p>
            <w:pPr>
              <w:spacing w:after="0"/>
              <w:rPr>
                <w:sz w:val="17"/>
                <w:szCs w:val="17"/>
                <w:color w:val="auto"/>
              </w:rPr>
            </w:pPr>
          </w:p>
        </w:tc>
      </w:tr>
    </w:tbl>
    <w:p>
      <w:pPr>
        <w:spacing w:after="0" w:line="9" w:lineRule="exact"/>
        <w:rPr>
          <w:sz w:val="20"/>
          <w:szCs w:val="20"/>
          <w:color w:val="auto"/>
        </w:rPr>
      </w:pPr>
    </w:p>
    <w:p>
      <w:pPr>
        <w:ind w:left="5580" w:right="3940" w:hanging="5032"/>
        <w:spacing w:after="0" w:line="783" w:lineRule="auto"/>
        <w:tabs>
          <w:tab w:leader="none" w:pos="1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PLAINS GP HOLDINGS, L.P.</w:t>
            </w:r>
          </w:p>
        </w:tc>
      </w:tr>
      <w:tr>
        <w:trPr>
          <w:trHeight w:val="432"/>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432"/>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 4.700%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$450,000,000 5.600% Senior Notes due 2036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u w:val="single" w:color="auto"/>
          <w:color w:val="auto"/>
        </w:rPr>
        <w:t>PAA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for whom Citigroup Global Markets Inc., CIBC World Markets Corp., RBC Capital Markets, LLC and SMBC Nikko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Inc. are acting as the representatives (the “</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$300,000,000 aggregate principal amount of 4.700% Senior Notes due 2031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2031 Notes</w:t>
      </w:r>
      <w:r>
        <w:rPr>
          <w:rFonts w:ascii="Times New Roman" w:cs="Times New Roman" w:eastAsia="Times New Roman" w:hAnsi="Times New Roman"/>
          <w:sz w:val="18"/>
          <w:szCs w:val="18"/>
          <w:color w:val="auto"/>
        </w:rPr>
        <w:t>”) and $450,000,000 aggregate principal amount of 5.600% Senior Notes due 2036 (the “</w:t>
      </w:r>
      <w:r>
        <w:rPr>
          <w:rFonts w:ascii="Times New Roman" w:cs="Times New Roman" w:eastAsia="Times New Roman" w:hAnsi="Times New Roman"/>
          <w:sz w:val="18"/>
          <w:szCs w:val="18"/>
          <w:b w:val="1"/>
          <w:bCs w:val="1"/>
          <w:u w:val="single" w:color="auto"/>
          <w:color w:val="auto"/>
        </w:rPr>
        <w:t>2036 Notes</w:t>
      </w:r>
      <w:r>
        <w:rPr>
          <w:rFonts w:ascii="Times New Roman" w:cs="Times New Roman" w:eastAsia="Times New Roman" w:hAnsi="Times New Roman"/>
          <w:sz w:val="18"/>
          <w:szCs w:val="18"/>
          <w:color w:val="auto"/>
        </w:rPr>
        <w:t>,” and together with the 2031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The 2031 Notes constitute an additional issuance of the Issuers’ existing series of notes designated as 4.700% Senior Notes due 2031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part of the same series as the $700,000,000 aggregate principal amount of the 4.700% Senior Notes due 2031 issued on September 8,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constitute an additional issuance of the Issuers’ existing series of notes designated as 5.600% Senior Notes due 2036 and will constitute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series as the $550,000,000 aggregate principal amount of the 5.600% Senior Notes due 2036 issued on September 8, 2025. The Notes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under an indenture dated as of September 25, 2002 (the “</w:t>
      </w:r>
      <w:r>
        <w:rPr>
          <w:rFonts w:ascii="Times New Roman" w:cs="Times New Roman" w:eastAsia="Times New Roman" w:hAnsi="Times New Roman"/>
          <w:sz w:val="18"/>
          <w:szCs w:val="18"/>
          <w:b w:val="1"/>
          <w:bCs w:val="1"/>
          <w:u w:val="single" w:color="auto"/>
          <w:color w:val="auto"/>
        </w:rPr>
        <w:t>Base Indenture</w:t>
      </w:r>
      <w:r>
        <w:rPr>
          <w:rFonts w:ascii="Times New Roman" w:cs="Times New Roman" w:eastAsia="Times New Roman" w:hAnsi="Times New Roman"/>
          <w:sz w:val="18"/>
          <w:szCs w:val="18"/>
          <w:color w:val="auto"/>
        </w:rPr>
        <w:t>”), among the Issuers and U.S. Bank Trust Company,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as supplemented by the Thirty-Fifth Supplemental Indenture and the Thirty-Sixth Supplemental Indenture, each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8, 2025, among the Issuers and the Trustee (together, the “</w:t>
      </w:r>
      <w:r>
        <w:rPr>
          <w:rFonts w:ascii="Times New Roman" w:cs="Times New Roman" w:eastAsia="Times New Roman" w:hAnsi="Times New Roman"/>
          <w:sz w:val="18"/>
          <w:szCs w:val="18"/>
          <w:b w:val="1"/>
          <w:bCs w:val="1"/>
          <w:u w:val="single" w:color="auto"/>
          <w:color w:val="auto"/>
        </w:rPr>
        <w:t>Supplemental Indentures</w:t>
      </w:r>
      <w:r>
        <w:rPr>
          <w:rFonts w:ascii="Times New Roman" w:cs="Times New Roman" w:eastAsia="Times New Roman" w:hAnsi="Times New Roman"/>
          <w:sz w:val="18"/>
          <w:szCs w:val="18"/>
          <w:color w:val="auto"/>
        </w:rPr>
        <w:t>” and, together with the Base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is the general partner of the Partnership.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owns a 100% membership interest in the General Partner.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is the general partner of Plains AAP. Plains GP Holdings, L.P., a Delaware limited partnership (“</w:t>
      </w:r>
      <w:r>
        <w:rPr>
          <w:rFonts w:ascii="Times New Roman" w:cs="Times New Roman" w:eastAsia="Times New Roman" w:hAnsi="Times New Roman"/>
          <w:sz w:val="18"/>
          <w:szCs w:val="18"/>
          <w:b w:val="1"/>
          <w:bCs w:val="1"/>
          <w:u w:val="single" w:color="auto"/>
          <w:color w:val="auto"/>
        </w:rPr>
        <w:t>PAGP</w:t>
      </w:r>
      <w:r>
        <w:rPr>
          <w:rFonts w:ascii="Times New Roman" w:cs="Times New Roman" w:eastAsia="Times New Roman" w:hAnsi="Times New Roman"/>
          <w:sz w:val="18"/>
          <w:szCs w:val="18"/>
          <w:color w:val="auto"/>
        </w:rPr>
        <w:t>”), owns a 100% membership interest in GP LLC. PAA GP Holdings LLC, a Delaware limited liability company (“</w:t>
      </w:r>
      <w:r>
        <w:rPr>
          <w:rFonts w:ascii="Times New Roman" w:cs="Times New Roman" w:eastAsia="Times New Roman" w:hAnsi="Times New Roman"/>
          <w:sz w:val="18"/>
          <w:szCs w:val="18"/>
          <w:b w:val="1"/>
          <w:bCs w:val="1"/>
          <w:u w:val="single" w:color="auto"/>
          <w:color w:val="auto"/>
        </w:rPr>
        <w:t>PAGP GP</w:t>
      </w:r>
      <w:r>
        <w:rPr>
          <w:rFonts w:ascii="Times New Roman" w:cs="Times New Roman" w:eastAsia="Times New Roman" w:hAnsi="Times New Roman"/>
          <w:sz w:val="18"/>
          <w:szCs w:val="18"/>
          <w:color w:val="auto"/>
        </w:rPr>
        <w:t>” and, collectively with the General Partner, Plains AAP, GP LLC and PAGP, the “</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is the general partner of PAGP.  </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and the Material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A registration statement on Form S-3 relating to the Notes (File No. 333-281967) (i) has been prepared by the Issuers in conformity with the requirements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2:45 p.m., New York City time, on November 10, 2025, which the Underwriters have informed the Issuers and their counsel is a time prior to the first 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u w:val="single" w:color="auto"/>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 filed or used by the Issuers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the registration statement on Form S-3 (File No. 333-281967), as amended as of the Effective Date, including any Preliminary Prospectus or the Prospectus and all exhibits to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u w:val="single" w:color="auto"/>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 of Documents</w:t>
      </w:r>
      <w:r>
        <w:rPr>
          <w:rFonts w:ascii="Times New Roman" w:cs="Times New Roman" w:eastAsia="Times New Roman" w:hAnsi="Times New Roman"/>
          <w:sz w:val="18"/>
          <w:szCs w:val="18"/>
          <w:color w:val="auto"/>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Registration Statement</w:t>
      </w:r>
      <w:r>
        <w:rPr>
          <w:rFonts w:ascii="Times New Roman" w:cs="Times New Roman" w:eastAsia="Times New Roman" w:hAnsi="Times New Roman"/>
          <w:sz w:val="18"/>
          <w:szCs w:val="18"/>
          <w:color w:val="auto"/>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Prospectus</w:t>
      </w:r>
      <w:r>
        <w:rPr>
          <w:rFonts w:ascii="Times New Roman" w:cs="Times New Roman" w:eastAsia="Times New Roman" w:hAnsi="Times New Roman"/>
          <w:sz w:val="18"/>
          <w:szCs w:val="18"/>
          <w:color w:val="auto"/>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Material Misstatements or Omissions in Pricing Disclosure Package</w:t>
      </w:r>
      <w:r>
        <w:rPr>
          <w:rFonts w:ascii="Times New Roman" w:cs="Times New Roman" w:eastAsia="Times New Roman" w:hAnsi="Times New Roman"/>
          <w:sz w:val="17"/>
          <w:szCs w:val="17"/>
          <w:color w:val="auto"/>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Formation and Qualification of Certain Entities</w:t>
      </w:r>
      <w:r>
        <w:rPr>
          <w:rFonts w:ascii="Times New Roman" w:cs="Times New Roman" w:eastAsia="Times New Roman" w:hAnsi="Times New Roman"/>
          <w:sz w:val="18"/>
          <w:szCs w:val="18"/>
          <w:color w:val="auto"/>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Interests in the Partnership, the General Partner, Plains AAP, GP LLC and PAGP</w:t>
      </w:r>
      <w:r>
        <w:rPr>
          <w:rFonts w:ascii="Times New Roman" w:cs="Times New Roman" w:eastAsia="Times New Roman" w:hAnsi="Times New Roman"/>
          <w:sz w:val="18"/>
          <w:szCs w:val="18"/>
          <w:color w:val="auto"/>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 w:cs="Times New Roman" w:eastAsia="Times New Roman" w:hAnsi="Times New Roman"/>
          <w:sz w:val="18"/>
          <w:szCs w:val="18"/>
          <w:b w:val="1"/>
          <w:bCs w:val="1"/>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w:t>
      </w:r>
      <w:r>
        <w:rPr>
          <w:rFonts w:ascii="Times New Roman" w:cs="Times New Roman" w:eastAsia="Times New Roman" w:hAnsi="Times New Roman"/>
          <w:sz w:val="18"/>
          <w:szCs w:val="18"/>
          <w:color w:val="auto"/>
        </w:rPr>
        <w:t>”) of the Partnership and the GP Entities, and such membership interests and limited partner interests are fully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or Sections 18-607 and 18-804 of the Delaware Limited Liability Company Act (the “</w:t>
      </w:r>
      <w:r>
        <w:rPr>
          <w:rFonts w:ascii="Times New Roman" w:cs="Times New Roman" w:eastAsia="Times New Roman" w:hAnsi="Times New Roman"/>
          <w:sz w:val="18"/>
          <w:szCs w:val="18"/>
          <w:b w:val="1"/>
          <w:bCs w:val="1"/>
          <w:u w:val="single" w:color="auto"/>
          <w:color w:val="auto"/>
        </w:rPr>
        <w:t>Delaware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as applicable, or (B) with respect to the general partner interest of any such entity); and such general partner, limited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interests held by the GP Entities are owned by the applicable GP Entity free and clear of all liens, encumbrances, security interests, equities, charges or claims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 the registration of any other securities of the Issuers,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 on behalf of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Enforceability of the Indenture</w:t>
      </w:r>
      <w:r>
        <w:rPr>
          <w:rFonts w:ascii="Times New Roman" w:cs="Times New Roman" w:eastAsia="Times New Roman" w:hAnsi="Times New Roman"/>
          <w:sz w:val="18"/>
          <w:szCs w:val="18"/>
          <w:color w:val="auto"/>
        </w:rPr>
        <w:t xml:space="preserve">. The execution and delivery of the Supplemental Indentures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Indenture by the Trustee, the Indenture constitutes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Valid Issuance of the Notes</w:t>
      </w:r>
      <w:r>
        <w:rPr>
          <w:rFonts w:ascii="Times New Roman" w:cs="Times New Roman" w:eastAsia="Times New Roman" w:hAnsi="Times New Roman"/>
          <w:sz w:val="18"/>
          <w:szCs w:val="18"/>
          <w:color w:val="auto"/>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Enforceability of the Organizational Documents</w:t>
      </w:r>
      <w:r>
        <w:rPr>
          <w:rFonts w:ascii="Times New Roman" w:cs="Times New Roman" w:eastAsia="Times New Roman" w:hAnsi="Times New Roman"/>
          <w:sz w:val="18"/>
          <w:szCs w:val="18"/>
          <w:color w:val="auto"/>
        </w:rPr>
        <w:t xml:space="preserve">. The Organizational Documents of each 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Conflicts or Violations</w:t>
      </w:r>
      <w:r>
        <w:rPr>
          <w:rFonts w:ascii="Times New Roman" w:cs="Times New Roman" w:eastAsia="Times New Roman" w:hAnsi="Times New Roman"/>
          <w:sz w:val="18"/>
          <w:szCs w:val="18"/>
          <w:color w:val="auto"/>
        </w:rPr>
        <w:t xml:space="preserve">. None of (i) the offering, issuance and sale by the Issuers of the Notes, (ii) the execution, delivery and performance of this Agreement by each of the Issuers, (iii) the consummation of the transactions contemplated by this Agreement or (iv) the execution and delivery of the Supplemental Indentures,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or</w:t>
      </w:r>
    </w:p>
    <w:p>
      <w:pPr>
        <w:spacing w:after="0" w:line="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would reasonably be expected to have a Material Adverse Effect or materially impair the ability of the Issuers to consummate the transactions contemplated by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Indentures,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color w:val="auto"/>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(iii) </w:t>
      </w:r>
      <w:r>
        <w:rPr>
          <w:rFonts w:ascii="Times New Roman" w:cs="Times New Roman" w:eastAsia="Times New Roman" w:hAnsi="Times New Roman"/>
          <w:sz w:val="18"/>
          <w:szCs w:val="18"/>
          <w:color w:val="auto"/>
        </w:rPr>
        <w:t>would, if continued, reasonably be expected to have a Material Adverse Effect or materially impair the ability of either of the Issuers to perform its obligations under this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color w:val="auto"/>
        </w:rPr>
        <w:t>.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At September 30, 2025,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No other financial statements or schedules of the Issuers are required by the Securities Act or the Exchange Act to be included in the Registration Statement, the most recent Preliminary Prospectus or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(i) as provided in the (A) Fourth Amended and Restated Credit Agreement dated as of August 20, 2021, as amended (the “</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among Plains Marketing, L.P., a Texas limited partnership (“</w:t>
      </w:r>
      <w:r>
        <w:rPr>
          <w:rFonts w:ascii="Times New Roman" w:cs="Times New Roman" w:eastAsia="Times New Roman" w:hAnsi="Times New Roman"/>
          <w:sz w:val="18"/>
          <w:szCs w:val="18"/>
          <w:b w:val="1"/>
          <w:bCs w:val="1"/>
          <w:u w:val="single" w:color="auto"/>
          <w:color w:val="auto"/>
        </w:rPr>
        <w:t>Plains Marketing</w:t>
      </w:r>
      <w:r>
        <w:rPr>
          <w:rFonts w:ascii="Times New Roman" w:cs="Times New Roman" w:eastAsia="Times New Roman" w:hAnsi="Times New Roman"/>
          <w:sz w:val="18"/>
          <w:szCs w:val="18"/>
          <w:color w:val="auto"/>
        </w:rPr>
        <w:t>”), and Plains Midstream Canada ULC, a British Columbia unlimited liability company (“</w:t>
      </w:r>
      <w:r>
        <w:rPr>
          <w:rFonts w:ascii="Times New Roman" w:cs="Times New Roman" w:eastAsia="Times New Roman" w:hAnsi="Times New Roman"/>
          <w:sz w:val="18"/>
          <w:szCs w:val="18"/>
          <w:b w:val="1"/>
          <w:bCs w:val="1"/>
          <w:u w:val="single" w:color="auto"/>
          <w:color w:val="auto"/>
        </w:rPr>
        <w:t>Plains Midstream Canada</w:t>
      </w:r>
      <w:r>
        <w:rPr>
          <w:rFonts w:ascii="Times New Roman" w:cs="Times New Roman" w:eastAsia="Times New Roman" w:hAnsi="Times New Roman"/>
          <w:sz w:val="18"/>
          <w:szCs w:val="18"/>
          <w:color w:val="auto"/>
        </w:rPr>
        <w:t>”), as borrowers, the Partnership, as guarantor, Bank of America, N.A., as administrative agent and swing line lender thereunder, Bank of America, N.A., Citibank, N.A., JPMorgan Chase Bank, N.A. and Wells Fargo Bank, National Association, as letters of credit issuers, and the other lenders from time to time party thereto, and (B) Credit Agreement, dated as of October 15, 2024, by and among EPIC Crude Holdings, EPIC Crude Services, LP, as borrower, Goldman Sachs Bank USA, as administrative and collateral agent, and the lenders and letters of credit issuers party thereto from time to time (as amended, the “EPIC Credit Agreement”), in each case, as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 governmental or regulatory authorities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(A) To the knowledge of the Issuers,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 w:cs="Times New Roman" w:eastAsia="Times New Roman" w:hAnsi="Times New Roman"/>
          <w:sz w:val="18"/>
          <w:szCs w:val="18"/>
          <w:b w:val="1"/>
          <w:bCs w:val="1"/>
          <w:u w:val="single" w:color="auto"/>
          <w:color w:val="auto"/>
        </w:rPr>
        <w:t>IT Systems and Sensitive Data</w:t>
      </w:r>
      <w:r>
        <w:rPr>
          <w:rFonts w:ascii="Times New Roman" w:cs="Times New Roman" w:eastAsia="Times New Roman" w:hAnsi="Times New Roman"/>
          <w:sz w:val="18"/>
          <w:szCs w:val="18"/>
          <w:color w:val="auto"/>
        </w:rPr>
        <w:t>”) and (B) none of the Plains Entities nor any of the GP Entities, in the last two years, have been notified in writing of, and the Issuers have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Issuers,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 Issuers, is imminent, that would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Legal Actions</w:t>
      </w:r>
      <w:r>
        <w:rPr>
          <w:rFonts w:ascii="Times New Roman" w:cs="Times New Roman" w:eastAsia="Times New Roman" w:hAnsi="Times New Roman"/>
          <w:sz w:val="18"/>
          <w:szCs w:val="18"/>
          <w:color w:val="auto"/>
        </w:rPr>
        <w:t xml:space="preserve">. Except as described in the Registration Statement,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would reasonably be expected to have, individually or in the aggregate, a Material Adverse Effect or prevent or result in the suspension of the offering and issuance of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Distribution of Other Offering Materials</w:t>
      </w:r>
      <w:r>
        <w:rPr>
          <w:rFonts w:ascii="Times New Roman" w:cs="Times New Roman" w:eastAsia="Times New Roman" w:hAnsi="Times New Roman"/>
          <w:sz w:val="18"/>
          <w:szCs w:val="18"/>
          <w:color w:val="auto"/>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 w:cs="Times New Roman" w:eastAsia="Times New Roman" w:hAnsi="Times New Roman"/>
          <w:sz w:val="18"/>
          <w:szCs w:val="18"/>
          <w:u w:val="single" w:color="auto"/>
          <w:color w:val="auto"/>
        </w:rPr>
        <w:t>Section 1(h) </w:t>
      </w:r>
      <w:r>
        <w:rPr>
          <w:rFonts w:ascii="Times New Roman" w:cs="Times New Roman" w:eastAsia="Times New Roman" w:hAnsi="Times New Roman"/>
          <w:sz w:val="18"/>
          <w:szCs w:val="18"/>
          <w:color w:val="auto"/>
        </w:rPr>
        <w:t>of this Agreement, or other materials, if any, permitted by the Securities Act, including Rule 134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Books and Records; Accounting Controls</w:t>
      </w:r>
      <w:r>
        <w:rPr>
          <w:rFonts w:ascii="Times New Roman" w:cs="Times New Roman" w:eastAsia="Times New Roman" w:hAnsi="Times New Roman"/>
          <w:sz w:val="18"/>
          <w:szCs w:val="18"/>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The Partnership and, to the knowledge of the Issuers, the directors of PAGP GP and the officers of GP LLC, in their capacities as such, are in compliance in all material respects with all applicable and effective provisions of the Sarbanes-Oxley Act of 2002 and the rules and regulations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No Plains Entity or GP Entity, nor any of their respective subsidiaries, directors or officers, nor, to the knowledge of the Issuers, any agent, employee or affiliate of the Plains Entities, the GP Entities or any of their respective subsidiaries or other person acting on behalf of the Issuers, is aware of or has taken any action, directly or indirectly, that would result in a violation by such persons of the Foreign Corrupt Practices Act of 1977, as amended (together with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 w:cs="Times New Roman" w:eastAsia="Times New Roman" w:hAnsi="Times New Roman"/>
          <w:sz w:val="18"/>
          <w:szCs w:val="18"/>
          <w:b w:val="1"/>
          <w:bCs w:val="1"/>
          <w:u w:val="single" w:color="auto"/>
          <w:color w:val="auto"/>
        </w:rPr>
        <w:t>Applicable Anti-Corruption Laws</w:t>
      </w:r>
      <w:r>
        <w:rPr>
          <w:rFonts w:ascii="Times New Roman" w:cs="Times New Roman" w:eastAsia="Times New Roman" w:hAnsi="Times New Roman"/>
          <w:sz w:val="18"/>
          <w:szCs w:val="18"/>
          <w:color w:val="auto"/>
        </w:rPr>
        <w:t>”). Each of the Plains Entities, the GP Entities and their respective subsidiaries and, to the knowledge of any of the Issuers,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have conducted their businesses in material compliance, and have instituted, maintain and enforce policies and procedures designed to promote continued compliance, with all Applicable Anti-Corruption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(b)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Issuers, threatened.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Sanctions Laws</w:t>
      </w:r>
      <w:r>
        <w:rPr>
          <w:rFonts w:ascii="Times New Roman" w:cs="Times New Roman" w:eastAsia="Times New Roman" w:hAnsi="Times New Roman"/>
          <w:sz w:val="18"/>
          <w:szCs w:val="18"/>
          <w:color w:val="auto"/>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Issuers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Since April 24, 2019, each Plains Entity, GP Entity and each of their respective subsidiaries have not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applicable statements made in the certificates described in </w:t>
      </w:r>
      <w:r>
        <w:rPr>
          <w:rFonts w:ascii="Times New Roman" w:cs="Times New Roman" w:eastAsia="Times New Roman" w:hAnsi="Times New Roman"/>
          <w:sz w:val="18"/>
          <w:szCs w:val="18"/>
          <w:u w:val="single" w:color="auto"/>
          <w:color w:val="auto"/>
        </w:rPr>
        <w:t>Sections 7(i)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7(j) </w:t>
      </w:r>
      <w:r>
        <w:rPr>
          <w:rFonts w:ascii="Times New Roman" w:cs="Times New Roman" w:eastAsia="Times New Roman" w:hAnsi="Times New Roman"/>
          <w:sz w:val="18"/>
          <w:szCs w:val="18"/>
          <w:color w:val="auto"/>
        </w:rPr>
        <w:t>shall be deemed representations and warranties by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matters covered thereby, to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Purchase and Sale</w:t>
      </w:r>
      <w:r>
        <w:rPr>
          <w:rFonts w:ascii="Times New Roman" w:cs="Times New Roman" w:eastAsia="Times New Roman" w:hAnsi="Times New Roman"/>
          <w:sz w:val="18"/>
          <w:szCs w:val="18"/>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(i) the aggregate principal amount of 2031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99.272% of the principal amount of the 2031 Notes and (ii) the aggregate principal amount of 2036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99.868% of the principal amount of the 2036 Notes, in each case, plus accrued interest from September 8, 2025.  </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and Payment</w:t>
      </w:r>
      <w:r>
        <w:rPr>
          <w:rFonts w:ascii="Times New Roman" w:cs="Times New Roman" w:eastAsia="Times New Roman" w:hAnsi="Times New Roman"/>
          <w:sz w:val="18"/>
          <w:szCs w:val="18"/>
          <w:color w:val="auto"/>
        </w:rPr>
        <w:t xml:space="preserve">. Delivery of and payment for the Notes shall be made at the office of Vinson &amp; Elkins L.L.P., 845 Texas Avenue, Suite 4700, Houston, Texas 77002 at 9:00 a.m., Houston time, on November 14, 2025, or at such time on such later date not more than three business days after the foregoing date as the Representatives shall designate, which date and time may be postponed by agreement between the Representatives and the Issuers or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(such date and time of delivery and payment for the Notes being herein called the “</w:t>
      </w:r>
      <w:r>
        <w:rPr>
          <w:rFonts w:ascii="Times New Roman" w:cs="Times New Roman" w:eastAsia="Times New Roman" w:hAnsi="Times New Roman"/>
          <w:sz w:val="18"/>
          <w:szCs w:val="18"/>
          <w:b w:val="1"/>
          <w:bCs w:val="1"/>
          <w:u w:val="single" w:color="auto"/>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u w:val="single" w:color="auto"/>
          <w:color w:val="auto"/>
        </w:rPr>
        <w:t>Global Notes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Offering by the Underwriters</w:t>
      </w:r>
      <w:r>
        <w:rPr>
          <w:rFonts w:ascii="Times New Roman" w:cs="Times New Roman" w:eastAsia="Times New Roman" w:hAnsi="Times New Roman"/>
          <w:sz w:val="17"/>
          <w:szCs w:val="17"/>
          <w:color w:val="auto"/>
        </w:rPr>
        <w:t>. It is understood that the several Underwriters propose to offer the Notes for sale to the public as set forth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Preparation of Prospectus and Registration Statement</w:t>
      </w:r>
      <w:r>
        <w:rPr>
          <w:rFonts w:ascii="Times New Roman" w:cs="Times New Roman" w:eastAsia="Times New Roman" w:hAnsi="Times New Roman"/>
          <w:sz w:val="18"/>
          <w:szCs w:val="18"/>
          <w:color w:val="auto"/>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Final Term Sheet and Issuer Free Writing Prospectuses</w:t>
      </w:r>
      <w:r>
        <w:rPr>
          <w:rFonts w:ascii="Times New Roman" w:cs="Times New Roman" w:eastAsia="Times New Roman" w:hAnsi="Times New Roman"/>
          <w:sz w:val="18"/>
          <w:szCs w:val="18"/>
          <w:color w:val="auto"/>
        </w:rPr>
        <w:t xml:space="preserve">. The Issuers agree (i) to prepare a final term sheet, containing a description of the final 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Registration Statement</w:t>
      </w:r>
      <w:r>
        <w:rPr>
          <w:rFonts w:ascii="Times New Roman" w:cs="Times New Roman" w:eastAsia="Times New Roman" w:hAnsi="Times New Roman"/>
          <w:sz w:val="18"/>
          <w:szCs w:val="18"/>
          <w:color w:val="auto"/>
        </w:rPr>
        <w:t>. The Issuers will furnish to the Underwriters, without charge, such number of copies of (i) the manually signed copy of the registration statement corresponding to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Documents to the Underwriters</w:t>
      </w:r>
      <w:r>
        <w:rPr>
          <w:rFonts w:ascii="Times New Roman" w:cs="Times New Roman" w:eastAsia="Times New Roman" w:hAnsi="Times New Roman"/>
          <w:sz w:val="18"/>
          <w:szCs w:val="18"/>
          <w:color w:val="auto"/>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 xml:space="preserve">above, file with the Commission an appropriate supplement or amendment thereto (or to such document), and will expeditiously furnish to the Underwriters and dealers a reasonable number of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Blue Sky Laws</w:t>
      </w:r>
      <w:r>
        <w:rPr>
          <w:rFonts w:ascii="Times New Roman" w:cs="Times New Roman" w:eastAsia="Times New Roman" w:hAnsi="Times New Roman"/>
          <w:sz w:val="18"/>
          <w:szCs w:val="18"/>
          <w:color w:val="auto"/>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Expenses</w:t>
      </w:r>
      <w:r>
        <w:rPr>
          <w:rFonts w:ascii="Times New Roman" w:cs="Times New Roman" w:eastAsia="Times New Roman" w:hAnsi="Times New Roman"/>
          <w:sz w:val="18"/>
          <w:szCs w:val="18"/>
          <w:color w:val="auto"/>
        </w:rPr>
        <w:t xml:space="preserve">. If this Agreement shall terminate or shall be terminated after execution pursuant to any provisions hereof (other than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pursuant to the first clause of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and documented out-of-pocket expenses (including reasonable and documented fees and expenses of counsel for the Underwriters) incurred by the Underwriters in connection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 the caption “Use of Proceeds” in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 Rules and Regulations and will advise the Underwriters of the time and manner of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 documents required to be filed with the Commission pursuant to the Exchange Act within the time periods required by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Free Writing Prospectuses</w:t>
      </w:r>
      <w:r>
        <w:rPr>
          <w:rFonts w:ascii="Times New Roman" w:cs="Times New Roman" w:eastAsia="Times New Roman" w:hAnsi="Times New Roman"/>
          <w:sz w:val="18"/>
          <w:szCs w:val="18"/>
          <w:color w:val="auto"/>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cs="Times New Roman" w:eastAsia="Times New Roman" w:hAnsi="Times New Roman"/>
          <w:sz w:val="18"/>
          <w:szCs w:val="18"/>
          <w:b w:val="1"/>
          <w:bCs w:val="1"/>
          <w:u w:val="single" w:color="auto"/>
          <w:color w:val="auto"/>
        </w:rPr>
        <w:t>Non-Prospectus Road Show</w:t>
      </w:r>
      <w:r>
        <w:rPr>
          <w:rFonts w:ascii="Times New Roman" w:cs="Times New Roman" w:eastAsia="Times New Roman" w:hAnsi="Times New Roman"/>
          <w:sz w:val="18"/>
          <w:szCs w:val="18"/>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foregoing indemnity agreement is in addition to any liability that the Issuers may otherwise have to any Underwriter or to any director, officer, employee or controlling person of that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and documented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such Underwriter shall have the rights and duties given to the Issuers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 xml:space="preserve">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above. The foregoing indemnity agreement shall be in addition to any liability that the Underwriters may otherwise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(d)           If the indemnification provided for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is unavailable to an indemnified party under </w:t>
      </w:r>
      <w:r>
        <w:rPr>
          <w:rFonts w:ascii="Times New Roman" w:cs="Times New Roman" w:eastAsia="Times New Roman" w:hAnsi="Times New Roman"/>
          <w:sz w:val="17"/>
          <w:szCs w:val="17"/>
          <w:u w:val="single" w:color="auto"/>
          <w:color w:val="auto"/>
        </w:rPr>
        <w:t>paragraph (a)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 </w:t>
      </w:r>
      <w:r>
        <w:rPr>
          <w:rFonts w:ascii="Times New Roman" w:cs="Times New Roman" w:eastAsia="Times New Roman" w:hAnsi="Times New Roman"/>
          <w:sz w:val="17"/>
          <w:szCs w:val="17"/>
          <w:color w:val="auto"/>
        </w:rPr>
        <w:t xml:space="preserve">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 xml:space="preserve">above is not permitted by applicable law, in such proportion as is appropriate to reflect not only the relative benefits referred to in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Issuers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The amount paid or payable by an indemnified party as a result of the losses, claims, damages, liabilities and expenses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several and not joint.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Any losses, claims, damages, liabilities or expenses for which an indemnified party is entitled to indemnification or contribution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Representatives shall have received an opinion of Vinson &amp; Elkins L.L.P., counsel for the Issuers,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The offering and sale of the Notes as contemplated by this Agreement do not give rise to any rights for or relating to the registration of any other securities of the Issuers under any agreement filed as an exhibit to the Registration Statement,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This Agreement has been duly authorized, executed and delivered by each of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The Base Indenture and the Supplemental Indentures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7"/>
          <w:szCs w:val="17"/>
          <w:color w:val="auto"/>
        </w:rPr>
        <w:t>(xi)          None of (A) the offering, issuance and sale by the Issuers of the Notes, (B) the execution, delivery and performance of this Agreement by the Issuers, (C) the consummation of the transactions contemplated by this Agreement, (D) the execution and delivery of the Supplemental Indentures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the EPIC Credit Agreement, and the Credit Agreement dated as of August 20, 2021, as amended, among the Partnership and Plains Midstream Canada, as borrowers, certain subsidiaries of the Partnership from time to time party thereto, as designated borrowers, Bank of America, N.A., as administrative agent and swing line lender thereunder, Bank of America, N.A., Citibank, N.A., JPMorgan Chase Bank, N.A. and Wells Fargo Bank, National Association, as letters of credit issuers, and the lenders from time to time party thereto, described in the Registration Statement, the Pricing Disclosure Package and the Prospectus (the “</w:t>
      </w:r>
      <w:r>
        <w:rPr>
          <w:rFonts w:ascii="Times New Roman" w:cs="Times New Roman" w:eastAsia="Times New Roman" w:hAnsi="Times New Roman"/>
          <w:sz w:val="17"/>
          <w:szCs w:val="17"/>
          <w:b w:val="1"/>
          <w:bCs w:val="1"/>
          <w:u w:val="single" w:color="auto"/>
          <w:color w:val="auto"/>
        </w:rPr>
        <w:t>Credit Agreement</w:t>
      </w:r>
      <w:r>
        <w:rPr>
          <w:rFonts w:ascii="Times New Roman" w:cs="Times New Roman" w:eastAsia="Times New Roman" w:hAnsi="Times New Roman"/>
          <w:sz w:val="17"/>
          <w:szCs w:val="17"/>
          <w:color w:val="auto"/>
        </w:rPr>
        <w:t>”)), (3) results or will result in any violation of the Delaware LP Act, the Delaware LLC Act, the Delaware General Corporation Law (the “</w:t>
      </w:r>
      <w:r>
        <w:rPr>
          <w:rFonts w:ascii="Times New Roman" w:cs="Times New Roman" w:eastAsia="Times New Roman" w:hAnsi="Times New Roman"/>
          <w:sz w:val="17"/>
          <w:szCs w:val="17"/>
          <w:b w:val="1"/>
          <w:bCs w:val="1"/>
          <w:u w:val="single" w:color="auto"/>
          <w:color w:val="auto"/>
        </w:rPr>
        <w:t>DGCL</w:t>
      </w:r>
      <w:r>
        <w:rPr>
          <w:rFonts w:ascii="Times New Roman" w:cs="Times New Roman" w:eastAsia="Times New Roman" w:hAnsi="Times New Roman"/>
          <w:sz w:val="17"/>
          <w:szCs w:val="17"/>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Times New Roman" w:cs="Times New Roman" w:eastAsia="Times New Roman" w:hAnsi="Times New Roman"/>
          <w:sz w:val="17"/>
          <w:szCs w:val="17"/>
          <w:u w:val="single" w:color="auto"/>
          <w:color w:val="auto"/>
        </w:rPr>
        <w:t>clauses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(4) </w:t>
      </w:r>
      <w:r>
        <w:rPr>
          <w:rFonts w:ascii="Times New Roman" w:cs="Times New Roman" w:eastAsia="Times New Roman" w:hAnsi="Times New Roman"/>
          <w:sz w:val="17"/>
          <w:szCs w:val="17"/>
          <w:color w:val="auto"/>
        </w:rPr>
        <w:t xml:space="preserve">would reasonably be expected to have a Material Adverse Effect or materially impair the ability of the Issuers to consummate the transactions contemplated by this Agreement, it being understood that such counsel need not express an opinion in </w:t>
      </w:r>
      <w:r>
        <w:rPr>
          <w:rFonts w:ascii="Times New Roman" w:cs="Times New Roman" w:eastAsia="Times New Roman" w:hAnsi="Times New Roman"/>
          <w:sz w:val="17"/>
          <w:szCs w:val="17"/>
          <w:u w:val="single" w:color="auto"/>
          <w:color w:val="auto"/>
        </w:rPr>
        <w:t>clause (3) </w:t>
      </w: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u w:val="single" w:color="auto"/>
          <w:color w:val="auto"/>
        </w:rPr>
        <w:t>paragraph (xi) </w:t>
      </w:r>
      <w:r>
        <w:rPr>
          <w:rFonts w:ascii="Times New Roman" w:cs="Times New Roman" w:eastAsia="Times New Roman" w:hAnsi="Times New Roman"/>
          <w:sz w:val="17"/>
          <w:szCs w:val="17"/>
          <w:color w:val="auto"/>
        </w:rPr>
        <w:t>with respect to any securities or other anti-fraud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(xii)          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Indentures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The Registration Statement became effective under the Securities Act upon its filing on September 6, 2024;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(A)           the Registration Statement, as of the most recent Effective Date, contained an untrue statement of a material fact or omitted to state a material fact required to be stated therein or necessary to make the statements therein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Representatives shall have received an opinion of the general counsel for GP LLC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None of (1) the offering, issuance and sale by the Issuers of the Notes, (2) the execution, delivery and performance by the Issuers of this Agreement, (3) the consummation of the transactions contemplated by this Agreement or (4) the execution and delivery of the Supplemental Indentures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the EPIC Credit Agreement and the Credit Agreement, each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reasonably be expected to have a Material Adverse Effect or materially impair the ability of the Issuers to consummate the transactions contemplated by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 w:cs="Times New Roman" w:eastAsia="Times New Roman" w:hAnsi="Times New Roman"/>
          <w:sz w:val="18"/>
          <w:szCs w:val="18"/>
          <w:u w:val="single" w:color="auto"/>
          <w:color w:val="auto"/>
        </w:rPr>
        <w:t>Section 7(d)(i)(4)(B) </w:t>
      </w:r>
      <w:r>
        <w:rPr>
          <w:rFonts w:ascii="Times New Roman" w:cs="Times New Roman" w:eastAsia="Times New Roman" w:hAnsi="Times New Roman"/>
          <w:sz w:val="18"/>
          <w:szCs w:val="18"/>
          <w:color w:val="auto"/>
        </w:rPr>
        <w:t>above or (y)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Representatives shall have received an opinion of internal Canadian counsel for the Partnership,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Saskatchewan, Quebec, Nova Scotia and New Brunswick.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cut-off date for the procedures performed by such accountants and described in such letter shall be a date not more than five days prior to the date of such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 w:cs="Times New Roman" w:eastAsia="Times New Roman" w:hAnsi="Times New Roman"/>
          <w:sz w:val="18"/>
          <w:szCs w:val="18"/>
          <w:u w:val="single" w:color="auto"/>
          <w:color w:val="auto"/>
        </w:rPr>
        <w:t>paragraph (g)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that the date referred to in the proviso in </w:t>
      </w:r>
      <w:r>
        <w:rPr>
          <w:rFonts w:ascii="Times New Roman" w:cs="Times New Roman" w:eastAsia="Times New Roman" w:hAnsi="Times New Roman"/>
          <w:sz w:val="18"/>
          <w:szCs w:val="18"/>
          <w:u w:val="single" w:color="auto"/>
          <w:color w:val="auto"/>
        </w:rPr>
        <w:t>Section 7(g) </w:t>
      </w:r>
      <w:r>
        <w:rPr>
          <w:rFonts w:ascii="Times New Roman" w:cs="Times New Roman" w:eastAsia="Times New Roman" w:hAnsi="Times New Roman"/>
          <w:sz w:val="18"/>
          <w:szCs w:val="18"/>
          <w:color w:val="auto"/>
        </w:rPr>
        <w:t>hereof shall be a date not more than three business days prior to the Delivery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Partnership’s knowledge, threatened;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At the Delivery Date, the Notes shall be rated at least “Baa2”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The Issuers and the Trustee shall have executed and delivered the Supplemental Indentures, and the Issuers shall have executed and delivered the Global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(m)           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such opinions, certificates, letters and other documents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have been fulfilled in all material respects when and as provided in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opinions and certificates mentioned above or elsewhere in this Agreement shall not be in all material respects reasonably satisfactory in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substance to the Underwriters and counsel for the Underwriters, this Agreement and all obligations of the Underwriters hereunder may be cancelled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time prior to, the Delivery Date by the Underwriters. Notice of such cancellation shall be given to the Issuers in writing or by telephone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 w:cs="Times New Roman" w:eastAsia="Times New Roman" w:hAnsi="Times New Roman"/>
          <w:sz w:val="18"/>
          <w:szCs w:val="18"/>
          <w:u w:val="single" w:color="auto"/>
          <w:color w:val="auto"/>
        </w:rPr>
        <w:t>Section 5(g) </w:t>
      </w:r>
      <w:r>
        <w:rPr>
          <w:rFonts w:ascii="Times New Roman" w:cs="Times New Roman" w:eastAsia="Times New Roman" w:hAnsi="Times New Roman"/>
          <w:sz w:val="18"/>
          <w:szCs w:val="18"/>
          <w:color w:val="auto"/>
        </w:rPr>
        <w:t>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It is understood, however, that except as otherwise provided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5(i) </w:t>
      </w:r>
      <w:r>
        <w:rPr>
          <w:rFonts w:ascii="Times New Roman" w:cs="Times New Roman" w:eastAsia="Times New Roman" w:hAnsi="Times New Roman"/>
          <w:sz w:val="17"/>
          <w:szCs w:val="17"/>
          <w:color w:val="auto"/>
        </w:rPr>
        <w:t>hereof, the Underwriters will pay all of their own costs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including the fees of their counsel, transfer taxes on any resale of the Notes by any Underwriter, any advertising expenses connected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offers they may make and the transportation and other expenses incurred by the Underwriters on their own behalf in connection with presentations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purchasers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Citigroup Global Markets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notice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may be given by telegram, telecopy or telephone but shall be subsequently confirmed by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Termination of Agreement</w:t>
      </w:r>
      <w:r>
        <w:rPr>
          <w:rFonts w:ascii="Times New Roman" w:cs="Times New Roman" w:eastAsia="Times New Roman" w:hAnsi="Times New Roman"/>
          <w:sz w:val="17"/>
          <w:szCs w:val="17"/>
          <w:color w:val="auto"/>
        </w:rPr>
        <w:t>. This Agreement shall be subject to termination in the Representatives’ absolute discretion, without liability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 of any Underwriter to any Issuer, by notice to the Issuers prior to the Delivery Date, if at any time prior to such time (i) trading in the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shall have been suspended by the Commission or Nasdaq or trading in securities generally on the New York Stock Exchange, the NYSE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LLC or the Nasdaq National Market shall have been suspended or limited or minimum prices shall have been established; (ii) a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moratorium shall have been declared either by federal or New York or Texas state authorities or a material disruption in commercial banking or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or clearance services in the United States shall have occurred; or (iii) there shall have occurred any outbreak or escalation of hostilities or 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terrorism, declaration by the United States of a national emergency or war or other calamity or crisis or any change in financial, political or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 or elsewhere, the effect of which on financial markets is such as to make it, in the sole judgment of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impractical or inadvisable to proceed with the offering or delivery of the Notes as contemplated by the Prospectus (exclusive of any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Notice of such termination may be given to the Issuers by telegram, telecopy or telephone and shall be subsequently confirmed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Notice; Successors</w:t>
      </w:r>
      <w:r>
        <w:rPr>
          <w:rFonts w:ascii="Times New Roman" w:cs="Times New Roman" w:eastAsia="Times New Roman" w:hAnsi="Times New Roman"/>
          <w:sz w:val="17"/>
          <w:szCs w:val="17"/>
          <w:color w:val="auto"/>
        </w:rPr>
        <w:t xml:space="preserve">. Except as otherwise provided in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hereof, all communications hereunder will be in writing and effective only on receipt, and, if sent to the Underwriters, will be mailed, delivered or telefaxed to the Representatives c/o Citigroup Global Markets Inc., 388 Greenwich Street, New York, New York 10013, Attention: General Counsel, Fax No.: (646) 291-1469; and c/o CIBC World Markets Corp., 300 Madison Avenue,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10017, Attention: Execution Management, Email: DLCIBCUSEMG@cibc.com; and c/o RBC Capital Markets,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Brookfield Place, 200 Vesey Street, 8th Floor, New York, New York 10281, Attention: DCM Transaction Management/Scott Primrose, Telephone:</w:t>
      </w:r>
    </w:p>
    <w:p>
      <w:pPr>
        <w:spacing w:after="0" w:line="7" w:lineRule="exact"/>
        <w:rPr>
          <w:sz w:val="20"/>
          <w:szCs w:val="20"/>
          <w:color w:val="auto"/>
        </w:rPr>
      </w:pPr>
    </w:p>
    <w:p>
      <w:pPr>
        <w:jc w:val="both"/>
        <w:ind w:firstLine="8"/>
        <w:spacing w:after="0" w:line="250" w:lineRule="auto"/>
        <w:tabs>
          <w:tab w:leader="none" w:pos="4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618-7706, Email: TMGUS@rbccm.com; and c/o SMBC Nikko Securities America, Inc., 277 Park Avenue, New York, NY 10172, Attention: Debt Capital Markets, Email: NikkoGCNotices@smbcnikko-si.com; with a copy (which shall not constitute notice) to Baker Botts L.L.P., 910 Louisiana St., Houston, Texas 77002, Attention: Douglas V. Getten and Andrew L. Schulte; or, if sent to either of the Issuers, will be mailed, delivered or telefaxed to it at 333 Clay St., Suite 1600, Houston, Texas 77002, Attention: General Counsel, Fax No.: (713) 646-4313.</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Agreement has been and is made solely for the benefit of the several Underwriters and their directors, officers, employees, agents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Issuers and GP LLC’s directors and officers who sign the Registration Statement,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 Furnished by the Underwriters</w:t>
      </w:r>
      <w:r>
        <w:rPr>
          <w:rFonts w:ascii="Times New Roman" w:cs="Times New Roman" w:eastAsia="Times New Roman" w:hAnsi="Times New Roman"/>
          <w:sz w:val="18"/>
          <w:szCs w:val="18"/>
          <w:color w:val="auto"/>
        </w:rPr>
        <w:t>. The Issuers acknowledge that the following statements set forth in the most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and the Prospectus constitute the only information furnished by or on behalf of the Underwriters through the Representatives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information is referred to in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6(c) </w:t>
      </w:r>
      <w:r>
        <w:rPr>
          <w:rFonts w:ascii="Times New Roman" w:cs="Times New Roman" w:eastAsia="Times New Roman" w:hAnsi="Times New Roman"/>
          <w:sz w:val="18"/>
          <w:szCs w:val="18"/>
          <w:color w:val="auto"/>
        </w:rPr>
        <w:t>hereof: (A) the names of the Underwriters, (B) the table under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under the heading “Underwriting,” (C) the first paragraph under the heading “Underwriting — Underwriting Discounts” related to concessions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 the first paragraph, the second paragraph and the first sentence of the third paragraph under the heading “Underwriting — Stabilization, Short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and Penalty Bids.”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Research Analyst Independence</w:t>
      </w:r>
      <w:r>
        <w:rPr>
          <w:rFonts w:ascii="Times New Roman" w:cs="Times New Roman" w:eastAsia="Times New Roman" w:hAnsi="Times New Roman"/>
          <w:sz w:val="17"/>
          <w:szCs w:val="17"/>
          <w:color w:val="auto"/>
        </w:rPr>
        <w:t>. The Issuers acknowledge that the Underwriters’ research analysts and research departments are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independent from their respective investment banking divisions and are subject to certain regulations and internal policies, and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research analysts may hold views and make statements or investment recommendations and/or publish research reports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and/or the offering that differ from the views of their respective investment banking divisions. The Issuers hereby waive and release, to the fullest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law, any claims that the Issuers may have against the Underwriters with respect to any conflict of interest that may arise from the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views expressed by their independent research analysts and research departments may be different from or inconsistent with the views or advice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communicated to the Issuers by such Underwriters’ investment banking divisions. The Issuers acknowledge that each of the Underwriters is a full-service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firm and as such from time to time, subject to applicable securities laws, may effect transactions for its own account or the account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hold long or short positions in debt or equity securities of the companies that may be the subject of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or any of them, with respect to the subject matter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Applicable Law; Counterparts</w:t>
      </w:r>
      <w:r>
        <w:rPr>
          <w:rFonts w:ascii="Times New Roman" w:cs="Times New Roman" w:eastAsia="Times New Roman" w:hAnsi="Times New Roman"/>
          <w:sz w:val="17"/>
          <w:szCs w:val="17"/>
          <w:color w:val="auto"/>
        </w:rPr>
        <w:t>. This Agreement shall be governed by and construed in accordance with the laws of the State of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contracts made and to be performed within the State of New York. This Agreement may be signed in various counterparts that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one and the same instrument. If signed in counterparts, this Agreement shall not become effective unless at least one counterpart hereof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executed and delivered on behalf of each 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the Issuers and the Underwriters.</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8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Sole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PAA FINANCE CORP.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540"/>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8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Agreement is hereby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first above written.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2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CIBC World Markets Corp.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/s/Adam D. Bordner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/s/ Michael Kim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Adam D. Bordner</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Kim</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and Head, US Investment Grade DCM</w:t>
            </w: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2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RBC Capital Markets, LLC</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SMBC Nikko Securities America, Inc.</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/s/ John M. Sconzo</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Amanda Boggs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M. Sconzo</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Amanda Boggs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4"/>
            <w:vMerge w:val="restart"/>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4"/>
            <w:vMerge w:val="continue"/>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2031 Notes to be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2036 Notes to be</w:t>
            </w:r>
          </w:p>
        </w:tc>
        <w:tc>
          <w:tcPr>
            <w:tcW w:w="0" w:type="dxa"/>
            <w:vAlign w:val="bottom"/>
          </w:tcPr>
          <w:p>
            <w:pPr>
              <w:spacing w:after="0"/>
              <w:rPr>
                <w:sz w:val="1"/>
                <w:szCs w:val="1"/>
                <w:color w:val="auto"/>
              </w:rPr>
            </w:pPr>
          </w:p>
        </w:tc>
      </w:tr>
      <w:tr>
        <w:trPr>
          <w:trHeight w:val="238"/>
        </w:trPr>
        <w:tc>
          <w:tcPr>
            <w:tcW w:w="50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66,938,000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66,937,000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75"/>
              </w:rPr>
              <w:t>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450,000,000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20"/>
                <w:szCs w:val="20"/>
                <w:color w:val="auto"/>
              </w:rPr>
            </w:pPr>
          </w:p>
        </w:tc>
        <w:tc>
          <w:tcPr>
            <w:tcW w:w="6200" w:type="dxa"/>
            <w:vAlign w:val="bottom"/>
            <w:gridSpan w:val="5"/>
            <w:vMerge w:val="restart"/>
          </w:tcPr>
          <w:p>
            <w:pPr>
              <w:jc w:val="center"/>
              <w:ind w:right="493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17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5"/>
                <w:szCs w:val="15"/>
                <w:color w:val="auto"/>
              </w:rPr>
            </w:pPr>
          </w:p>
        </w:tc>
        <w:tc>
          <w:tcPr>
            <w:tcW w:w="62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tc>
        <w:tc>
          <w:tcPr>
            <w:tcW w:w="0" w:type="dxa"/>
            <w:vAlign w:val="bottom"/>
          </w:tcPr>
          <w:p>
            <w:pPr>
              <w:spacing w:after="0"/>
              <w:rPr>
                <w:sz w:val="1"/>
                <w:szCs w:val="1"/>
                <w:color w:val="auto"/>
              </w:rPr>
            </w:pPr>
          </w:p>
        </w:tc>
      </w:tr>
      <w:tr>
        <w:trPr>
          <w:trHeight w:val="234"/>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10, 2025</w:t>
            </w: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8200" w:type="dxa"/>
            <w:vAlign w:val="bottom"/>
            <w:gridSpan w:val="6"/>
            <w:vMerge w:val="restart"/>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82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8200" w:type="dxa"/>
            <w:vAlign w:val="bottom"/>
            <w:gridSpan w:val="6"/>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9"/>
              </w:rPr>
              <w:t>$300,000,000 4.700% Senior Notes due 2031</w:t>
            </w:r>
          </w:p>
        </w:tc>
        <w:tc>
          <w:tcPr>
            <w:tcW w:w="0" w:type="dxa"/>
            <w:vAlign w:val="bottom"/>
          </w:tcPr>
          <w:p>
            <w:pPr>
              <w:spacing w:after="0"/>
              <w:rPr>
                <w:sz w:val="1"/>
                <w:szCs w:val="1"/>
                <w:color w:val="auto"/>
              </w:rPr>
            </w:pPr>
          </w:p>
        </w:tc>
      </w:tr>
      <w:tr>
        <w:trPr>
          <w:trHeight w:val="238"/>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6"/>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9"/>
              </w:rPr>
              <w:t>$450,000,000 5.600% Senior Notes due 2036</w:t>
            </w:r>
          </w:p>
        </w:tc>
        <w:tc>
          <w:tcPr>
            <w:tcW w:w="0" w:type="dxa"/>
            <w:vAlign w:val="bottom"/>
          </w:tcPr>
          <w:p>
            <w:pPr>
              <w:spacing w:after="0"/>
              <w:rPr>
                <w:sz w:val="1"/>
                <w:szCs w:val="1"/>
                <w:color w:val="auto"/>
              </w:rPr>
            </w:pPr>
          </w:p>
        </w:tc>
      </w:tr>
      <w:tr>
        <w:trPr>
          <w:trHeight w:val="198"/>
        </w:trPr>
        <w:tc>
          <w:tcPr>
            <w:tcW w:w="30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Plains All American Pipeline, L.P. and PAA Finance Corp.</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$750,000,000</w:t>
            </w: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$300,000,000 aggregate principal amount of 4.700% Senior Notes due 2031</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8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$450,000,000 aggregate principal amount of 5.600% Senior Notes due 2036</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8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gridSpan w:val="2"/>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[Ratings Intentionally Omitted]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SEC-registered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November 10, 2025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(T+3):</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November 14, 2025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2031 Notes: January 15, 2031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2036 Notes: January 15, 2036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2031 Notes: UST 3.625% due October 31, 2030</w:t>
            </w:r>
          </w:p>
        </w:tc>
        <w:tc>
          <w:tcPr>
            <w:tcW w:w="0" w:type="dxa"/>
            <w:vAlign w:val="bottom"/>
          </w:tcPr>
          <w:p>
            <w:pPr>
              <w:spacing w:after="0"/>
              <w:rPr>
                <w:sz w:val="1"/>
                <w:szCs w:val="1"/>
                <w:color w:val="auto"/>
              </w:rPr>
            </w:pPr>
          </w:p>
        </w:tc>
      </w:tr>
      <w:tr>
        <w:trPr>
          <w:trHeight w:val="234"/>
        </w:trPr>
        <w:tc>
          <w:tcPr>
            <w:tcW w:w="3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2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2036 Notes: UST 4.250% due August 15, 2035</w:t>
            </w:r>
          </w:p>
        </w:tc>
        <w:tc>
          <w:tcPr>
            <w:tcW w:w="0" w:type="dxa"/>
            <w:vAlign w:val="bottom"/>
          </w:tcPr>
          <w:p>
            <w:pPr>
              <w:spacing w:after="0"/>
              <w:rPr>
                <w:sz w:val="1"/>
                <w:szCs w:val="1"/>
                <w:color w:val="auto"/>
              </w:rPr>
            </w:pPr>
          </w:p>
        </w:tc>
      </w:tr>
      <w:tr>
        <w:trPr>
          <w:trHeight w:val="255"/>
        </w:trPr>
        <w:tc>
          <w:tcPr>
            <w:tcW w:w="3040" w:type="dxa"/>
            <w:vAlign w:val="bottom"/>
            <w:vMerge w:val="continue"/>
          </w:tcPr>
          <w:p>
            <w:pPr>
              <w:spacing w:after="0"/>
              <w:rPr>
                <w:sz w:val="22"/>
                <w:szCs w:val="22"/>
                <w:color w:val="auto"/>
              </w:rPr>
            </w:pPr>
          </w:p>
        </w:tc>
        <w:tc>
          <w:tcPr>
            <w:tcW w:w="2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3.708%</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4.112%</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+102 bps</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+142 bps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4.728%</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5.532%</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4.700%</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5.600%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99.872% (plus accrued interest of $2,585,000.00 from</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Notes: 100.518% (plus accrued interest of $4,620,000.00 from</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underwriting discount and excluding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$297,816,000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$449,406,000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+ 20 bps</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+ 25 bps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December 15, 2030</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October 15, 2035</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January 15 and July 15, beginning on January 15, 2026</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2031 Notes: 72650R BR2 / US72650RBR21</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2036 Notes: 72650R BS0 / US72650RBS04</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Zions Direct, Inc.</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40" w:type="dxa"/>
            <w:vAlign w:val="bottom"/>
          </w:tcPr>
          <w:p>
            <w:pPr>
              <w:spacing w:after="0"/>
              <w:rPr>
                <w:sz w:val="20"/>
                <w:szCs w:val="20"/>
                <w:color w:val="auto"/>
              </w:rPr>
            </w:pPr>
          </w:p>
        </w:tc>
      </w:tr>
    </w:tbl>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220" w:right="9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November 14, 2025, which is the third business day following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of the notes (such settlement being referred to as “T+3”). Under Rule 15c6-1 of the Securities Exchange Act of 1934, as amended, trades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market generally are required to settle in one business day unless the parties to any such trade expressly agree otherwise. Accordingly,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who wish to trade the notes on any date prior to the first business day before delivery will be required, by virtue of the fact that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initially will settle in T+3, to specify an alternate settlement cycle at the time of any such trade to prevent failed settlement and should consult their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toll-free at 1-800-831-9146, CIBC World Markets Corp. toll-free at 1-800-282-0822, RBC Capital Markets, LLC toll-free at 1-866-375-6829 or SMBC Nikko Securities America, Inc. toll-free at 1-888-868-6856.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for retail investors in the European Economic Area (“</w:t>
      </w:r>
      <w:r>
        <w:rPr>
          <w:rFonts w:ascii="Times New Roman" w:cs="Times New Roman" w:eastAsia="Times New Roman" w:hAnsi="Times New Roman"/>
          <w:sz w:val="18"/>
          <w:szCs w:val="18"/>
          <w:b w:val="1"/>
          <w:bCs w:val="1"/>
          <w:u w:val="single" w:color="auto"/>
          <w:color w:val="auto"/>
        </w:rPr>
        <w:t>EEA</w:t>
      </w:r>
      <w:r>
        <w:rPr>
          <w:rFonts w:ascii="Times New Roman" w:cs="Times New Roman" w:eastAsia="Times New Roman" w:hAnsi="Times New Roman"/>
          <w:sz w:val="18"/>
          <w:szCs w:val="18"/>
          <w:color w:val="auto"/>
        </w:rPr>
        <w:t>”) or the United Kingdom. No key information document (KID) as required by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 No 1286/2014 (as amended, the “</w:t>
      </w:r>
      <w:r>
        <w:rPr>
          <w:rFonts w:ascii="Times New Roman" w:cs="Times New Roman" w:eastAsia="Times New Roman" w:hAnsi="Times New Roman"/>
          <w:sz w:val="18"/>
          <w:szCs w:val="18"/>
          <w:b w:val="1"/>
          <w:bCs w:val="1"/>
          <w:u w:val="single" w:color="auto"/>
          <w:color w:val="auto"/>
        </w:rPr>
        <w:t>PRIIPs Regulation</w:t>
      </w:r>
      <w:r>
        <w:rPr>
          <w:rFonts w:ascii="Times New Roman" w:cs="Times New Roman" w:eastAsia="Times New Roman" w:hAnsi="Times New Roman"/>
          <w:sz w:val="18"/>
          <w:szCs w:val="18"/>
          <w:color w:val="auto"/>
        </w:rPr>
        <w:t>”) or as required by the PRIIPs Regulation as it forms part of domestic UK law by virtue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(Withdrawal) Act 2018, as amended, has been prepared as not available to retail investors in the EEA or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Crude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Crude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176"/>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Jurisdiction in which registered or qualified</w:t>
            </w:r>
          </w:p>
        </w:tc>
        <w:tc>
          <w:tcPr>
            <w:tcW w:w="0" w:type="dxa"/>
            <w:vAlign w:val="bottom"/>
          </w:tcPr>
          <w:p>
            <w:pPr>
              <w:spacing w:after="0"/>
              <w:rPr>
                <w:sz w:val="1"/>
                <w:szCs w:val="1"/>
                <w:color w:val="auto"/>
              </w:rPr>
            </w:pP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Plains All American Pipeline, L.P.</w:t>
            </w:r>
          </w:p>
        </w:tc>
        <w:tc>
          <w:tcPr>
            <w:tcW w:w="10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California, Illinois, Louisiana, Oklahoma,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Alberta, Manitoba, Ontario, Saskatchewan, British Columbia, Quebec,</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 Scotia, New Brunswick</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Alpha Crude Holdings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2025. In addition, as of the date of this certificate, the total debt of the Partnership is approximately $11.3 billion.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PAA Finance Corp., and Citigroup Global Markets Inc., CIBC World Markets Corp., RBC Capital Markets, LLC and SMBC Nikko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America, Inc. as the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affixed his signature as of the date first written above.</w:t>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2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 Swanson</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ind w:left="2580"/>
              <w:spacing w:after="0"/>
              <w:rPr>
                <w:sz w:val="20"/>
                <w:szCs w:val="20"/>
                <w:color w:val="auto"/>
              </w:rPr>
            </w:pPr>
            <w:r>
              <w:rPr>
                <w:rFonts w:ascii="Times New Roman" w:cs="Times New Roman" w:eastAsia="Times New Roman" w:hAnsi="Times New Roman"/>
                <w:sz w:val="18"/>
                <w:szCs w:val="18"/>
                <w:color w:val="auto"/>
              </w:rPr>
              <w:t>Exhibit B-2</w:t>
            </w:r>
          </w:p>
        </w:tc>
      </w:tr>
      <w:tr>
        <w:trPr>
          <w:trHeight w:val="3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4"/>
                <w:szCs w:val="24"/>
                <w:color w:val="auto"/>
              </w:rPr>
            </w:pPr>
          </w:p>
        </w:tc>
        <w:tc>
          <w:tcPr>
            <w:tcW w:w="5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1)"/>
      <w:numFmt w:val="decimal"/>
      <w:start w:val="21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16" Type="http://schemas.openxmlformats.org/officeDocument/2006/relationships/hyperlink" Target="https://www.sec.gov/Archives/edgar/data/1070423/000110465925088257/tm2524999d4_ex4-1.htm" TargetMode="External"/><Relationship Id="rId17" Type="http://schemas.openxmlformats.org/officeDocument/2006/relationships/hyperlink" Target="https://www.sec.gov/Archives/edgar/data/1070423/000110465925088257/tm2524999d4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2025-11-14T13:27:42Z</dcterms:created>
  <dcterms:modified xsi:type="dcterms:W3CDTF">2025-11-14T13:27:42Z</dcterms:modified>
</cp:coreProperties>
</file>