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706120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586105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4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40"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 xml:space="preserve">Date of Report (Date of earliest event reported) — </w:t>
      </w:r>
      <w:r>
        <w:rPr>
          <w:rFonts w:ascii="Arial" w:cs="Arial" w:eastAsia="Arial" w:hAnsi="Arial"/>
          <w:sz w:val="18"/>
          <w:szCs w:val="18"/>
          <w:b w:val="1"/>
          <w:bCs w:val="1"/>
          <w:color w:val="auto"/>
        </w:rPr>
        <w:t>August 7, 2017</w:t>
      </w:r>
    </w:p>
    <w:p>
      <w:pPr>
        <w:spacing w:after="0" w:line="21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Plains GP Holdings, L.P.</w:t>
      </w:r>
    </w:p>
    <w:p>
      <w:pPr>
        <w:spacing w:after="0" w:line="4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00"/>
          </w:cols>
          <w:pgMar w:left="240" w:top="1179" w:right="359" w:bottom="1440" w:gutter="0" w:footer="0" w:header="0"/>
        </w:sectPr>
      </w:pPr>
    </w:p>
    <w:p>
      <w:pPr>
        <w:spacing w:after="0" w:line="367" w:lineRule="exact"/>
        <w:rPr>
          <w:sz w:val="24"/>
          <w:szCs w:val="24"/>
          <w:color w:val="auto"/>
        </w:rPr>
      </w:pPr>
    </w:p>
    <w:p>
      <w:pPr>
        <w:ind w:left="1680"/>
        <w:spacing w:after="0"/>
        <w:rPr>
          <w:sz w:val="20"/>
          <w:szCs w:val="20"/>
          <w:color w:val="auto"/>
        </w:rPr>
      </w:pPr>
      <w:r>
        <w:rPr>
          <w:rFonts w:ascii="Arial" w:cs="Arial" w:eastAsia="Arial" w:hAnsi="Arial"/>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jc w:val="center"/>
        <w:ind w:right="2080"/>
        <w:spacing w:after="0"/>
        <w:rPr>
          <w:sz w:val="20"/>
          <w:szCs w:val="20"/>
          <w:color w:val="auto"/>
        </w:rPr>
      </w:pPr>
      <w:r>
        <w:rPr>
          <w:rFonts w:ascii="Arial" w:cs="Arial" w:eastAsia="Arial" w:hAnsi="Arial"/>
          <w:sz w:val="16"/>
          <w:szCs w:val="16"/>
          <w:b w:val="1"/>
          <w:bCs w:val="1"/>
          <w:color w:val="auto"/>
        </w:rPr>
        <w:t>1-36132</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90-1005472</w:t>
      </w:r>
    </w:p>
    <w:p>
      <w:pPr>
        <w:spacing w:after="0" w:line="90" w:lineRule="exact"/>
        <w:rPr>
          <w:sz w:val="24"/>
          <w:szCs w:val="24"/>
          <w:color w:val="auto"/>
        </w:rPr>
      </w:pPr>
    </w:p>
    <w:p>
      <w:pPr>
        <w:sectPr>
          <w:pgSz w:w="11900" w:h="16838" w:orient="portrait"/>
          <w:cols w:equalWidth="0" w:num="3">
            <w:col w:w="4700" w:space="720"/>
            <w:col w:w="2680" w:space="720"/>
            <w:col w:w="2480"/>
          </w:cols>
          <w:pgMar w:left="240" w:top="1179" w:right="359" w:bottom="1440" w:gutter="0" w:footer="0" w:header="0"/>
          <w:type w:val="continuous"/>
        </w:sectPr>
      </w:pPr>
    </w:p>
    <w:p>
      <w:pPr>
        <w:ind w:left="114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(IRS Employer Identification No.)</w:t>
      </w:r>
    </w:p>
    <w:p>
      <w:pPr>
        <w:spacing w:after="0" w:line="35" w:lineRule="exact"/>
        <w:rPr>
          <w:sz w:val="24"/>
          <w:szCs w:val="24"/>
          <w:color w:val="auto"/>
        </w:rPr>
      </w:pPr>
    </w:p>
    <w:p>
      <w:pPr>
        <w:sectPr>
          <w:pgSz w:w="11900" w:h="16838" w:orient="portrait"/>
          <w:cols w:equalWidth="0" w:num="3">
            <w:col w:w="4020" w:space="720"/>
            <w:col w:w="2560" w:space="720"/>
            <w:col w:w="3280"/>
          </w:cols>
          <w:pgMar w:left="240" w:top="1179" w:right="359" w:bottom="1440" w:gutter="0" w:footer="0" w:header="0"/>
          <w:type w:val="continuous"/>
        </w:sectPr>
      </w:pPr>
    </w:p>
    <w:p>
      <w:pPr>
        <w:ind w:left="1660"/>
        <w:spacing w:after="0"/>
        <w:rPr>
          <w:sz w:val="20"/>
          <w:szCs w:val="20"/>
          <w:color w:val="auto"/>
        </w:rPr>
      </w:pPr>
      <w:r>
        <w:rPr>
          <w:rFonts w:ascii="Arial" w:cs="Arial" w:eastAsia="Arial" w:hAnsi="Arial"/>
          <w:sz w:val="17"/>
          <w:szCs w:val="17"/>
          <w:color w:val="auto"/>
        </w:rPr>
        <w:t>incorporation)</w:t>
      </w:r>
    </w:p>
    <w:p>
      <w:pPr>
        <w:sectPr>
          <w:pgSz w:w="11900" w:h="16838" w:orient="portrait"/>
          <w:cols w:equalWidth="0" w:num="1">
            <w:col w:w="11300"/>
          </w:cols>
          <w:pgMar w:left="240" w:top="1179" w:right="359" w:bottom="1440" w:gutter="0" w:footer="0" w:header="0"/>
          <w:type w:val="continuous"/>
        </w:sectPr>
      </w:pPr>
    </w:p>
    <w:p>
      <w:pPr>
        <w:spacing w:after="0" w:line="245" w:lineRule="exact"/>
        <w:rPr>
          <w:sz w:val="24"/>
          <w:szCs w:val="24"/>
          <w:color w:val="auto"/>
        </w:rPr>
      </w:pPr>
    </w:p>
    <w:p>
      <w:pPr>
        <w:ind w:left="3800"/>
        <w:spacing w:after="0"/>
        <w:rPr>
          <w:sz w:val="20"/>
          <w:szCs w:val="20"/>
          <w:color w:val="auto"/>
        </w:rPr>
      </w:pPr>
      <w:r>
        <w:rPr>
          <w:rFonts w:ascii="Arial" w:cs="Arial" w:eastAsia="Arial" w:hAnsi="Arial"/>
          <w:sz w:val="18"/>
          <w:szCs w:val="18"/>
          <w:b w:val="1"/>
          <w:bCs w:val="1"/>
          <w:color w:val="auto"/>
        </w:rPr>
        <w:t>333 Clay Street, Suite 1600, Houston, Texas 77002</w:t>
      </w:r>
    </w:p>
    <w:p>
      <w:pPr>
        <w:spacing w:after="0" w:line="27" w:lineRule="exact"/>
        <w:rPr>
          <w:sz w:val="24"/>
          <w:szCs w:val="24"/>
          <w:color w:val="auto"/>
        </w:rPr>
      </w:pPr>
    </w:p>
    <w:p>
      <w:pPr>
        <w:ind w:left="3860"/>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713-646-4100</w:t>
      </w:r>
    </w:p>
    <w:p>
      <w:pPr>
        <w:spacing w:after="0" w:line="22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0" w:lineRule="exact"/>
        <w:rPr>
          <w:sz w:val="24"/>
          <w:szCs w:val="24"/>
          <w:color w:val="auto"/>
        </w:rPr>
      </w:pPr>
    </w:p>
    <w:p>
      <w:pPr>
        <w:spacing w:after="0" w:line="24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25" w:lineRule="exact"/>
        <w:rPr>
          <w:sz w:val="24"/>
          <w:szCs w:val="24"/>
          <w:color w:val="auto"/>
        </w:rPr>
      </w:pPr>
    </w:p>
    <w:p>
      <w:pPr>
        <w:ind w:right="34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o</w:t>
      </w:r>
    </w:p>
    <w:p>
      <w:pPr>
        <w:spacing w:after="0" w:line="231" w:lineRule="exact"/>
        <w:rPr>
          <w:sz w:val="24"/>
          <w:szCs w:val="24"/>
          <w:color w:val="auto"/>
        </w:rPr>
      </w:pPr>
    </w:p>
    <w:p>
      <w:pPr>
        <w:ind w:right="300"/>
        <w:spacing w:after="0" w:line="270"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90805</wp:posOffset>
            </wp:positionH>
            <wp:positionV relativeFrom="paragraph">
              <wp:posOffset>318770</wp:posOffset>
            </wp:positionV>
            <wp:extent cx="707517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75170" cy="17145"/>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207010</wp:posOffset>
            </wp:positionV>
            <wp:extent cx="70751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00"/>
          </w:cols>
          <w:pgMar w:left="240" w:top="1179" w:right="359" w:bottom="1440" w:gutter="0" w:footer="0" w:header="0"/>
          <w:type w:val="continuous"/>
        </w:sectPr>
      </w:pPr>
    </w:p>
    <w:bookmarkStart w:id="1" w:name="page2"/>
    <w:bookmarkEnd w:id="1"/>
    <w:p>
      <w:pPr>
        <w:spacing w:after="0"/>
        <w:tabs>
          <w:tab w:leader="none" w:pos="2080" w:val="left"/>
        </w:tabs>
        <w:rPr>
          <w:sz w:val="20"/>
          <w:szCs w:val="20"/>
          <w:color w:val="auto"/>
        </w:rPr>
      </w:pPr>
      <w:r>
        <w:rPr>
          <w:rFonts w:ascii="Arial" w:cs="Arial" w:eastAsia="Arial" w:hAnsi="Arial"/>
          <w:sz w:val="18"/>
          <w:szCs w:val="18"/>
          <w:b w:val="1"/>
          <w:bCs w:val="1"/>
          <w:color w:val="auto"/>
        </w:rPr>
        <w:t>Item 2.02 and Item 7.01.</w:t>
      </w:r>
      <w:r>
        <w:rPr>
          <w:sz w:val="20"/>
          <w:szCs w:val="20"/>
          <w:color w:val="auto"/>
        </w:rPr>
        <w:tab/>
      </w:r>
      <w:r>
        <w:rPr>
          <w:rFonts w:ascii="Arial" w:cs="Arial" w:eastAsia="Arial" w:hAnsi="Arial"/>
          <w:sz w:val="16"/>
          <w:szCs w:val="16"/>
          <w:b w:val="1"/>
          <w:bCs w:val="1"/>
          <w:color w:val="auto"/>
        </w:rPr>
        <w:t>Results of Operations and Financial Condition; Regulation FD Disclosure.</w:t>
      </w:r>
    </w:p>
    <w:p>
      <w:pPr>
        <w:spacing w:after="0" w:line="229"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On August 7, 2017, the Registrant issued a press release reporting its second-quarter 2017 results. A copy of the press release is furnished as Exhibit 99.1 hereto. In accordance with General Instruction B.2 of Form 8-K, the information presented herein under Item 2.02 and Item 7.01 shall not be deemed “filed” for the purpose of Section 18 of the Securities Exchange Act of 1934, as amended, or otherwise subject to the liabilities of that section, nor shall such information be deemed incorporated by reference into any filing under the Securities Act of 1933 or the Securities Exchange Act of 1934, each as amended.</w:t>
      </w:r>
    </w:p>
    <w:p>
      <w:pPr>
        <w:spacing w:after="0" w:line="150"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 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Exhibit 99.1 — Press Release dated August 7, 2017</w:t>
      </w:r>
    </w:p>
    <w:p>
      <w:pPr>
        <w:spacing w:after="0" w:line="25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40"/>
          </w:cols>
          <w:pgMar w:left="240" w:top="580" w:right="319" w:bottom="1440" w:gutter="0" w:footer="0" w:header="0"/>
        </w:sectPr>
      </w:pPr>
    </w:p>
    <w:bookmarkStart w:id="2" w:name="page3"/>
    <w:bookmarkEnd w:id="2"/>
    <w:p>
      <w:pPr>
        <w:jc w:val="center"/>
        <w:ind w:right="-43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PLAINS GP HOLDINGS, L.P.</w:t>
      </w:r>
    </w:p>
    <w:p>
      <w:pPr>
        <w:spacing w:after="0" w:line="387" w:lineRule="exact"/>
        <w:rPr>
          <w:sz w:val="20"/>
          <w:szCs w:val="20"/>
          <w:color w:val="auto"/>
        </w:rPr>
      </w:pPr>
    </w:p>
    <w:p>
      <w:pPr>
        <w:ind w:left="4720"/>
        <w:spacing w:after="0"/>
        <w:tabs>
          <w:tab w:leader="none" w:pos="5160" w:val="left"/>
        </w:tabs>
        <w:rPr>
          <w:sz w:val="20"/>
          <w:szCs w:val="20"/>
          <w:color w:val="auto"/>
        </w:rPr>
      </w:pPr>
      <w:r>
        <w:rPr>
          <w:rFonts w:ascii="Arial" w:cs="Arial" w:eastAsia="Arial" w:hAnsi="Arial"/>
          <w:sz w:val="18"/>
          <w:szCs w:val="18"/>
          <w:color w:val="auto"/>
        </w:rPr>
        <w:t>By:</w:t>
        <w:tab/>
        <w:t>PAA GP Holdings LLC, its general partner</w:t>
      </w:r>
    </w:p>
    <w:p>
      <w:pPr>
        <w:spacing w:after="0" w:line="387" w:lineRule="exact"/>
        <w:rPr>
          <w:sz w:val="20"/>
          <w:szCs w:val="20"/>
          <w:color w:val="auto"/>
        </w:rPr>
      </w:pPr>
    </w:p>
    <w:p>
      <w:pPr>
        <w:ind w:left="40"/>
        <w:spacing w:after="0"/>
        <w:tabs>
          <w:tab w:leader="none" w:pos="4700" w:val="left"/>
          <w:tab w:leader="none" w:pos="5160" w:val="left"/>
        </w:tabs>
        <w:rPr>
          <w:sz w:val="20"/>
          <w:szCs w:val="20"/>
          <w:color w:val="auto"/>
        </w:rPr>
      </w:pPr>
      <w:r>
        <w:rPr>
          <w:rFonts w:ascii="Arial" w:cs="Arial" w:eastAsia="Arial" w:hAnsi="Arial"/>
          <w:sz w:val="18"/>
          <w:szCs w:val="18"/>
          <w:color w:val="auto"/>
        </w:rPr>
        <w:t>Date: August 7,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31750</wp:posOffset>
            </wp:positionV>
            <wp:extent cx="39789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57" w:lineRule="exact"/>
        <w:rPr>
          <w:sz w:val="20"/>
          <w:szCs w:val="20"/>
          <w:color w:val="auto"/>
        </w:rPr>
      </w:pPr>
    </w:p>
    <w:p>
      <w:pPr>
        <w:ind w:left="5180"/>
        <w:spacing w:after="0"/>
        <w:tabs>
          <w:tab w:leader="none" w:pos="596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Al Swanson</w:t>
      </w:r>
    </w:p>
    <w:p>
      <w:pPr>
        <w:spacing w:after="0" w:line="63" w:lineRule="exact"/>
        <w:rPr>
          <w:sz w:val="20"/>
          <w:szCs w:val="20"/>
          <w:color w:val="auto"/>
        </w:rPr>
      </w:pPr>
    </w:p>
    <w:p>
      <w:pPr>
        <w:ind w:left="5180"/>
        <w:spacing w:after="0"/>
        <w:tabs>
          <w:tab w:leader="none" w:pos="59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Executive Vice President and Chief Financial Officer</w:t>
      </w:r>
    </w:p>
    <w:p>
      <w:pPr>
        <w:spacing w:after="0" w:line="200" w:lineRule="exact"/>
        <w:rPr>
          <w:sz w:val="20"/>
          <w:szCs w:val="20"/>
          <w:color w:val="auto"/>
        </w:rPr>
      </w:pPr>
    </w:p>
    <w:p>
      <w:pPr>
        <w:spacing w:after="0" w:line="295"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240" w:top="661" w:right="6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446405</wp:posOffset>
            </wp:positionV>
            <wp:extent cx="5848985" cy="7543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48985"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 IMMEDIATE RELEASE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Plains GP Holdings Report Second-Quarter 2017 Results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Update 2017 Full-Year Guidance and 2018 Preliminary Forecast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Timing of Earnings Call Changed to 5:00PM CT This Evening, August 7, 2017</w:t>
      </w:r>
    </w:p>
    <w:p>
      <w:pPr>
        <w:spacing w:after="0" w:line="225"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(Houston — August 7, 2017) Plains All American Pipeline, L.P. (NYSE: PAA) and Plains GP Holdings (NYSE: PAGP) today reported second-quarter 2017 results.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Financial Information</w:t>
      </w:r>
      <w:r>
        <w:rPr>
          <w:rFonts w:ascii="Arial" w:cs="Arial" w:eastAsia="Arial" w:hAnsi="Arial"/>
          <w:sz w:val="18"/>
          <w:szCs w:val="18"/>
          <w:b w:val="1"/>
          <w:bCs w:val="1"/>
          <w:color w:val="auto"/>
        </w:rPr>
        <w:t xml:space="preserve"> </w:t>
      </w:r>
      <w:r>
        <w:rPr>
          <w:rFonts w:ascii="Arial" w:cs="Arial" w:eastAsia="Arial" w:hAnsi="Arial"/>
          <w:sz w:val="18"/>
          <w:szCs w:val="18"/>
          <w:color w:val="auto"/>
        </w:rPr>
        <w:t>(unaudited)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data)</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20" w:type="dxa"/>
            <w:vAlign w:val="bottom"/>
            <w:gridSpan w:val="9"/>
          </w:tcPr>
          <w:p>
            <w:pPr>
              <w:ind w:left="120"/>
              <w:spacing w:after="0"/>
              <w:rPr>
                <w:sz w:val="20"/>
                <w:szCs w:val="20"/>
                <w:color w:val="auto"/>
              </w:rPr>
            </w:pPr>
            <w:r>
              <w:rPr>
                <w:rFonts w:ascii="Arial" w:cs="Arial" w:eastAsia="Arial" w:hAnsi="Arial"/>
                <w:sz w:val="16"/>
                <w:szCs w:val="16"/>
                <w:b w:val="1"/>
                <w:bCs w:val="1"/>
                <w:color w:val="auto"/>
              </w:rPr>
              <w:t>Three Months Ended</w:t>
            </w: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60" w:type="dxa"/>
            <w:vAlign w:val="bottom"/>
            <w:gridSpan w:val="9"/>
          </w:tcPr>
          <w:p>
            <w:pPr>
              <w:ind w:left="240"/>
              <w:spacing w:after="0"/>
              <w:rPr>
                <w:sz w:val="20"/>
                <w:szCs w:val="20"/>
                <w:color w:val="auto"/>
              </w:rPr>
            </w:pPr>
            <w:r>
              <w:rPr>
                <w:rFonts w:ascii="Arial" w:cs="Arial" w:eastAsia="Arial" w:hAnsi="Arial"/>
                <w:sz w:val="16"/>
                <w:szCs w:val="16"/>
                <w:b w:val="1"/>
                <w:bCs w:val="1"/>
                <w:color w:val="auto"/>
              </w:rPr>
              <w:t>Six Months Ended</w:t>
            </w:r>
          </w:p>
        </w:tc>
        <w:tc>
          <w:tcPr>
            <w:tcW w:w="980" w:type="dxa"/>
            <w:vAlign w:val="bottom"/>
          </w:tcPr>
          <w:p>
            <w:pPr>
              <w:spacing w:after="0"/>
              <w:rPr>
                <w:sz w:val="17"/>
                <w:szCs w:val="17"/>
                <w:color w:val="auto"/>
              </w:rPr>
            </w:pPr>
          </w:p>
        </w:tc>
      </w:tr>
      <w:tr>
        <w:trPr>
          <w:trHeight w:val="210"/>
        </w:trPr>
        <w:tc>
          <w:tcPr>
            <w:tcW w:w="4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5"/>
          </w:tcPr>
          <w:p>
            <w:pPr>
              <w:ind w:left="580"/>
              <w:spacing w:after="0"/>
              <w:rPr>
                <w:sz w:val="20"/>
                <w:szCs w:val="20"/>
                <w:color w:val="auto"/>
              </w:rPr>
            </w:pPr>
            <w:r>
              <w:rPr>
                <w:rFonts w:ascii="Arial" w:cs="Arial" w:eastAsia="Arial" w:hAnsi="Arial"/>
                <w:sz w:val="16"/>
                <w:szCs w:val="16"/>
                <w:b w:val="1"/>
                <w:bCs w:val="1"/>
                <w:color w:val="auto"/>
                <w:w w:val="90"/>
              </w:rPr>
              <w:t>June 30,</w:t>
            </w: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tcPr>
          <w:p>
            <w:pPr>
              <w:jc w:val="right"/>
              <w:ind w:right="293"/>
              <w:spacing w:after="0"/>
              <w:rPr>
                <w:sz w:val="20"/>
                <w:szCs w:val="20"/>
                <w:color w:val="auto"/>
              </w:rPr>
            </w:pPr>
            <w:r>
              <w:rPr>
                <w:rFonts w:ascii="Arial" w:cs="Arial" w:eastAsia="Arial" w:hAnsi="Arial"/>
                <w:sz w:val="16"/>
                <w:szCs w:val="16"/>
                <w:b w:val="1"/>
                <w:bCs w:val="1"/>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5"/>
          </w:tcPr>
          <w:p>
            <w:pPr>
              <w:jc w:val="right"/>
              <w:ind w:right="20"/>
              <w:spacing w:after="0"/>
              <w:rPr>
                <w:sz w:val="20"/>
                <w:szCs w:val="20"/>
                <w:color w:val="auto"/>
              </w:rPr>
            </w:pPr>
            <w:r>
              <w:rPr>
                <w:rFonts w:ascii="Arial" w:cs="Arial" w:eastAsia="Arial" w:hAnsi="Arial"/>
                <w:sz w:val="16"/>
                <w:szCs w:val="16"/>
                <w:b w:val="1"/>
                <w:bCs w:val="1"/>
                <w:color w:val="auto"/>
              </w:rPr>
              <w:t>June 30,</w:t>
            </w: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jc w:val="right"/>
              <w:ind w:right="334"/>
              <w:spacing w:after="0"/>
              <w:rPr>
                <w:sz w:val="20"/>
                <w:szCs w:val="20"/>
                <w:color w:val="auto"/>
              </w:rPr>
            </w:pPr>
            <w:r>
              <w:rPr>
                <w:rFonts w:ascii="Arial" w:cs="Arial" w:eastAsia="Arial" w:hAnsi="Arial"/>
                <w:sz w:val="16"/>
                <w:szCs w:val="16"/>
                <w:b w:val="1"/>
                <w:bCs w:val="1"/>
                <w:color w:val="auto"/>
              </w:rPr>
              <w:t>%</w:t>
            </w:r>
          </w:p>
        </w:tc>
      </w:tr>
      <w:tr>
        <w:trPr>
          <w:trHeight w:val="33"/>
        </w:trPr>
        <w:tc>
          <w:tcPr>
            <w:tcW w:w="45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31"/>
        </w:trPr>
        <w:tc>
          <w:tcPr>
            <w:tcW w:w="4540" w:type="dxa"/>
            <w:vAlign w:val="bottom"/>
            <w:gridSpan w:val="2"/>
          </w:tcPr>
          <w:p>
            <w:pPr>
              <w:ind w:left="40"/>
              <w:spacing w:after="0"/>
              <w:rPr>
                <w:sz w:val="20"/>
                <w:szCs w:val="20"/>
                <w:color w:val="auto"/>
              </w:rPr>
            </w:pPr>
            <w:r>
              <w:rPr>
                <w:rFonts w:ascii="Arial" w:cs="Arial" w:eastAsia="Arial" w:hAnsi="Arial"/>
                <w:sz w:val="16"/>
                <w:szCs w:val="16"/>
                <w:b w:val="1"/>
                <w:bCs w:val="1"/>
                <w:i w:val="1"/>
                <w:iCs w:val="1"/>
                <w:color w:val="auto"/>
              </w:rPr>
              <w:t>GAAP Results</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ind w:left="120"/>
              <w:spacing w:after="0"/>
              <w:rPr>
                <w:sz w:val="20"/>
                <w:szCs w:val="20"/>
                <w:color w:val="auto"/>
              </w:rPr>
            </w:pPr>
            <w:r>
              <w:rPr>
                <w:rFonts w:ascii="Arial" w:cs="Arial" w:eastAsia="Arial" w:hAnsi="Arial"/>
                <w:sz w:val="16"/>
                <w:szCs w:val="16"/>
                <w:b w:val="1"/>
                <w:bCs w:val="1"/>
                <w:color w:val="auto"/>
              </w:rPr>
              <w:t>2017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jc w:val="right"/>
              <w:ind w:right="212"/>
              <w:spacing w:after="0"/>
              <w:rPr>
                <w:sz w:val="20"/>
                <w:szCs w:val="20"/>
                <w:color w:val="auto"/>
              </w:rPr>
            </w:pPr>
            <w:r>
              <w:rPr>
                <w:rFonts w:ascii="Arial" w:cs="Arial" w:eastAsia="Arial" w:hAnsi="Arial"/>
                <w:sz w:val="16"/>
                <w:szCs w:val="16"/>
                <w:b w:val="1"/>
                <w:bCs w:val="1"/>
                <w:color w:val="auto"/>
              </w:rPr>
              <w:t>2016</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Change</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ind w:right="234"/>
              <w:spacing w:after="0"/>
              <w:rPr>
                <w:sz w:val="20"/>
                <w:szCs w:val="20"/>
                <w:color w:val="auto"/>
              </w:rPr>
            </w:pPr>
            <w:r>
              <w:rPr>
                <w:rFonts w:ascii="Arial" w:cs="Arial" w:eastAsia="Arial" w:hAnsi="Arial"/>
                <w:sz w:val="16"/>
                <w:szCs w:val="16"/>
                <w:b w:val="1"/>
                <w:bCs w:val="1"/>
                <w:color w:val="auto"/>
              </w:rPr>
              <w:t>2017</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jc w:val="right"/>
              <w:ind w:right="212"/>
              <w:spacing w:after="0"/>
              <w:rPr>
                <w:sz w:val="20"/>
                <w:szCs w:val="20"/>
                <w:color w:val="auto"/>
              </w:rPr>
            </w:pPr>
            <w:r>
              <w:rPr>
                <w:rFonts w:ascii="Arial" w:cs="Arial" w:eastAsia="Arial" w:hAnsi="Arial"/>
                <w:sz w:val="16"/>
                <w:szCs w:val="16"/>
                <w:b w:val="1"/>
                <w:bCs w:val="1"/>
                <w:color w:val="auto"/>
              </w:rPr>
              <w:t>2016</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tcPr>
          <w:p>
            <w:pPr>
              <w:jc w:val="right"/>
              <w:ind w:right="134"/>
              <w:spacing w:after="0"/>
              <w:rPr>
                <w:sz w:val="20"/>
                <w:szCs w:val="20"/>
                <w:color w:val="auto"/>
              </w:rPr>
            </w:pPr>
            <w:r>
              <w:rPr>
                <w:rFonts w:ascii="Arial" w:cs="Arial" w:eastAsia="Arial" w:hAnsi="Arial"/>
                <w:sz w:val="16"/>
                <w:szCs w:val="16"/>
                <w:b w:val="1"/>
                <w:bCs w:val="1"/>
                <w:color w:val="auto"/>
              </w:rPr>
              <w:t>Change</w:t>
            </w:r>
          </w:p>
        </w:tc>
      </w:tr>
      <w:tr>
        <w:trPr>
          <w:trHeight w:val="33"/>
        </w:trPr>
        <w:tc>
          <w:tcPr>
            <w:tcW w:w="45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 attributable to PAA</w:t>
            </w:r>
          </w:p>
        </w:tc>
        <w:tc>
          <w:tcPr>
            <w:tcW w:w="34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86 %</w:t>
            </w: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3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r>
      <w:tr>
        <w:trPr>
          <w:trHeight w:val="243"/>
        </w:trPr>
        <w:tc>
          <w:tcPr>
            <w:tcW w:w="4540" w:type="dxa"/>
            <w:vAlign w:val="bottom"/>
            <w:gridSpan w:val="2"/>
          </w:tcPr>
          <w:p>
            <w:pPr>
              <w:ind w:left="40"/>
              <w:spacing w:after="0"/>
              <w:rPr>
                <w:sz w:val="20"/>
                <w:szCs w:val="20"/>
                <w:color w:val="auto"/>
              </w:rPr>
            </w:pPr>
            <w:r>
              <w:rPr>
                <w:rFonts w:ascii="Arial" w:cs="Arial" w:eastAsia="Arial" w:hAnsi="Arial"/>
                <w:sz w:val="18"/>
                <w:szCs w:val="18"/>
                <w:color w:val="auto"/>
              </w:rPr>
              <w:t>Diluted net income/(loss) per common unit</w:t>
            </w:r>
          </w:p>
        </w:tc>
        <w:tc>
          <w:tcPr>
            <w:tcW w:w="34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0.21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(0.20)</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205 %</w:t>
            </w:r>
          </w:p>
        </w:tc>
        <w:tc>
          <w:tcPr>
            <w:tcW w:w="4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3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0.78</w:t>
            </w:r>
          </w:p>
        </w:tc>
        <w:tc>
          <w:tcPr>
            <w:tcW w:w="40" w:type="dxa"/>
            <w:vAlign w:val="bottom"/>
          </w:tcPr>
          <w:p>
            <w:pPr>
              <w:spacing w:after="0"/>
              <w:rPr>
                <w:sz w:val="21"/>
                <w:szCs w:val="21"/>
                <w:color w:val="auto"/>
              </w:rPr>
            </w:pPr>
          </w:p>
        </w:tc>
        <w:tc>
          <w:tcPr>
            <w:tcW w:w="3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(0.13)</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700%</w:t>
            </w:r>
          </w:p>
        </w:tc>
      </w:tr>
      <w:tr>
        <w:trPr>
          <w:trHeight w:val="27"/>
        </w:trPr>
        <w:tc>
          <w:tcPr>
            <w:tcW w:w="45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4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Diluted weighted average common units outstanding</w:t>
            </w: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83 %</w:t>
            </w:r>
          </w:p>
        </w:tc>
        <w:tc>
          <w:tcPr>
            <w:tcW w:w="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right w:val="single" w:sz="8" w:color="auto"/>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r>
      <w:tr>
        <w:trPr>
          <w:trHeight w:val="264"/>
        </w:trPr>
        <w:tc>
          <w:tcPr>
            <w:tcW w:w="4540" w:type="dxa"/>
            <w:vAlign w:val="bottom"/>
            <w:gridSpan w:val="2"/>
          </w:tcPr>
          <w:p>
            <w:pPr>
              <w:ind w:left="40"/>
              <w:spacing w:after="0"/>
              <w:rPr>
                <w:sz w:val="20"/>
                <w:szCs w:val="20"/>
                <w:color w:val="auto"/>
              </w:rPr>
            </w:pPr>
            <w:r>
              <w:rPr>
                <w:rFonts w:ascii="Arial" w:cs="Arial" w:eastAsia="Arial" w:hAnsi="Arial"/>
                <w:sz w:val="18"/>
                <w:szCs w:val="18"/>
                <w:color w:val="auto"/>
              </w:rPr>
              <w:t>Distribution per common unit declared for the period</w:t>
            </w:r>
          </w:p>
        </w:tc>
        <w:tc>
          <w:tcPr>
            <w:tcW w:w="120" w:type="dxa"/>
            <w:vAlign w:val="bottom"/>
            <w:gridSpan w:val="2"/>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0.55</w:t>
            </w:r>
          </w:p>
        </w:tc>
        <w:tc>
          <w:tcPr>
            <w:tcW w:w="20" w:type="dxa"/>
            <w:vAlign w:val="bottom"/>
            <w:tcBorders>
              <w:top w:val="single" w:sz="8" w:color="auto"/>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0.70</w:t>
            </w:r>
          </w:p>
        </w:tc>
        <w:tc>
          <w:tcPr>
            <w:tcW w:w="40" w:type="dxa"/>
            <w:vAlign w:val="bottom"/>
            <w:tcBorders>
              <w:top w:val="single" w:sz="8" w:color="auto"/>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(21.4)%</w:t>
            </w:r>
          </w:p>
        </w:tc>
        <w:tc>
          <w:tcPr>
            <w:tcW w:w="140" w:type="dxa"/>
            <w:vAlign w:val="bottom"/>
            <w:tcBorders>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560"/>
        </w:trPr>
        <w:tc>
          <w:tcPr>
            <w:tcW w:w="4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20" w:type="dxa"/>
            <w:vAlign w:val="bottom"/>
            <w:gridSpan w:val="9"/>
          </w:tcPr>
          <w:p>
            <w:pPr>
              <w:ind w:left="100"/>
              <w:spacing w:after="0"/>
              <w:rPr>
                <w:sz w:val="20"/>
                <w:szCs w:val="20"/>
                <w:color w:val="auto"/>
              </w:rPr>
            </w:pPr>
            <w:r>
              <w:rPr>
                <w:rFonts w:ascii="Arial" w:cs="Arial" w:eastAsia="Arial" w:hAnsi="Arial"/>
                <w:sz w:val="16"/>
                <w:szCs w:val="16"/>
                <w:b w:val="1"/>
                <w:bCs w:val="1"/>
                <w:color w:val="auto"/>
              </w:rPr>
              <w:t>Three Months Ended</w:t>
            </w: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60" w:type="dxa"/>
            <w:vAlign w:val="bottom"/>
            <w:gridSpan w:val="9"/>
          </w:tcPr>
          <w:p>
            <w:pPr>
              <w:ind w:left="200"/>
              <w:spacing w:after="0"/>
              <w:rPr>
                <w:sz w:val="20"/>
                <w:szCs w:val="20"/>
                <w:color w:val="auto"/>
              </w:rPr>
            </w:pPr>
            <w:r>
              <w:rPr>
                <w:rFonts w:ascii="Arial" w:cs="Arial" w:eastAsia="Arial" w:hAnsi="Arial"/>
                <w:sz w:val="16"/>
                <w:szCs w:val="16"/>
                <w:b w:val="1"/>
                <w:bCs w:val="1"/>
                <w:color w:val="auto"/>
              </w:rPr>
              <w:t>Six Months Ended</w:t>
            </w:r>
          </w:p>
        </w:tc>
        <w:tc>
          <w:tcPr>
            <w:tcW w:w="980" w:type="dxa"/>
            <w:vAlign w:val="bottom"/>
          </w:tcPr>
          <w:p>
            <w:pPr>
              <w:spacing w:after="0"/>
              <w:rPr>
                <w:sz w:val="24"/>
                <w:szCs w:val="24"/>
                <w:color w:val="auto"/>
              </w:rPr>
            </w:pPr>
          </w:p>
        </w:tc>
      </w:tr>
      <w:tr>
        <w:trPr>
          <w:trHeight w:val="210"/>
        </w:trPr>
        <w:tc>
          <w:tcPr>
            <w:tcW w:w="4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5"/>
          </w:tcPr>
          <w:p>
            <w:pPr>
              <w:ind w:left="540"/>
              <w:spacing w:after="0"/>
              <w:rPr>
                <w:sz w:val="20"/>
                <w:szCs w:val="20"/>
                <w:color w:val="auto"/>
              </w:rPr>
            </w:pPr>
            <w:r>
              <w:rPr>
                <w:rFonts w:ascii="Arial" w:cs="Arial" w:eastAsia="Arial" w:hAnsi="Arial"/>
                <w:sz w:val="16"/>
                <w:szCs w:val="16"/>
                <w:b w:val="1"/>
                <w:bCs w:val="1"/>
                <w:color w:val="auto"/>
                <w:w w:val="96"/>
              </w:rPr>
              <w:t>June 30,</w:t>
            </w: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tcPr>
          <w:p>
            <w:pPr>
              <w:jc w:val="right"/>
              <w:ind w:right="353"/>
              <w:spacing w:after="0"/>
              <w:rPr>
                <w:sz w:val="20"/>
                <w:szCs w:val="20"/>
                <w:color w:val="auto"/>
              </w:rPr>
            </w:pPr>
            <w:r>
              <w:rPr>
                <w:rFonts w:ascii="Arial" w:cs="Arial" w:eastAsia="Arial" w:hAnsi="Arial"/>
                <w:sz w:val="16"/>
                <w:szCs w:val="16"/>
                <w:b w:val="1"/>
                <w:bCs w:val="1"/>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5"/>
          </w:tcPr>
          <w:p>
            <w:pPr>
              <w:jc w:val="right"/>
              <w:ind w:right="80"/>
              <w:spacing w:after="0"/>
              <w:rPr>
                <w:sz w:val="20"/>
                <w:szCs w:val="20"/>
                <w:color w:val="auto"/>
              </w:rPr>
            </w:pPr>
            <w:r>
              <w:rPr>
                <w:rFonts w:ascii="Arial" w:cs="Arial" w:eastAsia="Arial" w:hAnsi="Arial"/>
                <w:sz w:val="16"/>
                <w:szCs w:val="16"/>
                <w:b w:val="1"/>
                <w:bCs w:val="1"/>
                <w:color w:val="auto"/>
              </w:rPr>
              <w:t>June 30,</w:t>
            </w: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jc w:val="right"/>
              <w:ind w:right="354"/>
              <w:spacing w:after="0"/>
              <w:rPr>
                <w:sz w:val="20"/>
                <w:szCs w:val="20"/>
                <w:color w:val="auto"/>
              </w:rPr>
            </w:pPr>
            <w:r>
              <w:rPr>
                <w:rFonts w:ascii="Arial" w:cs="Arial" w:eastAsia="Arial" w:hAnsi="Arial"/>
                <w:sz w:val="16"/>
                <w:szCs w:val="16"/>
                <w:b w:val="1"/>
                <w:bCs w:val="1"/>
                <w:color w:val="auto"/>
              </w:rPr>
              <w:t>%</w:t>
            </w:r>
          </w:p>
        </w:tc>
      </w:tr>
      <w:tr>
        <w:trPr>
          <w:trHeight w:val="33"/>
        </w:trPr>
        <w:tc>
          <w:tcPr>
            <w:tcW w:w="45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64"/>
        </w:trPr>
        <w:tc>
          <w:tcPr>
            <w:tcW w:w="45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i w:val="1"/>
                <w:iCs w:val="1"/>
                <w:color w:val="auto"/>
              </w:rPr>
              <w:t xml:space="preserve">Non-GAAP Results </w:t>
            </w:r>
            <w:r>
              <w:rPr>
                <w:rFonts w:ascii="Arial" w:cs="Arial" w:eastAsia="Arial" w:hAnsi="Arial"/>
                <w:sz w:val="21"/>
                <w:szCs w:val="21"/>
                <w:b w:val="1"/>
                <w:bCs w:val="1"/>
                <w:i w:val="1"/>
                <w:iCs w:val="1"/>
                <w:color w:val="auto"/>
                <w:vertAlign w:val="superscript"/>
              </w:rPr>
              <w:t>(1)</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2017</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52"/>
              <w:spacing w:after="0"/>
              <w:rPr>
                <w:sz w:val="20"/>
                <w:szCs w:val="20"/>
                <w:color w:val="auto"/>
              </w:rPr>
            </w:pPr>
            <w:r>
              <w:rPr>
                <w:rFonts w:ascii="Arial" w:cs="Arial" w:eastAsia="Arial" w:hAnsi="Arial"/>
                <w:sz w:val="16"/>
                <w:szCs w:val="16"/>
                <w:b w:val="1"/>
                <w:bCs w:val="1"/>
                <w:color w:val="auto"/>
                <w:w w:val="95"/>
              </w:rPr>
              <w:t>2016</w:t>
            </w:r>
          </w:p>
        </w:tc>
        <w:tc>
          <w:tcPr>
            <w:tcW w:w="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53"/>
              <w:spacing w:after="0"/>
              <w:rPr>
                <w:sz w:val="20"/>
                <w:szCs w:val="20"/>
                <w:color w:val="auto"/>
              </w:rPr>
            </w:pPr>
            <w:r>
              <w:rPr>
                <w:rFonts w:ascii="Arial" w:cs="Arial" w:eastAsia="Arial" w:hAnsi="Arial"/>
                <w:sz w:val="16"/>
                <w:szCs w:val="16"/>
                <w:b w:val="1"/>
                <w:bCs w:val="1"/>
                <w:color w:val="auto"/>
              </w:rPr>
              <w:t>Change</w:t>
            </w:r>
          </w:p>
        </w:tc>
        <w:tc>
          <w:tcPr>
            <w:tcW w:w="4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6"/>
                <w:szCs w:val="16"/>
                <w:b w:val="1"/>
                <w:bCs w:val="1"/>
                <w:color w:val="auto"/>
              </w:rPr>
              <w:t>2017</w:t>
            </w:r>
          </w:p>
        </w:tc>
        <w:tc>
          <w:tcPr>
            <w:tcW w:w="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72"/>
              <w:spacing w:after="0"/>
              <w:rPr>
                <w:sz w:val="20"/>
                <w:szCs w:val="20"/>
                <w:color w:val="auto"/>
              </w:rPr>
            </w:pPr>
            <w:r>
              <w:rPr>
                <w:rFonts w:ascii="Arial" w:cs="Arial" w:eastAsia="Arial" w:hAnsi="Arial"/>
                <w:sz w:val="16"/>
                <w:szCs w:val="16"/>
                <w:b w:val="1"/>
                <w:bCs w:val="1"/>
                <w:color w:val="auto"/>
                <w:w w:val="89"/>
              </w:rPr>
              <w:t>2016</w:t>
            </w:r>
          </w:p>
        </w:tc>
        <w:tc>
          <w:tcPr>
            <w:tcW w:w="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74"/>
              <w:spacing w:after="0"/>
              <w:rPr>
                <w:sz w:val="20"/>
                <w:szCs w:val="20"/>
                <w:color w:val="auto"/>
              </w:rPr>
            </w:pPr>
            <w:r>
              <w:rPr>
                <w:rFonts w:ascii="Arial" w:cs="Arial" w:eastAsia="Arial" w:hAnsi="Arial"/>
                <w:sz w:val="16"/>
                <w:szCs w:val="16"/>
                <w:b w:val="1"/>
                <w:bCs w:val="1"/>
                <w:color w:val="auto"/>
              </w:rPr>
              <w:t>Change</w:t>
            </w:r>
          </w:p>
        </w:tc>
      </w:tr>
      <w:tr>
        <w:trPr>
          <w:trHeight w:val="244"/>
        </w:trPr>
        <w:tc>
          <w:tcPr>
            <w:tcW w:w="4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Adjusted net income attributable to PAA</w:t>
            </w:r>
          </w:p>
        </w:tc>
        <w:tc>
          <w:tcPr>
            <w:tcW w:w="340" w:type="dxa"/>
            <w:vAlign w:val="bottom"/>
            <w:tcBorders>
              <w:bottom w:val="single" w:sz="8" w:color="CCEEFF"/>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136</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39 %</w:t>
            </w: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3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414</w:t>
            </w:r>
          </w:p>
        </w:tc>
        <w:tc>
          <w:tcPr>
            <w:tcW w:w="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491</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43"/>
        </w:trPr>
        <w:tc>
          <w:tcPr>
            <w:tcW w:w="4540" w:type="dxa"/>
            <w:vAlign w:val="bottom"/>
            <w:gridSpan w:val="2"/>
          </w:tcPr>
          <w:p>
            <w:pPr>
              <w:ind w:left="40"/>
              <w:spacing w:after="0"/>
              <w:rPr>
                <w:sz w:val="20"/>
                <w:szCs w:val="20"/>
                <w:color w:val="auto"/>
              </w:rPr>
            </w:pPr>
            <w:r>
              <w:rPr>
                <w:rFonts w:ascii="Arial" w:cs="Arial" w:eastAsia="Arial" w:hAnsi="Arial"/>
                <w:sz w:val="18"/>
                <w:szCs w:val="18"/>
                <w:color w:val="auto"/>
              </w:rPr>
              <w:t>Diluted adjusted net income/(loss) per common unit</w:t>
            </w:r>
          </w:p>
        </w:tc>
        <w:tc>
          <w:tcPr>
            <w:tcW w:w="34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0.21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(0.12)</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275 %</w:t>
            </w:r>
          </w:p>
        </w:tc>
        <w:tc>
          <w:tcPr>
            <w:tcW w:w="4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3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0.47</w:t>
            </w:r>
          </w:p>
        </w:tc>
        <w:tc>
          <w:tcPr>
            <w:tcW w:w="40" w:type="dxa"/>
            <w:vAlign w:val="bottom"/>
          </w:tcPr>
          <w:p>
            <w:pPr>
              <w:spacing w:after="0"/>
              <w:rPr>
                <w:sz w:val="21"/>
                <w:szCs w:val="21"/>
                <w:color w:val="auto"/>
              </w:rPr>
            </w:pPr>
          </w:p>
        </w:tc>
        <w:tc>
          <w:tcPr>
            <w:tcW w:w="3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0.33</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42 %</w:t>
            </w:r>
          </w:p>
        </w:tc>
      </w:tr>
      <w:tr>
        <w:trPr>
          <w:trHeight w:val="27"/>
        </w:trPr>
        <w:tc>
          <w:tcPr>
            <w:tcW w:w="45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454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Adjusted EBITDA </w:t>
            </w:r>
            <w:r>
              <w:rPr>
                <w:rFonts w:ascii="Arial" w:cs="Arial" w:eastAsia="Arial" w:hAnsi="Arial"/>
                <w:sz w:val="25"/>
                <w:szCs w:val="25"/>
                <w:color w:val="auto"/>
                <w:vertAlign w:val="superscript"/>
              </w:rPr>
              <w:t>(2)</w:t>
            </w:r>
          </w:p>
        </w:tc>
        <w:tc>
          <w:tcPr>
            <w:tcW w:w="34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451</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474</w:t>
            </w: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23"/>
                <w:szCs w:val="23"/>
                <w:color w:val="auto"/>
              </w:rPr>
            </w:pPr>
          </w:p>
        </w:tc>
        <w:tc>
          <w:tcPr>
            <w:tcW w:w="140" w:type="dxa"/>
            <w:vAlign w:val="bottom"/>
            <w:tcBorders>
              <w:right w:val="single" w:sz="8" w:color="auto"/>
            </w:tcBorders>
            <w:shd w:val="clear" w:color="auto" w:fill="CCEEFF"/>
          </w:tcPr>
          <w:p>
            <w:pPr>
              <w:spacing w:after="0"/>
              <w:rPr>
                <w:sz w:val="23"/>
                <w:szCs w:val="23"/>
                <w:color w:val="auto"/>
              </w:rPr>
            </w:pPr>
          </w:p>
        </w:tc>
        <w:tc>
          <w:tcPr>
            <w:tcW w:w="3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963</w:t>
            </w:r>
          </w:p>
        </w:tc>
        <w:tc>
          <w:tcPr>
            <w:tcW w:w="40" w:type="dxa"/>
            <w:vAlign w:val="bottom"/>
            <w:shd w:val="clear" w:color="auto" w:fill="CCEEFF"/>
          </w:tcPr>
          <w:p>
            <w:pPr>
              <w:spacing w:after="0"/>
              <w:rPr>
                <w:sz w:val="23"/>
                <w:szCs w:val="23"/>
                <w:color w:val="auto"/>
              </w:rPr>
            </w:pPr>
          </w:p>
        </w:tc>
        <w:tc>
          <w:tcPr>
            <w:tcW w:w="3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1,107</w:t>
            </w: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90" w:lineRule="exact"/>
        <w:rPr>
          <w:sz w:val="20"/>
          <w:szCs w:val="20"/>
          <w:color w:val="auto"/>
        </w:rPr>
      </w:pPr>
    </w:p>
    <w:p>
      <w:pPr>
        <w:ind w:left="340" w:right="180" w:hanging="332"/>
        <w:spacing w:after="0" w:line="232" w:lineRule="auto"/>
        <w:tabs>
          <w:tab w:leader="none" w:pos="340" w:val="left"/>
        </w:tabs>
        <w:numPr>
          <w:ilvl w:val="0"/>
          <w:numId w:val="1"/>
        </w:numPr>
        <w:rPr>
          <w:rFonts w:ascii="Arial" w:cs="Arial" w:eastAsia="Arial" w:hAnsi="Arial"/>
          <w:sz w:val="25"/>
          <w:szCs w:val="25"/>
          <w:color w:val="auto"/>
          <w:vertAlign w:val="superscript"/>
        </w:rPr>
      </w:pPr>
      <w:r>
        <w:rPr>
          <w:rFonts w:ascii="Arial" w:cs="Arial" w:eastAsia="Arial" w:hAnsi="Arial"/>
          <w:sz w:val="18"/>
          <w:szCs w:val="18"/>
          <w:color w:val="auto"/>
        </w:rPr>
        <w:t>See the section of this release entitled “Non-GAAP Financial Measures and Selected Items Impacting Comparability” and the tables attached hereto for information regarding certain selected items that PAA believes impact comparability of financial results between reporting periods, as well as for information regarding non-GAAP financial measures (such as adjusted EBITDA) and their reconciliation to the most directly comparable measures as reported in accordance with GAAP.</w:t>
      </w:r>
    </w:p>
    <w:p>
      <w:pPr>
        <w:spacing w:after="0" w:line="37" w:lineRule="exact"/>
        <w:rPr>
          <w:rFonts w:ascii="Arial" w:cs="Arial" w:eastAsia="Arial" w:hAnsi="Arial"/>
          <w:sz w:val="25"/>
          <w:szCs w:val="25"/>
          <w:color w:val="auto"/>
          <w:vertAlign w:val="superscript"/>
        </w:rPr>
      </w:pPr>
    </w:p>
    <w:p>
      <w:pPr>
        <w:ind w:left="340" w:hanging="332"/>
        <w:spacing w:after="0"/>
        <w:tabs>
          <w:tab w:leader="none" w:pos="340" w:val="left"/>
        </w:tabs>
        <w:numPr>
          <w:ilvl w:val="0"/>
          <w:numId w:val="1"/>
        </w:numPr>
        <w:rPr>
          <w:rFonts w:ascii="Arial" w:cs="Arial" w:eastAsia="Arial" w:hAnsi="Arial"/>
          <w:sz w:val="25"/>
          <w:szCs w:val="25"/>
          <w:color w:val="auto"/>
          <w:vertAlign w:val="superscript"/>
        </w:rPr>
      </w:pPr>
      <w:r>
        <w:rPr>
          <w:rFonts w:ascii="Arial" w:cs="Arial" w:eastAsia="Arial" w:hAnsi="Arial"/>
          <w:sz w:val="18"/>
          <w:szCs w:val="18"/>
          <w:color w:val="auto"/>
        </w:rPr>
        <w:t>Prior period amounts have been recast to conform to certain changes made in the fourth quarter of 2016.</w:t>
      </w:r>
    </w:p>
    <w:p>
      <w:pPr>
        <w:spacing w:after="0" w:line="202"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“This afternoon PAA reported second-quarter results in line with the guidance provided in May,” stated Greg L. Armstrong, Chairman and CEO of Plains All American Pipeline. “We continue to generate attractive year-over-year growth in our fee-based segments, as second quarter 2017 results for our Transportation and Facilities segments increased an aggregate of 10% over last year’s comparative quarterly results. Additionally, our outlook for our fee-based segments, which comprise more than 90% of our consolidated Adjusted EBITDA, remains solid. Based on completion of several projects and step ups in commitment levels, we currently expect these two fee-based segments to generate approximately 15% growth in 2018.</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7" w:lineRule="exact"/>
        <w:rPr>
          <w:sz w:val="20"/>
          <w:szCs w:val="20"/>
          <w:color w:val="auto"/>
        </w:rPr>
      </w:pPr>
    </w:p>
    <w:p>
      <w:pPr>
        <w:ind w:left="1800"/>
        <w:spacing w:after="0"/>
        <w:tabs>
          <w:tab w:leader="none" w:pos="4920" w:val="left"/>
          <w:tab w:leader="none" w:pos="76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420"/>
          </w:cols>
          <w:pgMar w:left="240" w:top="337"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auto"/>
        </w:rPr>
        <w:t>Page 2</w:t>
      </w:r>
    </w:p>
    <w:p>
      <w:pPr>
        <w:spacing w:after="0" w:line="252"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“Unfortunately, we continue to experience significant downward pressure in our margin-based Supply and Logistics segment. As a result, we updated our full-year 2017 Adjusted EBITDA guidance and our 2018 preliminary forecast. The updated 2017 guidance reflects a downward revision of $185 million, or 8%, primarily associated with the Supply &amp; Logistics segment. Our 2018 preliminary forecast now includes a range with respect to our Supply &amp; Logistics segment, from $100 million to $300 million.</w:t>
      </w:r>
    </w:p>
    <w:p>
      <w:pPr>
        <w:spacing w:after="0" w:line="187"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“The revisions to our updated 2017 Adjusted EBITDA guidance are associated with our Supply and Logistics activities, primarily due to a lack of visibility for crude oil and NGL arbitrage opportunities that we have historically been able to capture with our asset base and business model and margin erosion in our crude oil and NGL supply activities.</w:t>
      </w:r>
    </w:p>
    <w:p>
      <w:pPr>
        <w:spacing w:after="0" w:line="181"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“As we will discuss on our conference call, we are taking a number of actions to ensure we are responsive to the market changes experienced by our Supply and Logistics businesses. These actions include changing the way we plan to manage our distribution and taking other business, financial and balance sheet management actions.” Armstrong noted that the conference call will be held today, August 7, 2017, at 5:00 p.m. Central Time versus the originally scheduled time of Tuesday, August 8, 2017 at 10:00 a.m. Central Time.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Segment adjusted EBITDA for the second quarter and first half of 2017 is presented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of Selected Financial Data by Segment</w:t>
      </w:r>
      <w:r>
        <w:rPr>
          <w:rFonts w:ascii="Arial" w:cs="Arial" w:eastAsia="Arial" w:hAnsi="Arial"/>
          <w:sz w:val="18"/>
          <w:szCs w:val="18"/>
          <w:b w:val="1"/>
          <w:bCs w:val="1"/>
          <w:color w:val="auto"/>
        </w:rPr>
        <w:t xml:space="preserve"> </w:t>
      </w:r>
      <w:r>
        <w:rPr>
          <w:rFonts w:ascii="Arial" w:cs="Arial" w:eastAsia="Arial" w:hAnsi="Arial"/>
          <w:sz w:val="25"/>
          <w:szCs w:val="25"/>
          <w:b w:val="1"/>
          <w:bCs w:val="1"/>
          <w:color w:val="auto"/>
          <w:vertAlign w:val="superscript"/>
        </w:rPr>
        <w:t>(1)</w:t>
      </w:r>
      <w:r>
        <w:rPr>
          <w:rFonts w:ascii="Arial" w:cs="Arial" w:eastAsia="Arial" w:hAnsi="Arial"/>
          <w:sz w:val="18"/>
          <w:szCs w:val="18"/>
          <w:b w:val="1"/>
          <w:bCs w:val="1"/>
          <w:color w:val="auto"/>
        </w:rPr>
        <w:t xml:space="preserve"> </w:t>
      </w:r>
      <w:r>
        <w:rPr>
          <w:rFonts w:ascii="Arial" w:cs="Arial" w:eastAsia="Arial" w:hAnsi="Arial"/>
          <w:sz w:val="18"/>
          <w:szCs w:val="18"/>
          <w:color w:val="auto"/>
        </w:rPr>
        <w:t>(unaudited)</w:t>
      </w:r>
    </w:p>
    <w:p>
      <w:pPr>
        <w:spacing w:after="0"/>
        <w:rPr>
          <w:sz w:val="20"/>
          <w:szCs w:val="20"/>
          <w:color w:val="auto"/>
        </w:rPr>
      </w:pPr>
      <w:r>
        <w:rPr>
          <w:rFonts w:ascii="Arial" w:cs="Arial" w:eastAsia="Arial" w:hAnsi="Arial"/>
          <w:sz w:val="18"/>
          <w:szCs w:val="18"/>
          <w:color w:val="auto"/>
        </w:rPr>
        <w:t>(in millions)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Three Months Ended</w:t>
            </w: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0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June 30, 2017</w:t>
            </w: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0"/>
              </w:rPr>
              <w:t>June 30, 2016</w:t>
            </w: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vMerge w:val="restart"/>
          </w:tcPr>
          <w:p>
            <w:pPr>
              <w:jc w:val="right"/>
              <w:ind w:right="116"/>
              <w:spacing w:after="0"/>
              <w:rPr>
                <w:sz w:val="20"/>
                <w:szCs w:val="20"/>
                <w:color w:val="auto"/>
              </w:rPr>
            </w:pPr>
            <w:r>
              <w:rPr>
                <w:rFonts w:ascii="Arial" w:cs="Arial" w:eastAsia="Arial" w:hAnsi="Arial"/>
                <w:sz w:val="14"/>
                <w:szCs w:val="14"/>
                <w:b w:val="1"/>
                <w:bCs w:val="1"/>
                <w:color w:val="auto"/>
                <w:w w:val="95"/>
              </w:rPr>
              <w:t>Transportation</w:t>
            </w:r>
          </w:p>
        </w:tc>
        <w:tc>
          <w:tcPr>
            <w:tcW w:w="1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vMerge w:val="restart"/>
          </w:tcPr>
          <w:p>
            <w:pPr>
              <w:jc w:val="right"/>
              <w:ind w:right="299"/>
              <w:spacing w:after="0"/>
              <w:rPr>
                <w:sz w:val="20"/>
                <w:szCs w:val="20"/>
                <w:color w:val="auto"/>
              </w:rPr>
            </w:pPr>
            <w:r>
              <w:rPr>
                <w:rFonts w:ascii="Arial" w:cs="Arial" w:eastAsia="Arial" w:hAnsi="Arial"/>
                <w:sz w:val="14"/>
                <w:szCs w:val="14"/>
                <w:b w:val="1"/>
                <w:bCs w:val="1"/>
                <w:color w:val="auto"/>
              </w:rPr>
              <w:t>Facilities</w:t>
            </w:r>
          </w:p>
        </w:tc>
        <w:tc>
          <w:tcPr>
            <w:tcW w:w="100" w:type="dxa"/>
            <w:vAlign w:val="bottom"/>
            <w:vMerge w:val="restart"/>
          </w:tcPr>
          <w:p>
            <w:pPr>
              <w:spacing w:after="0"/>
              <w:rPr>
                <w:sz w:val="13"/>
                <w:szCs w:val="13"/>
                <w:color w:val="auto"/>
              </w:rPr>
            </w:pPr>
          </w:p>
        </w:tc>
        <w:tc>
          <w:tcPr>
            <w:tcW w:w="13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2"/>
              </w:rPr>
              <w:t>Supply and Logistics</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w w:val="95"/>
              </w:rPr>
              <w:t>Transportation</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vMerge w:val="restart"/>
          </w:tcPr>
          <w:p>
            <w:pPr>
              <w:jc w:val="center"/>
              <w:ind w:right="82"/>
              <w:spacing w:after="0"/>
              <w:rPr>
                <w:sz w:val="20"/>
                <w:szCs w:val="20"/>
                <w:color w:val="auto"/>
              </w:rPr>
            </w:pPr>
            <w:r>
              <w:rPr>
                <w:rFonts w:ascii="Arial" w:cs="Arial" w:eastAsia="Arial" w:hAnsi="Arial"/>
                <w:sz w:val="14"/>
                <w:szCs w:val="14"/>
                <w:b w:val="1"/>
                <w:bCs w:val="1"/>
                <w:color w:val="auto"/>
                <w:w w:val="90"/>
              </w:rPr>
              <w:t>Facilities</w:t>
            </w:r>
          </w:p>
        </w:tc>
        <w:tc>
          <w:tcPr>
            <w:tcW w:w="1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jc w:val="center"/>
              <w:ind w:right="102"/>
              <w:spacing w:after="0" w:line="153" w:lineRule="exact"/>
              <w:rPr>
                <w:sz w:val="20"/>
                <w:szCs w:val="20"/>
                <w:color w:val="auto"/>
              </w:rPr>
            </w:pPr>
            <w:r>
              <w:rPr>
                <w:rFonts w:ascii="Arial" w:cs="Arial" w:eastAsia="Arial" w:hAnsi="Arial"/>
                <w:sz w:val="14"/>
                <w:szCs w:val="14"/>
                <w:b w:val="1"/>
                <w:bCs w:val="1"/>
                <w:color w:val="auto"/>
                <w:w w:val="92"/>
              </w:rPr>
              <w:t>Supply and</w:t>
            </w:r>
          </w:p>
        </w:tc>
        <w:tc>
          <w:tcPr>
            <w:tcW w:w="0" w:type="dxa"/>
            <w:vAlign w:val="bottom"/>
          </w:tcPr>
          <w:p>
            <w:pPr>
              <w:spacing w:after="0"/>
              <w:rPr>
                <w:sz w:val="1"/>
                <w:szCs w:val="1"/>
                <w:color w:val="auto"/>
              </w:rPr>
            </w:pPr>
          </w:p>
        </w:tc>
      </w:tr>
      <w:tr>
        <w:trPr>
          <w:trHeight w:val="192"/>
        </w:trPr>
        <w:tc>
          <w:tcPr>
            <w:tcW w:w="30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36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w w:val="87"/>
              </w:rPr>
              <w:t>Logistics</w:t>
            </w:r>
          </w:p>
        </w:tc>
        <w:tc>
          <w:tcPr>
            <w:tcW w:w="0" w:type="dxa"/>
            <w:vAlign w:val="bottom"/>
          </w:tcPr>
          <w:p>
            <w:pPr>
              <w:spacing w:after="0"/>
              <w:rPr>
                <w:sz w:val="1"/>
                <w:szCs w:val="1"/>
                <w:color w:val="auto"/>
              </w:rPr>
            </w:pPr>
          </w:p>
        </w:tc>
      </w:tr>
      <w:tr>
        <w:trPr>
          <w:trHeight w:val="263"/>
        </w:trPr>
        <w:tc>
          <w:tcPr>
            <w:tcW w:w="3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Segment adjusted EBITDA</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298</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rPr>
              <w:t>180</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(28)</w:t>
            </w:r>
          </w:p>
        </w:tc>
        <w:tc>
          <w:tcPr>
            <w:tcW w:w="120" w:type="dxa"/>
            <w:vAlign w:val="bottom"/>
            <w:tcBorders>
              <w:right w:val="single" w:sz="8" w:color="auto"/>
            </w:tcBorders>
            <w:shd w:val="clear" w:color="auto" w:fill="CCEEFF"/>
          </w:tcPr>
          <w:p>
            <w:pPr>
              <w:spacing w:after="0"/>
              <w:rPr>
                <w:sz w:val="22"/>
                <w:szCs w:val="22"/>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274</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161</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30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i w:val="1"/>
                <w:iCs w:val="1"/>
                <w:color w:val="auto"/>
                <w:w w:val="87"/>
              </w:rPr>
              <w:t>Percentage change in segment adjusted</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0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b w:val="1"/>
                <w:bCs w:val="1"/>
                <w:i w:val="1"/>
                <w:iCs w:val="1"/>
                <w:color w:val="auto"/>
              </w:rPr>
              <w:t>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b w:val="1"/>
                <w:bCs w:val="1"/>
                <w:i w:val="1"/>
                <w:iCs w:val="1"/>
                <w:color w:val="auto"/>
              </w:rPr>
              <w:t>12%</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b w:val="1"/>
                <w:bCs w:val="1"/>
                <w:i w:val="1"/>
                <w:iCs w:val="1"/>
                <w:color w:val="auto"/>
              </w:rPr>
              <w:t>(172)%</w:t>
            </w: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060" w:type="dxa"/>
            <w:vAlign w:val="bottom"/>
          </w:tcPr>
          <w:p>
            <w:pPr>
              <w:ind w:left="200"/>
              <w:spacing w:after="0"/>
              <w:rPr>
                <w:sz w:val="20"/>
                <w:szCs w:val="20"/>
                <w:color w:val="auto"/>
              </w:rPr>
            </w:pPr>
            <w:r>
              <w:rPr>
                <w:rFonts w:ascii="Arial" w:cs="Arial" w:eastAsia="Arial" w:hAnsi="Arial"/>
                <w:sz w:val="18"/>
                <w:szCs w:val="18"/>
                <w:b w:val="1"/>
                <w:bCs w:val="1"/>
                <w:i w:val="1"/>
                <w:iCs w:val="1"/>
                <w:color w:val="auto"/>
              </w:rPr>
              <w:t>EBITDA versus 2016 period</w:t>
            </w: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41" w:right="239" w:bottom="1440" w:gutter="0" w:footer="0" w:header="0"/>
        </w:sectPr>
      </w:pPr>
    </w:p>
    <w:p>
      <w:pPr>
        <w:spacing w:after="0" w:line="155" w:lineRule="exact"/>
        <w:rPr>
          <w:sz w:val="20"/>
          <w:szCs w:val="20"/>
          <w:color w:val="auto"/>
        </w:rPr>
      </w:pPr>
    </w:p>
    <w:p>
      <w:pPr>
        <w:jc w:val="center"/>
        <w:ind w:left="2160"/>
        <w:spacing w:after="0"/>
        <w:rPr>
          <w:sz w:val="20"/>
          <w:szCs w:val="20"/>
          <w:color w:val="auto"/>
        </w:rPr>
      </w:pPr>
      <w:r>
        <w:rPr>
          <w:rFonts w:ascii="Arial" w:cs="Arial" w:eastAsia="Arial" w:hAnsi="Arial"/>
          <w:sz w:val="13"/>
          <w:szCs w:val="13"/>
          <w:b w:val="1"/>
          <w:bCs w:val="1"/>
          <w:color w:val="auto"/>
        </w:rPr>
        <w:t>Six Months Ended</w:t>
      </w:r>
    </w:p>
    <w:p>
      <w:pPr>
        <w:spacing w:after="0" w:line="15" w:lineRule="exact"/>
        <w:rPr>
          <w:sz w:val="20"/>
          <w:szCs w:val="20"/>
          <w:color w:val="auto"/>
        </w:rPr>
      </w:pPr>
    </w:p>
    <w:p>
      <w:pPr>
        <w:jc w:val="center"/>
        <w:ind w:left="2160"/>
        <w:spacing w:after="0"/>
        <w:rPr>
          <w:sz w:val="20"/>
          <w:szCs w:val="20"/>
          <w:color w:val="auto"/>
        </w:rPr>
      </w:pPr>
      <w:r>
        <w:rPr>
          <w:rFonts w:ascii="Arial" w:cs="Arial" w:eastAsia="Arial" w:hAnsi="Arial"/>
          <w:sz w:val="14"/>
          <w:szCs w:val="14"/>
          <w:b w:val="1"/>
          <w:bCs w:val="1"/>
          <w:color w:val="auto"/>
        </w:rPr>
        <w:t>June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1934845</wp:posOffset>
            </wp:positionH>
            <wp:positionV relativeFrom="paragraph">
              <wp:posOffset>13335</wp:posOffset>
            </wp:positionV>
            <wp:extent cx="26758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jc w:val="center"/>
        <w:ind w:right="1380"/>
        <w:spacing w:after="0"/>
        <w:rPr>
          <w:sz w:val="20"/>
          <w:szCs w:val="20"/>
          <w:color w:val="auto"/>
        </w:rPr>
      </w:pPr>
      <w:r>
        <w:rPr>
          <w:rFonts w:ascii="Arial" w:cs="Arial" w:eastAsia="Arial" w:hAnsi="Arial"/>
          <w:sz w:val="13"/>
          <w:szCs w:val="13"/>
          <w:b w:val="1"/>
          <w:bCs w:val="1"/>
          <w:color w:val="auto"/>
        </w:rPr>
        <w:t>Six Months Ended</w:t>
      </w:r>
    </w:p>
    <w:p>
      <w:pPr>
        <w:spacing w:after="0" w:line="15" w:lineRule="exact"/>
        <w:rPr>
          <w:sz w:val="20"/>
          <w:szCs w:val="20"/>
          <w:color w:val="auto"/>
        </w:rPr>
      </w:pPr>
    </w:p>
    <w:p>
      <w:pPr>
        <w:jc w:val="center"/>
        <w:ind w:right="1380"/>
        <w:spacing w:after="0"/>
        <w:rPr>
          <w:sz w:val="20"/>
          <w:szCs w:val="20"/>
          <w:color w:val="auto"/>
        </w:rPr>
      </w:pPr>
      <w:r>
        <w:rPr>
          <w:rFonts w:ascii="Arial" w:cs="Arial" w:eastAsia="Arial" w:hAnsi="Arial"/>
          <w:sz w:val="14"/>
          <w:szCs w:val="14"/>
          <w:b w:val="1"/>
          <w:bCs w:val="1"/>
          <w:color w:val="auto"/>
        </w:rPr>
        <w:t>June 30,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-894715</wp:posOffset>
            </wp:positionH>
            <wp:positionV relativeFrom="paragraph">
              <wp:posOffset>13335</wp:posOffset>
            </wp:positionV>
            <wp:extent cx="24955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7" w:lineRule="exact"/>
        <w:rPr>
          <w:sz w:val="20"/>
          <w:szCs w:val="20"/>
          <w:color w:val="auto"/>
        </w:rPr>
      </w:pPr>
    </w:p>
    <w:p>
      <w:pPr>
        <w:sectPr>
          <w:pgSz w:w="11900" w:h="16838" w:orient="portrait"/>
          <w:cols w:equalWidth="0" w:num="2">
            <w:col w:w="8180" w:space="720"/>
            <w:col w:w="2520"/>
          </w:cols>
          <w:pgMar w:left="240" w:top="341" w:right="23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3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vMerge w:val="restart"/>
          </w:tcPr>
          <w:p>
            <w:pPr>
              <w:jc w:val="right"/>
              <w:ind w:right="116"/>
              <w:spacing w:after="0"/>
              <w:rPr>
                <w:sz w:val="20"/>
                <w:szCs w:val="20"/>
                <w:color w:val="auto"/>
              </w:rPr>
            </w:pPr>
            <w:r>
              <w:rPr>
                <w:rFonts w:ascii="Arial" w:cs="Arial" w:eastAsia="Arial" w:hAnsi="Arial"/>
                <w:sz w:val="14"/>
                <w:szCs w:val="14"/>
                <w:b w:val="1"/>
                <w:bCs w:val="1"/>
                <w:color w:val="auto"/>
                <w:w w:val="97"/>
              </w:rPr>
              <w:t>Transportation</w:t>
            </w:r>
          </w:p>
        </w:tc>
        <w:tc>
          <w:tcPr>
            <w:tcW w:w="10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vMerge w:val="restart"/>
          </w:tcPr>
          <w:p>
            <w:pPr>
              <w:jc w:val="right"/>
              <w:ind w:right="296"/>
              <w:spacing w:after="0"/>
              <w:rPr>
                <w:sz w:val="20"/>
                <w:szCs w:val="20"/>
                <w:color w:val="auto"/>
              </w:rPr>
            </w:pPr>
            <w:r>
              <w:rPr>
                <w:rFonts w:ascii="Arial" w:cs="Arial" w:eastAsia="Arial" w:hAnsi="Arial"/>
                <w:sz w:val="14"/>
                <w:szCs w:val="14"/>
                <w:b w:val="1"/>
                <w:bCs w:val="1"/>
                <w:color w:val="auto"/>
              </w:rPr>
              <w:t>Facilities</w:t>
            </w:r>
          </w:p>
        </w:tc>
        <w:tc>
          <w:tcPr>
            <w:tcW w:w="120" w:type="dxa"/>
            <w:vAlign w:val="bottom"/>
            <w:vMerge w:val="restart"/>
          </w:tcPr>
          <w:p>
            <w:pPr>
              <w:spacing w:after="0"/>
              <w:rPr>
                <w:sz w:val="14"/>
                <w:szCs w:val="14"/>
                <w:color w:val="auto"/>
              </w:rPr>
            </w:pPr>
          </w:p>
        </w:tc>
        <w:tc>
          <w:tcPr>
            <w:tcW w:w="13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2"/>
              </w:rPr>
              <w:t>Supply and Logistics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w w:val="95"/>
              </w:rPr>
              <w:t>Transportation</w:t>
            </w:r>
          </w:p>
        </w:tc>
        <w:tc>
          <w:tcPr>
            <w:tcW w:w="12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vMerge w:val="restart"/>
          </w:tcPr>
          <w:p>
            <w:pPr>
              <w:jc w:val="right"/>
              <w:ind w:right="259"/>
              <w:spacing w:after="0"/>
              <w:rPr>
                <w:sz w:val="20"/>
                <w:szCs w:val="20"/>
                <w:color w:val="auto"/>
              </w:rPr>
            </w:pPr>
            <w:r>
              <w:rPr>
                <w:rFonts w:ascii="Arial" w:cs="Arial" w:eastAsia="Arial" w:hAnsi="Arial"/>
                <w:sz w:val="14"/>
                <w:szCs w:val="14"/>
                <w:b w:val="1"/>
                <w:bCs w:val="1"/>
                <w:color w:val="auto"/>
              </w:rPr>
              <w:t>Facilities</w:t>
            </w:r>
          </w:p>
        </w:tc>
        <w:tc>
          <w:tcPr>
            <w:tcW w:w="1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center"/>
              <w:ind w:right="102"/>
              <w:spacing w:after="0"/>
              <w:rPr>
                <w:sz w:val="20"/>
                <w:szCs w:val="20"/>
                <w:color w:val="auto"/>
              </w:rPr>
            </w:pPr>
            <w:r>
              <w:rPr>
                <w:rFonts w:ascii="Arial" w:cs="Arial" w:eastAsia="Arial" w:hAnsi="Arial"/>
                <w:sz w:val="14"/>
                <w:szCs w:val="14"/>
                <w:b w:val="1"/>
                <w:bCs w:val="1"/>
                <w:color w:val="auto"/>
                <w:w w:val="92"/>
              </w:rPr>
              <w:t>Supply and</w:t>
            </w:r>
          </w:p>
        </w:tc>
        <w:tc>
          <w:tcPr>
            <w:tcW w:w="0" w:type="dxa"/>
            <w:vAlign w:val="bottom"/>
          </w:tcPr>
          <w:p>
            <w:pPr>
              <w:spacing w:after="0"/>
              <w:rPr>
                <w:sz w:val="1"/>
                <w:szCs w:val="1"/>
                <w:color w:val="auto"/>
              </w:rPr>
            </w:pPr>
          </w:p>
        </w:tc>
      </w:tr>
      <w:tr>
        <w:trPr>
          <w:trHeight w:val="192"/>
        </w:trPr>
        <w:tc>
          <w:tcPr>
            <w:tcW w:w="30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36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w w:val="87"/>
              </w:rPr>
              <w:t>Logistics</w:t>
            </w:r>
          </w:p>
        </w:tc>
        <w:tc>
          <w:tcPr>
            <w:tcW w:w="0" w:type="dxa"/>
            <w:vAlign w:val="bottom"/>
          </w:tcPr>
          <w:p>
            <w:pPr>
              <w:spacing w:after="0"/>
              <w:rPr>
                <w:sz w:val="1"/>
                <w:szCs w:val="1"/>
                <w:color w:val="auto"/>
              </w:rPr>
            </w:pPr>
          </w:p>
        </w:tc>
      </w:tr>
      <w:tr>
        <w:trPr>
          <w:trHeight w:val="263"/>
        </w:trPr>
        <w:tc>
          <w:tcPr>
            <w:tcW w:w="3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Segment adjusted EBITDA</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571</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368</w:t>
            </w:r>
          </w:p>
        </w:tc>
        <w:tc>
          <w:tcPr>
            <w:tcW w:w="120" w:type="dxa"/>
            <w:vAlign w:val="bottom"/>
            <w:shd w:val="clear" w:color="auto" w:fill="CCEEFF"/>
          </w:tcPr>
          <w:p>
            <w:pPr>
              <w:spacing w:after="0"/>
              <w:rPr>
                <w:sz w:val="22"/>
                <w:szCs w:val="22"/>
                <w:color w:val="auto"/>
              </w:rPr>
            </w:pPr>
          </w:p>
        </w:tc>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23</w:t>
            </w:r>
          </w:p>
        </w:tc>
        <w:tc>
          <w:tcPr>
            <w:tcW w:w="120" w:type="dxa"/>
            <w:vAlign w:val="bottom"/>
            <w:tcBorders>
              <w:right w:val="single" w:sz="8" w:color="auto"/>
            </w:tcBorders>
            <w:shd w:val="clear" w:color="auto" w:fill="CCEEFF"/>
          </w:tcPr>
          <w:p>
            <w:pPr>
              <w:spacing w:after="0"/>
              <w:rPr>
                <w:sz w:val="22"/>
                <w:szCs w:val="22"/>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555</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327</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i w:val="1"/>
                <w:iCs w:val="1"/>
                <w:color w:val="auto"/>
                <w:w w:val="86"/>
              </w:rPr>
              <w:t>Percentage change in segment adjusted</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0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b w:val="1"/>
                <w:bCs w:val="1"/>
                <w:i w:val="1"/>
                <w:iCs w:val="1"/>
                <w:color w:val="auto"/>
              </w:rPr>
              <w:t>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b w:val="1"/>
                <w:bCs w:val="1"/>
                <w:i w:val="1"/>
                <w:iCs w:val="1"/>
                <w:color w:val="auto"/>
              </w:rPr>
              <w:t>13%</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b w:val="1"/>
                <w:bCs w:val="1"/>
                <w:i w:val="1"/>
                <w:iCs w:val="1"/>
                <w:color w:val="auto"/>
              </w:rPr>
              <w:t>(90)%</w:t>
            </w: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040" w:type="dxa"/>
            <w:vAlign w:val="bottom"/>
          </w:tcPr>
          <w:p>
            <w:pPr>
              <w:ind w:left="200"/>
              <w:spacing w:after="0"/>
              <w:rPr>
                <w:sz w:val="20"/>
                <w:szCs w:val="20"/>
                <w:color w:val="auto"/>
              </w:rPr>
            </w:pPr>
            <w:r>
              <w:rPr>
                <w:rFonts w:ascii="Arial" w:cs="Arial" w:eastAsia="Arial" w:hAnsi="Arial"/>
                <w:sz w:val="18"/>
                <w:szCs w:val="18"/>
                <w:b w:val="1"/>
                <w:bCs w:val="1"/>
                <w:i w:val="1"/>
                <w:iCs w:val="1"/>
                <w:color w:val="auto"/>
              </w:rPr>
              <w:t>EBITDA versus 2016 period</w:t>
            </w: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90" w:lineRule="exact"/>
        <w:rPr>
          <w:sz w:val="20"/>
          <w:szCs w:val="20"/>
          <w:color w:val="auto"/>
        </w:rPr>
      </w:pPr>
    </w:p>
    <w:p>
      <w:pPr>
        <w:ind w:left="340" w:right="100" w:hanging="332"/>
        <w:spacing w:after="0" w:line="226" w:lineRule="auto"/>
        <w:tabs>
          <w:tab w:leader="none" w:pos="340" w:val="left"/>
        </w:tabs>
        <w:numPr>
          <w:ilvl w:val="0"/>
          <w:numId w:val="2"/>
        </w:numPr>
        <w:rPr>
          <w:rFonts w:ascii="Arial" w:cs="Arial" w:eastAsia="Arial" w:hAnsi="Arial"/>
          <w:sz w:val="25"/>
          <w:szCs w:val="25"/>
          <w:color w:val="auto"/>
          <w:vertAlign w:val="superscript"/>
        </w:rPr>
      </w:pPr>
      <w:r>
        <w:rPr>
          <w:rFonts w:ascii="Arial" w:cs="Arial" w:eastAsia="Arial" w:hAnsi="Arial"/>
          <w:sz w:val="18"/>
          <w:szCs w:val="18"/>
          <w:color w:val="auto"/>
        </w:rPr>
        <w:t>During the fourth quarter of 2016, we modified our primary segment performance measure to segment adjusted EBITDA from segment profit and also modified our definition of adjusted EBITDA to exclude our proportionate share of depreciation and amortization expense associated with equity method investments. Prior-period segment amounts have been recast to reflect these changes.</w:t>
      </w:r>
    </w:p>
    <w:p>
      <w:pPr>
        <w:spacing w:after="0" w:line="204" w:lineRule="exact"/>
        <w:rPr>
          <w:sz w:val="20"/>
          <w:szCs w:val="20"/>
          <w:color w:val="auto"/>
        </w:rPr>
      </w:pPr>
    </w:p>
    <w:p>
      <w:pPr>
        <w:ind w:right="180" w:firstLine="648"/>
        <w:spacing w:after="0" w:line="286" w:lineRule="auto"/>
        <w:rPr>
          <w:sz w:val="20"/>
          <w:szCs w:val="20"/>
          <w:color w:val="auto"/>
        </w:rPr>
      </w:pPr>
      <w:r>
        <w:rPr>
          <w:rFonts w:ascii="Arial" w:cs="Arial" w:eastAsia="Arial" w:hAnsi="Arial"/>
          <w:sz w:val="17"/>
          <w:szCs w:val="17"/>
          <w:color w:val="auto"/>
        </w:rPr>
        <w:t>Second-quarter 2017 Transportation segment adjusted EBITDA increased by 9% over comparable 2016 results. This increase was primarily driven by increased volume on our Permian Basin assets including contributions from the Alpha Crude Connector gathering system that we acquired in February 2017 and contributions from newly commissioned systems, partially offset by the effects of non-core asset sales.</w:t>
      </w:r>
    </w:p>
    <w:p>
      <w:pPr>
        <w:spacing w:after="0" w:line="166" w:lineRule="exact"/>
        <w:rPr>
          <w:sz w:val="20"/>
          <w:szCs w:val="20"/>
          <w:color w:val="auto"/>
        </w:rPr>
      </w:pPr>
    </w:p>
    <w:p>
      <w:pPr>
        <w:jc w:val="both"/>
        <w:ind w:right="340" w:firstLine="648"/>
        <w:spacing w:after="0" w:line="264" w:lineRule="auto"/>
        <w:rPr>
          <w:sz w:val="20"/>
          <w:szCs w:val="20"/>
          <w:color w:val="auto"/>
        </w:rPr>
      </w:pPr>
      <w:r>
        <w:rPr>
          <w:rFonts w:ascii="Arial" w:cs="Arial" w:eastAsia="Arial" w:hAnsi="Arial"/>
          <w:sz w:val="18"/>
          <w:szCs w:val="18"/>
          <w:color w:val="auto"/>
        </w:rPr>
        <w:t>Second-quarter 2017 Facilities segment adjusted EBITDA increased by 12% versus comparable 2016 results. This increase was primarily due to contributions from the Canadian NGL assets we acquired in August 2016, as well as higher fees at certain of our NGL storage and fractionation facilities. These increases were partially offset by lower U.S. rail terminal volumes and revenues.</w:t>
      </w:r>
    </w:p>
    <w:p>
      <w:pPr>
        <w:spacing w:after="0" w:line="181" w:lineRule="exact"/>
        <w:rPr>
          <w:sz w:val="20"/>
          <w:szCs w:val="20"/>
          <w:color w:val="auto"/>
        </w:rPr>
      </w:pPr>
    </w:p>
    <w:p>
      <w:pPr>
        <w:jc w:val="both"/>
        <w:ind w:right="280" w:firstLine="648"/>
        <w:spacing w:after="0" w:line="264" w:lineRule="auto"/>
        <w:rPr>
          <w:sz w:val="20"/>
          <w:szCs w:val="20"/>
          <w:color w:val="auto"/>
        </w:rPr>
      </w:pPr>
      <w:r>
        <w:rPr>
          <w:rFonts w:ascii="Arial" w:cs="Arial" w:eastAsia="Arial" w:hAnsi="Arial"/>
          <w:sz w:val="18"/>
          <w:szCs w:val="18"/>
          <w:color w:val="auto"/>
        </w:rPr>
        <w:t>Second-quarter 2017 Supply and Logistics segment adjusted EBITDA decreased by 172% relative to comparable 2016 results. This decrease was consistent with our expectations and was due to continuing competition and margin compression affecting our NGL and crude oil gathering and marketing activities.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7" w:lineRule="exact"/>
        <w:rPr>
          <w:sz w:val="20"/>
          <w:szCs w:val="20"/>
          <w:color w:val="auto"/>
        </w:rPr>
      </w:pPr>
    </w:p>
    <w:p>
      <w:pPr>
        <w:ind w:left="1800"/>
        <w:spacing w:after="0"/>
        <w:tabs>
          <w:tab w:leader="none" w:pos="4920" w:val="left"/>
          <w:tab w:leader="none" w:pos="76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420"/>
          </w:cols>
          <w:pgMar w:left="240" w:top="341" w:right="2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u w:val="single" w:color="auto"/>
          <w:color w:val="auto"/>
        </w:rPr>
        <w:t>Page 3</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Full-Year Guidance and 2018 Preliminary Forecast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presents our full-year 2017 financial and operating guidance and 2018 preliminary forecast: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and Operating Guidance</w:t>
      </w:r>
      <w:r>
        <w:rPr>
          <w:rFonts w:ascii="Arial" w:cs="Arial" w:eastAsia="Arial" w:hAnsi="Arial"/>
          <w:sz w:val="18"/>
          <w:szCs w:val="18"/>
          <w:b w:val="1"/>
          <w:bCs w:val="1"/>
          <w:color w:val="auto"/>
        </w:rPr>
        <w:t xml:space="preserve"> </w:t>
      </w:r>
      <w:r>
        <w:rPr>
          <w:rFonts w:ascii="Arial" w:cs="Arial" w:eastAsia="Arial" w:hAnsi="Arial"/>
          <w:sz w:val="18"/>
          <w:szCs w:val="18"/>
          <w:color w:val="auto"/>
        </w:rPr>
        <w:t>(unaudited)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barrel data)</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6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40" w:type="dxa"/>
            <w:vAlign w:val="bottom"/>
            <w:gridSpan w:val="5"/>
          </w:tcPr>
          <w:p>
            <w:pPr>
              <w:ind w:left="120"/>
              <w:spacing w:after="0"/>
              <w:rPr>
                <w:sz w:val="20"/>
                <w:szCs w:val="20"/>
                <w:color w:val="auto"/>
              </w:rPr>
            </w:pPr>
            <w:r>
              <w:rPr>
                <w:rFonts w:ascii="Arial" w:cs="Arial" w:eastAsia="Arial" w:hAnsi="Arial"/>
                <w:sz w:val="16"/>
                <w:szCs w:val="16"/>
                <w:b w:val="1"/>
                <w:bCs w:val="1"/>
                <w:color w:val="auto"/>
              </w:rPr>
              <w:t>Twelve Months Ended December 31,</w:t>
            </w:r>
          </w:p>
        </w:tc>
        <w:tc>
          <w:tcPr>
            <w:tcW w:w="1580" w:type="dxa"/>
            <w:vAlign w:val="bottom"/>
          </w:tcPr>
          <w:p>
            <w:pPr>
              <w:spacing w:after="0"/>
              <w:rPr>
                <w:sz w:val="18"/>
                <w:szCs w:val="18"/>
                <w:color w:val="auto"/>
              </w:rPr>
            </w:pPr>
          </w:p>
        </w:tc>
      </w:tr>
      <w:tr>
        <w:trPr>
          <w:trHeight w:val="33"/>
        </w:trPr>
        <w:tc>
          <w:tcPr>
            <w:tcW w:w="46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09"/>
        </w:trPr>
        <w:tc>
          <w:tcPr>
            <w:tcW w:w="46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6"/>
                <w:szCs w:val="16"/>
                <w:b w:val="1"/>
                <w:bCs w:val="1"/>
                <w:color w:val="auto"/>
                <w:w w:val="89"/>
              </w:rPr>
              <w:t>2018</w:t>
            </w:r>
          </w:p>
        </w:tc>
      </w:tr>
      <w:tr>
        <w:trPr>
          <w:trHeight w:val="243"/>
        </w:trPr>
        <w:tc>
          <w:tcPr>
            <w:tcW w:w="46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2015</w:t>
            </w: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ind w:right="551"/>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gridSpan w:val="2"/>
          </w:tcPr>
          <w:p>
            <w:pPr>
              <w:ind w:left="200"/>
              <w:spacing w:after="0"/>
              <w:rPr>
                <w:sz w:val="20"/>
                <w:szCs w:val="20"/>
                <w:color w:val="auto"/>
              </w:rPr>
            </w:pPr>
            <w:r>
              <w:rPr>
                <w:rFonts w:ascii="Arial" w:cs="Arial" w:eastAsia="Arial" w:hAnsi="Arial"/>
                <w:sz w:val="16"/>
                <w:szCs w:val="16"/>
                <w:b w:val="1"/>
                <w:bCs w:val="1"/>
                <w:color w:val="auto"/>
              </w:rPr>
              <w:t>2017 (G)</w:t>
            </w:r>
          </w:p>
        </w:tc>
        <w:tc>
          <w:tcPr>
            <w:tcW w:w="1580" w:type="dxa"/>
            <w:vAlign w:val="bottom"/>
          </w:tcPr>
          <w:p>
            <w:pPr>
              <w:ind w:left="280"/>
              <w:spacing w:after="0"/>
              <w:rPr>
                <w:sz w:val="20"/>
                <w:szCs w:val="20"/>
                <w:color w:val="auto"/>
              </w:rPr>
            </w:pPr>
            <w:r>
              <w:rPr>
                <w:rFonts w:ascii="Arial" w:cs="Arial" w:eastAsia="Arial" w:hAnsi="Arial"/>
                <w:sz w:val="16"/>
                <w:szCs w:val="16"/>
                <w:b w:val="1"/>
                <w:bCs w:val="1"/>
                <w:color w:val="auto"/>
              </w:rPr>
              <w:t xml:space="preserve">Preliminary </w:t>
            </w:r>
            <w:r>
              <w:rPr>
                <w:rFonts w:ascii="Arial" w:cs="Arial" w:eastAsia="Arial" w:hAnsi="Arial"/>
                <w:sz w:val="21"/>
                <w:szCs w:val="21"/>
                <w:b w:val="1"/>
                <w:bCs w:val="1"/>
                <w:color w:val="auto"/>
                <w:vertAlign w:val="superscript"/>
              </w:rPr>
              <w:t>(1)</w:t>
            </w:r>
          </w:p>
        </w:tc>
      </w:tr>
      <w:tr>
        <w:trPr>
          <w:trHeight w:val="231"/>
        </w:trPr>
        <w:tc>
          <w:tcPr>
            <w:tcW w:w="4660" w:type="dxa"/>
            <w:vAlign w:val="bottom"/>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551"/>
              <w:spacing w:after="0"/>
              <w:rPr>
                <w:sz w:val="20"/>
                <w:szCs w:val="20"/>
                <w:color w:val="auto"/>
              </w:rPr>
            </w:pPr>
            <w:r>
              <w:rPr>
                <w:rFonts w:ascii="Arial" w:cs="Arial" w:eastAsia="Arial" w:hAnsi="Arial"/>
                <w:sz w:val="16"/>
                <w:szCs w:val="16"/>
                <w:color w:val="auto"/>
              </w:rPr>
              <w:t>+ / -</w:t>
            </w:r>
          </w:p>
        </w:tc>
        <w:tc>
          <w:tcPr>
            <w:tcW w:w="120" w:type="dxa"/>
            <w:vAlign w:val="bottom"/>
          </w:tcPr>
          <w:p>
            <w:pPr>
              <w:spacing w:after="0"/>
              <w:rPr>
                <w:sz w:val="20"/>
                <w:szCs w:val="20"/>
                <w:color w:val="auto"/>
              </w:rPr>
            </w:pPr>
          </w:p>
        </w:tc>
        <w:tc>
          <w:tcPr>
            <w:tcW w:w="15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 / -</w:t>
            </w:r>
          </w:p>
        </w:tc>
      </w:tr>
      <w:tr>
        <w:trPr>
          <w:trHeight w:val="33"/>
        </w:trPr>
        <w:tc>
          <w:tcPr>
            <w:tcW w:w="46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Segment Adjusted EBITDA</w:t>
            </w: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r>
      <w:tr>
        <w:trPr>
          <w:trHeight w:val="243"/>
        </w:trPr>
        <w:tc>
          <w:tcPr>
            <w:tcW w:w="4660" w:type="dxa"/>
            <w:vAlign w:val="bottom"/>
          </w:tcPr>
          <w:p>
            <w:pPr>
              <w:ind w:left="200"/>
              <w:spacing w:after="0"/>
              <w:rPr>
                <w:sz w:val="20"/>
                <w:szCs w:val="20"/>
                <w:color w:val="auto"/>
              </w:rPr>
            </w:pPr>
            <w:r>
              <w:rPr>
                <w:rFonts w:ascii="Arial" w:cs="Arial" w:eastAsia="Arial" w:hAnsi="Arial"/>
                <w:sz w:val="18"/>
                <w:szCs w:val="18"/>
                <w:color w:val="auto"/>
              </w:rPr>
              <w:t>Transportation</w:t>
            </w:r>
          </w:p>
        </w:tc>
        <w:tc>
          <w:tcPr>
            <w:tcW w:w="1040" w:type="dxa"/>
            <w:vAlign w:val="bottom"/>
          </w:tcPr>
          <w:p>
            <w:pPr>
              <w:jc w:val="right"/>
              <w:ind w:right="831"/>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w w:val="97"/>
              </w:rPr>
              <w:t>1,056</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1,141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1,295</w:t>
            </w: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7"/>
        </w:trPr>
        <w:tc>
          <w:tcPr>
            <w:tcW w:w="46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46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Facilities</w:t>
            </w:r>
          </w:p>
        </w:tc>
        <w:tc>
          <w:tcPr>
            <w:tcW w:w="10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705</w:t>
            </w: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spacing w:after="0"/>
              <w:rPr>
                <w:sz w:val="23"/>
                <w:szCs w:val="23"/>
                <w:color w:val="auto"/>
              </w:rPr>
            </w:pPr>
          </w:p>
        </w:tc>
      </w:tr>
      <w:tr>
        <w:trPr>
          <w:trHeight w:val="237"/>
        </w:trPr>
        <w:tc>
          <w:tcPr>
            <w:tcW w:w="4660" w:type="dxa"/>
            <w:vAlign w:val="bottom"/>
          </w:tcPr>
          <w:p>
            <w:pPr>
              <w:ind w:left="340"/>
              <w:spacing w:after="0"/>
              <w:rPr>
                <w:sz w:val="20"/>
                <w:szCs w:val="20"/>
                <w:color w:val="auto"/>
              </w:rPr>
            </w:pPr>
            <w:r>
              <w:rPr>
                <w:rFonts w:ascii="Arial" w:cs="Arial" w:eastAsia="Arial" w:hAnsi="Arial"/>
                <w:sz w:val="18"/>
                <w:szCs w:val="18"/>
                <w:b w:val="1"/>
                <w:bCs w:val="1"/>
                <w:color w:val="auto"/>
              </w:rPr>
              <w:t>Fee-Based</w:t>
            </w:r>
          </w:p>
        </w:tc>
        <w:tc>
          <w:tcPr>
            <w:tcW w:w="1040" w:type="dxa"/>
            <w:vAlign w:val="bottom"/>
            <w:tcBorders>
              <w:top w:val="single" w:sz="8" w:color="auto"/>
            </w:tcBorders>
          </w:tcPr>
          <w:p>
            <w:pPr>
              <w:jc w:val="right"/>
              <w:ind w:right="831"/>
              <w:spacing w:after="0"/>
              <w:rPr>
                <w:sz w:val="20"/>
                <w:szCs w:val="20"/>
                <w:color w:val="auto"/>
              </w:rPr>
            </w:pPr>
            <w:r>
              <w:rPr>
                <w:rFonts w:ascii="Arial" w:cs="Arial" w:eastAsia="Arial" w:hAnsi="Arial"/>
                <w:sz w:val="18"/>
                <w:szCs w:val="18"/>
                <w:b w:val="1"/>
                <w:bCs w:val="1"/>
                <w:color w:val="auto"/>
                <w:w w:val="99"/>
              </w:rPr>
              <w:t>$</w:t>
            </w:r>
          </w:p>
        </w:tc>
        <w:tc>
          <w:tcPr>
            <w:tcW w:w="5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7"/>
              </w:rPr>
              <w:t>1,644</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1,808</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2,000</w:t>
            </w:r>
          </w:p>
        </w:tc>
        <w:tc>
          <w:tcPr>
            <w:tcW w:w="12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87"/>
              </w:rPr>
              <w:t>$2,350</w:t>
            </w:r>
          </w:p>
        </w:tc>
      </w:tr>
      <w:tr>
        <w:trPr>
          <w:trHeight w:val="27"/>
        </w:trPr>
        <w:tc>
          <w:tcPr>
            <w:tcW w:w="46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Supply and Logistics</w:t>
            </w: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100 - 300</w:t>
            </w:r>
          </w:p>
        </w:tc>
      </w:tr>
      <w:tr>
        <w:trPr>
          <w:trHeight w:val="243"/>
        </w:trPr>
        <w:tc>
          <w:tcPr>
            <w:tcW w:w="4660" w:type="dxa"/>
            <w:vAlign w:val="bottom"/>
          </w:tcPr>
          <w:p>
            <w:pPr>
              <w:ind w:left="200"/>
              <w:spacing w:after="0"/>
              <w:rPr>
                <w:sz w:val="20"/>
                <w:szCs w:val="20"/>
                <w:color w:val="auto"/>
              </w:rPr>
            </w:pPr>
            <w:r>
              <w:rPr>
                <w:rFonts w:ascii="Arial" w:cs="Arial" w:eastAsia="Arial" w:hAnsi="Arial"/>
                <w:sz w:val="18"/>
                <w:szCs w:val="18"/>
                <w:color w:val="auto"/>
              </w:rPr>
              <w:t>Other income/(expense), net</w:t>
            </w:r>
          </w:p>
        </w:tc>
        <w:tc>
          <w:tcPr>
            <w:tcW w:w="104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tcPr>
          <w:p>
            <w:pPr>
              <w:spacing w:after="0"/>
              <w:rPr>
                <w:sz w:val="21"/>
                <w:szCs w:val="21"/>
                <w:color w:val="auto"/>
              </w:rPr>
            </w:pPr>
          </w:p>
        </w:tc>
      </w:tr>
      <w:tr>
        <w:trPr>
          <w:trHeight w:val="27"/>
        </w:trPr>
        <w:tc>
          <w:tcPr>
            <w:tcW w:w="466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64"/>
        </w:trPr>
        <w:tc>
          <w:tcPr>
            <w:tcW w:w="4660" w:type="dxa"/>
            <w:vAlign w:val="bottom"/>
            <w:tcBorders>
              <w:bottom w:val="single" w:sz="8" w:color="CCEEFF"/>
            </w:tcBorders>
            <w:shd w:val="clear" w:color="auto" w:fill="CCEEFF"/>
          </w:tcPr>
          <w:p>
            <w:pPr>
              <w:ind w:left="40"/>
              <w:spacing w:after="0" w:line="264" w:lineRule="exact"/>
              <w:rPr>
                <w:sz w:val="20"/>
                <w:szCs w:val="20"/>
                <w:color w:val="auto"/>
              </w:rPr>
            </w:pPr>
            <w:r>
              <w:rPr>
                <w:rFonts w:ascii="Arial" w:cs="Arial" w:eastAsia="Arial" w:hAnsi="Arial"/>
                <w:sz w:val="18"/>
                <w:szCs w:val="18"/>
                <w:b w:val="1"/>
                <w:bCs w:val="1"/>
                <w:color w:val="auto"/>
              </w:rPr>
              <w:t xml:space="preserve">Adjusted EBITDA </w:t>
            </w:r>
            <w:r>
              <w:rPr>
                <w:rFonts w:ascii="Arial" w:cs="Arial" w:eastAsia="Arial" w:hAnsi="Arial"/>
                <w:sz w:val="25"/>
                <w:szCs w:val="25"/>
                <w:b w:val="1"/>
                <w:bCs w:val="1"/>
                <w:color w:val="auto"/>
                <w:vertAlign w:val="superscript"/>
              </w:rPr>
              <w:t>(2)</w:t>
            </w:r>
          </w:p>
        </w:tc>
        <w:tc>
          <w:tcPr>
            <w:tcW w:w="1040" w:type="dxa"/>
            <w:vAlign w:val="bottom"/>
            <w:tcBorders>
              <w:bottom w:val="single" w:sz="8" w:color="auto"/>
            </w:tcBorders>
            <w:shd w:val="clear" w:color="auto" w:fill="CCEEFF"/>
          </w:tcPr>
          <w:p>
            <w:pPr>
              <w:jc w:val="right"/>
              <w:ind w:right="831"/>
              <w:spacing w:after="0"/>
              <w:rPr>
                <w:sz w:val="20"/>
                <w:szCs w:val="20"/>
                <w:color w:val="auto"/>
              </w:rPr>
            </w:pPr>
            <w:r>
              <w:rPr>
                <w:rFonts w:ascii="Arial" w:cs="Arial" w:eastAsia="Arial" w:hAnsi="Arial"/>
                <w:sz w:val="18"/>
                <w:szCs w:val="18"/>
                <w:b w:val="1"/>
                <w:bCs w:val="1"/>
                <w:color w:val="auto"/>
                <w:w w:val="99"/>
              </w:rPr>
              <w:t>$</w:t>
            </w:r>
          </w:p>
        </w:tc>
        <w:tc>
          <w:tcPr>
            <w:tcW w:w="5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7"/>
              </w:rPr>
              <w:t>2,213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2,169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2,075</w:t>
            </w: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$2,450 - $2,650</w:t>
            </w:r>
          </w:p>
        </w:tc>
      </w:tr>
      <w:tr>
        <w:trPr>
          <w:trHeight w:val="20"/>
        </w:trPr>
        <w:tc>
          <w:tcPr>
            <w:tcW w:w="46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251"/>
        </w:trPr>
        <w:tc>
          <w:tcPr>
            <w:tcW w:w="4660" w:type="dxa"/>
            <w:vAlign w:val="bottom"/>
          </w:tcPr>
          <w:p>
            <w:pPr>
              <w:ind w:left="40"/>
              <w:spacing w:after="0" w:line="251" w:lineRule="exact"/>
              <w:rPr>
                <w:sz w:val="20"/>
                <w:szCs w:val="20"/>
                <w:color w:val="auto"/>
              </w:rPr>
            </w:pPr>
            <w:r>
              <w:rPr>
                <w:rFonts w:ascii="Arial" w:cs="Arial" w:eastAsia="Arial" w:hAnsi="Arial"/>
                <w:sz w:val="18"/>
                <w:szCs w:val="18"/>
                <w:color w:val="auto"/>
              </w:rPr>
              <w:t xml:space="preserve">Interest expense, net </w:t>
            </w:r>
            <w:r>
              <w:rPr>
                <w:rFonts w:ascii="Arial" w:cs="Arial" w:eastAsia="Arial" w:hAnsi="Arial"/>
                <w:sz w:val="25"/>
                <w:szCs w:val="25"/>
                <w:color w:val="auto"/>
                <w:vertAlign w:val="superscript"/>
              </w:rPr>
              <w:t>(3)</w:t>
            </w:r>
          </w:p>
        </w:tc>
        <w:tc>
          <w:tcPr>
            <w:tcW w:w="10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(451)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(485)</w:t>
            </w: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50"/>
        </w:trPr>
        <w:tc>
          <w:tcPr>
            <w:tcW w:w="46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Maintenance capital</w:t>
            </w: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r>
      <w:tr>
        <w:trPr>
          <w:trHeight w:val="243"/>
        </w:trPr>
        <w:tc>
          <w:tcPr>
            <w:tcW w:w="4660" w:type="dxa"/>
            <w:vAlign w:val="bottom"/>
          </w:tcPr>
          <w:p>
            <w:pPr>
              <w:ind w:left="200"/>
              <w:spacing w:after="0"/>
              <w:rPr>
                <w:sz w:val="20"/>
                <w:szCs w:val="20"/>
                <w:color w:val="auto"/>
              </w:rPr>
            </w:pPr>
            <w:r>
              <w:rPr>
                <w:rFonts w:ascii="Arial" w:cs="Arial" w:eastAsia="Arial" w:hAnsi="Arial"/>
                <w:sz w:val="18"/>
                <w:szCs w:val="18"/>
                <w:color w:val="auto"/>
              </w:rPr>
              <w:t>Current income tax expense</w:t>
            </w:r>
          </w:p>
        </w:tc>
        <w:tc>
          <w:tcPr>
            <w:tcW w:w="10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7"/>
        </w:trPr>
        <w:tc>
          <w:tcPr>
            <w:tcW w:w="46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46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10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spacing w:after="0"/>
              <w:rPr>
                <w:sz w:val="23"/>
                <w:szCs w:val="23"/>
                <w:color w:val="auto"/>
              </w:rPr>
            </w:pPr>
          </w:p>
        </w:tc>
      </w:tr>
      <w:tr>
        <w:trPr>
          <w:trHeight w:val="304"/>
        </w:trPr>
        <w:tc>
          <w:tcPr>
            <w:tcW w:w="4660" w:type="dxa"/>
            <w:vAlign w:val="bottom"/>
            <w:tcBorders>
              <w:bottom w:val="single" w:sz="8" w:color="CCEEFF"/>
            </w:tcBorders>
          </w:tcPr>
          <w:p>
            <w:pPr>
              <w:ind w:left="40"/>
              <w:spacing w:after="0" w:line="264" w:lineRule="exact"/>
              <w:rPr>
                <w:sz w:val="20"/>
                <w:szCs w:val="20"/>
                <w:color w:val="auto"/>
              </w:rPr>
            </w:pPr>
            <w:r>
              <w:rPr>
                <w:rFonts w:ascii="Arial" w:cs="Arial" w:eastAsia="Arial" w:hAnsi="Arial"/>
                <w:sz w:val="18"/>
                <w:szCs w:val="18"/>
                <w:b w:val="1"/>
                <w:bCs w:val="1"/>
                <w:color w:val="auto"/>
              </w:rPr>
              <w:t xml:space="preserve">Implied DCF </w:t>
            </w:r>
            <w:r>
              <w:rPr>
                <w:rFonts w:ascii="Arial" w:cs="Arial" w:eastAsia="Arial" w:hAnsi="Arial"/>
                <w:sz w:val="25"/>
                <w:szCs w:val="25"/>
                <w:b w:val="1"/>
                <w:bCs w:val="1"/>
                <w:color w:val="auto"/>
                <w:vertAlign w:val="superscript"/>
              </w:rPr>
              <w:t>(2)</w:t>
            </w:r>
          </w:p>
        </w:tc>
        <w:tc>
          <w:tcPr>
            <w:tcW w:w="1040" w:type="dxa"/>
            <w:vAlign w:val="bottom"/>
            <w:tcBorders>
              <w:top w:val="single" w:sz="8" w:color="auto"/>
              <w:bottom w:val="single" w:sz="8" w:color="auto"/>
            </w:tcBorders>
          </w:tcPr>
          <w:p>
            <w:pPr>
              <w:jc w:val="right"/>
              <w:ind w:right="831"/>
              <w:spacing w:after="0"/>
              <w:rPr>
                <w:sz w:val="20"/>
                <w:szCs w:val="20"/>
                <w:color w:val="auto"/>
              </w:rPr>
            </w:pPr>
            <w:r>
              <w:rPr>
                <w:rFonts w:ascii="Arial" w:cs="Arial" w:eastAsia="Arial" w:hAnsi="Arial"/>
                <w:sz w:val="18"/>
                <w:szCs w:val="18"/>
                <w:b w:val="1"/>
                <w:bCs w:val="1"/>
                <w:color w:val="auto"/>
                <w:w w:val="99"/>
              </w:rPr>
              <w:t>$</w:t>
            </w:r>
          </w:p>
        </w:tc>
        <w:tc>
          <w:tcPr>
            <w:tcW w:w="5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7"/>
              </w:rPr>
              <w:t>1,474</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1,414</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1,370</w:t>
            </w:r>
          </w:p>
        </w:tc>
        <w:tc>
          <w:tcPr>
            <w:tcW w:w="120" w:type="dxa"/>
            <w:vAlign w:val="bottom"/>
            <w:tcBorders>
              <w:bottom w:val="single" w:sz="8" w:color="CCEEFF"/>
            </w:tcBorders>
          </w:tcPr>
          <w:p>
            <w:pPr>
              <w:spacing w:after="0"/>
              <w:rPr>
                <w:sz w:val="24"/>
                <w:szCs w:val="24"/>
                <w:color w:val="auto"/>
              </w:rPr>
            </w:pPr>
          </w:p>
        </w:tc>
        <w:tc>
          <w:tcPr>
            <w:tcW w:w="15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$1,725 - $1,925</w:t>
            </w:r>
          </w:p>
        </w:tc>
      </w:tr>
      <w:tr>
        <w:trPr>
          <w:trHeight w:val="264"/>
        </w:trPr>
        <w:tc>
          <w:tcPr>
            <w:tcW w:w="46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b w:val="1"/>
                <w:bCs w:val="1"/>
                <w:color w:val="auto"/>
              </w:rPr>
              <w:t>Operating Data</w:t>
            </w:r>
          </w:p>
        </w:tc>
        <w:tc>
          <w:tcPr>
            <w:tcW w:w="10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7"/>
        </w:trPr>
        <w:tc>
          <w:tcPr>
            <w:tcW w:w="46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Transportation</w:t>
            </w: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r>
      <w:tr>
        <w:trPr>
          <w:trHeight w:val="243"/>
        </w:trPr>
        <w:tc>
          <w:tcPr>
            <w:tcW w:w="4660" w:type="dxa"/>
            <w:vAlign w:val="bottom"/>
          </w:tcPr>
          <w:p>
            <w:pPr>
              <w:ind w:left="360"/>
              <w:spacing w:after="0"/>
              <w:rPr>
                <w:sz w:val="20"/>
                <w:szCs w:val="20"/>
                <w:color w:val="auto"/>
              </w:rPr>
            </w:pPr>
            <w:r>
              <w:rPr>
                <w:rFonts w:ascii="Arial" w:cs="Arial" w:eastAsia="Arial" w:hAnsi="Arial"/>
                <w:sz w:val="18"/>
                <w:szCs w:val="18"/>
                <w:color w:val="auto"/>
              </w:rPr>
              <w:t>Average daily volumes (MBbls/d)</w:t>
            </w:r>
          </w:p>
        </w:tc>
        <w:tc>
          <w:tcPr>
            <w:tcW w:w="104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w w:val="97"/>
              </w:rPr>
              <w:t>4,453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4,637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5,295</w:t>
            </w: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7"/>
        </w:trPr>
        <w:tc>
          <w:tcPr>
            <w:tcW w:w="46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Segment Adjusted EBITDA per barrel</w:t>
            </w:r>
          </w:p>
        </w:tc>
        <w:tc>
          <w:tcPr>
            <w:tcW w:w="1040" w:type="dxa"/>
            <w:vAlign w:val="bottom"/>
            <w:tcBorders>
              <w:bottom w:val="single" w:sz="8" w:color="CCEEFF"/>
            </w:tcBorders>
            <w:shd w:val="clear" w:color="auto" w:fill="CCEEFF"/>
          </w:tcPr>
          <w:p>
            <w:pPr>
              <w:jc w:val="right"/>
              <w:ind w:right="831"/>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0.65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0.67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0.67</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r>
      <w:tr>
        <w:trPr>
          <w:trHeight w:val="284"/>
        </w:trPr>
        <w:tc>
          <w:tcPr>
            <w:tcW w:w="46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50"/>
        </w:trPr>
        <w:tc>
          <w:tcPr>
            <w:tcW w:w="46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Facilities</w:t>
            </w: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r>
      <w:tr>
        <w:trPr>
          <w:trHeight w:val="243"/>
        </w:trPr>
        <w:tc>
          <w:tcPr>
            <w:tcW w:w="4660" w:type="dxa"/>
            <w:vAlign w:val="bottom"/>
          </w:tcPr>
          <w:p>
            <w:pPr>
              <w:ind w:left="360"/>
              <w:spacing w:after="0"/>
              <w:rPr>
                <w:sz w:val="20"/>
                <w:szCs w:val="20"/>
                <w:color w:val="auto"/>
              </w:rPr>
            </w:pPr>
            <w:r>
              <w:rPr>
                <w:rFonts w:ascii="Arial" w:cs="Arial" w:eastAsia="Arial" w:hAnsi="Arial"/>
                <w:sz w:val="18"/>
                <w:szCs w:val="18"/>
                <w:color w:val="auto"/>
              </w:rPr>
              <w:t>Average capacity (MMBbls/Mo)</w:t>
            </w:r>
          </w:p>
        </w:tc>
        <w:tc>
          <w:tcPr>
            <w:tcW w:w="104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7"/>
        </w:trPr>
        <w:tc>
          <w:tcPr>
            <w:tcW w:w="46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Segment Adjusted EBITDA per barrel</w:t>
            </w:r>
          </w:p>
        </w:tc>
        <w:tc>
          <w:tcPr>
            <w:tcW w:w="1040" w:type="dxa"/>
            <w:vAlign w:val="bottom"/>
            <w:tcBorders>
              <w:bottom w:val="single" w:sz="8" w:color="CCEEFF"/>
            </w:tcBorders>
            <w:shd w:val="clear" w:color="auto" w:fill="CCEEFF"/>
          </w:tcPr>
          <w:p>
            <w:pPr>
              <w:jc w:val="right"/>
              <w:ind w:right="831"/>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0.39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0.43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0.45</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r>
      <w:tr>
        <w:trPr>
          <w:trHeight w:val="284"/>
        </w:trPr>
        <w:tc>
          <w:tcPr>
            <w:tcW w:w="46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50"/>
        </w:trPr>
        <w:tc>
          <w:tcPr>
            <w:tcW w:w="46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Supply and Logistics</w:t>
            </w: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r>
      <w:tr>
        <w:trPr>
          <w:trHeight w:val="243"/>
        </w:trPr>
        <w:tc>
          <w:tcPr>
            <w:tcW w:w="4660" w:type="dxa"/>
            <w:vAlign w:val="bottom"/>
          </w:tcPr>
          <w:p>
            <w:pPr>
              <w:ind w:left="360"/>
              <w:spacing w:after="0"/>
              <w:rPr>
                <w:sz w:val="20"/>
                <w:szCs w:val="20"/>
                <w:color w:val="auto"/>
              </w:rPr>
            </w:pPr>
            <w:r>
              <w:rPr>
                <w:rFonts w:ascii="Arial" w:cs="Arial" w:eastAsia="Arial" w:hAnsi="Arial"/>
                <w:sz w:val="18"/>
                <w:szCs w:val="18"/>
                <w:color w:val="auto"/>
              </w:rPr>
              <w:t>Average daily volumes (MBbls/d)</w:t>
            </w:r>
          </w:p>
        </w:tc>
        <w:tc>
          <w:tcPr>
            <w:tcW w:w="104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w w:val="97"/>
              </w:rPr>
              <w:t>1,168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1,160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1,230</w:t>
            </w: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7"/>
        </w:trPr>
        <w:tc>
          <w:tcPr>
            <w:tcW w:w="46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Segment Adjusted EBITDA per barrel</w:t>
            </w:r>
          </w:p>
        </w:tc>
        <w:tc>
          <w:tcPr>
            <w:tcW w:w="1040" w:type="dxa"/>
            <w:vAlign w:val="bottom"/>
            <w:tcBorders>
              <w:bottom w:val="single" w:sz="8" w:color="CCEEFF"/>
            </w:tcBorders>
            <w:shd w:val="clear" w:color="auto" w:fill="CCEEFF"/>
          </w:tcPr>
          <w:p>
            <w:pPr>
              <w:jc w:val="right"/>
              <w:ind w:right="831"/>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0.85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0.17</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r>
      <w:tr>
        <w:trPr>
          <w:trHeight w:val="284"/>
        </w:trPr>
        <w:tc>
          <w:tcPr>
            <w:tcW w:w="46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Expansion Capital</w:t>
            </w:r>
          </w:p>
        </w:tc>
        <w:tc>
          <w:tcPr>
            <w:tcW w:w="1040" w:type="dxa"/>
            <w:vAlign w:val="bottom"/>
            <w:tcBorders>
              <w:bottom w:val="single" w:sz="8" w:color="CCEEFF"/>
            </w:tcBorders>
            <w:shd w:val="clear" w:color="auto" w:fill="CCEEFF"/>
          </w:tcPr>
          <w:p>
            <w:pPr>
              <w:jc w:val="right"/>
              <w:ind w:right="831"/>
              <w:spacing w:after="0"/>
              <w:rPr>
                <w:sz w:val="20"/>
                <w:szCs w:val="20"/>
                <w:color w:val="auto"/>
              </w:rPr>
            </w:pPr>
            <w:r>
              <w:rPr>
                <w:rFonts w:ascii="Arial" w:cs="Arial" w:eastAsia="Arial" w:hAnsi="Arial"/>
                <w:sz w:val="18"/>
                <w:szCs w:val="18"/>
                <w:b w:val="1"/>
                <w:bCs w:val="1"/>
                <w:color w:val="auto"/>
                <w:w w:val="99"/>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7"/>
              </w:rPr>
              <w:t>2,170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1,405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950</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r>
      <w:tr>
        <w:trPr>
          <w:trHeight w:val="284"/>
        </w:trPr>
        <w:tc>
          <w:tcPr>
            <w:tcW w:w="46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25"/>
        </w:trPr>
        <w:tc>
          <w:tcPr>
            <w:tcW w:w="46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Third-Quarter Adjusted EBITDA as Percentage of Full</w:t>
            </w:r>
          </w:p>
        </w:tc>
        <w:tc>
          <w:tcPr>
            <w:tcW w:w="10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34"/>
        </w:trPr>
        <w:tc>
          <w:tcPr>
            <w:tcW w:w="466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Year</w:t>
            </w:r>
          </w:p>
        </w:tc>
        <w:tc>
          <w:tcPr>
            <w:tcW w:w="104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23%</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21%</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21% - 22%</w:t>
            </w: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r>
      <w:tr>
        <w:trPr>
          <w:trHeight w:val="27"/>
        </w:trPr>
        <w:tc>
          <w:tcPr>
            <w:tcW w:w="466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Arial" w:cs="Arial" w:eastAsia="Arial" w:hAnsi="Arial"/>
          <w:sz w:val="14"/>
          <w:szCs w:val="14"/>
          <w:color w:val="auto"/>
        </w:rPr>
        <w:t>(G) 2017 Guidance forecasts are intended to be + / - amounts.</w:t>
      </w:r>
    </w:p>
    <w:p>
      <w:pPr>
        <w:spacing w:after="0" w:line="163"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2"/>
          <w:szCs w:val="12"/>
          <w:color w:val="auto"/>
        </w:rPr>
      </w:pPr>
      <w:r>
        <w:rPr>
          <w:rFonts w:ascii="Arial" w:cs="Arial" w:eastAsia="Arial" w:hAnsi="Arial"/>
          <w:sz w:val="14"/>
          <w:szCs w:val="14"/>
          <w:color w:val="auto"/>
        </w:rPr>
        <w:t>Represents 2018 preliminary forecast as provided on May 24, 2017 at PAA 2017 Investor Day adjusted for updated Supply and Logistics segment forecast.</w:t>
      </w:r>
    </w:p>
    <w:p>
      <w:pPr>
        <w:spacing w:after="0" w:line="163" w:lineRule="exact"/>
        <w:rPr>
          <w:rFonts w:ascii="Arial" w:cs="Arial" w:eastAsia="Arial" w:hAnsi="Arial"/>
          <w:sz w:val="12"/>
          <w:szCs w:val="12"/>
          <w:color w:val="auto"/>
        </w:rPr>
      </w:pPr>
    </w:p>
    <w:p>
      <w:pPr>
        <w:ind w:left="340" w:hanging="332"/>
        <w:spacing w:after="0" w:line="247" w:lineRule="auto"/>
        <w:tabs>
          <w:tab w:leader="none" w:pos="340" w:val="left"/>
        </w:tabs>
        <w:numPr>
          <w:ilvl w:val="0"/>
          <w:numId w:val="3"/>
        </w:numPr>
        <w:rPr>
          <w:rFonts w:ascii="Arial" w:cs="Arial" w:eastAsia="Arial" w:hAnsi="Arial"/>
          <w:sz w:val="12"/>
          <w:szCs w:val="12"/>
          <w:color w:val="auto"/>
        </w:rPr>
      </w:pPr>
      <w:r>
        <w:rPr>
          <w:rFonts w:ascii="Arial" w:cs="Arial" w:eastAsia="Arial" w:hAnsi="Arial"/>
          <w:sz w:val="14"/>
          <w:szCs w:val="14"/>
          <w:color w:val="auto"/>
        </w:rPr>
        <w:t>See the section of this release entitled “Non-GAAP Financial Measures and Selected Items Impacting Comparability” and the Financial Data Reconciliations table attached hereto for information regarding non-GAAP financial measures and, for the historical 2015 and 2016 periods, their reconciliation to the most directly comparable measures as reported in accordance with GAAP. We do not provide a reconciliation of non-GAAP financial measures to the equivalent GAAP financial measures on a forward-looking basis as it is impractical to forecast certain items that we have defined as “Selected Items Impacting Comparability” without unreasonable effort, due to the uncertainty and inherent difficulty of predicting the occurrence and financial impact of and the periods in which such items may be recognized. Thus, a reconciliation of non-GAAP financial measures to the equivalent GAAP financial measures could result in disclosure that could be imprecise or potentially misleading.</w:t>
      </w:r>
    </w:p>
    <w:p>
      <w:pPr>
        <w:spacing w:after="0" w:line="86" w:lineRule="exact"/>
        <w:rPr>
          <w:rFonts w:ascii="Arial" w:cs="Arial" w:eastAsia="Arial" w:hAnsi="Arial"/>
          <w:sz w:val="12"/>
          <w:szCs w:val="12"/>
          <w:color w:val="auto"/>
        </w:rPr>
      </w:pPr>
    </w:p>
    <w:p>
      <w:pPr>
        <w:ind w:left="340" w:hanging="332"/>
        <w:spacing w:after="0"/>
        <w:tabs>
          <w:tab w:leader="none" w:pos="340" w:val="left"/>
        </w:tabs>
        <w:numPr>
          <w:ilvl w:val="0"/>
          <w:numId w:val="3"/>
        </w:numPr>
        <w:rPr>
          <w:rFonts w:ascii="Arial" w:cs="Arial" w:eastAsia="Arial" w:hAnsi="Arial"/>
          <w:sz w:val="12"/>
          <w:szCs w:val="12"/>
          <w:color w:val="auto"/>
        </w:rPr>
      </w:pPr>
      <w:r>
        <w:rPr>
          <w:rFonts w:ascii="Arial" w:cs="Arial" w:eastAsia="Arial" w:hAnsi="Arial"/>
          <w:sz w:val="14"/>
          <w:szCs w:val="14"/>
          <w:color w:val="auto"/>
        </w:rPr>
        <w:t>Excludes certain non-cash items impacting interest expense such as amortization of debt issuance costs and terminated interest rate swaps.</w:t>
      </w:r>
    </w:p>
    <w:p>
      <w:pPr>
        <w:spacing w:after="0" w:line="246" w:lineRule="exact"/>
        <w:rPr>
          <w:rFonts w:ascii="Arial" w:cs="Arial" w:eastAsia="Arial" w:hAnsi="Arial"/>
          <w:sz w:val="12"/>
          <w:szCs w:val="12"/>
          <w:color w:val="auto"/>
        </w:rPr>
      </w:pPr>
    </w:p>
    <w:p>
      <w:pPr>
        <w:ind w:left="5520" w:hanging="96"/>
        <w:spacing w:after="0"/>
        <w:tabs>
          <w:tab w:leader="none" w:pos="5520" w:val="left"/>
        </w:tabs>
        <w:numPr>
          <w:ilvl w:val="1"/>
          <w:numId w:val="3"/>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7" w:lineRule="exact"/>
        <w:rPr>
          <w:sz w:val="20"/>
          <w:szCs w:val="20"/>
          <w:color w:val="auto"/>
        </w:rPr>
      </w:pPr>
    </w:p>
    <w:p>
      <w:pPr>
        <w:ind w:left="1800"/>
        <w:spacing w:after="0"/>
        <w:tabs>
          <w:tab w:leader="none" w:pos="4920" w:val="left"/>
          <w:tab w:leader="none" w:pos="76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400"/>
          </w:cols>
          <w:pgMar w:left="240" w:top="341" w:right="25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auto"/>
        </w:rPr>
        <w:t>Page 4</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w:t>
      </w:r>
    </w:p>
    <w:p>
      <w:pPr>
        <w:spacing w:after="0" w:line="229" w:lineRule="exact"/>
        <w:rPr>
          <w:sz w:val="20"/>
          <w:szCs w:val="20"/>
          <w:color w:val="auto"/>
        </w:rPr>
      </w:pPr>
    </w:p>
    <w:p>
      <w:pPr>
        <w:jc w:val="both"/>
        <w:ind w:right="320" w:firstLine="648"/>
        <w:spacing w:after="0" w:line="286" w:lineRule="auto"/>
        <w:rPr>
          <w:sz w:val="20"/>
          <w:szCs w:val="20"/>
          <w:color w:val="auto"/>
        </w:rPr>
      </w:pPr>
      <w:r>
        <w:rPr>
          <w:rFonts w:ascii="Arial" w:cs="Arial" w:eastAsia="Arial" w:hAnsi="Arial"/>
          <w:sz w:val="17"/>
          <w:szCs w:val="17"/>
          <w:color w:val="auto"/>
        </w:rPr>
        <w:t>PAGP owns an indirect non-economic controlling interest in PAA’s general partner and an indirect limited partner interest in PAA. As the control entity of PAA, PAGP consolidates PAA’s results into its financial statements, which is reflected in the condensed consolidating balance sheet and income statement tables included at the end of this release. Information regarding PAGP’s distributions is reflected below:</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ind w:left="80"/>
              <w:spacing w:after="0"/>
              <w:rPr>
                <w:sz w:val="20"/>
                <w:szCs w:val="20"/>
                <w:color w:val="auto"/>
              </w:rPr>
            </w:pPr>
            <w:r>
              <w:rPr>
                <w:rFonts w:ascii="Arial" w:cs="Arial" w:eastAsia="Arial" w:hAnsi="Arial"/>
                <w:sz w:val="16"/>
                <w:szCs w:val="16"/>
                <w:b w:val="1"/>
                <w:bCs w:val="1"/>
                <w:color w:val="auto"/>
              </w:rPr>
              <w:t>Q2 2017</w:t>
            </w:r>
          </w:p>
        </w:tc>
        <w:tc>
          <w:tcPr>
            <w:tcW w:w="220" w:type="dxa"/>
            <w:vAlign w:val="bottom"/>
          </w:tcPr>
          <w:p>
            <w:pPr>
              <w:spacing w:after="0"/>
              <w:rPr>
                <w:sz w:val="18"/>
                <w:szCs w:val="18"/>
                <w:color w:val="auto"/>
              </w:rPr>
            </w:pPr>
          </w:p>
        </w:tc>
        <w:tc>
          <w:tcPr>
            <w:tcW w:w="1120" w:type="dxa"/>
            <w:vAlign w:val="bottom"/>
            <w:gridSpan w:val="2"/>
          </w:tcPr>
          <w:p>
            <w:pPr>
              <w:ind w:left="100"/>
              <w:spacing w:after="0"/>
              <w:rPr>
                <w:sz w:val="20"/>
                <w:szCs w:val="20"/>
                <w:color w:val="auto"/>
              </w:rPr>
            </w:pPr>
            <w:r>
              <w:rPr>
                <w:rFonts w:ascii="Arial" w:cs="Arial" w:eastAsia="Arial" w:hAnsi="Arial"/>
                <w:sz w:val="16"/>
                <w:szCs w:val="16"/>
                <w:b w:val="1"/>
                <w:bCs w:val="1"/>
                <w:color w:val="auto"/>
              </w:rPr>
              <w:t>Q1 2017</w:t>
            </w:r>
          </w:p>
        </w:tc>
        <w:tc>
          <w:tcPr>
            <w:tcW w:w="220" w:type="dxa"/>
            <w:vAlign w:val="bottom"/>
          </w:tcPr>
          <w:p>
            <w:pPr>
              <w:spacing w:after="0"/>
              <w:rPr>
                <w:sz w:val="18"/>
                <w:szCs w:val="18"/>
                <w:color w:val="auto"/>
              </w:rPr>
            </w:pPr>
          </w:p>
        </w:tc>
        <w:tc>
          <w:tcPr>
            <w:tcW w:w="1040" w:type="dxa"/>
            <w:vAlign w:val="bottom"/>
          </w:tcPr>
          <w:p>
            <w:pPr>
              <w:jc w:val="right"/>
              <w:ind w:right="253"/>
              <w:spacing w:after="0"/>
              <w:rPr>
                <w:sz w:val="20"/>
                <w:szCs w:val="20"/>
                <w:color w:val="auto"/>
              </w:rPr>
            </w:pPr>
            <w:r>
              <w:rPr>
                <w:rFonts w:ascii="Arial" w:cs="Arial" w:eastAsia="Arial" w:hAnsi="Arial"/>
                <w:sz w:val="16"/>
                <w:szCs w:val="16"/>
                <w:b w:val="1"/>
                <w:bCs w:val="1"/>
                <w:color w:val="auto"/>
              </w:rPr>
              <w:t>Q2 2016</w:t>
            </w:r>
          </w:p>
        </w:tc>
      </w:tr>
      <w:tr>
        <w:trPr>
          <w:trHeight w:val="33"/>
        </w:trPr>
        <w:tc>
          <w:tcPr>
            <w:tcW w:w="76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760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b w:val="1"/>
                <w:bCs w:val="1"/>
                <w:color w:val="auto"/>
              </w:rPr>
              <w:t xml:space="preserve">Distribution per Class A share declared for the period </w:t>
            </w:r>
            <w:r>
              <w:rPr>
                <w:rFonts w:ascii="Arial" w:cs="Arial" w:eastAsia="Arial" w:hAnsi="Arial"/>
                <w:sz w:val="25"/>
                <w:szCs w:val="25"/>
                <w:b w:val="1"/>
                <w:bCs w:val="1"/>
                <w:color w:val="auto"/>
                <w:vertAlign w:val="superscript"/>
              </w:rPr>
              <w:t>(1)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0.55</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0.55</w:t>
            </w:r>
          </w:p>
        </w:tc>
        <w:tc>
          <w:tcPr>
            <w:tcW w:w="12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0.62</w:t>
            </w:r>
          </w:p>
        </w:tc>
      </w:tr>
      <w:tr>
        <w:trPr>
          <w:trHeight w:val="257"/>
        </w:trPr>
        <w:tc>
          <w:tcPr>
            <w:tcW w:w="7600" w:type="dxa"/>
            <w:vAlign w:val="bottom"/>
          </w:tcPr>
          <w:p>
            <w:pPr>
              <w:ind w:left="40"/>
              <w:spacing w:after="0"/>
              <w:rPr>
                <w:sz w:val="20"/>
                <w:szCs w:val="20"/>
                <w:color w:val="auto"/>
              </w:rPr>
            </w:pPr>
            <w:r>
              <w:rPr>
                <w:rFonts w:ascii="Arial" w:cs="Arial" w:eastAsia="Arial" w:hAnsi="Arial"/>
                <w:sz w:val="18"/>
                <w:szCs w:val="18"/>
                <w:b w:val="1"/>
                <w:bCs w:val="1"/>
                <w:color w:val="auto"/>
              </w:rPr>
              <w:t>Q2 2017 distribution percentage change from prior periods</w:t>
            </w: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0"/>
        </w:trPr>
        <w:tc>
          <w:tcPr>
            <w:tcW w:w="7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90" w:lineRule="exact"/>
        <w:rPr>
          <w:sz w:val="20"/>
          <w:szCs w:val="20"/>
          <w:color w:val="auto"/>
        </w:rPr>
      </w:pPr>
    </w:p>
    <w:p>
      <w:pPr>
        <w:ind w:left="340" w:right="160" w:hanging="332"/>
        <w:spacing w:after="0" w:line="216" w:lineRule="auto"/>
        <w:tabs>
          <w:tab w:leader="none" w:pos="340" w:val="left"/>
        </w:tabs>
        <w:numPr>
          <w:ilvl w:val="0"/>
          <w:numId w:val="4"/>
        </w:numPr>
        <w:rPr>
          <w:rFonts w:ascii="Arial" w:cs="Arial" w:eastAsia="Arial" w:hAnsi="Arial"/>
          <w:sz w:val="25"/>
          <w:szCs w:val="25"/>
          <w:color w:val="auto"/>
          <w:vertAlign w:val="superscript"/>
        </w:rPr>
      </w:pPr>
      <w:r>
        <w:rPr>
          <w:rFonts w:ascii="Arial" w:cs="Arial" w:eastAsia="Arial" w:hAnsi="Arial"/>
          <w:sz w:val="18"/>
          <w:szCs w:val="18"/>
          <w:color w:val="auto"/>
        </w:rPr>
        <w:t>A reverse split of PAGP’s Class A shares was completed on November 15, 2016. The effect of the reverse split has been retroactively applied to all per-share amounts presented.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Conference Call</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PAA and PAGP will hold a conference call at 5:00 p.m. CT on Monday, August 7, 2017 to discuss the following items:</w:t>
      </w:r>
    </w:p>
    <w:p>
      <w:pPr>
        <w:spacing w:after="0" w:line="225" w:lineRule="exact"/>
        <w:rPr>
          <w:sz w:val="20"/>
          <w:szCs w:val="20"/>
          <w:color w:val="auto"/>
        </w:rPr>
      </w:pPr>
    </w:p>
    <w:p>
      <w:pPr>
        <w:ind w:left="1140" w:hanging="322"/>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PAA’s second-quarter 2017 performance;</w:t>
      </w:r>
    </w:p>
    <w:p>
      <w:pPr>
        <w:spacing w:after="0" w:line="23" w:lineRule="exact"/>
        <w:rPr>
          <w:rFonts w:ascii="Arial" w:cs="Arial" w:eastAsia="Arial" w:hAnsi="Arial"/>
          <w:sz w:val="18"/>
          <w:szCs w:val="18"/>
          <w:color w:val="auto"/>
        </w:rPr>
      </w:pPr>
    </w:p>
    <w:p>
      <w:pPr>
        <w:ind w:left="1140" w:hanging="322"/>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Financial and operating guidance for the full year of 2017;</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Capitalization and liquidity; and</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PAA and PAGP’s outlook for the future.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Conference Call Webcast Instructions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To access the internet webcast please go to </w:t>
      </w:r>
      <w:r>
        <w:rPr>
          <w:rFonts w:ascii="Arial" w:cs="Arial" w:eastAsia="Arial" w:hAnsi="Arial"/>
          <w:sz w:val="18"/>
          <w:szCs w:val="18"/>
          <w:u w:val="single" w:color="auto"/>
          <w:color w:val="0000FF"/>
        </w:rPr>
        <w:t>https://event.webcasts.com/starthere.jsp?ei=1153900&amp;tp_key=0fe580a410</w:t>
      </w:r>
    </w:p>
    <w:p>
      <w:pPr>
        <w:spacing w:after="0" w:line="22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Alternatively, the webcast can be accessed at www.plainsallamerican.com, under the Investor Relations section of the website (Navigate to: Investor Relations / either PAA or PAGP / News &amp; Events / Quarterly Earnings). Following the live webcast, an audio replay in MP3 format will be available on the website within two hours after the end of the call and will be accessible for a period of 365 days.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 and Selected Items Impacting Comparability</w:t>
      </w:r>
    </w:p>
    <w:p>
      <w:pPr>
        <w:spacing w:after="0" w:line="225"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To supplement our financial information presented in accordance with GAAP, management uses additional measures known as “non-GAAP financial measures” in its evaluation of past performance and prospects for the future. The primary additional measures used by management are earnings before interest, taxes, depreciation and amortization (including our proportionate share of depreciation and amortization and gains or losses on significant asset sales of unconsolidated entities) and adjusted for certain selected items impacting comparability (“Adjusted EBITDA”) and implied distributable cash flow (“DCF”).</w:t>
      </w:r>
    </w:p>
    <w:p>
      <w:pPr>
        <w:spacing w:after="0" w:line="188"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Management believes that the presentation of such additional financial measures provides useful information to investors regarding our performance and results of operations because these measures, when used to supplement related GAAP financial measures, (i) provide additional information about our core operating performance and ability to fund distributions to our unitholders through cash generated by our operations and (ii) provide investors with the same financial analytical framework upon which management bases financial, operational, compensation and planning/budgeting decisions. We also present these and additional non-GAAP financial measures, including adjusted net income attributable to PAA and basic and diluted adjusted net income per common unit, as they are measurements that investors, rating agencies and debt holders have indicated are useful in assessing us and our results of operations. These non-GAAP measures may exclude, for example, (i) charges for obligations that are expected to be settled with the issuance of equity instruments, (ii) gains or losses on derivative instruments that are related to underlying activities in another period (or the reversal of such adjustments from a prior period), the mark-to-market related to our Preferred Distribution Rate Reset Option, gains and losses on derivatives that are related to investing activities (such as the purchase of linefill) and inventory valuation adjustments, as applicable, (iii) long-term inventory costing adjustments, (iv) items that are not indicative of our core operating results and business outlook and/or (v) other items that we believe should be excluded in understanding our core operating performance. These measures may further</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7" w:lineRule="exact"/>
        <w:rPr>
          <w:sz w:val="20"/>
          <w:szCs w:val="20"/>
          <w:color w:val="auto"/>
        </w:rPr>
      </w:pPr>
    </w:p>
    <w:p>
      <w:pPr>
        <w:ind w:left="1800"/>
        <w:spacing w:after="0"/>
        <w:tabs>
          <w:tab w:leader="none" w:pos="4920" w:val="left"/>
          <w:tab w:leader="none" w:pos="76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420"/>
          </w:cols>
          <w:pgMar w:left="240" w:top="341"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auto"/>
        </w:rPr>
        <w:t>Page 5</w:t>
      </w:r>
    </w:p>
    <w:p>
      <w:pPr>
        <w:spacing w:after="0" w:line="252"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be adjusted to include amounts related to deficiencies associated with minimum volume commitments whereby we have billed the counterparties for their deficiency obligation and such amounts are recognized as deferred revenue in “Accounts payable and accrued liabilities” on our Condensed Consolidated Financial Statements. Such amounts are presented net of applicable amounts subsequently recognized into revenue. Furthermore, the calculation of these measures contemplates tax effects as a separate reconciling item, where applicable. We have defined all such items as “selected items impacting comparability.” Due to the nature of the selected items, certain selected items impacting comparability may impact certain non-GAAP financial measures, referred to as adjusted results, but not impact other non-GAAP financial measures. We do not necessarily consider all of our selected items impacting comparability to be non-recurring, infrequent or unusual, but we believe that an understanding of these selected items impacting comparability is material to the evaluation of our operating results and prospects.</w:t>
      </w:r>
    </w:p>
    <w:p>
      <w:pPr>
        <w:spacing w:after="0" w:line="17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Although we present selected items impacting comparability that management considers in evaluating our performance, you should also be aware that the items presented do not represent all items that affect comparability between the periods presented. Variations in our operating results are also caused by changes in volumes, prices, exchange rates, mechanical interruptions, acquisitions, expansion projects and numerous other factors. These types of variations are not separately identified in this release, but will be discussed, as applicable, in management’s discussion and analysis of operating results in our Quarterly Report on Form 10-Q.</w:t>
      </w:r>
    </w:p>
    <w:p>
      <w:pPr>
        <w:spacing w:after="0" w:line="188"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Our definition and calculation of certain non-GAAP financial measures may not be comparable to similarly-titled measures of other companies. Adjusted EBITDA, Implied DCF and other non-GAAP financial performance measures are reconciled to Net Income (the most directly comparable measure as reported in accordance with GAAP) for the historical periods presented in the tables attached to this release, and should be viewed in addition to, and not in lieu of, our Condensed Consolidated Financial Statements and notes thereto. In addition, we encourage you to visit our website at www.plainsallamerican.com (in particular the section under “Financial Information” entitled “Non-GAAP Reconciliations” within the Investor Relations tab), which presents a reconciliation of our commonly used non-GAAP and supplemental financial measures.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25" w:lineRule="exact"/>
        <w:rPr>
          <w:sz w:val="20"/>
          <w:szCs w:val="20"/>
          <w:color w:val="auto"/>
        </w:rPr>
      </w:pPr>
    </w:p>
    <w:p>
      <w:pPr>
        <w:ind w:right="20" w:firstLine="648"/>
        <w:spacing w:after="0" w:line="284" w:lineRule="auto"/>
        <w:rPr>
          <w:sz w:val="20"/>
          <w:szCs w:val="20"/>
          <w:color w:val="auto"/>
        </w:rPr>
      </w:pPr>
      <w:r>
        <w:rPr>
          <w:rFonts w:ascii="Arial" w:cs="Arial" w:eastAsia="Arial" w:hAnsi="Arial"/>
          <w:sz w:val="16"/>
          <w:szCs w:val="16"/>
          <w:color w:val="auto"/>
        </w:rPr>
        <w:t>Except for the historical information contained herein, the matters discussed in this release consist of forward-looking statements that involve certain risks and uncertainties that could cause actual results or outcomes to differ materially from results or outcomes anticipated in the forward-looking statements. These risks and uncertainties include, among other things, declines in the volume of crude oil and NGL shipped, processed, purchased, stored, fractionated and/or gathered at or through the use of our assets, whether due to declines in production from existing oil and gas reserves, reduced demand, failure to develop or slowdown in the development of additional oil and gas reserves, whether from reduced cash flow to fund drilling or the inability to access capital, or other factors; the effects of competition; market distortions caused by producer over-commitments to new or recently constructed infrastructure projects, which impacts volumes, margins, returns and overall earnings; unanticipated changes in crude oil and NGL market structure, grade differentials and volatility (or lack thereof); maintenance of our credit rating and ability to receive open credit from our suppliers and trade counterparties; environmental liabilities or events that are not covered by an indemnity, insurance or existing reserves; fluctuations in refinery capacity in areas supplied by our mainlines and other factors affecting demand for various grades of crude oil, refined products and natural gas and resulting changes in pricing conditions or transportation throughput requirements; the occurrence of a natural disaster, catastrophe, terrorist attack (including eco-terrorist attacks) or other event, including attacks on our electronic and computer systems; failure to implement or capitalize, or delays in implementing or capitalizing, on expansion projects, whether due to permitting delays, permitting withdrawals or other factors; tightened capital markets or other factors that increase our cost of capital or limit our ability to obtain debt or equity financing on satisfactory terms to fund additional acquisitions, expansion projects, working capital requirements and the repayment or refinancing of indebtedness; the successful integration and future performance of acquired assets or businesses and the risks associated with operating in lines of business that are distinct and separate from our historical operations; the failure to consummate, or significant delay in consummating, sales of assets or interests as a part of our strategic divestiture program; the currency exchange rate of the Canadian dollar; continued creditworthiness of, and performance by, our counterparties, including financial institutions and trading companies with which we do business; inability to recognize current revenue attributable to deficiency payments received from customers who fail to ship or move more than minimum contracted volumes until the related credits expire or are used; non-utilization of our assets and facilities; increased costs, or lack of availability, of insurance; weather interference with business operations or project construction, including the impact of extreme weather events or conditions; the availability of, and our ability to consummate, acquisition or combination opportunities; the effectiveness of our risk management activities; shortages or cost increases of supplies, materials or labor; the impact of current and future laws, rulings, governmental regulations, accounting standards and statements, and related interpretations; fluctuations in the debt and equity markets, including the price of our units at the time of</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7" w:lineRule="exact"/>
        <w:rPr>
          <w:sz w:val="20"/>
          <w:szCs w:val="20"/>
          <w:color w:val="auto"/>
        </w:rPr>
      </w:pPr>
    </w:p>
    <w:p>
      <w:pPr>
        <w:ind w:left="1800"/>
        <w:spacing w:after="0"/>
        <w:tabs>
          <w:tab w:leader="none" w:pos="4920" w:val="left"/>
          <w:tab w:leader="none" w:pos="76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400"/>
          </w:cols>
          <w:pgMar w:left="240" w:top="341" w:right="25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auto"/>
        </w:rPr>
        <w:t>Page 6</w:t>
      </w:r>
    </w:p>
    <w:p>
      <w:pPr>
        <w:spacing w:after="0" w:line="25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vesting under our long-term incentive plans; risks related to the development and operation of our assets, including our ability to satisfy our contractual obligations to our customers; factors affecting demand for natural gas and natural gas storage services and rates; general economic, market or business conditions and the amplification of other risks caused by volatile financial markets, capital constraints and pervasive liquidity concerns; and other factors and uncertainties inherent in the transportation, storage, terminalling and marketing of crude oil and refined products, as well as in the storage of natural gas and the processing, transportation, fractionation, storage and marketing of natural gas liquids as discussed in the Partnerships’ filings with the Securities and Exchange Commission.</w:t>
      </w:r>
    </w:p>
    <w:p>
      <w:pPr>
        <w:spacing w:after="0" w:line="193" w:lineRule="exact"/>
        <w:rPr>
          <w:sz w:val="20"/>
          <w:szCs w:val="20"/>
          <w:color w:val="auto"/>
        </w:rPr>
      </w:pPr>
    </w:p>
    <w:p>
      <w:pPr>
        <w:ind w:right="320" w:firstLine="648"/>
        <w:spacing w:after="0" w:line="276" w:lineRule="auto"/>
        <w:rPr>
          <w:sz w:val="20"/>
          <w:szCs w:val="20"/>
          <w:color w:val="auto"/>
        </w:rPr>
      </w:pPr>
      <w:r>
        <w:rPr>
          <w:rFonts w:ascii="Arial" w:cs="Arial" w:eastAsia="Arial" w:hAnsi="Arial"/>
          <w:sz w:val="17"/>
          <w:szCs w:val="17"/>
          <w:color w:val="auto"/>
        </w:rPr>
        <w:t>Plains All American Pipeline, L.P. is a publicly traded master limited partnership that owns and operates midstream energy infrastructure and provides logistics services for crude oil, NGLs, natural gas and refined products. PAA owns an extensive network of pipeline transportation, terminalling, storage and gathering assets in key crude oil and NGL producing basins and transportation corridors and at major market hubs in the United States and Canada. On average, PAA handles approximately 5 million barrels per day of crude oil and NGL in its Transportation segment. PAA is headquartered in Houston, Texas. More information is available at www.plainsallamerican.com.</w:t>
      </w:r>
    </w:p>
    <w:p>
      <w:pPr>
        <w:spacing w:after="0" w:line="173"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Plains GP Holdings is a publicly traded entity that owns an indirect, non-economic controlling general partner interest in PAA and an indirect limited partner interest in PAA, one of the largest energy infrastructure and logistics companies in North America. PAGP is headquartered in Houston, Texas. More information is available at www.plainsallamerican.com.</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7" w:lineRule="exact"/>
        <w:rPr>
          <w:sz w:val="20"/>
          <w:szCs w:val="20"/>
          <w:color w:val="auto"/>
        </w:rPr>
      </w:pPr>
    </w:p>
    <w:p>
      <w:pPr>
        <w:ind w:left="1800"/>
        <w:spacing w:after="0"/>
        <w:tabs>
          <w:tab w:leader="none" w:pos="4920" w:val="left"/>
          <w:tab w:leader="none" w:pos="76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400"/>
          </w:cols>
          <w:pgMar w:left="240" w:top="341" w:right="25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auto"/>
        </w:rPr>
        <w:t>Page 7</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CONSOLIDATED STATEMENTS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data)</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8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6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93"/>
              </w:rPr>
              <w:t>Three Months Ended</w:t>
            </w:r>
          </w:p>
        </w:tc>
        <w:tc>
          <w:tcPr>
            <w:tcW w:w="260" w:type="dxa"/>
            <w:vAlign w:val="bottom"/>
          </w:tcPr>
          <w:p>
            <w:pPr>
              <w:spacing w:after="0"/>
              <w:rPr>
                <w:sz w:val="17"/>
                <w:szCs w:val="17"/>
                <w:color w:val="auto"/>
              </w:rPr>
            </w:pPr>
          </w:p>
        </w:tc>
        <w:tc>
          <w:tcPr>
            <w:tcW w:w="2120" w:type="dxa"/>
            <w:vAlign w:val="bottom"/>
            <w:gridSpan w:val="4"/>
          </w:tcPr>
          <w:p>
            <w:pPr>
              <w:jc w:val="center"/>
              <w:ind w:right="151"/>
              <w:spacing w:after="0"/>
              <w:rPr>
                <w:sz w:val="20"/>
                <w:szCs w:val="20"/>
                <w:color w:val="auto"/>
              </w:rPr>
            </w:pPr>
            <w:r>
              <w:rPr>
                <w:rFonts w:ascii="Arial" w:cs="Arial" w:eastAsia="Arial" w:hAnsi="Arial"/>
                <w:sz w:val="16"/>
                <w:szCs w:val="16"/>
                <w:b w:val="1"/>
                <w:bCs w:val="1"/>
                <w:color w:val="auto"/>
                <w:w w:val="92"/>
              </w:rPr>
              <w:t>Six Months Ended</w:t>
            </w:r>
          </w:p>
        </w:tc>
        <w:tc>
          <w:tcPr>
            <w:tcW w:w="0" w:type="dxa"/>
            <w:vAlign w:val="bottom"/>
          </w:tcPr>
          <w:p>
            <w:pPr>
              <w:spacing w:after="0"/>
              <w:rPr>
                <w:sz w:val="1"/>
                <w:szCs w:val="1"/>
                <w:color w:val="auto"/>
              </w:rPr>
            </w:pPr>
          </w:p>
        </w:tc>
      </w:tr>
      <w:tr>
        <w:trPr>
          <w:trHeight w:val="210"/>
        </w:trPr>
        <w:tc>
          <w:tcPr>
            <w:tcW w:w="28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3"/>
          </w:tcPr>
          <w:p>
            <w:pPr>
              <w:jc w:val="center"/>
              <w:ind w:left="492"/>
              <w:spacing w:after="0"/>
              <w:rPr>
                <w:sz w:val="20"/>
                <w:szCs w:val="20"/>
                <w:color w:val="auto"/>
              </w:rPr>
            </w:pPr>
            <w:r>
              <w:rPr>
                <w:rFonts w:ascii="Arial" w:cs="Arial" w:eastAsia="Arial" w:hAnsi="Arial"/>
                <w:sz w:val="16"/>
                <w:szCs w:val="16"/>
                <w:b w:val="1"/>
                <w:bCs w:val="1"/>
                <w:color w:val="auto"/>
                <w:w w:val="87"/>
              </w:rPr>
              <w:t>June 30,</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3"/>
          </w:tcPr>
          <w:p>
            <w:pPr>
              <w:jc w:val="center"/>
              <w:ind w:left="492"/>
              <w:spacing w:after="0"/>
              <w:rPr>
                <w:sz w:val="20"/>
                <w:szCs w:val="20"/>
                <w:color w:val="auto"/>
              </w:rPr>
            </w:pPr>
            <w:r>
              <w:rPr>
                <w:rFonts w:ascii="Arial" w:cs="Arial" w:eastAsia="Arial" w:hAnsi="Arial"/>
                <w:sz w:val="16"/>
                <w:szCs w:val="16"/>
                <w:b w:val="1"/>
                <w:bCs w:val="1"/>
                <w:color w:val="auto"/>
                <w:w w:val="90"/>
              </w:rPr>
              <w:t>June 30,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8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8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52"/>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ind w:right="331"/>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2"/>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ind w:right="311"/>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33"/>
        </w:trPr>
        <w:tc>
          <w:tcPr>
            <w:tcW w:w="2820" w:type="dxa"/>
            <w:vAlign w:val="bottom"/>
            <w:tcBorders>
              <w:bottom w:val="single" w:sz="8" w:color="CCEEFF"/>
            </w:tcBorders>
          </w:tcPr>
          <w:p>
            <w:pPr>
              <w:spacing w:after="0"/>
              <w:rPr>
                <w:sz w:val="2"/>
                <w:szCs w:val="2"/>
                <w:color w:val="auto"/>
              </w:rPr>
            </w:pPr>
          </w:p>
        </w:tc>
        <w:tc>
          <w:tcPr>
            <w:tcW w:w="200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196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6,078</w:t>
            </w:r>
          </w:p>
        </w:tc>
        <w:tc>
          <w:tcPr>
            <w:tcW w:w="42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4,950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12,745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9,060</w:t>
            </w:r>
          </w:p>
        </w:tc>
        <w:tc>
          <w:tcPr>
            <w:tcW w:w="0" w:type="dxa"/>
            <w:vAlign w:val="bottom"/>
          </w:tcPr>
          <w:p>
            <w:pPr>
              <w:spacing w:after="0"/>
              <w:rPr>
                <w:sz w:val="1"/>
                <w:szCs w:val="1"/>
                <w:color w:val="auto"/>
              </w:rPr>
            </w:pPr>
          </w:p>
        </w:tc>
      </w:tr>
      <w:tr>
        <w:trPr>
          <w:trHeight w:val="284"/>
        </w:trPr>
        <w:tc>
          <w:tcPr>
            <w:tcW w:w="28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COSTS AND EXPENSES</w:t>
            </w:r>
          </w:p>
        </w:tc>
        <w:tc>
          <w:tcPr>
            <w:tcW w:w="17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20" w:type="dxa"/>
            <w:vAlign w:val="bottom"/>
            <w:gridSpan w:val="2"/>
          </w:tcPr>
          <w:p>
            <w:pPr>
              <w:ind w:left="40"/>
              <w:spacing w:after="0"/>
              <w:rPr>
                <w:sz w:val="20"/>
                <w:szCs w:val="20"/>
                <w:color w:val="auto"/>
              </w:rPr>
            </w:pPr>
            <w:r>
              <w:rPr>
                <w:rFonts w:ascii="Arial" w:cs="Arial" w:eastAsia="Arial" w:hAnsi="Arial"/>
                <w:sz w:val="18"/>
                <w:szCs w:val="18"/>
                <w:color w:val="auto"/>
              </w:rPr>
              <w:t>Purchases and related costs</w:t>
            </w:r>
          </w:p>
        </w:tc>
        <w:tc>
          <w:tcPr>
            <w:tcW w:w="1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5,320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4,224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10,912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7,571</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Field operating costs</w:t>
            </w:r>
          </w:p>
        </w:tc>
        <w:tc>
          <w:tcPr>
            <w:tcW w:w="17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593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43"/>
        </w:trPr>
        <w:tc>
          <w:tcPr>
            <w:tcW w:w="4820" w:type="dxa"/>
            <w:vAlign w:val="bottom"/>
            <w:gridSpan w:val="2"/>
          </w:tcPr>
          <w:p>
            <w:pPr>
              <w:ind w:left="40"/>
              <w:spacing w:after="0"/>
              <w:rPr>
                <w:sz w:val="20"/>
                <w:szCs w:val="20"/>
                <w:color w:val="auto"/>
              </w:rPr>
            </w:pPr>
            <w:r>
              <w:rPr>
                <w:rFonts w:ascii="Arial" w:cs="Arial" w:eastAsia="Arial" w:hAnsi="Arial"/>
                <w:sz w:val="18"/>
                <w:szCs w:val="18"/>
                <w:color w:val="auto"/>
              </w:rPr>
              <w:t>General and administrative expenses</w:t>
            </w:r>
          </w:p>
        </w:tc>
        <w:tc>
          <w:tcPr>
            <w:tcW w:w="1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17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37"/>
        </w:trPr>
        <w:tc>
          <w:tcPr>
            <w:tcW w:w="4820" w:type="dxa"/>
            <w:vAlign w:val="bottom"/>
            <w:gridSpan w:val="2"/>
          </w:tcPr>
          <w:p>
            <w:pPr>
              <w:ind w:left="200"/>
              <w:spacing w:after="0"/>
              <w:rPr>
                <w:sz w:val="20"/>
                <w:szCs w:val="20"/>
                <w:color w:val="auto"/>
              </w:rPr>
            </w:pPr>
            <w:r>
              <w:rPr>
                <w:rFonts w:ascii="Arial" w:cs="Arial" w:eastAsia="Arial" w:hAnsi="Arial"/>
                <w:sz w:val="18"/>
                <w:szCs w:val="18"/>
                <w:color w:val="auto"/>
              </w:rPr>
              <w:t>Total costs and expenses</w:t>
            </w:r>
          </w:p>
        </w:tc>
        <w:tc>
          <w:tcPr>
            <w:tcW w:w="17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5,821</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4,804</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11,897</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8,633</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2820" w:type="dxa"/>
            <w:vAlign w:val="bottom"/>
            <w:shd w:val="clear" w:color="auto" w:fill="CCEEFF"/>
          </w:tcPr>
          <w:p>
            <w:pPr>
              <w:spacing w:after="0"/>
              <w:rPr>
                <w:sz w:val="24"/>
                <w:szCs w:val="24"/>
                <w:color w:val="auto"/>
              </w:rPr>
            </w:pPr>
          </w:p>
        </w:tc>
        <w:tc>
          <w:tcPr>
            <w:tcW w:w="200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820" w:type="dxa"/>
            <w:vAlign w:val="bottom"/>
            <w:gridSpan w:val="2"/>
          </w:tcPr>
          <w:p>
            <w:pPr>
              <w:ind w:left="40"/>
              <w:spacing w:after="0"/>
              <w:rPr>
                <w:sz w:val="20"/>
                <w:szCs w:val="20"/>
                <w:color w:val="auto"/>
              </w:rPr>
            </w:pPr>
            <w:r>
              <w:rPr>
                <w:rFonts w:ascii="Arial" w:cs="Arial" w:eastAsia="Arial" w:hAnsi="Arial"/>
                <w:sz w:val="18"/>
                <w:szCs w:val="18"/>
                <w:b w:val="1"/>
                <w:bCs w:val="1"/>
                <w:color w:val="auto"/>
              </w:rPr>
              <w:t>OPERATING INCOME</w:t>
            </w:r>
          </w:p>
        </w:tc>
        <w:tc>
          <w:tcPr>
            <w:tcW w:w="1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848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2820" w:type="dxa"/>
            <w:vAlign w:val="bottom"/>
            <w:shd w:val="clear" w:color="auto" w:fill="CCEEFF"/>
          </w:tcPr>
          <w:p>
            <w:pPr>
              <w:spacing w:after="0"/>
              <w:rPr>
                <w:sz w:val="24"/>
                <w:szCs w:val="24"/>
                <w:color w:val="auto"/>
              </w:rPr>
            </w:pPr>
          </w:p>
        </w:tc>
        <w:tc>
          <w:tcPr>
            <w:tcW w:w="200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820" w:type="dxa"/>
            <w:vAlign w:val="bottom"/>
            <w:gridSpan w:val="2"/>
          </w:tcPr>
          <w:p>
            <w:pPr>
              <w:ind w:left="40"/>
              <w:spacing w:after="0"/>
              <w:rPr>
                <w:sz w:val="20"/>
                <w:szCs w:val="20"/>
                <w:color w:val="auto"/>
              </w:rPr>
            </w:pPr>
            <w:r>
              <w:rPr>
                <w:rFonts w:ascii="Arial" w:cs="Arial" w:eastAsia="Arial" w:hAnsi="Arial"/>
                <w:sz w:val="18"/>
                <w:szCs w:val="18"/>
                <w:b w:val="1"/>
                <w:bCs w:val="1"/>
                <w:color w:val="auto"/>
              </w:rPr>
              <w:t>OTHER INCOME/(EXPENSE)</w:t>
            </w:r>
          </w:p>
        </w:tc>
        <w:tc>
          <w:tcPr>
            <w:tcW w:w="1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Equity earnings in unconsolidated entities</w:t>
            </w:r>
          </w:p>
        </w:tc>
        <w:tc>
          <w:tcPr>
            <w:tcW w:w="17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43"/>
        </w:trPr>
        <w:tc>
          <w:tcPr>
            <w:tcW w:w="4820" w:type="dxa"/>
            <w:vAlign w:val="bottom"/>
            <w:gridSpan w:val="2"/>
          </w:tcPr>
          <w:p>
            <w:pPr>
              <w:ind w:left="40"/>
              <w:spacing w:after="0"/>
              <w:rPr>
                <w:sz w:val="20"/>
                <w:szCs w:val="20"/>
                <w:color w:val="auto"/>
              </w:rPr>
            </w:pPr>
            <w:r>
              <w:rPr>
                <w:rFonts w:ascii="Arial" w:cs="Arial" w:eastAsia="Arial" w:hAnsi="Arial"/>
                <w:sz w:val="18"/>
                <w:szCs w:val="18"/>
                <w:color w:val="auto"/>
              </w:rPr>
              <w:t>Interest expense, net</w:t>
            </w:r>
          </w:p>
        </w:tc>
        <w:tc>
          <w:tcPr>
            <w:tcW w:w="1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income/(expense), net</w:t>
            </w:r>
          </w:p>
        </w:tc>
        <w:tc>
          <w:tcPr>
            <w:tcW w:w="17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7"/>
        </w:trPr>
        <w:tc>
          <w:tcPr>
            <w:tcW w:w="28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TAX</w:t>
            </w:r>
          </w:p>
        </w:tc>
        <w:tc>
          <w:tcPr>
            <w:tcW w:w="17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709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43"/>
        </w:trPr>
        <w:tc>
          <w:tcPr>
            <w:tcW w:w="4820" w:type="dxa"/>
            <w:vAlign w:val="bottom"/>
            <w:gridSpan w:val="2"/>
          </w:tcPr>
          <w:p>
            <w:pPr>
              <w:ind w:left="40"/>
              <w:spacing w:after="0"/>
              <w:rPr>
                <w:sz w:val="20"/>
                <w:szCs w:val="20"/>
                <w:color w:val="auto"/>
              </w:rPr>
            </w:pPr>
            <w:r>
              <w:rPr>
                <w:rFonts w:ascii="Arial" w:cs="Arial" w:eastAsia="Arial" w:hAnsi="Arial"/>
                <w:sz w:val="18"/>
                <w:szCs w:val="18"/>
                <w:color w:val="auto"/>
              </w:rPr>
              <w:t>Current income tax expense</w:t>
            </w:r>
          </w:p>
        </w:tc>
        <w:tc>
          <w:tcPr>
            <w:tcW w:w="1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income tax benefit/(expense)</w:t>
            </w:r>
          </w:p>
        </w:tc>
        <w:tc>
          <w:tcPr>
            <w:tcW w:w="17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7"/>
        </w:trPr>
        <w:tc>
          <w:tcPr>
            <w:tcW w:w="28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17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633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43"/>
        </w:trPr>
        <w:tc>
          <w:tcPr>
            <w:tcW w:w="4820" w:type="dxa"/>
            <w:vAlign w:val="bottom"/>
            <w:gridSpan w:val="2"/>
          </w:tcPr>
          <w:p>
            <w:pPr>
              <w:ind w:left="200"/>
              <w:spacing w:after="0"/>
              <w:rPr>
                <w:sz w:val="20"/>
                <w:szCs w:val="20"/>
                <w:color w:val="auto"/>
              </w:rPr>
            </w:pPr>
            <w:r>
              <w:rPr>
                <w:rFonts w:ascii="Arial" w:cs="Arial" w:eastAsia="Arial" w:hAnsi="Arial"/>
                <w:sz w:val="18"/>
                <w:szCs w:val="18"/>
                <w:color w:val="auto"/>
              </w:rPr>
              <w:t>Net income attributable to noncontrolling interests</w:t>
            </w:r>
          </w:p>
        </w:tc>
        <w:tc>
          <w:tcPr>
            <w:tcW w:w="1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820" w:type="dxa"/>
            <w:vAlign w:val="bottom"/>
            <w:tcBorders>
              <w:bottom w:val="single" w:sz="8" w:color="CCEEFF"/>
            </w:tcBorders>
          </w:tcPr>
          <w:p>
            <w:pPr>
              <w:spacing w:after="0"/>
              <w:rPr>
                <w:sz w:val="2"/>
                <w:szCs w:val="2"/>
                <w:color w:val="auto"/>
              </w:rPr>
            </w:pPr>
          </w:p>
        </w:tc>
        <w:tc>
          <w:tcPr>
            <w:tcW w:w="200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82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ATTRIBUTABLE TO PAA</w:t>
            </w:r>
          </w:p>
        </w:tc>
        <w:tc>
          <w:tcPr>
            <w:tcW w:w="19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188</w:t>
            </w:r>
          </w:p>
        </w:tc>
        <w:tc>
          <w:tcPr>
            <w:tcW w:w="4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632</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282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PER COMMON UNIT:</w:t>
            </w:r>
          </w:p>
        </w:tc>
        <w:tc>
          <w:tcPr>
            <w:tcW w:w="17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20" w:type="dxa"/>
            <w:vAlign w:val="bottom"/>
            <w:gridSpan w:val="2"/>
          </w:tcPr>
          <w:p>
            <w:pPr>
              <w:ind w:left="200"/>
              <w:spacing w:after="0"/>
              <w:rPr>
                <w:sz w:val="20"/>
                <w:szCs w:val="20"/>
                <w:color w:val="auto"/>
              </w:rPr>
            </w:pPr>
            <w:r>
              <w:rPr>
                <w:rFonts w:ascii="Arial" w:cs="Arial" w:eastAsia="Arial" w:hAnsi="Arial"/>
                <w:sz w:val="18"/>
                <w:szCs w:val="18"/>
                <w:color w:val="auto"/>
                <w:w w:val="96"/>
              </w:rPr>
              <w:t>Net income/(loss) allocated to common unitholders — Basic</w:t>
            </w:r>
          </w:p>
        </w:tc>
        <w:tc>
          <w:tcPr>
            <w:tcW w:w="19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148</w:t>
            </w:r>
          </w:p>
        </w:tc>
        <w:tc>
          <w:tcPr>
            <w:tcW w:w="4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555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Basic weighted average common units outstanding</w:t>
            </w:r>
          </w:p>
        </w:tc>
        <w:tc>
          <w:tcPr>
            <w:tcW w:w="17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725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708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304"/>
        </w:trPr>
        <w:tc>
          <w:tcPr>
            <w:tcW w:w="4820" w:type="dxa"/>
            <w:vAlign w:val="bottom"/>
            <w:gridSpan w:val="2"/>
          </w:tcPr>
          <w:p>
            <w:pPr>
              <w:ind w:left="200"/>
              <w:spacing w:after="0"/>
              <w:rPr>
                <w:sz w:val="20"/>
                <w:szCs w:val="20"/>
                <w:color w:val="auto"/>
              </w:rPr>
            </w:pPr>
            <w:r>
              <w:rPr>
                <w:rFonts w:ascii="Arial" w:cs="Arial" w:eastAsia="Arial" w:hAnsi="Arial"/>
                <w:sz w:val="18"/>
                <w:szCs w:val="18"/>
                <w:color w:val="auto"/>
              </w:rPr>
              <w:t>Basic net income/(loss) per common unit</w:t>
            </w:r>
          </w:p>
        </w:tc>
        <w:tc>
          <w:tcPr>
            <w:tcW w:w="19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0.21</w:t>
            </w:r>
          </w:p>
        </w:tc>
        <w:tc>
          <w:tcPr>
            <w:tcW w:w="4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(0.20)</w:t>
            </w:r>
          </w:p>
        </w:tc>
        <w:tc>
          <w:tcPr>
            <w:tcW w:w="10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0.78</w:t>
            </w:r>
          </w:p>
        </w:tc>
        <w:tc>
          <w:tcPr>
            <w:tcW w:w="100" w:type="dxa"/>
            <w:vAlign w:val="bottom"/>
          </w:tcPr>
          <w:p>
            <w:pPr>
              <w:spacing w:after="0"/>
              <w:rPr>
                <w:sz w:val="24"/>
                <w:szCs w:val="24"/>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71"/>
        </w:trPr>
        <w:tc>
          <w:tcPr>
            <w:tcW w:w="2820" w:type="dxa"/>
            <w:vAlign w:val="bottom"/>
            <w:tcBorders>
              <w:top w:val="single" w:sz="8" w:color="CCEEFF"/>
            </w:tcBorders>
            <w:shd w:val="clear" w:color="auto" w:fill="CCEEFF"/>
          </w:tcPr>
          <w:p>
            <w:pPr>
              <w:spacing w:after="0"/>
              <w:rPr>
                <w:sz w:val="23"/>
                <w:szCs w:val="23"/>
                <w:color w:val="auto"/>
              </w:rPr>
            </w:pPr>
          </w:p>
        </w:tc>
        <w:tc>
          <w:tcPr>
            <w:tcW w:w="2000" w:type="dxa"/>
            <w:vAlign w:val="bottom"/>
            <w:tcBorders>
              <w:top w:val="single" w:sz="8" w:color="CCEEFF"/>
            </w:tcBorders>
            <w:shd w:val="clear" w:color="auto" w:fill="CCEEFF"/>
          </w:tcPr>
          <w:p>
            <w:pPr>
              <w:spacing w:after="0"/>
              <w:rPr>
                <w:sz w:val="23"/>
                <w:szCs w:val="23"/>
                <w:color w:val="auto"/>
              </w:rPr>
            </w:pPr>
          </w:p>
        </w:tc>
        <w:tc>
          <w:tcPr>
            <w:tcW w:w="170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32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340" w:type="dxa"/>
            <w:vAlign w:val="bottom"/>
            <w:tcBorders>
              <w:top w:val="single" w:sz="8" w:color="auto"/>
            </w:tcBorders>
            <w:shd w:val="clear" w:color="auto" w:fill="CCEEFF"/>
          </w:tcPr>
          <w:p>
            <w:pPr>
              <w:spacing w:after="0"/>
              <w:rPr>
                <w:sz w:val="23"/>
                <w:szCs w:val="23"/>
                <w:color w:val="auto"/>
              </w:rPr>
            </w:pPr>
          </w:p>
        </w:tc>
        <w:tc>
          <w:tcPr>
            <w:tcW w:w="80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820" w:type="dxa"/>
            <w:vAlign w:val="bottom"/>
            <w:gridSpan w:val="2"/>
          </w:tcPr>
          <w:p>
            <w:pPr>
              <w:ind w:left="200"/>
              <w:spacing w:after="0"/>
              <w:rPr>
                <w:sz w:val="20"/>
                <w:szCs w:val="20"/>
                <w:color w:val="auto"/>
              </w:rPr>
            </w:pPr>
            <w:r>
              <w:rPr>
                <w:rFonts w:ascii="Arial" w:cs="Arial" w:eastAsia="Arial" w:hAnsi="Arial"/>
                <w:sz w:val="18"/>
                <w:szCs w:val="18"/>
                <w:color w:val="auto"/>
                <w:w w:val="94"/>
              </w:rPr>
              <w:t>Net income/(loss) allocated to common unitholders — Diluted</w:t>
            </w:r>
          </w:p>
        </w:tc>
        <w:tc>
          <w:tcPr>
            <w:tcW w:w="19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148</w:t>
            </w:r>
          </w:p>
        </w:tc>
        <w:tc>
          <w:tcPr>
            <w:tcW w:w="4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555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Diluted weighted average common units outstanding</w:t>
            </w:r>
          </w:p>
        </w:tc>
        <w:tc>
          <w:tcPr>
            <w:tcW w:w="17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727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710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64"/>
        </w:trPr>
        <w:tc>
          <w:tcPr>
            <w:tcW w:w="4820" w:type="dxa"/>
            <w:vAlign w:val="bottom"/>
            <w:gridSpan w:val="2"/>
          </w:tcPr>
          <w:p>
            <w:pPr>
              <w:ind w:left="200"/>
              <w:spacing w:after="0"/>
              <w:rPr>
                <w:sz w:val="20"/>
                <w:szCs w:val="20"/>
                <w:color w:val="auto"/>
              </w:rPr>
            </w:pPr>
            <w:r>
              <w:rPr>
                <w:rFonts w:ascii="Arial" w:cs="Arial" w:eastAsia="Arial" w:hAnsi="Arial"/>
                <w:sz w:val="18"/>
                <w:szCs w:val="18"/>
                <w:color w:val="auto"/>
              </w:rPr>
              <w:t>Diluted net income/(loss) per common unit</w:t>
            </w:r>
          </w:p>
        </w:tc>
        <w:tc>
          <w:tcPr>
            <w:tcW w:w="19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0.21</w:t>
            </w:r>
          </w:p>
        </w:tc>
        <w:tc>
          <w:tcPr>
            <w:tcW w:w="4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(0.20)</w:t>
            </w:r>
          </w:p>
        </w:tc>
        <w:tc>
          <w:tcPr>
            <w:tcW w:w="10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0.78</w:t>
            </w:r>
          </w:p>
        </w:tc>
        <w:tc>
          <w:tcPr>
            <w:tcW w:w="10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0"/>
        </w:trPr>
        <w:tc>
          <w:tcPr>
            <w:tcW w:w="48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NON-GAAP ADJUSTED RESULTS</w:t>
            </w:r>
          </w:p>
        </w:tc>
        <w:tc>
          <w:tcPr>
            <w:tcW w:w="17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4820" w:type="dxa"/>
            <w:vAlign w:val="bottom"/>
            <w:gridSpan w:val="2"/>
            <w:vMerge w:val="continue"/>
          </w:tcPr>
          <w:p>
            <w:pPr>
              <w:spacing w:after="0"/>
              <w:rPr>
                <w:sz w:val="24"/>
                <w:szCs w:val="24"/>
                <w:color w:val="auto"/>
              </w:rPr>
            </w:pPr>
          </w:p>
        </w:tc>
        <w:tc>
          <w:tcPr>
            <w:tcW w:w="1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8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(in millions, except per unit data)</w:t>
            </w:r>
          </w:p>
        </w:tc>
        <w:tc>
          <w:tcPr>
            <w:tcW w:w="20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28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6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93"/>
              </w:rPr>
              <w:t>Three Months Ended</w:t>
            </w:r>
          </w:p>
        </w:tc>
        <w:tc>
          <w:tcPr>
            <w:tcW w:w="260" w:type="dxa"/>
            <w:vAlign w:val="bottom"/>
          </w:tcPr>
          <w:p>
            <w:pPr>
              <w:spacing w:after="0"/>
              <w:rPr>
                <w:sz w:val="24"/>
                <w:szCs w:val="24"/>
                <w:color w:val="auto"/>
              </w:rPr>
            </w:pPr>
          </w:p>
        </w:tc>
        <w:tc>
          <w:tcPr>
            <w:tcW w:w="2120" w:type="dxa"/>
            <w:vAlign w:val="bottom"/>
            <w:gridSpan w:val="4"/>
          </w:tcPr>
          <w:p>
            <w:pPr>
              <w:jc w:val="center"/>
              <w:ind w:right="151"/>
              <w:spacing w:after="0"/>
              <w:rPr>
                <w:sz w:val="20"/>
                <w:szCs w:val="20"/>
                <w:color w:val="auto"/>
              </w:rPr>
            </w:pPr>
            <w:r>
              <w:rPr>
                <w:rFonts w:ascii="Arial" w:cs="Arial" w:eastAsia="Arial" w:hAnsi="Arial"/>
                <w:sz w:val="16"/>
                <w:szCs w:val="16"/>
                <w:b w:val="1"/>
                <w:bCs w:val="1"/>
                <w:color w:val="auto"/>
                <w:w w:val="92"/>
              </w:rPr>
              <w:t>Six Months Ended</w:t>
            </w:r>
          </w:p>
        </w:tc>
        <w:tc>
          <w:tcPr>
            <w:tcW w:w="0" w:type="dxa"/>
            <w:vAlign w:val="bottom"/>
          </w:tcPr>
          <w:p>
            <w:pPr>
              <w:spacing w:after="0"/>
              <w:rPr>
                <w:sz w:val="1"/>
                <w:szCs w:val="1"/>
                <w:color w:val="auto"/>
              </w:rPr>
            </w:pPr>
          </w:p>
        </w:tc>
      </w:tr>
      <w:tr>
        <w:trPr>
          <w:trHeight w:val="210"/>
        </w:trPr>
        <w:tc>
          <w:tcPr>
            <w:tcW w:w="28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3"/>
          </w:tcPr>
          <w:p>
            <w:pPr>
              <w:jc w:val="center"/>
              <w:ind w:left="492"/>
              <w:spacing w:after="0"/>
              <w:rPr>
                <w:sz w:val="20"/>
                <w:szCs w:val="20"/>
                <w:color w:val="auto"/>
              </w:rPr>
            </w:pPr>
            <w:r>
              <w:rPr>
                <w:rFonts w:ascii="Arial" w:cs="Arial" w:eastAsia="Arial" w:hAnsi="Arial"/>
                <w:sz w:val="16"/>
                <w:szCs w:val="16"/>
                <w:b w:val="1"/>
                <w:bCs w:val="1"/>
                <w:color w:val="auto"/>
                <w:w w:val="87"/>
              </w:rPr>
              <w:t>June 30,</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3"/>
          </w:tcPr>
          <w:p>
            <w:pPr>
              <w:jc w:val="center"/>
              <w:ind w:left="492"/>
              <w:spacing w:after="0"/>
              <w:rPr>
                <w:sz w:val="20"/>
                <w:szCs w:val="20"/>
                <w:color w:val="auto"/>
              </w:rPr>
            </w:pPr>
            <w:r>
              <w:rPr>
                <w:rFonts w:ascii="Arial" w:cs="Arial" w:eastAsia="Arial" w:hAnsi="Arial"/>
                <w:sz w:val="16"/>
                <w:szCs w:val="16"/>
                <w:b w:val="1"/>
                <w:bCs w:val="1"/>
                <w:color w:val="auto"/>
                <w:w w:val="90"/>
              </w:rPr>
              <w:t>June 30,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8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8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52"/>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ind w:right="331"/>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2"/>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ind w:right="311"/>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33"/>
        </w:trPr>
        <w:tc>
          <w:tcPr>
            <w:tcW w:w="2820" w:type="dxa"/>
            <w:vAlign w:val="bottom"/>
            <w:tcBorders>
              <w:bottom w:val="single" w:sz="8" w:color="CCEEFF"/>
            </w:tcBorders>
          </w:tcPr>
          <w:p>
            <w:pPr>
              <w:spacing w:after="0"/>
              <w:rPr>
                <w:sz w:val="2"/>
                <w:szCs w:val="2"/>
                <w:color w:val="auto"/>
              </w:rPr>
            </w:pPr>
          </w:p>
        </w:tc>
        <w:tc>
          <w:tcPr>
            <w:tcW w:w="200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Adjusted net income attributable to PAA</w:t>
            </w:r>
          </w:p>
        </w:tc>
        <w:tc>
          <w:tcPr>
            <w:tcW w:w="17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189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414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491</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282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9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8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c>
          <w:tcPr>
            <w:tcW w:w="80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Diluted adjusted net income/(loss) per common unit</w:t>
            </w:r>
          </w:p>
        </w:tc>
        <w:tc>
          <w:tcPr>
            <w:tcW w:w="17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0.21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0.47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282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9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8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c>
          <w:tcPr>
            <w:tcW w:w="80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Adjusted EBITDA</w:t>
            </w:r>
          </w:p>
        </w:tc>
        <w:tc>
          <w:tcPr>
            <w:tcW w:w="17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451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474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963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1,107</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28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960" w:type="dxa"/>
            <w:vAlign w:val="bottom"/>
            <w:gridSpan w:val="2"/>
          </w:tcPr>
          <w:p>
            <w:pPr>
              <w:jc w:val="right"/>
              <w:ind w:right="690"/>
              <w:spacing w:after="0"/>
              <w:rPr>
                <w:sz w:val="20"/>
                <w:szCs w:val="20"/>
                <w:color w:val="auto"/>
              </w:rPr>
            </w:pPr>
            <w:r>
              <w:rPr>
                <w:rFonts w:ascii="Arial" w:cs="Arial" w:eastAsia="Arial" w:hAnsi="Arial"/>
                <w:sz w:val="18"/>
                <w:szCs w:val="18"/>
                <w:color w:val="auto"/>
              </w:rPr>
              <w:t>- more -</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820" w:type="dxa"/>
            <w:vAlign w:val="bottom"/>
            <w:tcBorders>
              <w:bottom w:val="single" w:sz="8" w:color="auto"/>
            </w:tcBorders>
          </w:tcPr>
          <w:p>
            <w:pPr>
              <w:spacing w:after="0"/>
              <w:rPr>
                <w:sz w:val="21"/>
                <w:szCs w:val="21"/>
                <w:color w:val="auto"/>
              </w:rPr>
            </w:pPr>
          </w:p>
        </w:tc>
        <w:tc>
          <w:tcPr>
            <w:tcW w:w="200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gridSpan w:val="2"/>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2480" w:type="dxa"/>
            <w:vAlign w:val="bottom"/>
            <w:tcBorders>
              <w:bottom w:val="single" w:sz="8" w:color="auto"/>
            </w:tcBorders>
            <w:gridSpan w:val="6"/>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45"/>
        </w:trPr>
        <w:tc>
          <w:tcPr>
            <w:tcW w:w="4820" w:type="dxa"/>
            <w:vAlign w:val="bottom"/>
            <w:gridSpan w:val="2"/>
          </w:tcPr>
          <w:p>
            <w:pPr>
              <w:ind w:left="1800"/>
              <w:spacing w:after="0"/>
              <w:rPr>
                <w:sz w:val="20"/>
                <w:szCs w:val="20"/>
                <w:color w:val="auto"/>
              </w:rPr>
            </w:pPr>
            <w:r>
              <w:rPr>
                <w:rFonts w:ascii="Arial" w:cs="Arial" w:eastAsia="Arial" w:hAnsi="Arial"/>
                <w:sz w:val="18"/>
                <w:szCs w:val="18"/>
                <w:b w:val="1"/>
                <w:bCs w:val="1"/>
                <w:color w:val="auto"/>
              </w:rPr>
              <w:t>333 Clay Street, Suite 1600</w:t>
            </w:r>
          </w:p>
        </w:tc>
        <w:tc>
          <w:tcPr>
            <w:tcW w:w="196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w w:val="94"/>
              </w:rPr>
              <w:t>Houston, Texas 77002</w:t>
            </w:r>
          </w:p>
        </w:tc>
        <w:tc>
          <w:tcPr>
            <w:tcW w:w="920" w:type="dxa"/>
            <w:vAlign w:val="bottom"/>
          </w:tcPr>
          <w:p>
            <w:pPr>
              <w:spacing w:after="0"/>
              <w:rPr>
                <w:sz w:val="24"/>
                <w:szCs w:val="24"/>
                <w:color w:val="auto"/>
              </w:rPr>
            </w:pPr>
          </w:p>
        </w:tc>
        <w:tc>
          <w:tcPr>
            <w:tcW w:w="2480" w:type="dxa"/>
            <w:vAlign w:val="bottom"/>
            <w:gridSpan w:val="6"/>
          </w:tcPr>
          <w:p>
            <w:pPr>
              <w:jc w:val="right"/>
              <w:ind w:right="212"/>
              <w:spacing w:after="0"/>
              <w:rPr>
                <w:sz w:val="20"/>
                <w:szCs w:val="20"/>
                <w:color w:val="auto"/>
              </w:rPr>
            </w:pPr>
            <w:r>
              <w:rPr>
                <w:rFonts w:ascii="Arial" w:cs="Arial" w:eastAsia="Arial" w:hAnsi="Arial"/>
                <w:sz w:val="18"/>
                <w:szCs w:val="18"/>
                <w:b w:val="1"/>
                <w:bCs w:val="1"/>
                <w:color w:val="auto"/>
                <w:w w:val="90"/>
              </w:rPr>
              <w:t>713-646-4100 / 866-809-1291</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41" w:right="239" w:bottom="292"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auto"/>
        </w:rPr>
        <w:t>Page 8</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CONSOLIDATED BALANCE SHEET DATA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820" w:type="dxa"/>
            <w:vAlign w:val="bottom"/>
          </w:tcPr>
          <w:p>
            <w:pPr>
              <w:spacing w:after="0"/>
              <w:rPr>
                <w:sz w:val="17"/>
                <w:szCs w:val="17"/>
                <w:color w:val="auto"/>
              </w:rPr>
            </w:pPr>
          </w:p>
        </w:tc>
        <w:tc>
          <w:tcPr>
            <w:tcW w:w="5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ind w:left="200"/>
              <w:spacing w:after="0"/>
              <w:rPr>
                <w:sz w:val="20"/>
                <w:szCs w:val="20"/>
                <w:color w:val="auto"/>
              </w:rPr>
            </w:pPr>
            <w:r>
              <w:rPr>
                <w:rFonts w:ascii="Arial" w:cs="Arial" w:eastAsia="Arial" w:hAnsi="Arial"/>
                <w:sz w:val="16"/>
                <w:szCs w:val="16"/>
                <w:b w:val="1"/>
                <w:bCs w:val="1"/>
                <w:color w:val="auto"/>
              </w:rPr>
              <w:t>June 30,</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ind w:right="111"/>
              <w:spacing w:after="0"/>
              <w:rPr>
                <w:sz w:val="20"/>
                <w:szCs w:val="20"/>
                <w:color w:val="auto"/>
              </w:rPr>
            </w:pPr>
            <w:r>
              <w:rPr>
                <w:rFonts w:ascii="Arial" w:cs="Arial" w:eastAsia="Arial" w:hAnsi="Arial"/>
                <w:sz w:val="16"/>
                <w:szCs w:val="16"/>
                <w:b w:val="1"/>
                <w:bCs w:val="1"/>
                <w:color w:val="auto"/>
                <w:w w:val="96"/>
              </w:rPr>
              <w:t>December 31,</w:t>
            </w:r>
          </w:p>
        </w:tc>
        <w:tc>
          <w:tcPr>
            <w:tcW w:w="0" w:type="dxa"/>
            <w:vAlign w:val="bottom"/>
          </w:tcPr>
          <w:p>
            <w:pPr>
              <w:spacing w:after="0"/>
              <w:rPr>
                <w:sz w:val="1"/>
                <w:szCs w:val="1"/>
                <w:color w:val="auto"/>
              </w:rPr>
            </w:pPr>
          </w:p>
        </w:tc>
      </w:tr>
      <w:tr>
        <w:trPr>
          <w:trHeight w:val="210"/>
        </w:trPr>
        <w:tc>
          <w:tcPr>
            <w:tcW w:w="28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ind w:right="351"/>
              <w:spacing w:after="0"/>
              <w:rPr>
                <w:sz w:val="20"/>
                <w:szCs w:val="20"/>
                <w:color w:val="auto"/>
              </w:rPr>
            </w:pPr>
            <w:r>
              <w:rPr>
                <w:rFonts w:ascii="Arial" w:cs="Arial" w:eastAsia="Arial" w:hAnsi="Arial"/>
                <w:sz w:val="16"/>
                <w:szCs w:val="16"/>
                <w:b w:val="1"/>
                <w:bCs w:val="1"/>
                <w:color w:val="auto"/>
              </w:rPr>
              <w:t>2017</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431"/>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33"/>
        </w:trPr>
        <w:tc>
          <w:tcPr>
            <w:tcW w:w="2820" w:type="dxa"/>
            <w:vAlign w:val="bottom"/>
            <w:tcBorders>
              <w:bottom w:val="single" w:sz="8" w:color="CCEEFF"/>
            </w:tcBorders>
          </w:tcPr>
          <w:p>
            <w:pPr>
              <w:spacing w:after="0"/>
              <w:rPr>
                <w:sz w:val="2"/>
                <w:szCs w:val="2"/>
                <w:color w:val="auto"/>
              </w:rPr>
            </w:pPr>
          </w:p>
        </w:tc>
        <w:tc>
          <w:tcPr>
            <w:tcW w:w="56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20" w:type="dxa"/>
            <w:vAlign w:val="bottom"/>
            <w:gridSpan w:val="2"/>
          </w:tcPr>
          <w:p>
            <w:pPr>
              <w:ind w:left="40"/>
              <w:spacing w:after="0"/>
              <w:rPr>
                <w:sz w:val="20"/>
                <w:szCs w:val="20"/>
                <w:color w:val="auto"/>
              </w:rPr>
            </w:pPr>
            <w:r>
              <w:rPr>
                <w:rFonts w:ascii="Arial" w:cs="Arial" w:eastAsia="Arial" w:hAnsi="Arial"/>
                <w:sz w:val="18"/>
                <w:szCs w:val="18"/>
                <w:color w:val="auto"/>
              </w:rPr>
              <w:t>Current assets</w:t>
            </w:r>
          </w:p>
        </w:tc>
        <w:tc>
          <w:tcPr>
            <w:tcW w:w="3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3,528</w:t>
            </w:r>
          </w:p>
        </w:tc>
        <w:tc>
          <w:tcPr>
            <w:tcW w:w="80" w:type="dxa"/>
            <w:vAlign w:val="bottom"/>
          </w:tcPr>
          <w:p>
            <w:pPr>
              <w:spacing w:after="0"/>
              <w:rPr>
                <w:sz w:val="21"/>
                <w:szCs w:val="21"/>
                <w:color w:val="auto"/>
              </w:rPr>
            </w:pP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4,272</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5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14,322</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13,872</w:t>
            </w:r>
          </w:p>
        </w:tc>
        <w:tc>
          <w:tcPr>
            <w:tcW w:w="0" w:type="dxa"/>
            <w:vAlign w:val="bottom"/>
          </w:tcPr>
          <w:p>
            <w:pPr>
              <w:spacing w:after="0"/>
              <w:rPr>
                <w:sz w:val="1"/>
                <w:szCs w:val="1"/>
                <w:color w:val="auto"/>
              </w:rPr>
            </w:pPr>
          </w:p>
        </w:tc>
      </w:tr>
      <w:tr>
        <w:trPr>
          <w:trHeight w:val="243"/>
        </w:trPr>
        <w:tc>
          <w:tcPr>
            <w:tcW w:w="8420" w:type="dxa"/>
            <w:vAlign w:val="bottom"/>
            <w:gridSpan w:val="2"/>
          </w:tcPr>
          <w:p>
            <w:pPr>
              <w:ind w:left="40"/>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2,596</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2,344</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5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Investments in unconsolidated entities</w:t>
            </w: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2,626</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2,343</w:t>
            </w:r>
          </w:p>
        </w:tc>
        <w:tc>
          <w:tcPr>
            <w:tcW w:w="0" w:type="dxa"/>
            <w:vAlign w:val="bottom"/>
          </w:tcPr>
          <w:p>
            <w:pPr>
              <w:spacing w:after="0"/>
              <w:rPr>
                <w:sz w:val="1"/>
                <w:szCs w:val="1"/>
                <w:color w:val="auto"/>
              </w:rPr>
            </w:pPr>
          </w:p>
        </w:tc>
      </w:tr>
      <w:tr>
        <w:trPr>
          <w:trHeight w:val="243"/>
        </w:trPr>
        <w:tc>
          <w:tcPr>
            <w:tcW w:w="8420" w:type="dxa"/>
            <w:vAlign w:val="bottom"/>
            <w:gridSpan w:val="2"/>
          </w:tcPr>
          <w:p>
            <w:pPr>
              <w:ind w:left="40"/>
              <w:spacing w:after="0"/>
              <w:rPr>
                <w:sz w:val="20"/>
                <w:szCs w:val="20"/>
                <w:color w:val="auto"/>
              </w:rPr>
            </w:pPr>
            <w:r>
              <w:rPr>
                <w:rFonts w:ascii="Arial" w:cs="Arial" w:eastAsia="Arial" w:hAnsi="Arial"/>
                <w:sz w:val="18"/>
                <w:szCs w:val="18"/>
                <w:color w:val="auto"/>
              </w:rPr>
              <w:t>Linefill and base gas</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894</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896</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5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inventory</w:t>
            </w: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43"/>
        </w:trPr>
        <w:tc>
          <w:tcPr>
            <w:tcW w:w="8420" w:type="dxa"/>
            <w:vAlign w:val="bottom"/>
            <w:gridSpan w:val="2"/>
          </w:tcPr>
          <w:p>
            <w:pPr>
              <w:ind w:left="40"/>
              <w:spacing w:after="0"/>
              <w:rPr>
                <w:sz w:val="20"/>
                <w:szCs w:val="20"/>
                <w:color w:val="auto"/>
              </w:rPr>
            </w:pPr>
            <w:r>
              <w:rPr>
                <w:rFonts w:ascii="Arial" w:cs="Arial" w:eastAsia="Arial" w:hAnsi="Arial"/>
                <w:sz w:val="18"/>
                <w:szCs w:val="18"/>
                <w:color w:val="auto"/>
              </w:rPr>
              <w:t>Other long-term assets, net</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921</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7"/>
        </w:trPr>
        <w:tc>
          <w:tcPr>
            <w:tcW w:w="2820" w:type="dxa"/>
            <w:vAlign w:val="bottom"/>
            <w:tcBorders>
              <w:bottom w:val="single" w:sz="8" w:color="CCEEFF"/>
            </w:tcBorders>
          </w:tcPr>
          <w:p>
            <w:pPr>
              <w:spacing w:after="0"/>
              <w:rPr>
                <w:sz w:val="2"/>
                <w:szCs w:val="2"/>
                <w:color w:val="auto"/>
              </w:rPr>
            </w:pPr>
          </w:p>
        </w:tc>
        <w:tc>
          <w:tcPr>
            <w:tcW w:w="56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 assets</w:t>
            </w:r>
          </w:p>
        </w:tc>
        <w:tc>
          <w:tcPr>
            <w:tcW w:w="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25,004</w:t>
            </w:r>
          </w:p>
        </w:tc>
        <w:tc>
          <w:tcPr>
            <w:tcW w:w="80" w:type="dxa"/>
            <w:vAlign w:val="bottom"/>
            <w:shd w:val="clear" w:color="auto" w:fill="CCEEFF"/>
          </w:tcPr>
          <w:p>
            <w:pPr>
              <w:spacing w:after="0"/>
              <w:rPr>
                <w:sz w:val="22"/>
                <w:szCs w:val="22"/>
                <w:color w:val="auto"/>
              </w:rPr>
            </w:pP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24,210</w:t>
            </w: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5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2820" w:type="dxa"/>
            <w:vAlign w:val="bottom"/>
          </w:tcPr>
          <w:p>
            <w:pPr>
              <w:spacing w:after="0"/>
              <w:rPr>
                <w:sz w:val="23"/>
                <w:szCs w:val="23"/>
                <w:color w:val="auto"/>
              </w:rPr>
            </w:pPr>
          </w:p>
        </w:tc>
        <w:tc>
          <w:tcPr>
            <w:tcW w:w="56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PARTNERS' CAPITAL</w:t>
            </w: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20" w:type="dxa"/>
            <w:vAlign w:val="bottom"/>
            <w:gridSpan w:val="2"/>
          </w:tcPr>
          <w:p>
            <w:pPr>
              <w:ind w:left="40"/>
              <w:spacing w:after="0"/>
              <w:rPr>
                <w:sz w:val="20"/>
                <w:szCs w:val="20"/>
                <w:color w:val="auto"/>
              </w:rPr>
            </w:pPr>
            <w:r>
              <w:rPr>
                <w:rFonts w:ascii="Arial" w:cs="Arial" w:eastAsia="Arial" w:hAnsi="Arial"/>
                <w:sz w:val="18"/>
                <w:szCs w:val="18"/>
                <w:color w:val="auto"/>
              </w:rPr>
              <w:t>Current liabilities</w:t>
            </w:r>
          </w:p>
        </w:tc>
        <w:tc>
          <w:tcPr>
            <w:tcW w:w="3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3,757</w:t>
            </w:r>
          </w:p>
        </w:tc>
        <w:tc>
          <w:tcPr>
            <w:tcW w:w="80" w:type="dxa"/>
            <w:vAlign w:val="bottom"/>
          </w:tcPr>
          <w:p>
            <w:pPr>
              <w:spacing w:after="0"/>
              <w:rPr>
                <w:sz w:val="21"/>
                <w:szCs w:val="21"/>
                <w:color w:val="auto"/>
              </w:rPr>
            </w:pP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4,664</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5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Senior notes, net of unamortized discounts and debt issuance costs</w:t>
            </w: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9,878</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9,874</w:t>
            </w:r>
          </w:p>
        </w:tc>
        <w:tc>
          <w:tcPr>
            <w:tcW w:w="0" w:type="dxa"/>
            <w:vAlign w:val="bottom"/>
          </w:tcPr>
          <w:p>
            <w:pPr>
              <w:spacing w:after="0"/>
              <w:rPr>
                <w:sz w:val="1"/>
                <w:szCs w:val="1"/>
                <w:color w:val="auto"/>
              </w:rPr>
            </w:pPr>
          </w:p>
        </w:tc>
      </w:tr>
      <w:tr>
        <w:trPr>
          <w:trHeight w:val="243"/>
        </w:trPr>
        <w:tc>
          <w:tcPr>
            <w:tcW w:w="8420" w:type="dxa"/>
            <w:vAlign w:val="bottom"/>
            <w:gridSpan w:val="2"/>
          </w:tcPr>
          <w:p>
            <w:pPr>
              <w:ind w:left="40"/>
              <w:spacing w:after="0"/>
              <w:rPr>
                <w:sz w:val="20"/>
                <w:szCs w:val="20"/>
                <w:color w:val="auto"/>
              </w:rPr>
            </w:pPr>
            <w:r>
              <w:rPr>
                <w:rFonts w:ascii="Arial" w:cs="Arial" w:eastAsia="Arial" w:hAnsi="Arial"/>
                <w:sz w:val="18"/>
                <w:szCs w:val="18"/>
                <w:color w:val="auto"/>
              </w:rPr>
              <w:t>Other long-term debt</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162</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5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long-term liabilities and deferred credits</w:t>
            </w:r>
          </w:p>
        </w:tc>
        <w:tc>
          <w:tcPr>
            <w:tcW w:w="1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706</w:t>
            </w: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r>
        <w:trPr>
          <w:trHeight w:val="237"/>
        </w:trPr>
        <w:tc>
          <w:tcPr>
            <w:tcW w:w="8420" w:type="dxa"/>
            <w:vAlign w:val="bottom"/>
            <w:gridSpan w:val="2"/>
          </w:tcPr>
          <w:p>
            <w:pPr>
              <w:ind w:left="200"/>
              <w:spacing w:after="0"/>
              <w:rPr>
                <w:sz w:val="20"/>
                <w:szCs w:val="20"/>
                <w:color w:val="auto"/>
              </w:rPr>
            </w:pPr>
            <w:r>
              <w:rPr>
                <w:rFonts w:ascii="Arial" w:cs="Arial" w:eastAsia="Arial" w:hAnsi="Arial"/>
                <w:sz w:val="18"/>
                <w:szCs w:val="18"/>
                <w:color w:val="auto"/>
              </w:rPr>
              <w:t>Total liabilities</w:t>
            </w:r>
          </w:p>
        </w:tc>
        <w:tc>
          <w:tcPr>
            <w:tcW w:w="16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14,503</w:t>
            </w:r>
          </w:p>
        </w:tc>
        <w:tc>
          <w:tcPr>
            <w:tcW w:w="80" w:type="dxa"/>
            <w:vAlign w:val="bottom"/>
            <w:tcBorders>
              <w:top w:val="single" w:sz="8" w:color="auto"/>
            </w:tcBorders>
          </w:tcPr>
          <w:p>
            <w:pPr>
              <w:spacing w:after="0"/>
              <w:rPr>
                <w:sz w:val="20"/>
                <w:szCs w:val="20"/>
                <w:color w:val="auto"/>
              </w:rPr>
            </w:pPr>
          </w:p>
        </w:tc>
        <w:tc>
          <w:tcPr>
            <w:tcW w:w="120" w:type="dxa"/>
            <w:vAlign w:val="bottom"/>
            <w:gridSpan w:val="2"/>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15,394</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5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2820" w:type="dxa"/>
            <w:vAlign w:val="bottom"/>
            <w:shd w:val="clear" w:color="auto" w:fill="CCEEFF"/>
          </w:tcPr>
          <w:p>
            <w:pPr>
              <w:spacing w:after="0"/>
              <w:rPr>
                <w:sz w:val="24"/>
                <w:szCs w:val="24"/>
                <w:color w:val="auto"/>
              </w:rPr>
            </w:pPr>
          </w:p>
        </w:tc>
        <w:tc>
          <w:tcPr>
            <w:tcW w:w="56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420" w:type="dxa"/>
            <w:vAlign w:val="bottom"/>
            <w:gridSpan w:val="2"/>
          </w:tcPr>
          <w:p>
            <w:pPr>
              <w:ind w:left="40"/>
              <w:spacing w:after="0"/>
              <w:rPr>
                <w:sz w:val="20"/>
                <w:szCs w:val="20"/>
                <w:color w:val="auto"/>
              </w:rPr>
            </w:pPr>
            <w:r>
              <w:rPr>
                <w:rFonts w:ascii="Arial" w:cs="Arial" w:eastAsia="Arial" w:hAnsi="Arial"/>
                <w:sz w:val="18"/>
                <w:szCs w:val="18"/>
                <w:color w:val="auto"/>
              </w:rPr>
              <w:t>Partners' capital excluding noncontrolling interests</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10,444</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8,759</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5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Noncontrolling interests</w:t>
            </w:r>
          </w:p>
        </w:tc>
        <w:tc>
          <w:tcPr>
            <w:tcW w:w="1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37"/>
        </w:trPr>
        <w:tc>
          <w:tcPr>
            <w:tcW w:w="8420" w:type="dxa"/>
            <w:vAlign w:val="bottom"/>
            <w:gridSpan w:val="2"/>
          </w:tcPr>
          <w:p>
            <w:pPr>
              <w:ind w:left="200"/>
              <w:spacing w:after="0"/>
              <w:rPr>
                <w:sz w:val="20"/>
                <w:szCs w:val="20"/>
                <w:color w:val="auto"/>
              </w:rPr>
            </w:pPr>
            <w:r>
              <w:rPr>
                <w:rFonts w:ascii="Arial" w:cs="Arial" w:eastAsia="Arial" w:hAnsi="Arial"/>
                <w:sz w:val="18"/>
                <w:szCs w:val="18"/>
                <w:color w:val="auto"/>
              </w:rPr>
              <w:t>Total partners' capital</w:t>
            </w:r>
          </w:p>
        </w:tc>
        <w:tc>
          <w:tcPr>
            <w:tcW w:w="16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10,501</w:t>
            </w:r>
          </w:p>
        </w:tc>
        <w:tc>
          <w:tcPr>
            <w:tcW w:w="8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8,816</w:t>
            </w:r>
          </w:p>
        </w:tc>
        <w:tc>
          <w:tcPr>
            <w:tcW w:w="0" w:type="dxa"/>
            <w:vAlign w:val="bottom"/>
          </w:tcPr>
          <w:p>
            <w:pPr>
              <w:spacing w:after="0"/>
              <w:rPr>
                <w:sz w:val="1"/>
                <w:szCs w:val="1"/>
                <w:color w:val="auto"/>
              </w:rPr>
            </w:pPr>
          </w:p>
        </w:tc>
      </w:tr>
      <w:tr>
        <w:trPr>
          <w:trHeight w:val="27"/>
        </w:trPr>
        <w:tc>
          <w:tcPr>
            <w:tcW w:w="2820" w:type="dxa"/>
            <w:vAlign w:val="bottom"/>
            <w:tcBorders>
              <w:bottom w:val="single" w:sz="8" w:color="CCEEFF"/>
            </w:tcBorders>
          </w:tcPr>
          <w:p>
            <w:pPr>
              <w:spacing w:after="0"/>
              <w:rPr>
                <w:sz w:val="2"/>
                <w:szCs w:val="2"/>
                <w:color w:val="auto"/>
              </w:rPr>
            </w:pPr>
          </w:p>
        </w:tc>
        <w:tc>
          <w:tcPr>
            <w:tcW w:w="56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4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liabilities and partners' capital</w:t>
            </w:r>
          </w:p>
        </w:tc>
        <w:tc>
          <w:tcPr>
            <w:tcW w:w="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25,004</w:t>
            </w:r>
          </w:p>
        </w:tc>
        <w:tc>
          <w:tcPr>
            <w:tcW w:w="80" w:type="dxa"/>
            <w:vAlign w:val="bottom"/>
            <w:shd w:val="clear" w:color="auto" w:fill="CCEEFF"/>
          </w:tcPr>
          <w:p>
            <w:pPr>
              <w:spacing w:after="0"/>
              <w:rPr>
                <w:sz w:val="22"/>
                <w:szCs w:val="22"/>
                <w:color w:val="auto"/>
              </w:rPr>
            </w:pP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24,210</w:t>
            </w:r>
          </w:p>
        </w:tc>
        <w:tc>
          <w:tcPr>
            <w:tcW w:w="0" w:type="dxa"/>
            <w:vAlign w:val="bottom"/>
          </w:tcPr>
          <w:p>
            <w:pPr>
              <w:spacing w:after="0"/>
              <w:rPr>
                <w:sz w:val="1"/>
                <w:szCs w:val="1"/>
                <w:color w:val="auto"/>
              </w:rPr>
            </w:pPr>
          </w:p>
        </w:tc>
      </w:tr>
      <w:tr>
        <w:trPr>
          <w:trHeight w:val="20"/>
        </w:trPr>
        <w:tc>
          <w:tcPr>
            <w:tcW w:w="84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DEBT CAPITALIZATION RATIOS</w:t>
            </w: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842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8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(in millions)</w:t>
            </w:r>
          </w:p>
        </w:tc>
        <w:tc>
          <w:tcPr>
            <w:tcW w:w="5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282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ind w:left="80"/>
              <w:spacing w:after="0"/>
              <w:rPr>
                <w:sz w:val="20"/>
                <w:szCs w:val="20"/>
                <w:color w:val="auto"/>
              </w:rPr>
            </w:pPr>
            <w:r>
              <w:rPr>
                <w:rFonts w:ascii="Arial" w:cs="Arial" w:eastAsia="Arial" w:hAnsi="Arial"/>
                <w:sz w:val="16"/>
                <w:szCs w:val="16"/>
                <w:b w:val="1"/>
                <w:bCs w:val="1"/>
                <w:color w:val="auto"/>
              </w:rPr>
              <w:t>June 30,</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jc w:val="right"/>
              <w:ind w:right="151"/>
              <w:spacing w:after="0"/>
              <w:rPr>
                <w:sz w:val="20"/>
                <w:szCs w:val="20"/>
                <w:color w:val="auto"/>
              </w:rPr>
            </w:pPr>
            <w:r>
              <w:rPr>
                <w:rFonts w:ascii="Arial" w:cs="Arial" w:eastAsia="Arial" w:hAnsi="Arial"/>
                <w:sz w:val="16"/>
                <w:szCs w:val="16"/>
                <w:b w:val="1"/>
                <w:bCs w:val="1"/>
                <w:color w:val="auto"/>
                <w:w w:val="92"/>
              </w:rPr>
              <w:t>December 31,</w:t>
            </w:r>
          </w:p>
        </w:tc>
        <w:tc>
          <w:tcPr>
            <w:tcW w:w="0" w:type="dxa"/>
            <w:vAlign w:val="bottom"/>
          </w:tcPr>
          <w:p>
            <w:pPr>
              <w:spacing w:after="0"/>
              <w:rPr>
                <w:sz w:val="1"/>
                <w:szCs w:val="1"/>
                <w:color w:val="auto"/>
              </w:rPr>
            </w:pPr>
          </w:p>
        </w:tc>
      </w:tr>
      <w:tr>
        <w:trPr>
          <w:trHeight w:val="210"/>
        </w:trPr>
        <w:tc>
          <w:tcPr>
            <w:tcW w:w="28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ind w:right="471"/>
              <w:spacing w:after="0"/>
              <w:rPr>
                <w:sz w:val="20"/>
                <w:szCs w:val="20"/>
                <w:color w:val="auto"/>
              </w:rPr>
            </w:pPr>
            <w:r>
              <w:rPr>
                <w:rFonts w:ascii="Arial" w:cs="Arial" w:eastAsia="Arial" w:hAnsi="Arial"/>
                <w:sz w:val="16"/>
                <w:szCs w:val="16"/>
                <w:b w:val="1"/>
                <w:bCs w:val="1"/>
                <w:color w:val="auto"/>
              </w:rPr>
              <w:t>2017</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471"/>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33"/>
        </w:trPr>
        <w:tc>
          <w:tcPr>
            <w:tcW w:w="2820" w:type="dxa"/>
            <w:vAlign w:val="bottom"/>
            <w:tcBorders>
              <w:bottom w:val="single" w:sz="8" w:color="CCEEFF"/>
            </w:tcBorders>
          </w:tcPr>
          <w:p>
            <w:pPr>
              <w:spacing w:after="0"/>
              <w:rPr>
                <w:sz w:val="2"/>
                <w:szCs w:val="2"/>
                <w:color w:val="auto"/>
              </w:rPr>
            </w:pPr>
          </w:p>
        </w:tc>
        <w:tc>
          <w:tcPr>
            <w:tcW w:w="5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420" w:type="dxa"/>
            <w:vAlign w:val="bottom"/>
            <w:gridSpan w:val="2"/>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Short-term debt </w:t>
            </w:r>
            <w:r>
              <w:rPr>
                <w:rFonts w:ascii="Arial" w:cs="Arial" w:eastAsia="Arial" w:hAnsi="Arial"/>
                <w:sz w:val="25"/>
                <w:szCs w:val="25"/>
                <w:color w:val="auto"/>
                <w:vertAlign w:val="superscript"/>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1,114</w:t>
            </w:r>
          </w:p>
        </w:tc>
        <w:tc>
          <w:tcPr>
            <w:tcW w:w="80" w:type="dxa"/>
            <w:vAlign w:val="bottom"/>
            <w:shd w:val="clear" w:color="auto" w:fill="CCEEFF"/>
          </w:tcPr>
          <w:p>
            <w:pPr>
              <w:spacing w:after="0"/>
              <w:rPr>
                <w:sz w:val="22"/>
                <w:szCs w:val="22"/>
                <w:color w:val="auto"/>
              </w:rPr>
            </w:pPr>
          </w:p>
        </w:tc>
        <w:tc>
          <w:tcPr>
            <w:tcW w:w="26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1,715</w:t>
            </w:r>
          </w:p>
        </w:tc>
        <w:tc>
          <w:tcPr>
            <w:tcW w:w="0" w:type="dxa"/>
            <w:vAlign w:val="bottom"/>
          </w:tcPr>
          <w:p>
            <w:pPr>
              <w:spacing w:after="0"/>
              <w:rPr>
                <w:sz w:val="1"/>
                <w:szCs w:val="1"/>
                <w:color w:val="auto"/>
              </w:rPr>
            </w:pPr>
          </w:p>
        </w:tc>
      </w:tr>
      <w:tr>
        <w:trPr>
          <w:trHeight w:val="243"/>
        </w:trPr>
        <w:tc>
          <w:tcPr>
            <w:tcW w:w="8420" w:type="dxa"/>
            <w:vAlign w:val="bottom"/>
            <w:gridSpan w:val="2"/>
          </w:tcPr>
          <w:p>
            <w:pPr>
              <w:ind w:left="40"/>
              <w:spacing w:after="0"/>
              <w:rPr>
                <w:sz w:val="20"/>
                <w:szCs w:val="20"/>
                <w:color w:val="auto"/>
              </w:rPr>
            </w:pPr>
            <w:r>
              <w:rPr>
                <w:rFonts w:ascii="Arial" w:cs="Arial" w:eastAsia="Arial" w:hAnsi="Arial"/>
                <w:sz w:val="18"/>
                <w:szCs w:val="18"/>
                <w:color w:val="auto"/>
              </w:rPr>
              <w:t>Long-term debt</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10,040</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10,124</w:t>
            </w:r>
          </w:p>
        </w:tc>
        <w:tc>
          <w:tcPr>
            <w:tcW w:w="0" w:type="dxa"/>
            <w:vAlign w:val="bottom"/>
          </w:tcPr>
          <w:p>
            <w:pPr>
              <w:spacing w:after="0"/>
              <w:rPr>
                <w:sz w:val="1"/>
                <w:szCs w:val="1"/>
                <w:color w:val="auto"/>
              </w:rPr>
            </w:pPr>
          </w:p>
        </w:tc>
      </w:tr>
      <w:tr>
        <w:trPr>
          <w:trHeight w:val="27"/>
        </w:trPr>
        <w:tc>
          <w:tcPr>
            <w:tcW w:w="2820" w:type="dxa"/>
            <w:vAlign w:val="bottom"/>
            <w:tcBorders>
              <w:bottom w:val="single" w:sz="8" w:color="CCEEFF"/>
            </w:tcBorders>
          </w:tcPr>
          <w:p>
            <w:pPr>
              <w:spacing w:after="0"/>
              <w:rPr>
                <w:sz w:val="2"/>
                <w:szCs w:val="2"/>
                <w:color w:val="auto"/>
              </w:rPr>
            </w:pPr>
          </w:p>
        </w:tc>
        <w:tc>
          <w:tcPr>
            <w:tcW w:w="5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 debt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11,154</w:t>
            </w:r>
          </w:p>
        </w:tc>
        <w:tc>
          <w:tcPr>
            <w:tcW w:w="80" w:type="dxa"/>
            <w:vAlign w:val="bottom"/>
            <w:shd w:val="clear" w:color="auto" w:fill="CCEEFF"/>
          </w:tcPr>
          <w:p>
            <w:pPr>
              <w:spacing w:after="0"/>
              <w:rPr>
                <w:sz w:val="22"/>
                <w:szCs w:val="22"/>
                <w:color w:val="auto"/>
              </w:rPr>
            </w:pPr>
          </w:p>
        </w:tc>
        <w:tc>
          <w:tcPr>
            <w:tcW w:w="26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11,839</w:t>
            </w: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5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gridSpan w:val="2"/>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2820" w:type="dxa"/>
            <w:vAlign w:val="bottom"/>
          </w:tcPr>
          <w:p>
            <w:pPr>
              <w:spacing w:after="0"/>
              <w:rPr>
                <w:sz w:val="23"/>
                <w:szCs w:val="23"/>
                <w:color w:val="auto"/>
              </w:rPr>
            </w:pPr>
          </w:p>
        </w:tc>
        <w:tc>
          <w:tcPr>
            <w:tcW w:w="56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10,040</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10,124</w:t>
            </w:r>
          </w:p>
        </w:tc>
        <w:tc>
          <w:tcPr>
            <w:tcW w:w="0" w:type="dxa"/>
            <w:vAlign w:val="bottom"/>
          </w:tcPr>
          <w:p>
            <w:pPr>
              <w:spacing w:after="0"/>
              <w:rPr>
                <w:sz w:val="1"/>
                <w:szCs w:val="1"/>
                <w:color w:val="auto"/>
              </w:rPr>
            </w:pPr>
          </w:p>
        </w:tc>
      </w:tr>
      <w:tr>
        <w:trPr>
          <w:trHeight w:val="243"/>
        </w:trPr>
        <w:tc>
          <w:tcPr>
            <w:tcW w:w="8420" w:type="dxa"/>
            <w:vAlign w:val="bottom"/>
            <w:gridSpan w:val="2"/>
          </w:tcPr>
          <w:p>
            <w:pPr>
              <w:ind w:left="40"/>
              <w:spacing w:after="0"/>
              <w:rPr>
                <w:sz w:val="20"/>
                <w:szCs w:val="20"/>
                <w:color w:val="auto"/>
              </w:rPr>
            </w:pPr>
            <w:r>
              <w:rPr>
                <w:rFonts w:ascii="Arial" w:cs="Arial" w:eastAsia="Arial" w:hAnsi="Arial"/>
                <w:sz w:val="18"/>
                <w:szCs w:val="18"/>
                <w:color w:val="auto"/>
              </w:rPr>
              <w:t>Partners' capital</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10,501</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8,816</w:t>
            </w:r>
          </w:p>
        </w:tc>
        <w:tc>
          <w:tcPr>
            <w:tcW w:w="0" w:type="dxa"/>
            <w:vAlign w:val="bottom"/>
          </w:tcPr>
          <w:p>
            <w:pPr>
              <w:spacing w:after="0"/>
              <w:rPr>
                <w:sz w:val="1"/>
                <w:szCs w:val="1"/>
                <w:color w:val="auto"/>
              </w:rPr>
            </w:pPr>
          </w:p>
        </w:tc>
      </w:tr>
      <w:tr>
        <w:trPr>
          <w:trHeight w:val="27"/>
        </w:trPr>
        <w:tc>
          <w:tcPr>
            <w:tcW w:w="2820" w:type="dxa"/>
            <w:vAlign w:val="bottom"/>
            <w:tcBorders>
              <w:bottom w:val="single" w:sz="8" w:color="CCEEFF"/>
            </w:tcBorders>
          </w:tcPr>
          <w:p>
            <w:pPr>
              <w:spacing w:after="0"/>
              <w:rPr>
                <w:sz w:val="2"/>
                <w:szCs w:val="2"/>
                <w:color w:val="auto"/>
              </w:rPr>
            </w:pPr>
          </w:p>
        </w:tc>
        <w:tc>
          <w:tcPr>
            <w:tcW w:w="5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4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Total book capitalization</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20,541</w:t>
            </w: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18,940</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gridSpan w:val="2"/>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8420" w:type="dxa"/>
            <w:vAlign w:val="bottom"/>
            <w:gridSpan w:val="2"/>
          </w:tcPr>
          <w:p>
            <w:pPr>
              <w:ind w:left="40"/>
              <w:spacing w:after="0"/>
              <w:rPr>
                <w:sz w:val="20"/>
                <w:szCs w:val="20"/>
                <w:color w:val="auto"/>
              </w:rPr>
            </w:pPr>
            <w:r>
              <w:rPr>
                <w:rFonts w:ascii="Arial" w:cs="Arial" w:eastAsia="Arial" w:hAnsi="Arial"/>
                <w:sz w:val="18"/>
                <w:szCs w:val="18"/>
                <w:color w:val="auto"/>
              </w:rPr>
              <w:t>Total book capitalization, including short-term debt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4"/>
                <w:szCs w:val="24"/>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21,655</w:t>
            </w:r>
          </w:p>
        </w:tc>
        <w:tc>
          <w:tcPr>
            <w:tcW w:w="80" w:type="dxa"/>
            <w:vAlign w:val="bottom"/>
          </w:tcPr>
          <w:p>
            <w:pPr>
              <w:spacing w:after="0"/>
              <w:rPr>
                <w:sz w:val="24"/>
                <w:szCs w:val="24"/>
                <w:color w:val="auto"/>
              </w:rPr>
            </w:pPr>
          </w:p>
        </w:tc>
        <w:tc>
          <w:tcPr>
            <w:tcW w:w="26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20,655</w:t>
            </w:r>
          </w:p>
        </w:tc>
        <w:tc>
          <w:tcPr>
            <w:tcW w:w="0" w:type="dxa"/>
            <w:vAlign w:val="bottom"/>
          </w:tcPr>
          <w:p>
            <w:pPr>
              <w:spacing w:after="0"/>
              <w:rPr>
                <w:sz w:val="1"/>
                <w:szCs w:val="1"/>
                <w:color w:val="auto"/>
              </w:rPr>
            </w:pPr>
          </w:p>
        </w:tc>
      </w:tr>
      <w:tr>
        <w:trPr>
          <w:trHeight w:val="271"/>
        </w:trPr>
        <w:tc>
          <w:tcPr>
            <w:tcW w:w="2820" w:type="dxa"/>
            <w:vAlign w:val="bottom"/>
            <w:tcBorders>
              <w:top w:val="single" w:sz="8" w:color="CCEEFF"/>
            </w:tcBorders>
            <w:shd w:val="clear" w:color="auto" w:fill="CCEEFF"/>
          </w:tcPr>
          <w:p>
            <w:pPr>
              <w:spacing w:after="0"/>
              <w:rPr>
                <w:sz w:val="23"/>
                <w:szCs w:val="23"/>
                <w:color w:val="auto"/>
              </w:rPr>
            </w:pPr>
          </w:p>
        </w:tc>
        <w:tc>
          <w:tcPr>
            <w:tcW w:w="56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4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22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8420" w:type="dxa"/>
            <w:vAlign w:val="bottom"/>
            <w:gridSpan w:val="2"/>
          </w:tcPr>
          <w:p>
            <w:pPr>
              <w:ind w:left="40"/>
              <w:spacing w:after="0"/>
              <w:rPr>
                <w:sz w:val="20"/>
                <w:szCs w:val="20"/>
                <w:color w:val="auto"/>
              </w:rPr>
            </w:pPr>
            <w:r>
              <w:rPr>
                <w:rFonts w:ascii="Arial" w:cs="Arial" w:eastAsia="Arial" w:hAnsi="Arial"/>
                <w:sz w:val="18"/>
                <w:szCs w:val="18"/>
                <w:color w:val="auto"/>
              </w:rPr>
              <w:t>Long-term debt-to-total book capitalization</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5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 debt-to-total book capitalization, including short-term debt</w:t>
            </w: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7"/>
        </w:trPr>
        <w:tc>
          <w:tcPr>
            <w:tcW w:w="2820" w:type="dxa"/>
            <w:vAlign w:val="bottom"/>
            <w:shd w:val="clear" w:color="auto" w:fill="CCEEFF"/>
          </w:tcPr>
          <w:p>
            <w:pPr>
              <w:spacing w:after="0"/>
              <w:rPr>
                <w:sz w:val="2"/>
                <w:szCs w:val="2"/>
                <w:color w:val="auto"/>
              </w:rPr>
            </w:pPr>
          </w:p>
        </w:tc>
        <w:tc>
          <w:tcPr>
            <w:tcW w:w="56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90" w:lineRule="exact"/>
        <w:rPr>
          <w:sz w:val="20"/>
          <w:szCs w:val="20"/>
          <w:color w:val="auto"/>
        </w:rPr>
      </w:pPr>
    </w:p>
    <w:p>
      <w:pPr>
        <w:ind w:left="340" w:right="140" w:hanging="332"/>
        <w:spacing w:after="0" w:line="226" w:lineRule="auto"/>
        <w:tabs>
          <w:tab w:leader="none" w:pos="340" w:val="left"/>
        </w:tabs>
        <w:numPr>
          <w:ilvl w:val="0"/>
          <w:numId w:val="6"/>
        </w:numPr>
        <w:rPr>
          <w:rFonts w:ascii="Arial" w:cs="Arial" w:eastAsia="Arial" w:hAnsi="Arial"/>
          <w:sz w:val="25"/>
          <w:szCs w:val="25"/>
          <w:color w:val="auto"/>
          <w:vertAlign w:val="superscript"/>
        </w:rPr>
      </w:pPr>
      <w:r>
        <w:rPr>
          <w:rFonts w:ascii="Arial" w:cs="Arial" w:eastAsia="Arial" w:hAnsi="Arial"/>
          <w:sz w:val="18"/>
          <w:szCs w:val="18"/>
          <w:color w:val="auto"/>
        </w:rPr>
        <w:t>As of June 30, 2017 and December 31, 2016, short-term debt includes borrowings of approximately $1,099 million and $1,303 million, respectively, for short-term hedged inventory purchases and borrowings of approximately $12 million and $410 million, respectively, for cash margin deposits with our clearing brokers, which are associated with financial derivatives used for hedging purposes.</w:t>
      </w:r>
    </w:p>
    <w:p>
      <w:pPr>
        <w:spacing w:after="0" w:line="230" w:lineRule="exact"/>
        <w:rPr>
          <w:rFonts w:ascii="Arial" w:cs="Arial" w:eastAsia="Arial" w:hAnsi="Arial"/>
          <w:sz w:val="25"/>
          <w:szCs w:val="25"/>
          <w:color w:val="auto"/>
          <w:vertAlign w:val="superscript"/>
        </w:rPr>
      </w:pPr>
    </w:p>
    <w:p>
      <w:pPr>
        <w:ind w:left="5520" w:hanging="96"/>
        <w:spacing w:after="0"/>
        <w:tabs>
          <w:tab w:leader="none" w:pos="5520" w:val="left"/>
        </w:tabs>
        <w:numPr>
          <w:ilvl w:val="1"/>
          <w:numId w:val="6"/>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7" w:lineRule="exact"/>
        <w:rPr>
          <w:sz w:val="20"/>
          <w:szCs w:val="20"/>
          <w:color w:val="auto"/>
        </w:rPr>
      </w:pPr>
    </w:p>
    <w:p>
      <w:pPr>
        <w:ind w:left="1800"/>
        <w:spacing w:after="0"/>
        <w:tabs>
          <w:tab w:leader="none" w:pos="4920" w:val="left"/>
          <w:tab w:leader="none" w:pos="76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420"/>
          </w:cols>
          <w:pgMar w:left="240" w:top="341"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auto"/>
        </w:rPr>
        <w:t>Page 9</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DATA</w:t>
      </w:r>
      <w:r>
        <w:rPr>
          <w:rFonts w:ascii="Arial" w:cs="Arial" w:eastAsia="Arial" w:hAnsi="Arial"/>
          <w:sz w:val="18"/>
          <w:szCs w:val="18"/>
          <w:b w:val="1"/>
          <w:bCs w:val="1"/>
          <w:color w:val="auto"/>
        </w:rPr>
        <w:t xml:space="preserve"> </w:t>
      </w:r>
      <w:r>
        <w:rPr>
          <w:rFonts w:ascii="Arial" w:cs="Arial" w:eastAsia="Arial" w:hAnsi="Arial"/>
          <w:sz w:val="25"/>
          <w:szCs w:val="25"/>
          <w:b w:val="1"/>
          <w:bCs w:val="1"/>
          <w:color w:val="auto"/>
          <w:vertAlign w:val="superscript"/>
        </w:rPr>
        <w:t>(1)</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520" w:type="dxa"/>
            <w:vAlign w:val="bottom"/>
          </w:tcPr>
          <w:p>
            <w:pPr>
              <w:spacing w:after="0"/>
              <w:rPr>
                <w:sz w:val="17"/>
                <w:szCs w:val="17"/>
                <w:color w:val="auto"/>
              </w:rPr>
            </w:pPr>
          </w:p>
        </w:tc>
        <w:tc>
          <w:tcPr>
            <w:tcW w:w="2520" w:type="dxa"/>
            <w:vAlign w:val="bottom"/>
            <w:gridSpan w:val="5"/>
          </w:tcPr>
          <w:p>
            <w:pPr>
              <w:jc w:val="center"/>
              <w:ind w:right="80"/>
              <w:spacing w:after="0"/>
              <w:rPr>
                <w:sz w:val="20"/>
                <w:szCs w:val="20"/>
                <w:color w:val="auto"/>
              </w:rPr>
            </w:pPr>
            <w:r>
              <w:rPr>
                <w:rFonts w:ascii="Arial" w:cs="Arial" w:eastAsia="Arial" w:hAnsi="Arial"/>
                <w:sz w:val="16"/>
                <w:szCs w:val="16"/>
                <w:b w:val="1"/>
                <w:bCs w:val="1"/>
                <w:color w:val="auto"/>
                <w:w w:val="93"/>
              </w:rPr>
              <w:t>Three Months Ended</w:t>
            </w:r>
          </w:p>
        </w:tc>
        <w:tc>
          <w:tcPr>
            <w:tcW w:w="2380" w:type="dxa"/>
            <w:vAlign w:val="bottom"/>
            <w:gridSpan w:val="4"/>
          </w:tcPr>
          <w:p>
            <w:pPr>
              <w:jc w:val="center"/>
              <w:spacing w:after="0"/>
              <w:rPr>
                <w:sz w:val="20"/>
                <w:szCs w:val="20"/>
                <w:color w:val="auto"/>
              </w:rPr>
            </w:pPr>
            <w:r>
              <w:rPr>
                <w:rFonts w:ascii="Arial" w:cs="Arial" w:eastAsia="Arial" w:hAnsi="Arial"/>
                <w:sz w:val="16"/>
                <w:szCs w:val="16"/>
                <w:b w:val="1"/>
                <w:bCs w:val="1"/>
                <w:color w:val="auto"/>
                <w:w w:val="92"/>
              </w:rPr>
              <w:t>Six Months Ended</w:t>
            </w:r>
          </w:p>
        </w:tc>
        <w:tc>
          <w:tcPr>
            <w:tcW w:w="0" w:type="dxa"/>
            <w:vAlign w:val="bottom"/>
          </w:tcPr>
          <w:p>
            <w:pPr>
              <w:spacing w:after="0"/>
              <w:rPr>
                <w:sz w:val="1"/>
                <w:szCs w:val="1"/>
                <w:color w:val="auto"/>
              </w:rPr>
            </w:pPr>
          </w:p>
        </w:tc>
      </w:tr>
      <w:tr>
        <w:trPr>
          <w:trHeight w:val="210"/>
        </w:trPr>
        <w:tc>
          <w:tcPr>
            <w:tcW w:w="6520" w:type="dxa"/>
            <w:vAlign w:val="bottom"/>
          </w:tcPr>
          <w:p>
            <w:pPr>
              <w:spacing w:after="0"/>
              <w:rPr>
                <w:sz w:val="18"/>
                <w:szCs w:val="18"/>
                <w:color w:val="auto"/>
              </w:rPr>
            </w:pPr>
          </w:p>
        </w:tc>
        <w:tc>
          <w:tcPr>
            <w:tcW w:w="1600" w:type="dxa"/>
            <w:vAlign w:val="bottom"/>
            <w:gridSpan w:val="3"/>
          </w:tcPr>
          <w:p>
            <w:pPr>
              <w:jc w:val="center"/>
              <w:ind w:left="751"/>
              <w:spacing w:after="0"/>
              <w:rPr>
                <w:sz w:val="20"/>
                <w:szCs w:val="20"/>
                <w:color w:val="auto"/>
              </w:rPr>
            </w:pPr>
            <w:r>
              <w:rPr>
                <w:rFonts w:ascii="Arial" w:cs="Arial" w:eastAsia="Arial" w:hAnsi="Arial"/>
                <w:sz w:val="16"/>
                <w:szCs w:val="16"/>
                <w:b w:val="1"/>
                <w:bCs w:val="1"/>
                <w:color w:val="auto"/>
                <w:w w:val="87"/>
              </w:rPr>
              <w:t>June 30,</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3"/>
          </w:tcPr>
          <w:p>
            <w:pPr>
              <w:jc w:val="center"/>
              <w:ind w:left="751"/>
              <w:spacing w:after="0"/>
              <w:rPr>
                <w:sz w:val="20"/>
                <w:szCs w:val="20"/>
                <w:color w:val="auto"/>
              </w:rPr>
            </w:pPr>
            <w:r>
              <w:rPr>
                <w:rFonts w:ascii="Arial" w:cs="Arial" w:eastAsia="Arial" w:hAnsi="Arial"/>
                <w:sz w:val="16"/>
                <w:szCs w:val="16"/>
                <w:b w:val="1"/>
                <w:bCs w:val="1"/>
                <w:color w:val="auto"/>
                <w:w w:val="90"/>
              </w:rPr>
              <w:t>June 30,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520" w:type="dxa"/>
            <w:vAlign w:val="bottom"/>
          </w:tcPr>
          <w:p>
            <w:pPr>
              <w:spacing w:after="0"/>
              <w:rPr>
                <w:sz w:val="20"/>
                <w:szCs w:val="20"/>
                <w:color w:val="auto"/>
              </w:rPr>
            </w:pPr>
          </w:p>
        </w:tc>
        <w:tc>
          <w:tcPr>
            <w:tcW w:w="1160" w:type="dxa"/>
            <w:vAlign w:val="bottom"/>
          </w:tcPr>
          <w:p>
            <w:pPr>
              <w:jc w:val="right"/>
              <w:ind w:right="331"/>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ind w:right="330"/>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1140" w:type="dxa"/>
            <w:vAlign w:val="bottom"/>
          </w:tcPr>
          <w:p>
            <w:pPr>
              <w:jc w:val="right"/>
              <w:ind w:right="311"/>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ind w:right="310"/>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33"/>
        </w:trPr>
        <w:tc>
          <w:tcPr>
            <w:tcW w:w="65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93"/>
              </w:rPr>
              <w:t>Transportation segment (average daily volumes in thousands of barrels per day):</w:t>
            </w: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Tariff activities volumes</w:t>
            </w: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Crude oil pipelines (by region):</w:t>
            </w: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520" w:type="dxa"/>
            <w:vAlign w:val="bottom"/>
          </w:tcPr>
          <w:p>
            <w:pPr>
              <w:ind w:left="360"/>
              <w:spacing w:after="0" w:line="270" w:lineRule="exact"/>
              <w:rPr>
                <w:sz w:val="20"/>
                <w:szCs w:val="20"/>
                <w:color w:val="auto"/>
              </w:rPr>
            </w:pPr>
            <w:r>
              <w:rPr>
                <w:rFonts w:ascii="Arial" w:cs="Arial" w:eastAsia="Arial" w:hAnsi="Arial"/>
                <w:sz w:val="18"/>
                <w:szCs w:val="18"/>
                <w:color w:val="auto"/>
              </w:rPr>
              <w:t xml:space="preserve">Permian Basin </w:t>
            </w:r>
            <w:r>
              <w:rPr>
                <w:rFonts w:ascii="Arial" w:cs="Arial" w:eastAsia="Arial" w:hAnsi="Arial"/>
                <w:sz w:val="25"/>
                <w:szCs w:val="25"/>
                <w:color w:val="auto"/>
                <w:vertAlign w:val="superscript"/>
              </w:rPr>
              <w:t>(2)</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2,761</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2,178</w:t>
            </w:r>
          </w:p>
        </w:tc>
        <w:tc>
          <w:tcPr>
            <w:tcW w:w="100" w:type="dxa"/>
            <w:vAlign w:val="bottom"/>
          </w:tcPr>
          <w:p>
            <w:pPr>
              <w:spacing w:after="0"/>
              <w:rPr>
                <w:sz w:val="23"/>
                <w:szCs w:val="23"/>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2,614</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2,112</w:t>
            </w:r>
          </w:p>
        </w:tc>
        <w:tc>
          <w:tcPr>
            <w:tcW w:w="0" w:type="dxa"/>
            <w:vAlign w:val="bottom"/>
          </w:tcPr>
          <w:p>
            <w:pPr>
              <w:spacing w:after="0"/>
              <w:rPr>
                <w:sz w:val="1"/>
                <w:szCs w:val="1"/>
                <w:color w:val="auto"/>
              </w:rPr>
            </w:pPr>
          </w:p>
        </w:tc>
      </w:tr>
      <w:tr>
        <w:trPr>
          <w:trHeight w:val="270"/>
        </w:trPr>
        <w:tc>
          <w:tcPr>
            <w:tcW w:w="6520" w:type="dxa"/>
            <w:vAlign w:val="bottom"/>
            <w:shd w:val="clear" w:color="auto" w:fill="CCEEFF"/>
          </w:tcPr>
          <w:p>
            <w:pPr>
              <w:ind w:left="360"/>
              <w:spacing w:after="0" w:line="270" w:lineRule="exact"/>
              <w:rPr>
                <w:sz w:val="20"/>
                <w:szCs w:val="20"/>
                <w:color w:val="auto"/>
              </w:rPr>
            </w:pPr>
            <w:r>
              <w:rPr>
                <w:rFonts w:ascii="Arial" w:cs="Arial" w:eastAsia="Arial" w:hAnsi="Arial"/>
                <w:sz w:val="18"/>
                <w:szCs w:val="18"/>
                <w:color w:val="auto"/>
              </w:rPr>
              <w:t xml:space="preserve">South Texas / Eagle Ford </w:t>
            </w:r>
            <w:r>
              <w:rPr>
                <w:rFonts w:ascii="Arial" w:cs="Arial" w:eastAsia="Arial" w:hAnsi="Arial"/>
                <w:sz w:val="25"/>
                <w:szCs w:val="25"/>
                <w:color w:val="auto"/>
                <w:vertAlign w:val="superscript"/>
              </w:rPr>
              <w:t>(2)</w:t>
            </w:r>
          </w:p>
        </w:tc>
        <w:tc>
          <w:tcPr>
            <w:tcW w:w="11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349</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274</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330</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43"/>
        </w:trPr>
        <w:tc>
          <w:tcPr>
            <w:tcW w:w="6520" w:type="dxa"/>
            <w:vAlign w:val="bottom"/>
          </w:tcPr>
          <w:p>
            <w:pPr>
              <w:ind w:left="360"/>
              <w:spacing w:after="0"/>
              <w:rPr>
                <w:sz w:val="20"/>
                <w:szCs w:val="20"/>
                <w:color w:val="auto"/>
              </w:rPr>
            </w:pPr>
            <w:r>
              <w:rPr>
                <w:rFonts w:ascii="Arial" w:cs="Arial" w:eastAsia="Arial" w:hAnsi="Arial"/>
                <w:sz w:val="18"/>
                <w:szCs w:val="18"/>
                <w:color w:val="auto"/>
              </w:rPr>
              <w:t>Western</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179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shd w:val="clear" w:color="auto" w:fill="CCEEFF"/>
          </w:tcPr>
          <w:p>
            <w:pPr>
              <w:ind w:left="360"/>
              <w:spacing w:after="0" w:line="270" w:lineRule="exact"/>
              <w:rPr>
                <w:sz w:val="20"/>
                <w:szCs w:val="20"/>
                <w:color w:val="auto"/>
              </w:rPr>
            </w:pPr>
            <w:r>
              <w:rPr>
                <w:rFonts w:ascii="Arial" w:cs="Arial" w:eastAsia="Arial" w:hAnsi="Arial"/>
                <w:sz w:val="18"/>
                <w:szCs w:val="18"/>
                <w:color w:val="auto"/>
              </w:rPr>
              <w:t xml:space="preserve">Rocky Mountain </w:t>
            </w:r>
            <w:r>
              <w:rPr>
                <w:rFonts w:ascii="Arial" w:cs="Arial" w:eastAsia="Arial" w:hAnsi="Arial"/>
                <w:sz w:val="25"/>
                <w:szCs w:val="25"/>
                <w:color w:val="auto"/>
                <w:vertAlign w:val="superscript"/>
              </w:rPr>
              <w:t>(2)</w:t>
            </w:r>
          </w:p>
        </w:tc>
        <w:tc>
          <w:tcPr>
            <w:tcW w:w="11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444</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431</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415</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43"/>
        </w:trPr>
        <w:tc>
          <w:tcPr>
            <w:tcW w:w="6520" w:type="dxa"/>
            <w:vAlign w:val="bottom"/>
          </w:tcPr>
          <w:p>
            <w:pPr>
              <w:ind w:left="360"/>
              <w:spacing w:after="0"/>
              <w:rPr>
                <w:sz w:val="20"/>
                <w:szCs w:val="20"/>
                <w:color w:val="auto"/>
              </w:rPr>
            </w:pPr>
            <w:r>
              <w:rPr>
                <w:rFonts w:ascii="Arial" w:cs="Arial" w:eastAsia="Arial" w:hAnsi="Arial"/>
                <w:sz w:val="18"/>
                <w:szCs w:val="18"/>
                <w:color w:val="auto"/>
              </w:rPr>
              <w:t>Gulf Coast</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385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613</w:t>
            </w:r>
          </w:p>
        </w:tc>
        <w:tc>
          <w:tcPr>
            <w:tcW w:w="10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364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597</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shd w:val="clear" w:color="auto" w:fill="CCEEFF"/>
          </w:tcPr>
          <w:p>
            <w:pPr>
              <w:ind w:left="360"/>
              <w:spacing w:after="0" w:line="270" w:lineRule="exact"/>
              <w:rPr>
                <w:sz w:val="20"/>
                <w:szCs w:val="20"/>
                <w:color w:val="auto"/>
              </w:rPr>
            </w:pPr>
            <w:r>
              <w:rPr>
                <w:rFonts w:ascii="Arial" w:cs="Arial" w:eastAsia="Arial" w:hAnsi="Arial"/>
                <w:sz w:val="18"/>
                <w:szCs w:val="18"/>
                <w:color w:val="auto"/>
              </w:rPr>
              <w:t xml:space="preserve">Central </w:t>
            </w:r>
            <w:r>
              <w:rPr>
                <w:rFonts w:ascii="Arial" w:cs="Arial" w:eastAsia="Arial" w:hAnsi="Arial"/>
                <w:sz w:val="25"/>
                <w:szCs w:val="25"/>
                <w:color w:val="auto"/>
                <w:vertAlign w:val="superscript"/>
              </w:rPr>
              <w:t>(2)</w:t>
            </w:r>
          </w:p>
        </w:tc>
        <w:tc>
          <w:tcPr>
            <w:tcW w:w="11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427</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398</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416</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43"/>
        </w:trPr>
        <w:tc>
          <w:tcPr>
            <w:tcW w:w="6520" w:type="dxa"/>
            <w:vAlign w:val="bottom"/>
          </w:tcPr>
          <w:p>
            <w:pPr>
              <w:ind w:left="360"/>
              <w:spacing w:after="0"/>
              <w:rPr>
                <w:sz w:val="20"/>
                <w:szCs w:val="20"/>
                <w:color w:val="auto"/>
              </w:rPr>
            </w:pPr>
            <w:r>
              <w:rPr>
                <w:rFonts w:ascii="Arial" w:cs="Arial" w:eastAsia="Arial" w:hAnsi="Arial"/>
                <w:sz w:val="18"/>
                <w:szCs w:val="18"/>
                <w:color w:val="auto"/>
              </w:rPr>
              <w:t>Canada</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363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379</w:t>
            </w:r>
          </w:p>
        </w:tc>
        <w:tc>
          <w:tcPr>
            <w:tcW w:w="10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363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Crude oil pipelines</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4,908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4,484</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4,686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4,404</w:t>
            </w:r>
          </w:p>
        </w:tc>
        <w:tc>
          <w:tcPr>
            <w:tcW w:w="0" w:type="dxa"/>
            <w:vAlign w:val="bottom"/>
          </w:tcPr>
          <w:p>
            <w:pPr>
              <w:spacing w:after="0"/>
              <w:rPr>
                <w:sz w:val="1"/>
                <w:szCs w:val="1"/>
                <w:color w:val="auto"/>
              </w:rPr>
            </w:pPr>
          </w:p>
        </w:tc>
      </w:tr>
      <w:tr>
        <w:trPr>
          <w:trHeight w:val="243"/>
        </w:trPr>
        <w:tc>
          <w:tcPr>
            <w:tcW w:w="6520" w:type="dxa"/>
            <w:vAlign w:val="bottom"/>
          </w:tcPr>
          <w:p>
            <w:pPr>
              <w:ind w:left="200"/>
              <w:spacing w:after="0"/>
              <w:rPr>
                <w:sz w:val="20"/>
                <w:szCs w:val="20"/>
                <w:color w:val="auto"/>
              </w:rPr>
            </w:pPr>
            <w:r>
              <w:rPr>
                <w:rFonts w:ascii="Arial" w:cs="Arial" w:eastAsia="Arial" w:hAnsi="Arial"/>
                <w:sz w:val="18"/>
                <w:szCs w:val="18"/>
                <w:color w:val="auto"/>
              </w:rPr>
              <w:t>NGL pipelines</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Tariff activities total volumes</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5,064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4,666</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4,854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4,584</w:t>
            </w:r>
          </w:p>
        </w:tc>
        <w:tc>
          <w:tcPr>
            <w:tcW w:w="0" w:type="dxa"/>
            <w:vAlign w:val="bottom"/>
          </w:tcPr>
          <w:p>
            <w:pPr>
              <w:spacing w:after="0"/>
              <w:rPr>
                <w:sz w:val="1"/>
                <w:szCs w:val="1"/>
                <w:color w:val="auto"/>
              </w:rPr>
            </w:pPr>
          </w:p>
        </w:tc>
      </w:tr>
      <w:tr>
        <w:trPr>
          <w:trHeight w:val="243"/>
        </w:trPr>
        <w:tc>
          <w:tcPr>
            <w:tcW w:w="6520" w:type="dxa"/>
            <w:vAlign w:val="bottom"/>
          </w:tcPr>
          <w:p>
            <w:pPr>
              <w:ind w:left="200"/>
              <w:spacing w:after="0"/>
              <w:rPr>
                <w:sz w:val="20"/>
                <w:szCs w:val="20"/>
                <w:color w:val="auto"/>
              </w:rPr>
            </w:pPr>
            <w:r>
              <w:rPr>
                <w:rFonts w:ascii="Arial" w:cs="Arial" w:eastAsia="Arial" w:hAnsi="Arial"/>
                <w:sz w:val="18"/>
                <w:szCs w:val="18"/>
                <w:color w:val="auto"/>
              </w:rPr>
              <w:t>Trucking volumes</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Transportation segment total volumes</w:t>
            </w: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5,163</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4,781</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4,960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4,694</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65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Facilities segment (average monthly volumes):</w:t>
            </w: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520" w:type="dxa"/>
            <w:vAlign w:val="bottom"/>
          </w:tcPr>
          <w:p>
            <w:pPr>
              <w:ind w:left="200"/>
              <w:spacing w:after="0"/>
              <w:rPr>
                <w:sz w:val="20"/>
                <w:szCs w:val="20"/>
                <w:color w:val="auto"/>
              </w:rPr>
            </w:pPr>
            <w:r>
              <w:rPr>
                <w:rFonts w:ascii="Arial" w:cs="Arial" w:eastAsia="Arial" w:hAnsi="Arial"/>
                <w:sz w:val="18"/>
                <w:szCs w:val="18"/>
                <w:color w:val="auto"/>
              </w:rPr>
              <w:t>Crude oil, refined products and NGL terminalling and storage (average monthly</w:t>
            </w:r>
          </w:p>
        </w:tc>
        <w:tc>
          <w:tcPr>
            <w:tcW w:w="1160" w:type="dxa"/>
            <w:vAlign w:val="bottom"/>
            <w:vMerge w:val="restart"/>
          </w:tcPr>
          <w:p>
            <w:pPr>
              <w:jc w:val="right"/>
              <w:ind w:right="31"/>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vMerge w:val="restart"/>
          </w:tcPr>
          <w:p>
            <w:pPr>
              <w:jc w:val="right"/>
              <w:ind w:right="30"/>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9"/>
                <w:szCs w:val="19"/>
                <w:color w:val="auto"/>
              </w:rPr>
            </w:pPr>
          </w:p>
        </w:tc>
        <w:tc>
          <w:tcPr>
            <w:tcW w:w="1140" w:type="dxa"/>
            <w:vAlign w:val="bottom"/>
            <w:vMerge w:val="restart"/>
          </w:tcPr>
          <w:p>
            <w:pPr>
              <w:jc w:val="right"/>
              <w:ind w:right="31"/>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vMerge w:val="restart"/>
          </w:tcPr>
          <w:p>
            <w:pPr>
              <w:jc w:val="right"/>
              <w:ind w:right="1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77"/>
        </w:trPr>
        <w:tc>
          <w:tcPr>
            <w:tcW w:w="65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capacity in millions of barrels)</w:t>
            </w:r>
          </w:p>
        </w:tc>
        <w:tc>
          <w:tcPr>
            <w:tcW w:w="116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1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6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Rail load / unload volumes (average volumes in thousands of barrels per day)</w:t>
            </w: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65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Natural gas storage (average monthly working capacity in billions of cubic feet)</w:t>
            </w:r>
          </w:p>
        </w:tc>
        <w:tc>
          <w:tcPr>
            <w:tcW w:w="11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97</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tcPr>
          <w:p>
            <w:pPr>
              <w:spacing w:after="0"/>
              <w:rPr>
                <w:sz w:val="24"/>
                <w:szCs w:val="24"/>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51"/>
        </w:trPr>
        <w:tc>
          <w:tcPr>
            <w:tcW w:w="6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NGL fractionation (average volumes in thousands of barrels per day)</w:t>
            </w: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119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6520" w:type="dxa"/>
            <w:vAlign w:val="bottom"/>
            <w:tcBorders>
              <w:bottom w:val="single" w:sz="8" w:color="CCEEFF"/>
            </w:tcBorders>
          </w:tcPr>
          <w:p>
            <w:pPr>
              <w:ind w:left="40"/>
              <w:spacing w:after="0" w:line="257" w:lineRule="exact"/>
              <w:rPr>
                <w:sz w:val="20"/>
                <w:szCs w:val="20"/>
                <w:color w:val="auto"/>
              </w:rPr>
            </w:pPr>
            <w:r>
              <w:rPr>
                <w:rFonts w:ascii="Arial" w:cs="Arial" w:eastAsia="Arial" w:hAnsi="Arial"/>
                <w:sz w:val="18"/>
                <w:szCs w:val="18"/>
                <w:color w:val="auto"/>
                <w:w w:val="96"/>
              </w:rPr>
              <w:t xml:space="preserve">Facilities segment total volumes (average monthly volumes in millions of barrels) </w:t>
            </w:r>
            <w:r>
              <w:rPr>
                <w:rFonts w:ascii="Arial" w:cs="Arial" w:eastAsia="Arial" w:hAnsi="Arial"/>
                <w:sz w:val="25"/>
                <w:szCs w:val="25"/>
                <w:color w:val="auto"/>
                <w:w w:val="96"/>
                <w:vertAlign w:val="superscript"/>
              </w:rPr>
              <w:t>(3)</w:t>
            </w:r>
          </w:p>
        </w:tc>
        <w:tc>
          <w:tcPr>
            <w:tcW w:w="11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134</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tcPr>
          <w:p>
            <w:pPr>
              <w:spacing w:after="0"/>
              <w:rPr>
                <w:sz w:val="24"/>
                <w:szCs w:val="24"/>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64"/>
        </w:trPr>
        <w:tc>
          <w:tcPr>
            <w:tcW w:w="65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6520" w:type="dxa"/>
            <w:vAlign w:val="bottom"/>
          </w:tcPr>
          <w:p>
            <w:pPr>
              <w:ind w:left="40"/>
              <w:spacing w:after="0"/>
              <w:rPr>
                <w:sz w:val="20"/>
                <w:szCs w:val="20"/>
                <w:color w:val="auto"/>
              </w:rPr>
            </w:pPr>
            <w:r>
              <w:rPr>
                <w:rFonts w:ascii="Arial" w:cs="Arial" w:eastAsia="Arial" w:hAnsi="Arial"/>
                <w:sz w:val="18"/>
                <w:szCs w:val="18"/>
                <w:b w:val="1"/>
                <w:bCs w:val="1"/>
                <w:color w:val="auto"/>
                <w:w w:val="92"/>
              </w:rPr>
              <w:t>Supply and Logistics segment (average daily volumes in thousands of barrels per</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520" w:type="dxa"/>
            <w:vAlign w:val="bottom"/>
          </w:tcPr>
          <w:p>
            <w:pPr>
              <w:ind w:left="200"/>
              <w:spacing w:after="0"/>
              <w:rPr>
                <w:sz w:val="20"/>
                <w:szCs w:val="20"/>
                <w:color w:val="auto"/>
              </w:rPr>
            </w:pPr>
            <w:r>
              <w:rPr>
                <w:rFonts w:ascii="Arial" w:cs="Arial" w:eastAsia="Arial" w:hAnsi="Arial"/>
                <w:sz w:val="18"/>
                <w:szCs w:val="18"/>
                <w:b w:val="1"/>
                <w:bCs w:val="1"/>
                <w:color w:val="auto"/>
              </w:rPr>
              <w:t>day):</w:t>
            </w: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Crude oil lease gathering purchases</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940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885</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929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899</w:t>
            </w:r>
          </w:p>
        </w:tc>
        <w:tc>
          <w:tcPr>
            <w:tcW w:w="0" w:type="dxa"/>
            <w:vAlign w:val="bottom"/>
          </w:tcPr>
          <w:p>
            <w:pPr>
              <w:spacing w:after="0"/>
              <w:rPr>
                <w:sz w:val="1"/>
                <w:szCs w:val="1"/>
                <w:color w:val="auto"/>
              </w:rPr>
            </w:pPr>
          </w:p>
        </w:tc>
      </w:tr>
      <w:tr>
        <w:trPr>
          <w:trHeight w:val="243"/>
        </w:trPr>
        <w:tc>
          <w:tcPr>
            <w:tcW w:w="6520" w:type="dxa"/>
            <w:vAlign w:val="bottom"/>
          </w:tcPr>
          <w:p>
            <w:pPr>
              <w:ind w:left="200"/>
              <w:spacing w:after="0"/>
              <w:rPr>
                <w:sz w:val="20"/>
                <w:szCs w:val="20"/>
                <w:color w:val="auto"/>
              </w:rPr>
            </w:pPr>
            <w:r>
              <w:rPr>
                <w:rFonts w:ascii="Arial" w:cs="Arial" w:eastAsia="Arial" w:hAnsi="Arial"/>
                <w:sz w:val="18"/>
                <w:szCs w:val="18"/>
                <w:color w:val="auto"/>
              </w:rPr>
              <w:t>NGL sales</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210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Waterborne cargos</w:t>
            </w:r>
          </w:p>
        </w:tc>
        <w:tc>
          <w:tcPr>
            <w:tcW w:w="1600" w:type="dxa"/>
            <w:vAlign w:val="bottom"/>
            <w:tcBorders>
              <w:bottom w:val="single" w:sz="8" w:color="CCEEFF"/>
            </w:tcBorders>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57"/>
        </w:trPr>
        <w:tc>
          <w:tcPr>
            <w:tcW w:w="6520" w:type="dxa"/>
            <w:vAlign w:val="bottom"/>
          </w:tcPr>
          <w:p>
            <w:pPr>
              <w:ind w:left="360"/>
              <w:spacing w:after="0"/>
              <w:rPr>
                <w:sz w:val="20"/>
                <w:szCs w:val="20"/>
                <w:color w:val="auto"/>
              </w:rPr>
            </w:pPr>
            <w:r>
              <w:rPr>
                <w:rFonts w:ascii="Arial" w:cs="Arial" w:eastAsia="Arial" w:hAnsi="Arial"/>
                <w:sz w:val="18"/>
                <w:szCs w:val="18"/>
                <w:color w:val="auto"/>
              </w:rPr>
              <w:t>Supply and Logistics segment total volumes</w:t>
            </w:r>
          </w:p>
        </w:tc>
        <w:tc>
          <w:tcPr>
            <w:tcW w:w="11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1,150</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1,066</w:t>
            </w:r>
          </w:p>
        </w:tc>
        <w:tc>
          <w:tcPr>
            <w:tcW w:w="100" w:type="dxa"/>
            <w:vAlign w:val="bottom"/>
          </w:tcPr>
          <w:p>
            <w:pPr>
              <w:spacing w:after="0"/>
              <w:rPr>
                <w:sz w:val="22"/>
                <w:szCs w:val="22"/>
                <w:color w:val="auto"/>
              </w:rPr>
            </w:pPr>
          </w:p>
        </w:tc>
        <w:tc>
          <w:tcPr>
            <w:tcW w:w="11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1,212</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1,147</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196" w:lineRule="exact"/>
        <w:rPr>
          <w:sz w:val="20"/>
          <w:szCs w:val="20"/>
          <w:color w:val="auto"/>
        </w:rPr>
      </w:pPr>
    </w:p>
    <w:p>
      <w:pPr>
        <w:ind w:left="340" w:hanging="332"/>
        <w:spacing w:after="0"/>
        <w:tabs>
          <w:tab w:leader="none" w:pos="340" w:val="left"/>
        </w:tabs>
        <w:numPr>
          <w:ilvl w:val="0"/>
          <w:numId w:val="7"/>
        </w:numPr>
        <w:rPr>
          <w:rFonts w:ascii="Arial" w:cs="Arial" w:eastAsia="Arial" w:hAnsi="Arial"/>
          <w:sz w:val="25"/>
          <w:szCs w:val="25"/>
          <w:color w:val="auto"/>
          <w:vertAlign w:val="superscript"/>
        </w:rPr>
      </w:pPr>
      <w:r>
        <w:rPr>
          <w:rFonts w:ascii="Arial" w:cs="Arial" w:eastAsia="Arial" w:hAnsi="Arial"/>
          <w:sz w:val="15"/>
          <w:szCs w:val="15"/>
          <w:color w:val="auto"/>
        </w:rPr>
        <w:t>Average volumes are calculated as total volumes for the period (attributable to our interest) divided by the number of days or months in the period.</w:t>
      </w:r>
    </w:p>
    <w:p>
      <w:pPr>
        <w:spacing w:after="0" w:line="50" w:lineRule="exact"/>
        <w:rPr>
          <w:rFonts w:ascii="Arial" w:cs="Arial" w:eastAsia="Arial" w:hAnsi="Arial"/>
          <w:sz w:val="25"/>
          <w:szCs w:val="25"/>
          <w:color w:val="auto"/>
          <w:vertAlign w:val="superscript"/>
        </w:rPr>
      </w:pPr>
    </w:p>
    <w:p>
      <w:pPr>
        <w:ind w:left="340" w:hanging="332"/>
        <w:spacing w:after="0" w:line="187" w:lineRule="auto"/>
        <w:tabs>
          <w:tab w:leader="none" w:pos="340" w:val="left"/>
        </w:tabs>
        <w:numPr>
          <w:ilvl w:val="0"/>
          <w:numId w:val="7"/>
        </w:numPr>
        <w:rPr>
          <w:rFonts w:ascii="Arial" w:cs="Arial" w:eastAsia="Arial" w:hAnsi="Arial"/>
          <w:sz w:val="20"/>
          <w:szCs w:val="20"/>
          <w:color w:val="auto"/>
          <w:vertAlign w:val="superscript"/>
        </w:rPr>
      </w:pPr>
      <w:r>
        <w:rPr>
          <w:rFonts w:ascii="Arial" w:cs="Arial" w:eastAsia="Arial" w:hAnsi="Arial"/>
          <w:sz w:val="13"/>
          <w:szCs w:val="13"/>
          <w:color w:val="auto"/>
        </w:rPr>
        <w:t>Region includes volumes (attributable to our interest) from pipelines owned by unconsolidated entities.</w:t>
      </w:r>
    </w:p>
    <w:p>
      <w:pPr>
        <w:spacing w:after="0" w:line="50" w:lineRule="exact"/>
        <w:rPr>
          <w:rFonts w:ascii="Arial" w:cs="Arial" w:eastAsia="Arial" w:hAnsi="Arial"/>
          <w:sz w:val="20"/>
          <w:szCs w:val="20"/>
          <w:color w:val="auto"/>
          <w:vertAlign w:val="superscript"/>
        </w:rPr>
      </w:pPr>
    </w:p>
    <w:p>
      <w:pPr>
        <w:jc w:val="both"/>
        <w:ind w:left="340" w:hanging="332"/>
        <w:spacing w:after="0" w:line="210" w:lineRule="auto"/>
        <w:tabs>
          <w:tab w:leader="none" w:pos="340" w:val="left"/>
        </w:tabs>
        <w:numPr>
          <w:ilvl w:val="0"/>
          <w:numId w:val="7"/>
        </w:numPr>
        <w:rPr>
          <w:rFonts w:ascii="Arial" w:cs="Arial" w:eastAsia="Arial" w:hAnsi="Arial"/>
          <w:sz w:val="25"/>
          <w:szCs w:val="25"/>
          <w:color w:val="auto"/>
          <w:vertAlign w:val="superscript"/>
        </w:rPr>
      </w:pPr>
      <w:r>
        <w:rPr>
          <w:rFonts w:ascii="Arial" w:cs="Arial" w:eastAsia="Arial" w:hAnsi="Arial"/>
          <w:sz w:val="15"/>
          <w:szCs w:val="15"/>
          <w:color w:val="auto"/>
        </w:rPr>
        <w:t>Facilities segment total volumes is calculated as the sum of: (i) crude oil, refined products and NGL terminalling and storage capacity; (ii) rail load and unload volumes multiplied by the number of days in the period and divided by the number of months in the period; (iii) natural gas storage working capacity divided by 6 to account for the 6:1 mcf of natural gas to crude Btu equivalent ratio and further divided by 1,000 to convert to monthly volumes in millions; and (iv) NGL fractionation volumes multiplied by the number of days in the period and divided by the number of months in the period.</w:t>
      </w:r>
    </w:p>
    <w:p>
      <w:pPr>
        <w:spacing w:after="0" w:line="226" w:lineRule="exact"/>
        <w:rPr>
          <w:rFonts w:ascii="Arial" w:cs="Arial" w:eastAsia="Arial" w:hAnsi="Arial"/>
          <w:sz w:val="25"/>
          <w:szCs w:val="25"/>
          <w:color w:val="auto"/>
          <w:vertAlign w:val="superscript"/>
        </w:rPr>
      </w:pPr>
    </w:p>
    <w:p>
      <w:pPr>
        <w:ind w:left="5520" w:hanging="96"/>
        <w:spacing w:after="0"/>
        <w:tabs>
          <w:tab w:leader="none" w:pos="5520" w:val="left"/>
        </w:tabs>
        <w:numPr>
          <w:ilvl w:val="1"/>
          <w:numId w:val="7"/>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7" w:lineRule="exact"/>
        <w:rPr>
          <w:sz w:val="20"/>
          <w:szCs w:val="20"/>
          <w:color w:val="auto"/>
        </w:rPr>
      </w:pPr>
    </w:p>
    <w:p>
      <w:pPr>
        <w:ind w:left="1800"/>
        <w:spacing w:after="0"/>
        <w:tabs>
          <w:tab w:leader="none" w:pos="4920" w:val="left"/>
          <w:tab w:leader="none" w:pos="76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420"/>
          </w:cols>
          <w:pgMar w:left="240" w:top="341"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auto"/>
        </w:rPr>
        <w:t>Page 10</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COMPUTATION OF BASIC AND DILUTED NET INCOME PER COMMON UNIT</w:t>
      </w:r>
      <w:r>
        <w:rPr>
          <w:rFonts w:ascii="Arial" w:cs="Arial" w:eastAsia="Arial" w:hAnsi="Arial"/>
          <w:sz w:val="18"/>
          <w:szCs w:val="18"/>
          <w:b w:val="1"/>
          <w:bCs w:val="1"/>
          <w:color w:val="auto"/>
        </w:rPr>
        <w:t xml:space="preserve"> </w:t>
      </w:r>
      <w:r>
        <w:rPr>
          <w:rFonts w:ascii="Arial" w:cs="Arial" w:eastAsia="Arial" w:hAnsi="Arial"/>
          <w:sz w:val="25"/>
          <w:szCs w:val="25"/>
          <w:b w:val="1"/>
          <w:bCs w:val="1"/>
          <w:color w:val="auto"/>
          <w:vertAlign w:val="superscript"/>
        </w:rPr>
        <w:t>(1)</w:t>
      </w:r>
    </w:p>
    <w:p>
      <w:pPr>
        <w:spacing w:after="0"/>
        <w:rPr>
          <w:sz w:val="20"/>
          <w:szCs w:val="20"/>
          <w:color w:val="auto"/>
        </w:rPr>
      </w:pPr>
      <w:r>
        <w:rPr>
          <w:rFonts w:ascii="Arial" w:cs="Arial" w:eastAsia="Arial" w:hAnsi="Arial"/>
          <w:sz w:val="18"/>
          <w:szCs w:val="18"/>
          <w:color w:val="auto"/>
        </w:rPr>
        <w:t>(in millions, except per unit data)</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60" w:type="dxa"/>
            <w:vAlign w:val="bottom"/>
            <w:gridSpan w:val="5"/>
          </w:tcPr>
          <w:p>
            <w:pPr>
              <w:ind w:left="220"/>
              <w:spacing w:after="0"/>
              <w:rPr>
                <w:sz w:val="20"/>
                <w:szCs w:val="20"/>
                <w:color w:val="auto"/>
              </w:rPr>
            </w:pPr>
            <w:r>
              <w:rPr>
                <w:rFonts w:ascii="Arial" w:cs="Arial" w:eastAsia="Arial" w:hAnsi="Arial"/>
                <w:sz w:val="16"/>
                <w:szCs w:val="16"/>
                <w:b w:val="1"/>
                <w:bCs w:val="1"/>
                <w:color w:val="auto"/>
              </w:rPr>
              <w:t>Three Months Ended</w:t>
            </w:r>
          </w:p>
        </w:tc>
        <w:tc>
          <w:tcPr>
            <w:tcW w:w="260" w:type="dxa"/>
            <w:vAlign w:val="bottom"/>
          </w:tcPr>
          <w:p>
            <w:pPr>
              <w:spacing w:after="0"/>
              <w:rPr>
                <w:sz w:val="17"/>
                <w:szCs w:val="17"/>
                <w:color w:val="auto"/>
              </w:rPr>
            </w:pPr>
          </w:p>
        </w:tc>
        <w:tc>
          <w:tcPr>
            <w:tcW w:w="2120" w:type="dxa"/>
            <w:vAlign w:val="bottom"/>
            <w:gridSpan w:val="4"/>
          </w:tcPr>
          <w:p>
            <w:pPr>
              <w:jc w:val="right"/>
              <w:ind w:right="451"/>
              <w:spacing w:after="0"/>
              <w:rPr>
                <w:sz w:val="20"/>
                <w:szCs w:val="20"/>
                <w:color w:val="auto"/>
              </w:rPr>
            </w:pPr>
            <w:r>
              <w:rPr>
                <w:rFonts w:ascii="Arial" w:cs="Arial" w:eastAsia="Arial" w:hAnsi="Arial"/>
                <w:sz w:val="16"/>
                <w:szCs w:val="16"/>
                <w:b w:val="1"/>
                <w:bCs w:val="1"/>
                <w:color w:val="auto"/>
              </w:rPr>
              <w:t>Six Months Ended</w:t>
            </w:r>
          </w:p>
        </w:tc>
      </w:tr>
      <w:tr>
        <w:trPr>
          <w:trHeight w:val="210"/>
        </w:trPr>
        <w:tc>
          <w:tcPr>
            <w:tcW w:w="6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3"/>
          </w:tcPr>
          <w:p>
            <w:pPr>
              <w:jc w:val="right"/>
              <w:ind w:right="10"/>
              <w:spacing w:after="0"/>
              <w:rPr>
                <w:sz w:val="20"/>
                <w:szCs w:val="20"/>
                <w:color w:val="auto"/>
              </w:rPr>
            </w:pPr>
            <w:r>
              <w:rPr>
                <w:rFonts w:ascii="Arial" w:cs="Arial" w:eastAsia="Arial" w:hAnsi="Arial"/>
                <w:sz w:val="16"/>
                <w:szCs w:val="16"/>
                <w:b w:val="1"/>
                <w:bCs w:val="1"/>
                <w:color w:val="auto"/>
              </w:rPr>
              <w:t>June 30,</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800" w:type="dxa"/>
            <w:vAlign w:val="bottom"/>
          </w:tcPr>
          <w:p>
            <w:pPr>
              <w:spacing w:after="0"/>
              <w:rPr>
                <w:sz w:val="18"/>
                <w:szCs w:val="18"/>
                <w:color w:val="auto"/>
              </w:rPr>
            </w:pPr>
          </w:p>
        </w:tc>
      </w:tr>
      <w:tr>
        <w:trPr>
          <w:trHeight w:val="33"/>
        </w:trPr>
        <w:tc>
          <w:tcPr>
            <w:tcW w:w="65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1"/>
        </w:trPr>
        <w:tc>
          <w:tcPr>
            <w:tcW w:w="6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51"/>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ind w:right="331"/>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1"/>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ind w:right="311"/>
              <w:spacing w:after="0"/>
              <w:rPr>
                <w:sz w:val="20"/>
                <w:szCs w:val="20"/>
                <w:color w:val="auto"/>
              </w:rPr>
            </w:pPr>
            <w:r>
              <w:rPr>
                <w:rFonts w:ascii="Arial" w:cs="Arial" w:eastAsia="Arial" w:hAnsi="Arial"/>
                <w:sz w:val="16"/>
                <w:szCs w:val="16"/>
                <w:b w:val="1"/>
                <w:bCs w:val="1"/>
                <w:color w:val="auto"/>
              </w:rPr>
              <w:t>2016</w:t>
            </w:r>
          </w:p>
        </w:tc>
      </w:tr>
      <w:tr>
        <w:trPr>
          <w:trHeight w:val="33"/>
        </w:trPr>
        <w:tc>
          <w:tcPr>
            <w:tcW w:w="6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Net Income per Common Unit</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Net income attributable to PAA</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632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302</w:t>
            </w: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Distributions to Series A preferred units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43"/>
        </w:trPr>
        <w:tc>
          <w:tcPr>
            <w:tcW w:w="6520" w:type="dxa"/>
            <w:vAlign w:val="bottom"/>
          </w:tcPr>
          <w:p>
            <w:pPr>
              <w:ind w:left="200"/>
              <w:spacing w:after="0"/>
              <w:rPr>
                <w:sz w:val="20"/>
                <w:szCs w:val="20"/>
                <w:color w:val="auto"/>
              </w:rPr>
            </w:pPr>
            <w:r>
              <w:rPr>
                <w:rFonts w:ascii="Arial" w:cs="Arial" w:eastAsia="Arial" w:hAnsi="Arial"/>
                <w:sz w:val="18"/>
                <w:szCs w:val="18"/>
                <w:color w:val="auto"/>
              </w:rPr>
              <w:t>Distributions to general partner</w:t>
            </w:r>
          </w:p>
        </w:tc>
        <w:tc>
          <w:tcPr>
            <w:tcW w:w="2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(310)</w:t>
            </w: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r>
      <w:tr>
        <w:trPr>
          <w:trHeight w:val="297"/>
        </w:trPr>
        <w:tc>
          <w:tcPr>
            <w:tcW w:w="65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income/(loss) allocated to common unitholders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555</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w:t>
            </w:r>
          </w:p>
        </w:tc>
      </w:tr>
      <w:tr>
        <w:trPr>
          <w:trHeight w:val="271"/>
        </w:trPr>
        <w:tc>
          <w:tcPr>
            <w:tcW w:w="65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Basic weighted average common units outstanding</w:t>
            </w:r>
          </w:p>
        </w:tc>
        <w:tc>
          <w:tcPr>
            <w:tcW w:w="26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725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398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708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398</w:t>
            </w: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84"/>
        </w:trPr>
        <w:tc>
          <w:tcPr>
            <w:tcW w:w="65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r>
      <w:tr>
        <w:trPr>
          <w:trHeight w:val="304"/>
        </w:trPr>
        <w:tc>
          <w:tcPr>
            <w:tcW w:w="65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Basic net income/(loss) per common unit</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0.21</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(0.20)</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0.78</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(0.13)</w:t>
            </w:r>
          </w:p>
        </w:tc>
      </w:tr>
      <w:tr>
        <w:trPr>
          <w:trHeight w:val="271"/>
        </w:trPr>
        <w:tc>
          <w:tcPr>
            <w:tcW w:w="65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b w:val="1"/>
                <w:bCs w:val="1"/>
                <w:color w:val="auto"/>
              </w:rPr>
              <w:t>Diluted Net Income per Common Unit</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PAA</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302</w:t>
            </w:r>
          </w:p>
        </w:tc>
      </w:tr>
      <w:tr>
        <w:trPr>
          <w:trHeight w:val="243"/>
        </w:trPr>
        <w:tc>
          <w:tcPr>
            <w:tcW w:w="6520" w:type="dxa"/>
            <w:vAlign w:val="bottom"/>
          </w:tcPr>
          <w:p>
            <w:pPr>
              <w:ind w:left="200"/>
              <w:spacing w:after="0"/>
              <w:rPr>
                <w:sz w:val="20"/>
                <w:szCs w:val="20"/>
                <w:color w:val="auto"/>
              </w:rPr>
            </w:pPr>
            <w:r>
              <w:rPr>
                <w:rFonts w:ascii="Arial" w:cs="Arial" w:eastAsia="Arial" w:hAnsi="Arial"/>
                <w:sz w:val="18"/>
                <w:szCs w:val="18"/>
                <w:color w:val="auto"/>
              </w:rPr>
              <w:t>Distributions to Series A preferred units</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Distributions to general partner</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w:t>
            </w:r>
          </w:p>
        </w:tc>
      </w:tr>
      <w:tr>
        <w:trPr>
          <w:trHeight w:val="243"/>
        </w:trPr>
        <w:tc>
          <w:tcPr>
            <w:tcW w:w="6520" w:type="dxa"/>
            <w:vAlign w:val="bottom"/>
          </w:tcPr>
          <w:p>
            <w:pPr>
              <w:ind w:left="20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10</w:t>
            </w:r>
          </w:p>
        </w:tc>
      </w:tr>
      <w:tr>
        <w:trPr>
          <w:trHeight w:val="27"/>
        </w:trPr>
        <w:tc>
          <w:tcPr>
            <w:tcW w:w="6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7"/>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income/(loss) allocated to common unitholders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555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0"/>
        </w:trPr>
        <w:tc>
          <w:tcPr>
            <w:tcW w:w="6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71"/>
        </w:trPr>
        <w:tc>
          <w:tcPr>
            <w:tcW w:w="65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weighted average common units outstanding</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398</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Effect of dilutive securities: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6520" w:type="dxa"/>
            <w:vAlign w:val="bottom"/>
            <w:shd w:val="clear" w:color="auto" w:fill="CCEEFF"/>
          </w:tcPr>
          <w:p>
            <w:pPr>
              <w:ind w:left="200"/>
              <w:spacing w:after="0" w:line="270" w:lineRule="exact"/>
              <w:rPr>
                <w:sz w:val="20"/>
                <w:szCs w:val="20"/>
                <w:color w:val="auto"/>
              </w:rPr>
            </w:pPr>
            <w:r>
              <w:rPr>
                <w:rFonts w:ascii="Arial" w:cs="Arial" w:eastAsia="Arial" w:hAnsi="Arial"/>
                <w:sz w:val="18"/>
                <w:szCs w:val="18"/>
                <w:color w:val="auto"/>
              </w:rPr>
              <w:t xml:space="preserve">LTIP units </w:t>
            </w:r>
            <w:r>
              <w:rPr>
                <w:rFonts w:ascii="Arial" w:cs="Arial" w:eastAsia="Arial" w:hAnsi="Arial"/>
                <w:sz w:val="25"/>
                <w:szCs w:val="25"/>
                <w:color w:val="auto"/>
                <w:vertAlign w:val="superscript"/>
              </w:rPr>
              <w:t>(2)</w:t>
            </w: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97"/>
        </w:trPr>
        <w:tc>
          <w:tcPr>
            <w:tcW w:w="65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Diluted weighted average common units outstanding</w:t>
            </w:r>
          </w:p>
        </w:tc>
        <w:tc>
          <w:tcPr>
            <w:tcW w:w="26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727</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398</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710</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398</w:t>
            </w:r>
          </w:p>
        </w:tc>
      </w:tr>
      <w:tr>
        <w:trPr>
          <w:trHeight w:val="271"/>
        </w:trPr>
        <w:tc>
          <w:tcPr>
            <w:tcW w:w="65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r>
      <w:tr>
        <w:trPr>
          <w:trHeight w:val="270"/>
        </w:trPr>
        <w:tc>
          <w:tcPr>
            <w:tcW w:w="65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Diluted net income/(loss) per common unit </w:t>
            </w:r>
            <w:r>
              <w:rPr>
                <w:rFonts w:ascii="Arial" w:cs="Arial" w:eastAsia="Arial" w:hAnsi="Arial"/>
                <w:sz w:val="25"/>
                <w:szCs w:val="25"/>
                <w:color w:val="auto"/>
                <w:vertAlign w:val="superscript"/>
              </w:rPr>
              <w:t>(3)</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0.21</w:t>
            </w:r>
          </w:p>
        </w:tc>
        <w:tc>
          <w:tcPr>
            <w:tcW w:w="100" w:type="dxa"/>
            <w:vAlign w:val="bottom"/>
          </w:tcPr>
          <w:p>
            <w:pPr>
              <w:spacing w:after="0"/>
              <w:rPr>
                <w:sz w:val="23"/>
                <w:szCs w:val="23"/>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(0.20)</w:t>
            </w:r>
          </w:p>
        </w:tc>
        <w:tc>
          <w:tcPr>
            <w:tcW w:w="100" w:type="dxa"/>
            <w:vAlign w:val="bottom"/>
          </w:tcPr>
          <w:p>
            <w:pPr>
              <w:spacing w:after="0"/>
              <w:rPr>
                <w:sz w:val="23"/>
                <w:szCs w:val="23"/>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0.78</w:t>
            </w:r>
          </w:p>
        </w:tc>
        <w:tc>
          <w:tcPr>
            <w:tcW w:w="100" w:type="dxa"/>
            <w:vAlign w:val="bottom"/>
          </w:tcPr>
          <w:p>
            <w:pPr>
              <w:spacing w:after="0"/>
              <w:rPr>
                <w:sz w:val="23"/>
                <w:szCs w:val="23"/>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(0.13)</w:t>
            </w:r>
          </w:p>
        </w:tc>
      </w:tr>
      <w:tr>
        <w:trPr>
          <w:trHeight w:val="20"/>
        </w:trPr>
        <w:tc>
          <w:tcPr>
            <w:tcW w:w="6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90" w:lineRule="exact"/>
        <w:rPr>
          <w:sz w:val="20"/>
          <w:szCs w:val="20"/>
          <w:color w:val="auto"/>
        </w:rPr>
      </w:pPr>
    </w:p>
    <w:p>
      <w:pPr>
        <w:ind w:left="340" w:right="40" w:hanging="332"/>
        <w:spacing w:after="0" w:line="239" w:lineRule="auto"/>
        <w:tabs>
          <w:tab w:leader="none" w:pos="340" w:val="left"/>
        </w:tabs>
        <w:numPr>
          <w:ilvl w:val="0"/>
          <w:numId w:val="8"/>
        </w:numPr>
        <w:rPr>
          <w:rFonts w:ascii="Arial" w:cs="Arial" w:eastAsia="Arial" w:hAnsi="Arial"/>
          <w:sz w:val="25"/>
          <w:szCs w:val="25"/>
          <w:color w:val="auto"/>
          <w:vertAlign w:val="superscript"/>
        </w:rPr>
      </w:pPr>
      <w:r>
        <w:rPr>
          <w:rFonts w:ascii="Arial" w:cs="Arial" w:eastAsia="Arial" w:hAnsi="Arial"/>
          <w:sz w:val="18"/>
          <w:szCs w:val="18"/>
          <w:color w:val="auto"/>
        </w:rPr>
        <w:t>We calculate net income/(loss) allocated to common unitholders based on the distributions pertaining to the current period’s net income. After adjusting for the appropriate period’s distributions, the remaining undistributed earnings or excess distributions over earnings (“undistributed loss”), if any, are allocated to the general partner, common unitholders and participating securities in accordance with the contractual terms of our partnership agreement in effect for the period and as further prescribed under the two-class method. The Simplification Transactions, which closed on November 15, 2016, simplified our governance structure and permanently eliminated our IDRs and the economic rights associated with our 2% general partner interest. As such, beginning with the distribution pertaining to the fourth quarter of 2016, our general partner is no longer entitled to receive distributions on these interests.</w:t>
      </w:r>
    </w:p>
    <w:p>
      <w:pPr>
        <w:spacing w:after="0" w:line="43" w:lineRule="exact"/>
        <w:rPr>
          <w:rFonts w:ascii="Arial" w:cs="Arial" w:eastAsia="Arial" w:hAnsi="Arial"/>
          <w:sz w:val="25"/>
          <w:szCs w:val="25"/>
          <w:color w:val="auto"/>
          <w:vertAlign w:val="superscript"/>
        </w:rPr>
      </w:pPr>
    </w:p>
    <w:p>
      <w:pPr>
        <w:ind w:left="340" w:hanging="332"/>
        <w:spacing w:after="0" w:line="235" w:lineRule="auto"/>
        <w:tabs>
          <w:tab w:leader="none" w:pos="340" w:val="left"/>
        </w:tabs>
        <w:numPr>
          <w:ilvl w:val="0"/>
          <w:numId w:val="8"/>
        </w:numPr>
        <w:rPr>
          <w:rFonts w:ascii="Arial" w:cs="Arial" w:eastAsia="Arial" w:hAnsi="Arial"/>
          <w:sz w:val="25"/>
          <w:szCs w:val="25"/>
          <w:color w:val="auto"/>
          <w:vertAlign w:val="superscript"/>
        </w:rPr>
      </w:pPr>
      <w:r>
        <w:rPr>
          <w:rFonts w:ascii="Arial" w:cs="Arial" w:eastAsia="Arial" w:hAnsi="Arial"/>
          <w:sz w:val="18"/>
          <w:szCs w:val="18"/>
          <w:color w:val="auto"/>
        </w:rPr>
        <w:t>Our Long-term Incentive Plan (“LTIP”) awards that contemplate the issuance of common units are considered dilutive unless (i) vesting occurs only upon the satisfaction of a performance condition and (ii) that performance condition has yet to be satisfied. LTIP awards that are deemed to be dilutive are reduced by a hypothetical unit repurchase based on the remaining unamortized fair value, as prescribed by the treasury stock method in guidance issued by the FASB. Such LTIP awards were excluded from the calculation of diluted net loss per common unit for the three and six months ended June 30, 2016 as the effect was antidilutive.</w:t>
      </w:r>
    </w:p>
    <w:p>
      <w:pPr>
        <w:spacing w:after="0" w:line="42" w:lineRule="exact"/>
        <w:rPr>
          <w:rFonts w:ascii="Arial" w:cs="Arial" w:eastAsia="Arial" w:hAnsi="Arial"/>
          <w:sz w:val="25"/>
          <w:szCs w:val="25"/>
          <w:color w:val="auto"/>
          <w:vertAlign w:val="superscript"/>
        </w:rPr>
      </w:pPr>
    </w:p>
    <w:p>
      <w:pPr>
        <w:ind w:left="340" w:right="60" w:hanging="332"/>
        <w:spacing w:after="0" w:line="216" w:lineRule="auto"/>
        <w:tabs>
          <w:tab w:leader="none" w:pos="340" w:val="left"/>
        </w:tabs>
        <w:numPr>
          <w:ilvl w:val="0"/>
          <w:numId w:val="8"/>
        </w:numPr>
        <w:rPr>
          <w:rFonts w:ascii="Arial" w:cs="Arial" w:eastAsia="Arial" w:hAnsi="Arial"/>
          <w:sz w:val="25"/>
          <w:szCs w:val="25"/>
          <w:color w:val="auto"/>
          <w:vertAlign w:val="superscript"/>
        </w:rPr>
      </w:pPr>
      <w:r>
        <w:rPr>
          <w:rFonts w:ascii="Arial" w:cs="Arial" w:eastAsia="Arial" w:hAnsi="Arial"/>
          <w:sz w:val="18"/>
          <w:szCs w:val="18"/>
          <w:color w:val="auto"/>
        </w:rPr>
        <w:t>The possible conversion of our Series A preferred units was excluded from the calculation of diluted net income/(loss) per common unit for the three and six months ended June 30, 2017 and 2016 as the effect was antidilutive.</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7" w:lineRule="exact"/>
        <w:rPr>
          <w:sz w:val="20"/>
          <w:szCs w:val="20"/>
          <w:color w:val="auto"/>
        </w:rPr>
      </w:pPr>
    </w:p>
    <w:p>
      <w:pPr>
        <w:ind w:left="1800"/>
        <w:spacing w:after="0"/>
        <w:tabs>
          <w:tab w:leader="none" w:pos="4920" w:val="left"/>
          <w:tab w:leader="none" w:pos="76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420"/>
          </w:cols>
          <w:pgMar w:left="240" w:top="341"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auto"/>
        </w:rPr>
        <w:t>Page 11</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SELECTED FINANCIAL DATA BY SEGMENT</w:t>
      </w:r>
      <w:r>
        <w:rPr>
          <w:rFonts w:ascii="Arial" w:cs="Arial" w:eastAsia="Arial" w:hAnsi="Arial"/>
          <w:sz w:val="18"/>
          <w:szCs w:val="18"/>
          <w:b w:val="1"/>
          <w:bCs w:val="1"/>
          <w:color w:val="auto"/>
        </w:rPr>
        <w:t xml:space="preserve"> </w:t>
      </w:r>
      <w:r>
        <w:rPr>
          <w:rFonts w:ascii="Arial" w:cs="Arial" w:eastAsia="Arial" w:hAnsi="Arial"/>
          <w:sz w:val="25"/>
          <w:szCs w:val="25"/>
          <w:b w:val="1"/>
          <w:bCs w:val="1"/>
          <w:color w:val="auto"/>
          <w:vertAlign w:val="superscript"/>
        </w:rPr>
        <w:t>(1)</w:t>
      </w:r>
    </w:p>
    <w:p>
      <w:pPr>
        <w:spacing w:after="0"/>
        <w:rPr>
          <w:sz w:val="20"/>
          <w:szCs w:val="20"/>
          <w:color w:val="auto"/>
        </w:rPr>
      </w:pPr>
      <w:r>
        <w:rPr>
          <w:rFonts w:ascii="Arial" w:cs="Arial" w:eastAsia="Arial" w:hAnsi="Arial"/>
          <w:sz w:val="18"/>
          <w:szCs w:val="18"/>
          <w:color w:val="auto"/>
        </w:rPr>
        <w:t>(in millions)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2"/>
              </w:rPr>
              <w:t>June 30, 2017</w:t>
            </w: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June 30, 2016</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5"/>
              </w:rPr>
              <w:t>Transportation</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vMerge w:val="restart"/>
          </w:tcPr>
          <w:p>
            <w:pPr>
              <w:jc w:val="center"/>
              <w:ind w:right="72"/>
              <w:spacing w:after="0"/>
              <w:rPr>
                <w:sz w:val="20"/>
                <w:szCs w:val="20"/>
                <w:color w:val="auto"/>
              </w:rPr>
            </w:pPr>
            <w:r>
              <w:rPr>
                <w:rFonts w:ascii="Arial" w:cs="Arial" w:eastAsia="Arial" w:hAnsi="Arial"/>
                <w:sz w:val="14"/>
                <w:szCs w:val="14"/>
                <w:b w:val="1"/>
                <w:bCs w:val="1"/>
                <w:color w:val="auto"/>
                <w:w w:val="93"/>
              </w:rPr>
              <w:t>Facilities</w:t>
            </w:r>
          </w:p>
        </w:tc>
        <w:tc>
          <w:tcPr>
            <w:tcW w:w="1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3"/>
          </w:tcPr>
          <w:p>
            <w:pPr>
              <w:ind w:left="80"/>
              <w:spacing w:after="0" w:line="153" w:lineRule="exact"/>
              <w:rPr>
                <w:sz w:val="20"/>
                <w:szCs w:val="20"/>
                <w:color w:val="auto"/>
              </w:rPr>
            </w:pPr>
            <w:r>
              <w:rPr>
                <w:rFonts w:ascii="Arial" w:cs="Arial" w:eastAsia="Arial" w:hAnsi="Arial"/>
                <w:sz w:val="14"/>
                <w:szCs w:val="14"/>
                <w:b w:val="1"/>
                <w:bCs w:val="1"/>
                <w:color w:val="auto"/>
              </w:rPr>
              <w:t>Supply and</w:t>
            </w:r>
          </w:p>
        </w:tc>
        <w:tc>
          <w:tcPr>
            <w:tcW w:w="140" w:type="dxa"/>
            <w:vAlign w:val="bottom"/>
          </w:tcPr>
          <w:p>
            <w:pPr>
              <w:spacing w:after="0"/>
              <w:rPr>
                <w:sz w:val="13"/>
                <w:szCs w:val="13"/>
                <w:color w:val="auto"/>
              </w:rPr>
            </w:pPr>
          </w:p>
        </w:tc>
        <w:tc>
          <w:tcPr>
            <w:tcW w:w="112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5"/>
              </w:rPr>
              <w:t>Transportation</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vMerge w:val="restart"/>
          </w:tcPr>
          <w:p>
            <w:pPr>
              <w:jc w:val="center"/>
              <w:ind w:right="92"/>
              <w:spacing w:after="0"/>
              <w:rPr>
                <w:sz w:val="20"/>
                <w:szCs w:val="20"/>
                <w:color w:val="auto"/>
              </w:rPr>
            </w:pPr>
            <w:r>
              <w:rPr>
                <w:rFonts w:ascii="Arial" w:cs="Arial" w:eastAsia="Arial" w:hAnsi="Arial"/>
                <w:sz w:val="14"/>
                <w:szCs w:val="14"/>
                <w:b w:val="1"/>
                <w:bCs w:val="1"/>
                <w:color w:val="auto"/>
                <w:w w:val="90"/>
              </w:rPr>
              <w:t>Facilities</w:t>
            </w:r>
          </w:p>
        </w:tc>
        <w:tc>
          <w:tcPr>
            <w:tcW w:w="10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jc w:val="right"/>
              <w:ind w:right="192"/>
              <w:spacing w:after="0" w:line="153" w:lineRule="exact"/>
              <w:rPr>
                <w:sz w:val="20"/>
                <w:szCs w:val="20"/>
                <w:color w:val="auto"/>
              </w:rPr>
            </w:pPr>
            <w:r>
              <w:rPr>
                <w:rFonts w:ascii="Arial" w:cs="Arial" w:eastAsia="Arial" w:hAnsi="Arial"/>
                <w:sz w:val="14"/>
                <w:szCs w:val="14"/>
                <w:b w:val="1"/>
                <w:bCs w:val="1"/>
                <w:color w:val="auto"/>
              </w:rPr>
              <w:t>Supply and</w:t>
            </w:r>
          </w:p>
        </w:tc>
        <w:tc>
          <w:tcPr>
            <w:tcW w:w="0" w:type="dxa"/>
            <w:vAlign w:val="bottom"/>
          </w:tcPr>
          <w:p>
            <w:pPr>
              <w:spacing w:after="0"/>
              <w:rPr>
                <w:sz w:val="1"/>
                <w:szCs w:val="1"/>
                <w:color w:val="auto"/>
              </w:rPr>
            </w:pPr>
          </w:p>
        </w:tc>
      </w:tr>
      <w:tr>
        <w:trPr>
          <w:trHeight w:val="192"/>
        </w:trPr>
        <w:tc>
          <w:tcPr>
            <w:tcW w:w="32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Logistics</w:t>
            </w:r>
          </w:p>
        </w:tc>
        <w:tc>
          <w:tcPr>
            <w:tcW w:w="1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Logistics</w:t>
            </w:r>
          </w:p>
        </w:tc>
        <w:tc>
          <w:tcPr>
            <w:tcW w:w="0" w:type="dxa"/>
            <w:vAlign w:val="bottom"/>
          </w:tcPr>
          <w:p>
            <w:pPr>
              <w:spacing w:after="0"/>
              <w:rPr>
                <w:sz w:val="1"/>
                <w:szCs w:val="1"/>
                <w:color w:val="auto"/>
              </w:rPr>
            </w:pPr>
          </w:p>
        </w:tc>
      </w:tr>
      <w:tr>
        <w:trPr>
          <w:trHeight w:val="270"/>
        </w:trPr>
        <w:tc>
          <w:tcPr>
            <w:tcW w:w="32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Revenues </w:t>
            </w:r>
            <w:r>
              <w:rPr>
                <w:rFonts w:ascii="Arial" w:cs="Arial" w:eastAsia="Arial" w:hAnsi="Arial"/>
                <w:sz w:val="25"/>
                <w:szCs w:val="25"/>
                <w:color w:val="auto"/>
                <w:vertAlign w:val="superscript"/>
              </w:rPr>
              <w:t>(2)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425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289</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5,783</w:t>
            </w:r>
          </w:p>
        </w:tc>
        <w:tc>
          <w:tcPr>
            <w:tcW w:w="14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403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270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4,652</w:t>
            </w:r>
          </w:p>
        </w:tc>
        <w:tc>
          <w:tcPr>
            <w:tcW w:w="0" w:type="dxa"/>
            <w:vAlign w:val="bottom"/>
          </w:tcPr>
          <w:p>
            <w:pPr>
              <w:spacing w:after="0"/>
              <w:rPr>
                <w:sz w:val="1"/>
                <w:szCs w:val="1"/>
                <w:color w:val="auto"/>
              </w:rPr>
            </w:pPr>
          </w:p>
        </w:tc>
      </w:tr>
      <w:tr>
        <w:trPr>
          <w:trHeight w:val="270"/>
        </w:trPr>
        <w:tc>
          <w:tcPr>
            <w:tcW w:w="32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Purchases and related costs </w:t>
            </w:r>
            <w:r>
              <w:rPr>
                <w:rFonts w:ascii="Arial" w:cs="Arial" w:eastAsia="Arial" w:hAnsi="Arial"/>
                <w:sz w:val="25"/>
                <w:szCs w:val="25"/>
                <w:color w:val="auto"/>
                <w:vertAlign w:val="superscript"/>
              </w:rPr>
              <w:t>(2)</w:t>
            </w:r>
          </w:p>
        </w:tc>
        <w:tc>
          <w:tcPr>
            <w:tcW w:w="1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(5,708)</w:t>
            </w:r>
          </w:p>
        </w:tc>
        <w:tc>
          <w:tcPr>
            <w:tcW w:w="14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(4,566)</w:t>
            </w:r>
          </w:p>
        </w:tc>
        <w:tc>
          <w:tcPr>
            <w:tcW w:w="0" w:type="dxa"/>
            <w:vAlign w:val="bottom"/>
          </w:tcPr>
          <w:p>
            <w:pPr>
              <w:spacing w:after="0"/>
              <w:rPr>
                <w:sz w:val="1"/>
                <w:szCs w:val="1"/>
                <w:color w:val="auto"/>
              </w:rPr>
            </w:pPr>
          </w:p>
        </w:tc>
      </w:tr>
      <w:tr>
        <w:trPr>
          <w:trHeight w:val="270"/>
        </w:trPr>
        <w:tc>
          <w:tcPr>
            <w:tcW w:w="32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Field operating costs </w:t>
            </w:r>
            <w:r>
              <w:rPr>
                <w:rFonts w:ascii="Arial" w:cs="Arial" w:eastAsia="Arial" w:hAnsi="Arial"/>
                <w:sz w:val="25"/>
                <w:szCs w:val="25"/>
                <w:color w:val="auto"/>
                <w:vertAlign w:val="superscript"/>
              </w:rPr>
              <w:t>(2) (3)</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4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29"/>
        </w:trPr>
        <w:tc>
          <w:tcPr>
            <w:tcW w:w="3200" w:type="dxa"/>
            <w:vAlign w:val="bottom"/>
          </w:tcPr>
          <w:p>
            <w:pPr>
              <w:ind w:left="40"/>
              <w:spacing w:after="0"/>
              <w:rPr>
                <w:sz w:val="20"/>
                <w:szCs w:val="20"/>
                <w:color w:val="auto"/>
              </w:rPr>
            </w:pPr>
            <w:r>
              <w:rPr>
                <w:rFonts w:ascii="Arial" w:cs="Arial" w:eastAsia="Arial" w:hAnsi="Arial"/>
                <w:sz w:val="18"/>
                <w:szCs w:val="18"/>
                <w:color w:val="auto"/>
                <w:w w:val="98"/>
              </w:rPr>
              <w:t>Equity-indexed compensation expense -</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200"/>
              <w:spacing w:after="0"/>
              <w:rPr>
                <w:sz w:val="20"/>
                <w:szCs w:val="20"/>
                <w:color w:val="auto"/>
              </w:rPr>
            </w:pPr>
            <w:r>
              <w:rPr>
                <w:rFonts w:ascii="Arial" w:cs="Arial" w:eastAsia="Arial" w:hAnsi="Arial"/>
                <w:sz w:val="18"/>
                <w:szCs w:val="18"/>
                <w:color w:val="auto"/>
              </w:rPr>
              <w:t>field operating costs</w:t>
            </w: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Segment general and administrative</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200" w:type="dxa"/>
            <w:vAlign w:val="bottom"/>
            <w:shd w:val="clear" w:color="auto" w:fill="CCEEFF"/>
          </w:tcPr>
          <w:p>
            <w:pPr>
              <w:ind w:left="200"/>
              <w:spacing w:after="0" w:line="257" w:lineRule="exact"/>
              <w:rPr>
                <w:sz w:val="20"/>
                <w:szCs w:val="20"/>
                <w:color w:val="auto"/>
              </w:rPr>
            </w:pPr>
            <w:r>
              <w:rPr>
                <w:rFonts w:ascii="Arial" w:cs="Arial" w:eastAsia="Arial" w:hAnsi="Arial"/>
                <w:sz w:val="18"/>
                <w:szCs w:val="18"/>
                <w:color w:val="auto"/>
              </w:rPr>
              <w:t xml:space="preserve">expenses </w:t>
            </w:r>
            <w:r>
              <w:rPr>
                <w:rFonts w:ascii="Arial" w:cs="Arial" w:eastAsia="Arial" w:hAnsi="Arial"/>
                <w:sz w:val="25"/>
                <w:szCs w:val="25"/>
                <w:color w:val="auto"/>
                <w:vertAlign w:val="superscript"/>
              </w:rPr>
              <w:t>(3) (4)</w:t>
            </w:r>
          </w:p>
        </w:tc>
        <w:tc>
          <w:tcPr>
            <w:tcW w:w="1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40" w:type="dxa"/>
            <w:vAlign w:val="bottom"/>
            <w:tcBorders>
              <w:right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9"/>
        </w:trPr>
        <w:tc>
          <w:tcPr>
            <w:tcW w:w="3200" w:type="dxa"/>
            <w:vAlign w:val="bottom"/>
          </w:tcPr>
          <w:p>
            <w:pPr>
              <w:ind w:left="40"/>
              <w:spacing w:after="0"/>
              <w:rPr>
                <w:sz w:val="20"/>
                <w:szCs w:val="20"/>
                <w:color w:val="auto"/>
              </w:rPr>
            </w:pPr>
            <w:r>
              <w:rPr>
                <w:rFonts w:ascii="Arial" w:cs="Arial" w:eastAsia="Arial" w:hAnsi="Arial"/>
                <w:sz w:val="18"/>
                <w:szCs w:val="18"/>
                <w:color w:val="auto"/>
                <w:w w:val="98"/>
              </w:rPr>
              <w:t>Equity-indexed compensation expense -</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Equity earnings in unconsolidated entities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3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2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5"/>
                <w:szCs w:val="25"/>
                <w:color w:val="auto"/>
                <w:vertAlign w:val="superscript"/>
              </w:rPr>
              <w:t>(5)</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4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200" w:type="dxa"/>
            <w:vAlign w:val="bottom"/>
          </w:tcPr>
          <w:p>
            <w:pPr>
              <w:ind w:left="200"/>
              <w:spacing w:after="0"/>
              <w:rPr>
                <w:sz w:val="20"/>
                <w:szCs w:val="20"/>
                <w:color w:val="auto"/>
              </w:rPr>
            </w:pPr>
            <w:r>
              <w:rPr>
                <w:rFonts w:ascii="Arial" w:cs="Arial" w:eastAsia="Arial" w:hAnsi="Arial"/>
                <w:sz w:val="18"/>
                <w:szCs w:val="18"/>
                <w:color w:val="auto"/>
              </w:rPr>
              <w:t>Depreciation and amortization of</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360"/>
              <w:spacing w:after="0"/>
              <w:rPr>
                <w:sz w:val="20"/>
                <w:szCs w:val="20"/>
                <w:color w:val="auto"/>
              </w:rPr>
            </w:pPr>
            <w:r>
              <w:rPr>
                <w:rFonts w:ascii="Arial" w:cs="Arial" w:eastAsia="Arial" w:hAnsi="Arial"/>
                <w:sz w:val="18"/>
                <w:szCs w:val="18"/>
                <w:color w:val="auto"/>
              </w:rPr>
              <w:t>unconsolidated entities</w:t>
            </w:r>
          </w:p>
        </w:tc>
        <w:tc>
          <w:tcPr>
            <w:tcW w:w="16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5"/>
              </w:rPr>
              <w:t>(Gains)/losses from derivative activities</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2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w w:val="93"/>
              </w:rPr>
              <w:t>net of inventory valuation adjustments</w:t>
            </w: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43"/>
        </w:trPr>
        <w:tc>
          <w:tcPr>
            <w:tcW w:w="3200" w:type="dxa"/>
            <w:vAlign w:val="bottom"/>
          </w:tcPr>
          <w:p>
            <w:pPr>
              <w:ind w:left="200"/>
              <w:spacing w:after="0"/>
              <w:rPr>
                <w:sz w:val="20"/>
                <w:szCs w:val="20"/>
                <w:color w:val="auto"/>
              </w:rPr>
            </w:pPr>
            <w:r>
              <w:rPr>
                <w:rFonts w:ascii="Arial" w:cs="Arial" w:eastAsia="Arial" w:hAnsi="Arial"/>
                <w:sz w:val="18"/>
                <w:szCs w:val="18"/>
                <w:color w:val="auto"/>
                <w:w w:val="91"/>
              </w:rPr>
              <w:t>Long-term inventory costing adjustments</w:t>
            </w:r>
          </w:p>
        </w:tc>
        <w:tc>
          <w:tcPr>
            <w:tcW w:w="1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7</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Deficiencies under minimum volume</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2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commitments, net</w:t>
            </w: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200" w:type="dxa"/>
            <w:vAlign w:val="bottom"/>
          </w:tcPr>
          <w:p>
            <w:pPr>
              <w:ind w:left="200"/>
              <w:spacing w:after="0"/>
              <w:rPr>
                <w:sz w:val="20"/>
                <w:szCs w:val="20"/>
                <w:color w:val="auto"/>
              </w:rPr>
            </w:pPr>
            <w:r>
              <w:rPr>
                <w:rFonts w:ascii="Arial" w:cs="Arial" w:eastAsia="Arial" w:hAnsi="Arial"/>
                <w:sz w:val="18"/>
                <w:szCs w:val="18"/>
                <w:color w:val="auto"/>
                <w:w w:val="96"/>
              </w:rPr>
              <w:t>Equity-indexed compensation expense</w:t>
            </w:r>
          </w:p>
        </w:tc>
        <w:tc>
          <w:tcPr>
            <w:tcW w:w="1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w w:val="93"/>
              </w:rPr>
              <w:t>Net gain on foreign currency revaluation</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200" w:type="dxa"/>
            <w:vAlign w:val="bottom"/>
          </w:tcPr>
          <w:p>
            <w:pPr>
              <w:ind w:left="200"/>
              <w:spacing w:after="0"/>
              <w:rPr>
                <w:sz w:val="20"/>
                <w:szCs w:val="20"/>
                <w:color w:val="auto"/>
              </w:rPr>
            </w:pPr>
            <w:r>
              <w:rPr>
                <w:rFonts w:ascii="Arial" w:cs="Arial" w:eastAsia="Arial" w:hAnsi="Arial"/>
                <w:sz w:val="18"/>
                <w:szCs w:val="18"/>
                <w:color w:val="auto"/>
              </w:rPr>
              <w:t>Line 901 incident</w:t>
            </w:r>
          </w:p>
        </w:tc>
        <w:tc>
          <w:tcPr>
            <w:tcW w:w="1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w w:val="94"/>
              </w:rPr>
              <w:t>Significant acquisition-related expenses</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32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Segment adjusted EBITDA</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298</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180</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40" w:type="dxa"/>
            <w:vAlign w:val="bottom"/>
            <w:tcBorders>
              <w:bottom w:val="single" w:sz="8" w:color="CCEEFF"/>
              <w:right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274</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57"/>
        </w:trPr>
        <w:tc>
          <w:tcPr>
            <w:tcW w:w="32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40" w:type="dxa"/>
            <w:vAlign w:val="bottom"/>
            <w:tcBorders>
              <w:right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200" w:type="dxa"/>
            <w:vAlign w:val="bottom"/>
          </w:tcPr>
          <w:p>
            <w:pPr>
              <w:ind w:left="40"/>
              <w:spacing w:after="0"/>
              <w:rPr>
                <w:sz w:val="20"/>
                <w:szCs w:val="20"/>
                <w:color w:val="auto"/>
              </w:rPr>
            </w:pPr>
            <w:r>
              <w:rPr>
                <w:rFonts w:ascii="Arial" w:cs="Arial" w:eastAsia="Arial" w:hAnsi="Arial"/>
                <w:sz w:val="18"/>
                <w:szCs w:val="18"/>
                <w:color w:val="auto"/>
              </w:rPr>
              <w:t>Maintenance capital</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5</w:t>
            </w: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85" w:lineRule="exact"/>
        <w:rPr>
          <w:sz w:val="20"/>
          <w:szCs w:val="20"/>
          <w:color w:val="auto"/>
        </w:rPr>
      </w:pPr>
    </w:p>
    <w:p>
      <w:pPr>
        <w:ind w:left="340" w:right="300" w:hanging="332"/>
        <w:spacing w:after="0" w:line="221" w:lineRule="auto"/>
        <w:tabs>
          <w:tab w:leader="none" w:pos="340" w:val="left"/>
        </w:tabs>
        <w:numPr>
          <w:ilvl w:val="0"/>
          <w:numId w:val="9"/>
        </w:numPr>
        <w:rPr>
          <w:rFonts w:ascii="Arial" w:cs="Arial" w:eastAsia="Arial" w:hAnsi="Arial"/>
          <w:sz w:val="27"/>
          <w:szCs w:val="27"/>
          <w:color w:val="auto"/>
          <w:vertAlign w:val="superscript"/>
        </w:rPr>
      </w:pPr>
      <w:r>
        <w:rPr>
          <w:rFonts w:ascii="Arial" w:cs="Arial" w:eastAsia="Arial" w:hAnsi="Arial"/>
          <w:sz w:val="16"/>
          <w:szCs w:val="16"/>
          <w:color w:val="auto"/>
        </w:rPr>
        <w:t>During the fourth quarter of 2016, we modified our primary segment performance measure to segment adjusted EBITDA from segment profit. Segment adjusted EBITDA forms the basis of our internal financial reporting and is the primary measure used by our Chief Operating Decision Maker (“CODM”) in assessing performance and allocating resources among our operating segments. Prior period segment amounts have been recast to reflect this change.</w:t>
      </w:r>
    </w:p>
    <w:p>
      <w:pPr>
        <w:ind w:left="340" w:hanging="332"/>
        <w:spacing w:after="0" w:line="184" w:lineRule="auto"/>
        <w:tabs>
          <w:tab w:leader="none" w:pos="340" w:val="left"/>
        </w:tabs>
        <w:numPr>
          <w:ilvl w:val="0"/>
          <w:numId w:val="9"/>
        </w:numPr>
        <w:rPr>
          <w:rFonts w:ascii="Arial" w:cs="Arial" w:eastAsia="Arial" w:hAnsi="Arial"/>
          <w:sz w:val="29"/>
          <w:szCs w:val="29"/>
          <w:color w:val="auto"/>
          <w:vertAlign w:val="superscript"/>
        </w:rPr>
      </w:pPr>
      <w:r>
        <w:rPr>
          <w:rFonts w:ascii="Arial" w:cs="Arial" w:eastAsia="Arial" w:hAnsi="Arial"/>
          <w:sz w:val="17"/>
          <w:szCs w:val="17"/>
          <w:color w:val="auto"/>
        </w:rPr>
        <w:t>Includes intersegment amounts.</w:t>
      </w:r>
    </w:p>
    <w:p>
      <w:pPr>
        <w:spacing w:after="0" w:line="51" w:lineRule="exact"/>
        <w:rPr>
          <w:rFonts w:ascii="Arial" w:cs="Arial" w:eastAsia="Arial" w:hAnsi="Arial"/>
          <w:sz w:val="29"/>
          <w:szCs w:val="29"/>
          <w:color w:val="auto"/>
          <w:vertAlign w:val="superscript"/>
        </w:rPr>
      </w:pPr>
    </w:p>
    <w:p>
      <w:pPr>
        <w:ind w:left="340" w:right="360" w:hanging="332"/>
        <w:spacing w:after="0" w:line="185" w:lineRule="auto"/>
        <w:tabs>
          <w:tab w:leader="none" w:pos="340" w:val="left"/>
        </w:tabs>
        <w:numPr>
          <w:ilvl w:val="0"/>
          <w:numId w:val="9"/>
        </w:numPr>
        <w:rPr>
          <w:rFonts w:ascii="Arial" w:cs="Arial" w:eastAsia="Arial" w:hAnsi="Arial"/>
          <w:sz w:val="29"/>
          <w:szCs w:val="29"/>
          <w:color w:val="auto"/>
          <w:vertAlign w:val="superscript"/>
        </w:rPr>
      </w:pPr>
      <w:r>
        <w:rPr>
          <w:rFonts w:ascii="Arial" w:cs="Arial" w:eastAsia="Arial" w:hAnsi="Arial"/>
          <w:sz w:val="17"/>
          <w:szCs w:val="17"/>
          <w:color w:val="auto"/>
        </w:rPr>
        <w:t>Field operating costs and Segment general and administrative expenses exclude equity-indexed compensation expense, which is presented separately in the table above.</w:t>
      </w:r>
    </w:p>
    <w:p>
      <w:pPr>
        <w:spacing w:after="0" w:line="37" w:lineRule="exact"/>
        <w:rPr>
          <w:rFonts w:ascii="Arial" w:cs="Arial" w:eastAsia="Arial" w:hAnsi="Arial"/>
          <w:sz w:val="29"/>
          <w:szCs w:val="29"/>
          <w:color w:val="auto"/>
          <w:vertAlign w:val="superscript"/>
        </w:rPr>
      </w:pPr>
    </w:p>
    <w:p>
      <w:pPr>
        <w:ind w:left="340" w:right="700" w:hanging="332"/>
        <w:spacing w:after="0" w:line="220" w:lineRule="auto"/>
        <w:tabs>
          <w:tab w:leader="none" w:pos="340" w:val="left"/>
        </w:tabs>
        <w:numPr>
          <w:ilvl w:val="0"/>
          <w:numId w:val="9"/>
        </w:numPr>
        <w:rPr>
          <w:rFonts w:ascii="Arial" w:cs="Arial" w:eastAsia="Arial" w:hAnsi="Arial"/>
          <w:sz w:val="25"/>
          <w:szCs w:val="25"/>
          <w:color w:val="auto"/>
          <w:vertAlign w:val="superscript"/>
        </w:rPr>
      </w:pPr>
      <w:r>
        <w:rPr>
          <w:rFonts w:ascii="Arial" w:cs="Arial" w:eastAsia="Arial" w:hAnsi="Arial"/>
          <w:sz w:val="15"/>
          <w:szCs w:val="15"/>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37" w:lineRule="exact"/>
        <w:rPr>
          <w:rFonts w:ascii="Arial" w:cs="Arial" w:eastAsia="Arial" w:hAnsi="Arial"/>
          <w:sz w:val="25"/>
          <w:szCs w:val="25"/>
          <w:color w:val="auto"/>
          <w:vertAlign w:val="superscript"/>
        </w:rPr>
      </w:pPr>
    </w:p>
    <w:p>
      <w:pPr>
        <w:ind w:left="340" w:right="280" w:hanging="332"/>
        <w:spacing w:after="0" w:line="207" w:lineRule="auto"/>
        <w:tabs>
          <w:tab w:leader="none" w:pos="340" w:val="left"/>
        </w:tabs>
        <w:numPr>
          <w:ilvl w:val="0"/>
          <w:numId w:val="9"/>
        </w:numPr>
        <w:rPr>
          <w:rFonts w:ascii="Arial" w:cs="Arial" w:eastAsia="Arial" w:hAnsi="Arial"/>
          <w:sz w:val="29"/>
          <w:szCs w:val="29"/>
          <w:color w:val="auto"/>
          <w:vertAlign w:val="superscript"/>
        </w:rPr>
      </w:pPr>
      <w:r>
        <w:rPr>
          <w:rFonts w:ascii="Arial" w:cs="Arial" w:eastAsia="Arial" w:hAnsi="Arial"/>
          <w:sz w:val="17"/>
          <w:szCs w:val="17"/>
          <w:color w:val="auto"/>
        </w:rPr>
        <w:t>Represents adjustments utilized by our CODM in the evaluation of segment results. Many of these adjustments are also considered selected items impacting comparability when calculating consolidated non-GAAP financial measures such as Adjusted EBITDA. See the “Selected Items Impacting Comparability” table for additional discussion.</w:t>
      </w:r>
    </w:p>
    <w:p>
      <w:pPr>
        <w:spacing w:after="0" w:line="231" w:lineRule="exact"/>
        <w:rPr>
          <w:rFonts w:ascii="Arial" w:cs="Arial" w:eastAsia="Arial" w:hAnsi="Arial"/>
          <w:sz w:val="29"/>
          <w:szCs w:val="29"/>
          <w:color w:val="auto"/>
          <w:vertAlign w:val="superscript"/>
        </w:rPr>
      </w:pPr>
    </w:p>
    <w:p>
      <w:pPr>
        <w:ind w:left="5520" w:hanging="96"/>
        <w:spacing w:after="0"/>
        <w:tabs>
          <w:tab w:leader="none" w:pos="5520" w:val="left"/>
        </w:tabs>
        <w:numPr>
          <w:ilvl w:val="1"/>
          <w:numId w:val="9"/>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7" w:lineRule="exact"/>
        <w:rPr>
          <w:sz w:val="20"/>
          <w:szCs w:val="20"/>
          <w:color w:val="auto"/>
        </w:rPr>
      </w:pPr>
    </w:p>
    <w:p>
      <w:pPr>
        <w:ind w:left="1800"/>
        <w:spacing w:after="0"/>
        <w:tabs>
          <w:tab w:leader="none" w:pos="4920" w:val="left"/>
          <w:tab w:leader="none" w:pos="76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420"/>
          </w:cols>
          <w:pgMar w:left="240" w:top="341"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auto"/>
        </w:rPr>
        <w:t>Page 12</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SELECTED FINANCIAL DATA BY SEGMENT</w:t>
      </w:r>
      <w:r>
        <w:rPr>
          <w:rFonts w:ascii="Arial" w:cs="Arial" w:eastAsia="Arial" w:hAnsi="Arial"/>
          <w:sz w:val="18"/>
          <w:szCs w:val="18"/>
          <w:b w:val="1"/>
          <w:bCs w:val="1"/>
          <w:color w:val="auto"/>
        </w:rPr>
        <w:t xml:space="preserve"> </w:t>
      </w:r>
      <w:r>
        <w:rPr>
          <w:rFonts w:ascii="Arial" w:cs="Arial" w:eastAsia="Arial" w:hAnsi="Arial"/>
          <w:sz w:val="25"/>
          <w:szCs w:val="25"/>
          <w:b w:val="1"/>
          <w:bCs w:val="1"/>
          <w:color w:val="auto"/>
          <w:vertAlign w:val="superscript"/>
        </w:rPr>
        <w:t>(1)</w:t>
      </w:r>
    </w:p>
    <w:p>
      <w:pPr>
        <w:spacing w:after="0"/>
        <w:rPr>
          <w:sz w:val="20"/>
          <w:szCs w:val="20"/>
          <w:color w:val="auto"/>
        </w:rPr>
      </w:pPr>
      <w:r>
        <w:rPr>
          <w:rFonts w:ascii="Arial" w:cs="Arial" w:eastAsia="Arial" w:hAnsi="Arial"/>
          <w:sz w:val="18"/>
          <w:szCs w:val="18"/>
          <w:color w:val="auto"/>
        </w:rPr>
        <w:t>(in millions)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Six Months Ended</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2"/>
              </w:rPr>
              <w:t>Six Months Ended</w:t>
            </w: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2"/>
              </w:rPr>
              <w:t>June 30, 2017</w:t>
            </w: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June 30, 2016</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Transportation</w:t>
            </w:r>
          </w:p>
        </w:tc>
        <w:tc>
          <w:tcPr>
            <w:tcW w:w="180" w:type="dxa"/>
            <w:vAlign w:val="bottom"/>
          </w:tcPr>
          <w:p>
            <w:pPr>
              <w:spacing w:after="0"/>
              <w:rPr>
                <w:sz w:val="13"/>
                <w:szCs w:val="13"/>
                <w:color w:val="auto"/>
              </w:rPr>
            </w:pPr>
          </w:p>
        </w:tc>
        <w:tc>
          <w:tcPr>
            <w:tcW w:w="12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Facilities</w:t>
            </w:r>
          </w:p>
        </w:tc>
        <w:tc>
          <w:tcPr>
            <w:tcW w:w="180" w:type="dxa"/>
            <w:vAlign w:val="bottom"/>
          </w:tcPr>
          <w:p>
            <w:pPr>
              <w:spacing w:after="0"/>
              <w:rPr>
                <w:sz w:val="13"/>
                <w:szCs w:val="13"/>
                <w:color w:val="auto"/>
              </w:rPr>
            </w:pPr>
          </w:p>
        </w:tc>
        <w:tc>
          <w:tcPr>
            <w:tcW w:w="1300" w:type="dxa"/>
            <w:vAlign w:val="bottom"/>
            <w:gridSpan w:val="3"/>
          </w:tcPr>
          <w:p>
            <w:pPr>
              <w:jc w:val="center"/>
              <w:ind w:right="440"/>
              <w:spacing w:after="0" w:line="153" w:lineRule="exact"/>
              <w:rPr>
                <w:sz w:val="20"/>
                <w:szCs w:val="20"/>
                <w:color w:val="auto"/>
              </w:rPr>
            </w:pPr>
            <w:r>
              <w:rPr>
                <w:rFonts w:ascii="Arial" w:cs="Arial" w:eastAsia="Arial" w:hAnsi="Arial"/>
                <w:sz w:val="14"/>
                <w:szCs w:val="14"/>
                <w:b w:val="1"/>
                <w:bCs w:val="1"/>
                <w:color w:val="auto"/>
                <w:w w:val="92"/>
              </w:rPr>
              <w:t>Supply and</w:t>
            </w:r>
          </w:p>
        </w:tc>
        <w:tc>
          <w:tcPr>
            <w:tcW w:w="140" w:type="dxa"/>
            <w:vAlign w:val="bottom"/>
          </w:tcPr>
          <w:p>
            <w:pPr>
              <w:spacing w:after="0"/>
              <w:rPr>
                <w:sz w:val="13"/>
                <w:szCs w:val="13"/>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Transportation</w:t>
            </w:r>
          </w:p>
        </w:tc>
        <w:tc>
          <w:tcPr>
            <w:tcW w:w="180" w:type="dxa"/>
            <w:vAlign w:val="bottom"/>
          </w:tcPr>
          <w:p>
            <w:pPr>
              <w:spacing w:after="0"/>
              <w:rPr>
                <w:sz w:val="13"/>
                <w:szCs w:val="13"/>
                <w:color w:val="auto"/>
              </w:rPr>
            </w:pPr>
          </w:p>
        </w:tc>
        <w:tc>
          <w:tcPr>
            <w:tcW w:w="11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0"/>
              </w:rPr>
              <w:t>Facilities</w:t>
            </w:r>
          </w:p>
        </w:tc>
        <w:tc>
          <w:tcPr>
            <w:tcW w:w="200" w:type="dxa"/>
            <w:vAlign w:val="bottom"/>
          </w:tcPr>
          <w:p>
            <w:pPr>
              <w:spacing w:after="0"/>
              <w:rPr>
                <w:sz w:val="13"/>
                <w:szCs w:val="13"/>
                <w:color w:val="auto"/>
              </w:rPr>
            </w:pPr>
          </w:p>
        </w:tc>
        <w:tc>
          <w:tcPr>
            <w:tcW w:w="1060" w:type="dxa"/>
            <w:vAlign w:val="bottom"/>
          </w:tcPr>
          <w:p>
            <w:pPr>
              <w:jc w:val="right"/>
              <w:ind w:right="192"/>
              <w:spacing w:after="0" w:line="153" w:lineRule="exact"/>
              <w:rPr>
                <w:sz w:val="20"/>
                <w:szCs w:val="20"/>
                <w:color w:val="auto"/>
              </w:rPr>
            </w:pPr>
            <w:r>
              <w:rPr>
                <w:rFonts w:ascii="Arial" w:cs="Arial" w:eastAsia="Arial" w:hAnsi="Arial"/>
                <w:sz w:val="14"/>
                <w:szCs w:val="14"/>
                <w:b w:val="1"/>
                <w:bCs w:val="1"/>
                <w:color w:val="auto"/>
              </w:rPr>
              <w:t>Supply and</w:t>
            </w:r>
          </w:p>
        </w:tc>
        <w:tc>
          <w:tcPr>
            <w:tcW w:w="0" w:type="dxa"/>
            <w:vAlign w:val="bottom"/>
          </w:tcPr>
          <w:p>
            <w:pPr>
              <w:spacing w:after="0"/>
              <w:rPr>
                <w:sz w:val="1"/>
                <w:szCs w:val="1"/>
                <w:color w:val="auto"/>
              </w:rPr>
            </w:pPr>
          </w:p>
        </w:tc>
      </w:tr>
      <w:tr>
        <w:trPr>
          <w:trHeight w:val="192"/>
        </w:trPr>
        <w:tc>
          <w:tcPr>
            <w:tcW w:w="3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1"/>
              </w:rPr>
              <w:t>Logistics</w:t>
            </w:r>
          </w:p>
        </w:tc>
        <w:tc>
          <w:tcPr>
            <w:tcW w:w="14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ind w:right="272"/>
              <w:spacing w:after="0"/>
              <w:rPr>
                <w:sz w:val="20"/>
                <w:szCs w:val="20"/>
                <w:color w:val="auto"/>
              </w:rPr>
            </w:pPr>
            <w:r>
              <w:rPr>
                <w:rFonts w:ascii="Arial" w:cs="Arial" w:eastAsia="Arial" w:hAnsi="Arial"/>
                <w:sz w:val="14"/>
                <w:szCs w:val="14"/>
                <w:b w:val="1"/>
                <w:bCs w:val="1"/>
                <w:color w:val="auto"/>
              </w:rPr>
              <w:t>Logistics</w:t>
            </w:r>
          </w:p>
        </w:tc>
        <w:tc>
          <w:tcPr>
            <w:tcW w:w="0" w:type="dxa"/>
            <w:vAlign w:val="bottom"/>
          </w:tcPr>
          <w:p>
            <w:pPr>
              <w:spacing w:after="0"/>
              <w:rPr>
                <w:sz w:val="1"/>
                <w:szCs w:val="1"/>
                <w:color w:val="auto"/>
              </w:rPr>
            </w:pPr>
          </w:p>
        </w:tc>
      </w:tr>
      <w:tr>
        <w:trPr>
          <w:trHeight w:val="270"/>
        </w:trPr>
        <w:tc>
          <w:tcPr>
            <w:tcW w:w="3200" w:type="dxa"/>
            <w:vAlign w:val="bottom"/>
            <w:tcBorders>
              <w:top w:val="single" w:sz="8" w:color="CCEEFF"/>
            </w:tcBorders>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Revenues </w:t>
            </w:r>
            <w:r>
              <w:rPr>
                <w:rFonts w:ascii="Arial" w:cs="Arial" w:eastAsia="Arial" w:hAnsi="Arial"/>
                <w:sz w:val="25"/>
                <w:szCs w:val="25"/>
                <w:color w:val="auto"/>
                <w:vertAlign w:val="superscript"/>
              </w:rPr>
              <w:t>(2)</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814</w:t>
            </w: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582</w:t>
            </w: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12,184</w:t>
            </w:r>
          </w:p>
        </w:tc>
        <w:tc>
          <w:tcPr>
            <w:tcW w:w="140" w:type="dxa"/>
            <w:vAlign w:val="bottom"/>
            <w:tcBorders>
              <w:top w:val="single" w:sz="8" w:color="CCEEFF"/>
              <w:right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787</w:t>
            </w: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535</w:t>
            </w: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8,473</w:t>
            </w:r>
          </w:p>
        </w:tc>
        <w:tc>
          <w:tcPr>
            <w:tcW w:w="0" w:type="dxa"/>
            <w:vAlign w:val="bottom"/>
          </w:tcPr>
          <w:p>
            <w:pPr>
              <w:spacing w:after="0"/>
              <w:rPr>
                <w:sz w:val="1"/>
                <w:szCs w:val="1"/>
                <w:color w:val="auto"/>
              </w:rPr>
            </w:pPr>
          </w:p>
        </w:tc>
      </w:tr>
      <w:tr>
        <w:trPr>
          <w:trHeight w:val="270"/>
        </w:trPr>
        <w:tc>
          <w:tcPr>
            <w:tcW w:w="32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Purchases and related costs </w:t>
            </w:r>
            <w:r>
              <w:rPr>
                <w:rFonts w:ascii="Arial" w:cs="Arial" w:eastAsia="Arial" w:hAnsi="Arial"/>
                <w:sz w:val="25"/>
                <w:szCs w:val="25"/>
                <w:color w:val="auto"/>
                <w:vertAlign w:val="superscript"/>
              </w:rPr>
              <w:t>(2)</w:t>
            </w:r>
          </w:p>
        </w:tc>
        <w:tc>
          <w:tcPr>
            <w:tcW w:w="1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(11,678)</w:t>
            </w:r>
          </w:p>
        </w:tc>
        <w:tc>
          <w:tcPr>
            <w:tcW w:w="14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(8,243)</w:t>
            </w:r>
          </w:p>
        </w:tc>
        <w:tc>
          <w:tcPr>
            <w:tcW w:w="0" w:type="dxa"/>
            <w:vAlign w:val="bottom"/>
          </w:tcPr>
          <w:p>
            <w:pPr>
              <w:spacing w:after="0"/>
              <w:rPr>
                <w:sz w:val="1"/>
                <w:szCs w:val="1"/>
                <w:color w:val="auto"/>
              </w:rPr>
            </w:pPr>
          </w:p>
        </w:tc>
      </w:tr>
      <w:tr>
        <w:trPr>
          <w:trHeight w:val="270"/>
        </w:trPr>
        <w:tc>
          <w:tcPr>
            <w:tcW w:w="32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Field operating costs </w:t>
            </w:r>
            <w:r>
              <w:rPr>
                <w:rFonts w:ascii="Arial" w:cs="Arial" w:eastAsia="Arial" w:hAnsi="Arial"/>
                <w:sz w:val="25"/>
                <w:szCs w:val="25"/>
                <w:color w:val="auto"/>
                <w:vertAlign w:val="superscript"/>
              </w:rPr>
              <w:t>(2) (3)</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4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29"/>
        </w:trPr>
        <w:tc>
          <w:tcPr>
            <w:tcW w:w="3200" w:type="dxa"/>
            <w:vAlign w:val="bottom"/>
          </w:tcPr>
          <w:p>
            <w:pPr>
              <w:ind w:left="40"/>
              <w:spacing w:after="0"/>
              <w:rPr>
                <w:sz w:val="20"/>
                <w:szCs w:val="20"/>
                <w:color w:val="auto"/>
              </w:rPr>
            </w:pPr>
            <w:r>
              <w:rPr>
                <w:rFonts w:ascii="Arial" w:cs="Arial" w:eastAsia="Arial" w:hAnsi="Arial"/>
                <w:sz w:val="18"/>
                <w:szCs w:val="18"/>
                <w:color w:val="auto"/>
                <w:w w:val="98"/>
              </w:rPr>
              <w:t>Equity-indexed compensation expense -</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200"/>
              <w:spacing w:after="0"/>
              <w:rPr>
                <w:sz w:val="20"/>
                <w:szCs w:val="20"/>
                <w:color w:val="auto"/>
              </w:rPr>
            </w:pPr>
            <w:r>
              <w:rPr>
                <w:rFonts w:ascii="Arial" w:cs="Arial" w:eastAsia="Arial" w:hAnsi="Arial"/>
                <w:sz w:val="18"/>
                <w:szCs w:val="18"/>
                <w:color w:val="auto"/>
              </w:rPr>
              <w:t>field operating costs</w:t>
            </w: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Segment general and administrative</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200" w:type="dxa"/>
            <w:vAlign w:val="bottom"/>
            <w:shd w:val="clear" w:color="auto" w:fill="CCEEFF"/>
          </w:tcPr>
          <w:p>
            <w:pPr>
              <w:ind w:left="200"/>
              <w:spacing w:after="0" w:line="257" w:lineRule="exact"/>
              <w:rPr>
                <w:sz w:val="20"/>
                <w:szCs w:val="20"/>
                <w:color w:val="auto"/>
              </w:rPr>
            </w:pPr>
            <w:r>
              <w:rPr>
                <w:rFonts w:ascii="Arial" w:cs="Arial" w:eastAsia="Arial" w:hAnsi="Arial"/>
                <w:sz w:val="18"/>
                <w:szCs w:val="18"/>
                <w:color w:val="auto"/>
              </w:rPr>
              <w:t xml:space="preserve">expenses </w:t>
            </w:r>
            <w:r>
              <w:rPr>
                <w:rFonts w:ascii="Arial" w:cs="Arial" w:eastAsia="Arial" w:hAnsi="Arial"/>
                <w:sz w:val="25"/>
                <w:szCs w:val="25"/>
                <w:color w:val="auto"/>
                <w:vertAlign w:val="superscript"/>
              </w:rPr>
              <w:t>(3) (4)</w:t>
            </w:r>
          </w:p>
        </w:tc>
        <w:tc>
          <w:tcPr>
            <w:tcW w:w="1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40" w:type="dxa"/>
            <w:vAlign w:val="bottom"/>
            <w:tcBorders>
              <w:right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9"/>
        </w:trPr>
        <w:tc>
          <w:tcPr>
            <w:tcW w:w="3200" w:type="dxa"/>
            <w:vAlign w:val="bottom"/>
          </w:tcPr>
          <w:p>
            <w:pPr>
              <w:ind w:left="40"/>
              <w:spacing w:after="0"/>
              <w:rPr>
                <w:sz w:val="20"/>
                <w:szCs w:val="20"/>
                <w:color w:val="auto"/>
              </w:rPr>
            </w:pPr>
            <w:r>
              <w:rPr>
                <w:rFonts w:ascii="Arial" w:cs="Arial" w:eastAsia="Arial" w:hAnsi="Arial"/>
                <w:sz w:val="18"/>
                <w:szCs w:val="18"/>
                <w:color w:val="auto"/>
                <w:w w:val="98"/>
              </w:rPr>
              <w:t>Equity-indexed compensation expense -</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Equity earnings in unconsolidated entities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3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2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5"/>
                <w:szCs w:val="25"/>
                <w:color w:val="auto"/>
                <w:vertAlign w:val="superscript"/>
              </w:rPr>
              <w:t>(5)</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4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200" w:type="dxa"/>
            <w:vAlign w:val="bottom"/>
          </w:tcPr>
          <w:p>
            <w:pPr>
              <w:ind w:left="200"/>
              <w:spacing w:after="0"/>
              <w:rPr>
                <w:sz w:val="20"/>
                <w:szCs w:val="20"/>
                <w:color w:val="auto"/>
              </w:rPr>
            </w:pPr>
            <w:r>
              <w:rPr>
                <w:rFonts w:ascii="Arial" w:cs="Arial" w:eastAsia="Arial" w:hAnsi="Arial"/>
                <w:sz w:val="18"/>
                <w:szCs w:val="18"/>
                <w:color w:val="auto"/>
              </w:rPr>
              <w:t>Depreciation and amortization of</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360"/>
              <w:spacing w:after="0"/>
              <w:rPr>
                <w:sz w:val="20"/>
                <w:szCs w:val="20"/>
                <w:color w:val="auto"/>
              </w:rPr>
            </w:pPr>
            <w:r>
              <w:rPr>
                <w:rFonts w:ascii="Arial" w:cs="Arial" w:eastAsia="Arial" w:hAnsi="Arial"/>
                <w:sz w:val="18"/>
                <w:szCs w:val="18"/>
                <w:color w:val="auto"/>
              </w:rPr>
              <w:t>unconsolidated entities</w:t>
            </w:r>
          </w:p>
        </w:tc>
        <w:tc>
          <w:tcPr>
            <w:tcW w:w="16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5"/>
              </w:rPr>
              <w:t>(Gains)/losses from derivative activities</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2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w w:val="93"/>
              </w:rPr>
              <w:t>net of inventory valuation adjustments</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43"/>
        </w:trPr>
        <w:tc>
          <w:tcPr>
            <w:tcW w:w="3200" w:type="dxa"/>
            <w:vAlign w:val="bottom"/>
          </w:tcPr>
          <w:p>
            <w:pPr>
              <w:ind w:left="200"/>
              <w:spacing w:after="0"/>
              <w:rPr>
                <w:sz w:val="20"/>
                <w:szCs w:val="20"/>
                <w:color w:val="auto"/>
              </w:rPr>
            </w:pPr>
            <w:r>
              <w:rPr>
                <w:rFonts w:ascii="Arial" w:cs="Arial" w:eastAsia="Arial" w:hAnsi="Arial"/>
                <w:sz w:val="18"/>
                <w:szCs w:val="18"/>
                <w:color w:val="auto"/>
                <w:w w:val="91"/>
              </w:rPr>
              <w:t>Long-term inventory costing adjustments</w:t>
            </w:r>
          </w:p>
        </w:tc>
        <w:tc>
          <w:tcPr>
            <w:tcW w:w="1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14</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Deficiencies under minimum volume</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2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commitments, net</w:t>
            </w: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200" w:type="dxa"/>
            <w:vAlign w:val="bottom"/>
          </w:tcPr>
          <w:p>
            <w:pPr>
              <w:ind w:left="200"/>
              <w:spacing w:after="0"/>
              <w:rPr>
                <w:sz w:val="20"/>
                <w:szCs w:val="20"/>
                <w:color w:val="auto"/>
              </w:rPr>
            </w:pPr>
            <w:r>
              <w:rPr>
                <w:rFonts w:ascii="Arial" w:cs="Arial" w:eastAsia="Arial" w:hAnsi="Arial"/>
                <w:sz w:val="18"/>
                <w:szCs w:val="18"/>
                <w:color w:val="auto"/>
                <w:w w:val="96"/>
              </w:rPr>
              <w:t>Equity-indexed compensation expense</w:t>
            </w:r>
          </w:p>
        </w:tc>
        <w:tc>
          <w:tcPr>
            <w:tcW w:w="1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(gain)/loss on foreign currency</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2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revaluation</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3200" w:type="dxa"/>
            <w:vAlign w:val="bottom"/>
          </w:tcPr>
          <w:p>
            <w:pPr>
              <w:ind w:left="200"/>
              <w:spacing w:after="0"/>
              <w:rPr>
                <w:sz w:val="20"/>
                <w:szCs w:val="20"/>
                <w:color w:val="auto"/>
              </w:rPr>
            </w:pPr>
            <w:r>
              <w:rPr>
                <w:rFonts w:ascii="Arial" w:cs="Arial" w:eastAsia="Arial" w:hAnsi="Arial"/>
                <w:sz w:val="18"/>
                <w:szCs w:val="18"/>
                <w:color w:val="auto"/>
              </w:rPr>
              <w:t>Line 901 incident</w:t>
            </w:r>
          </w:p>
        </w:tc>
        <w:tc>
          <w:tcPr>
            <w:tcW w:w="1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w w:val="94"/>
              </w:rPr>
              <w:t>Significant acquisition-related expenses</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32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Segment adjusted EBITDA</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571</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368</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23</w:t>
            </w:r>
          </w:p>
        </w:tc>
        <w:tc>
          <w:tcPr>
            <w:tcW w:w="140" w:type="dxa"/>
            <w:vAlign w:val="bottom"/>
            <w:tcBorders>
              <w:bottom w:val="single" w:sz="8" w:color="CCEEFF"/>
              <w:right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555</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327</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57"/>
        </w:trPr>
        <w:tc>
          <w:tcPr>
            <w:tcW w:w="32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40" w:type="dxa"/>
            <w:vAlign w:val="bottom"/>
            <w:tcBorders>
              <w:right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200" w:type="dxa"/>
            <w:vAlign w:val="bottom"/>
          </w:tcPr>
          <w:p>
            <w:pPr>
              <w:ind w:left="40"/>
              <w:spacing w:after="0"/>
              <w:rPr>
                <w:sz w:val="20"/>
                <w:szCs w:val="20"/>
                <w:color w:val="auto"/>
              </w:rPr>
            </w:pPr>
            <w:r>
              <w:rPr>
                <w:rFonts w:ascii="Arial" w:cs="Arial" w:eastAsia="Arial" w:hAnsi="Arial"/>
                <w:sz w:val="18"/>
                <w:szCs w:val="18"/>
                <w:color w:val="auto"/>
              </w:rPr>
              <w:t>Maintenance capital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w:t>
            </w: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96" w:lineRule="exact"/>
        <w:rPr>
          <w:sz w:val="20"/>
          <w:szCs w:val="20"/>
          <w:color w:val="auto"/>
        </w:rPr>
      </w:pPr>
    </w:p>
    <w:p>
      <w:pPr>
        <w:ind w:left="340" w:right="100" w:hanging="332"/>
        <w:spacing w:after="0" w:line="211" w:lineRule="auto"/>
        <w:tabs>
          <w:tab w:leader="none" w:pos="340" w:val="left"/>
        </w:tabs>
        <w:numPr>
          <w:ilvl w:val="0"/>
          <w:numId w:val="10"/>
        </w:numPr>
        <w:rPr>
          <w:rFonts w:ascii="Arial" w:cs="Arial" w:eastAsia="Arial" w:hAnsi="Arial"/>
          <w:sz w:val="28"/>
          <w:szCs w:val="28"/>
          <w:color w:val="auto"/>
          <w:vertAlign w:val="superscript"/>
        </w:rPr>
      </w:pPr>
      <w:r>
        <w:rPr>
          <w:rFonts w:ascii="Arial" w:cs="Arial" w:eastAsia="Arial" w:hAnsi="Arial"/>
          <w:sz w:val="17"/>
          <w:szCs w:val="17"/>
          <w:color w:val="auto"/>
        </w:rPr>
        <w:t>During the fourth quarter of 2016, we modified our primary segment performance measure to segment adjusted EBITDA from segment profit. Segment adjusted EBITDA forms the basis of our internal financial reporting and is the primary measure used by our CODM in assessing performance and allocating resources among our operating segments. Prior period segment amounts have been recast to reflect this change.</w:t>
      </w:r>
    </w:p>
    <w:p>
      <w:pPr>
        <w:ind w:left="340" w:hanging="332"/>
        <w:spacing w:after="0" w:line="184" w:lineRule="auto"/>
        <w:tabs>
          <w:tab w:leader="none" w:pos="340" w:val="left"/>
        </w:tabs>
        <w:numPr>
          <w:ilvl w:val="0"/>
          <w:numId w:val="10"/>
        </w:numPr>
        <w:rPr>
          <w:rFonts w:ascii="Arial" w:cs="Arial" w:eastAsia="Arial" w:hAnsi="Arial"/>
          <w:sz w:val="29"/>
          <w:szCs w:val="29"/>
          <w:color w:val="auto"/>
          <w:vertAlign w:val="superscript"/>
        </w:rPr>
      </w:pPr>
      <w:r>
        <w:rPr>
          <w:rFonts w:ascii="Arial" w:cs="Arial" w:eastAsia="Arial" w:hAnsi="Arial"/>
          <w:sz w:val="18"/>
          <w:szCs w:val="18"/>
          <w:color w:val="auto"/>
        </w:rPr>
        <w:t>Includes intersegment amounts.</w:t>
      </w:r>
    </w:p>
    <w:p>
      <w:pPr>
        <w:spacing w:after="0" w:line="49" w:lineRule="exact"/>
        <w:rPr>
          <w:rFonts w:ascii="Arial" w:cs="Arial" w:eastAsia="Arial" w:hAnsi="Arial"/>
          <w:sz w:val="29"/>
          <w:szCs w:val="29"/>
          <w:color w:val="auto"/>
          <w:vertAlign w:val="superscript"/>
        </w:rPr>
      </w:pPr>
    </w:p>
    <w:p>
      <w:pPr>
        <w:ind w:left="340" w:right="180" w:hanging="332"/>
        <w:spacing w:after="0" w:line="182" w:lineRule="auto"/>
        <w:tabs>
          <w:tab w:leader="none" w:pos="340" w:val="left"/>
        </w:tabs>
        <w:numPr>
          <w:ilvl w:val="0"/>
          <w:numId w:val="10"/>
        </w:numPr>
        <w:rPr>
          <w:rFonts w:ascii="Arial" w:cs="Arial" w:eastAsia="Arial" w:hAnsi="Arial"/>
          <w:sz w:val="29"/>
          <w:szCs w:val="29"/>
          <w:color w:val="auto"/>
          <w:vertAlign w:val="superscript"/>
        </w:rPr>
      </w:pPr>
      <w:r>
        <w:rPr>
          <w:rFonts w:ascii="Arial" w:cs="Arial" w:eastAsia="Arial" w:hAnsi="Arial"/>
          <w:sz w:val="18"/>
          <w:szCs w:val="18"/>
          <w:color w:val="auto"/>
        </w:rPr>
        <w:t>Field operating costs and Segment general and administrative expenses exclude equity-indexed compensation expense, which is presented separately in the table above.</w:t>
      </w:r>
    </w:p>
    <w:p>
      <w:pPr>
        <w:spacing w:after="0" w:line="35" w:lineRule="exact"/>
        <w:rPr>
          <w:rFonts w:ascii="Arial" w:cs="Arial" w:eastAsia="Arial" w:hAnsi="Arial"/>
          <w:sz w:val="29"/>
          <w:szCs w:val="29"/>
          <w:color w:val="auto"/>
          <w:vertAlign w:val="superscript"/>
        </w:rPr>
      </w:pPr>
    </w:p>
    <w:p>
      <w:pPr>
        <w:ind w:left="340" w:right="520" w:hanging="332"/>
        <w:spacing w:after="0" w:line="211" w:lineRule="auto"/>
        <w:tabs>
          <w:tab w:leader="none" w:pos="340" w:val="left"/>
        </w:tabs>
        <w:numPr>
          <w:ilvl w:val="0"/>
          <w:numId w:val="10"/>
        </w:numPr>
        <w:rPr>
          <w:rFonts w:ascii="Arial" w:cs="Arial" w:eastAsia="Arial" w:hAnsi="Arial"/>
          <w:sz w:val="26"/>
          <w:szCs w:val="26"/>
          <w:color w:val="auto"/>
          <w:vertAlign w:val="superscript"/>
        </w:rPr>
      </w:pPr>
      <w:r>
        <w:rPr>
          <w:rFonts w:ascii="Arial" w:cs="Arial" w:eastAsia="Arial" w:hAnsi="Arial"/>
          <w:sz w:val="16"/>
          <w:szCs w:val="16"/>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34" w:lineRule="exact"/>
        <w:rPr>
          <w:rFonts w:ascii="Arial" w:cs="Arial" w:eastAsia="Arial" w:hAnsi="Arial"/>
          <w:sz w:val="26"/>
          <w:szCs w:val="26"/>
          <w:color w:val="auto"/>
          <w:vertAlign w:val="superscript"/>
        </w:rPr>
      </w:pPr>
    </w:p>
    <w:p>
      <w:pPr>
        <w:ind w:left="340" w:right="120" w:hanging="332"/>
        <w:spacing w:after="0" w:line="201" w:lineRule="auto"/>
        <w:tabs>
          <w:tab w:leader="none" w:pos="340" w:val="left"/>
        </w:tabs>
        <w:numPr>
          <w:ilvl w:val="0"/>
          <w:numId w:val="10"/>
        </w:numPr>
        <w:rPr>
          <w:rFonts w:ascii="Arial" w:cs="Arial" w:eastAsia="Arial" w:hAnsi="Arial"/>
          <w:sz w:val="29"/>
          <w:szCs w:val="29"/>
          <w:color w:val="auto"/>
          <w:vertAlign w:val="superscript"/>
        </w:rPr>
      </w:pPr>
      <w:r>
        <w:rPr>
          <w:rFonts w:ascii="Arial" w:cs="Arial" w:eastAsia="Arial" w:hAnsi="Arial"/>
          <w:sz w:val="18"/>
          <w:szCs w:val="18"/>
          <w:color w:val="auto"/>
        </w:rPr>
        <w:t>Represents adjustments utilized by our CODM in the evaluation of segment results. Many of these adjustments are also considered selected items impacting comparability when calculating consolidated non-GAAP financial measures such as Adjusted EBITDA. See the “Selected Items Impacting Comparability” table for additional discussion.</w:t>
      </w:r>
    </w:p>
    <w:p>
      <w:pPr>
        <w:spacing w:after="0" w:line="218" w:lineRule="exact"/>
        <w:rPr>
          <w:rFonts w:ascii="Arial" w:cs="Arial" w:eastAsia="Arial" w:hAnsi="Arial"/>
          <w:sz w:val="29"/>
          <w:szCs w:val="29"/>
          <w:color w:val="auto"/>
          <w:vertAlign w:val="superscript"/>
        </w:rPr>
      </w:pPr>
    </w:p>
    <w:p>
      <w:pPr>
        <w:ind w:left="5520" w:hanging="96"/>
        <w:spacing w:after="0"/>
        <w:tabs>
          <w:tab w:leader="none" w:pos="55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7" w:lineRule="exact"/>
        <w:rPr>
          <w:sz w:val="20"/>
          <w:szCs w:val="20"/>
          <w:color w:val="auto"/>
        </w:rPr>
      </w:pPr>
    </w:p>
    <w:p>
      <w:pPr>
        <w:ind w:left="1800"/>
        <w:spacing w:after="0"/>
        <w:tabs>
          <w:tab w:leader="none" w:pos="4920" w:val="left"/>
          <w:tab w:leader="none" w:pos="76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420"/>
          </w:cols>
          <w:pgMar w:left="240" w:top="341"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auto"/>
        </w:rPr>
        <w:t>Page 13</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SELECTED ITEMS IMPACTING COMPARABILITY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data)</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520" w:type="dxa"/>
            <w:vAlign w:val="bottom"/>
          </w:tcPr>
          <w:p>
            <w:pPr>
              <w:spacing w:after="0"/>
              <w:rPr>
                <w:sz w:val="17"/>
                <w:szCs w:val="17"/>
                <w:color w:val="auto"/>
              </w:rPr>
            </w:pPr>
          </w:p>
        </w:tc>
        <w:tc>
          <w:tcPr>
            <w:tcW w:w="2040" w:type="dxa"/>
            <w:vAlign w:val="bottom"/>
            <w:gridSpan w:val="4"/>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20" w:type="dxa"/>
            <w:vAlign w:val="bottom"/>
            <w:gridSpan w:val="4"/>
          </w:tcPr>
          <w:p>
            <w:pPr>
              <w:jc w:val="right"/>
              <w:ind w:right="451"/>
              <w:spacing w:after="0"/>
              <w:rPr>
                <w:sz w:val="20"/>
                <w:szCs w:val="20"/>
                <w:color w:val="auto"/>
              </w:rPr>
            </w:pPr>
            <w:r>
              <w:rPr>
                <w:rFonts w:ascii="Arial" w:cs="Arial" w:eastAsia="Arial" w:hAnsi="Arial"/>
                <w:sz w:val="16"/>
                <w:szCs w:val="16"/>
                <w:b w:val="1"/>
                <w:bCs w:val="1"/>
                <w:color w:val="auto"/>
              </w:rPr>
              <w:t>Six Months Ended</w:t>
            </w:r>
          </w:p>
        </w:tc>
      </w:tr>
      <w:tr>
        <w:trPr>
          <w:trHeight w:val="210"/>
        </w:trPr>
        <w:tc>
          <w:tcPr>
            <w:tcW w:w="6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60" w:type="dxa"/>
            <w:vAlign w:val="bottom"/>
            <w:gridSpan w:val="3"/>
          </w:tcPr>
          <w:p>
            <w:pPr>
              <w:jc w:val="right"/>
              <w:ind w:right="452"/>
              <w:spacing w:after="0"/>
              <w:rPr>
                <w:sz w:val="20"/>
                <w:szCs w:val="20"/>
                <w:color w:val="auto"/>
              </w:rPr>
            </w:pPr>
            <w:r>
              <w:rPr>
                <w:rFonts w:ascii="Arial" w:cs="Arial" w:eastAsia="Arial" w:hAnsi="Arial"/>
                <w:sz w:val="16"/>
                <w:szCs w:val="16"/>
                <w:b w:val="1"/>
                <w:bCs w:val="1"/>
                <w:color w:val="auto"/>
              </w:rPr>
              <w:t>June 30,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800" w:type="dxa"/>
            <w:vAlign w:val="bottom"/>
          </w:tcPr>
          <w:p>
            <w:pPr>
              <w:spacing w:after="0"/>
              <w:rPr>
                <w:sz w:val="18"/>
                <w:szCs w:val="18"/>
                <w:color w:val="auto"/>
              </w:rPr>
            </w:pPr>
          </w:p>
        </w:tc>
      </w:tr>
      <w:tr>
        <w:trPr>
          <w:trHeight w:val="33"/>
        </w:trPr>
        <w:tc>
          <w:tcPr>
            <w:tcW w:w="65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1"/>
        </w:trPr>
        <w:tc>
          <w:tcPr>
            <w:tcW w:w="65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2"/>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ind w:right="311"/>
              <w:spacing w:after="0"/>
              <w:rPr>
                <w:sz w:val="20"/>
                <w:szCs w:val="20"/>
                <w:color w:val="auto"/>
              </w:rPr>
            </w:pPr>
            <w:r>
              <w:rPr>
                <w:rFonts w:ascii="Arial" w:cs="Arial" w:eastAsia="Arial" w:hAnsi="Arial"/>
                <w:sz w:val="16"/>
                <w:szCs w:val="16"/>
                <w:b w:val="1"/>
                <w:bCs w:val="1"/>
                <w:color w:val="auto"/>
              </w:rPr>
              <w:t>2016</w:t>
            </w:r>
          </w:p>
        </w:tc>
      </w:tr>
      <w:tr>
        <w:trPr>
          <w:trHeight w:val="33"/>
        </w:trPr>
        <w:tc>
          <w:tcPr>
            <w:tcW w:w="65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4"/>
        </w:trPr>
        <w:tc>
          <w:tcPr>
            <w:tcW w:w="652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b w:val="1"/>
                <w:bCs w:val="1"/>
                <w:color w:val="auto"/>
              </w:rPr>
              <w:t xml:space="preserve">Selected Items Impacting Comparability: </w:t>
            </w:r>
            <w:r>
              <w:rPr>
                <w:rFonts w:ascii="Arial" w:cs="Arial" w:eastAsia="Arial" w:hAnsi="Arial"/>
                <w:sz w:val="25"/>
                <w:szCs w:val="25"/>
                <w:b w:val="1"/>
                <w:bCs w:val="1"/>
                <w:color w:val="auto"/>
                <w:vertAlign w:val="superscript"/>
              </w:rPr>
              <w:t>(1)</w:t>
            </w:r>
          </w:p>
        </w:tc>
        <w:tc>
          <w:tcPr>
            <w:tcW w:w="7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r>
      <w:tr>
        <w:trPr>
          <w:trHeight w:val="270"/>
        </w:trPr>
        <w:tc>
          <w:tcPr>
            <w:tcW w:w="65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Gains/(losses) from derivative activities net of inventory valuation adjustments </w:t>
            </w:r>
            <w:r>
              <w:rPr>
                <w:rFonts w:ascii="Arial" w:cs="Arial" w:eastAsia="Arial" w:hAnsi="Arial"/>
                <w:sz w:val="25"/>
                <w:szCs w:val="25"/>
                <w:color w:val="auto"/>
                <w:vertAlign w:val="superscript"/>
              </w:rPr>
              <w:t>(2)</w:t>
            </w:r>
          </w:p>
        </w:tc>
        <w:tc>
          <w:tcPr>
            <w:tcW w:w="780" w:type="dxa"/>
            <w:vAlign w:val="bottom"/>
          </w:tcPr>
          <w:p>
            <w:pPr>
              <w:jc w:val="right"/>
              <w:ind w:right="574"/>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ind w:right="31"/>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3"/>
                <w:szCs w:val="23"/>
                <w:color w:val="auto"/>
              </w:rPr>
            </w:pPr>
          </w:p>
        </w:tc>
        <w:tc>
          <w:tcPr>
            <w:tcW w:w="760" w:type="dxa"/>
            <w:vAlign w:val="bottom"/>
          </w:tcPr>
          <w:p>
            <w:pPr>
              <w:jc w:val="right"/>
              <w:ind w:right="552"/>
              <w:spacing w:after="0"/>
              <w:rPr>
                <w:sz w:val="20"/>
                <w:szCs w:val="20"/>
                <w:color w:val="auto"/>
              </w:rPr>
            </w:pPr>
            <w:r>
              <w:rPr>
                <w:rFonts w:ascii="Arial" w:cs="Arial" w:eastAsia="Arial" w:hAnsi="Arial"/>
                <w:sz w:val="18"/>
                <w:szCs w:val="18"/>
                <w:color w:val="auto"/>
                <w:w w:val="99"/>
              </w:rPr>
              <w:t>$</w:t>
            </w:r>
          </w:p>
        </w:tc>
        <w:tc>
          <w:tcPr>
            <w:tcW w:w="380" w:type="dxa"/>
            <w:vAlign w:val="bottom"/>
          </w:tcPr>
          <w:p>
            <w:pPr>
              <w:jc w:val="right"/>
              <w:spacing w:after="0"/>
              <w:rPr>
                <w:sz w:val="20"/>
                <w:szCs w:val="20"/>
                <w:color w:val="auto"/>
              </w:rPr>
            </w:pPr>
            <w:r>
              <w:rPr>
                <w:rFonts w:ascii="Arial" w:cs="Arial" w:eastAsia="Arial" w:hAnsi="Arial"/>
                <w:sz w:val="18"/>
                <w:szCs w:val="18"/>
                <w:color w:val="auto"/>
                <w:w w:val="93"/>
              </w:rPr>
              <w:t>(93)</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(216)</w:t>
            </w:r>
          </w:p>
        </w:tc>
      </w:tr>
      <w:tr>
        <w:trPr>
          <w:trHeight w:val="270"/>
        </w:trPr>
        <w:tc>
          <w:tcPr>
            <w:tcW w:w="65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Long-term inventory costing adjustments </w:t>
            </w:r>
            <w:r>
              <w:rPr>
                <w:rFonts w:ascii="Arial" w:cs="Arial" w:eastAsia="Arial" w:hAnsi="Arial"/>
                <w:sz w:val="25"/>
                <w:szCs w:val="25"/>
                <w:color w:val="auto"/>
                <w:vertAlign w:val="superscript"/>
              </w:rPr>
              <w:t>(3)</w:t>
            </w:r>
          </w:p>
        </w:tc>
        <w:tc>
          <w:tcPr>
            <w:tcW w:w="780" w:type="dxa"/>
            <w:vAlign w:val="bottom"/>
            <w:shd w:val="clear" w:color="auto" w:fill="CCEEFF"/>
          </w:tcPr>
          <w:p>
            <w:pPr>
              <w:spacing w:after="0"/>
              <w:rPr>
                <w:sz w:val="23"/>
                <w:szCs w:val="2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44</w:t>
            </w:r>
          </w:p>
        </w:tc>
      </w:tr>
      <w:tr>
        <w:trPr>
          <w:trHeight w:val="270"/>
        </w:trPr>
        <w:tc>
          <w:tcPr>
            <w:tcW w:w="65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Deficiencies under minimum volume commitments, net </w:t>
            </w:r>
            <w:r>
              <w:rPr>
                <w:rFonts w:ascii="Arial" w:cs="Arial" w:eastAsia="Arial" w:hAnsi="Arial"/>
                <w:sz w:val="25"/>
                <w:szCs w:val="25"/>
                <w:color w:val="auto"/>
                <w:vertAlign w:val="superscript"/>
              </w:rPr>
              <w:t>(4)</w:t>
            </w:r>
          </w:p>
        </w:tc>
        <w:tc>
          <w:tcPr>
            <w:tcW w:w="780" w:type="dxa"/>
            <w:vAlign w:val="bottom"/>
          </w:tcPr>
          <w:p>
            <w:pPr>
              <w:spacing w:after="0"/>
              <w:rPr>
                <w:sz w:val="23"/>
                <w:szCs w:val="23"/>
                <w:color w:val="auto"/>
              </w:rPr>
            </w:pPr>
          </w:p>
        </w:tc>
        <w:tc>
          <w:tcPr>
            <w:tcW w:w="400" w:type="dxa"/>
            <w:vAlign w:val="bottom"/>
          </w:tcPr>
          <w:p>
            <w:pPr>
              <w:jc w:val="right"/>
              <w:ind w:right="31"/>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70"/>
        </w:trPr>
        <w:tc>
          <w:tcPr>
            <w:tcW w:w="65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Equity-indexed compensation expense </w:t>
            </w:r>
            <w:r>
              <w:rPr>
                <w:rFonts w:ascii="Arial" w:cs="Arial" w:eastAsia="Arial" w:hAnsi="Arial"/>
                <w:sz w:val="25"/>
                <w:szCs w:val="25"/>
                <w:color w:val="auto"/>
                <w:vertAlign w:val="superscript"/>
              </w:rPr>
              <w:t>(5)</w:t>
            </w:r>
          </w:p>
        </w:tc>
        <w:tc>
          <w:tcPr>
            <w:tcW w:w="780" w:type="dxa"/>
            <w:vAlign w:val="bottom"/>
            <w:shd w:val="clear" w:color="auto" w:fill="CCEEFF"/>
          </w:tcPr>
          <w:p>
            <w:pPr>
              <w:spacing w:after="0"/>
              <w:rPr>
                <w:sz w:val="23"/>
                <w:szCs w:val="2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70"/>
        </w:trPr>
        <w:tc>
          <w:tcPr>
            <w:tcW w:w="65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Net gain/(loss) on foreign currency revaluation </w:t>
            </w:r>
            <w:r>
              <w:rPr>
                <w:rFonts w:ascii="Arial" w:cs="Arial" w:eastAsia="Arial" w:hAnsi="Arial"/>
                <w:sz w:val="25"/>
                <w:szCs w:val="25"/>
                <w:color w:val="auto"/>
                <w:vertAlign w:val="superscript"/>
              </w:rPr>
              <w:t>(6)</w:t>
            </w:r>
          </w:p>
        </w:tc>
        <w:tc>
          <w:tcPr>
            <w:tcW w:w="780" w:type="dxa"/>
            <w:vAlign w:val="bottom"/>
          </w:tcPr>
          <w:p>
            <w:pPr>
              <w:spacing w:after="0"/>
              <w:rPr>
                <w:sz w:val="23"/>
                <w:szCs w:val="23"/>
                <w:color w:val="auto"/>
              </w:rPr>
            </w:pPr>
          </w:p>
        </w:tc>
        <w:tc>
          <w:tcPr>
            <w:tcW w:w="400" w:type="dxa"/>
            <w:vAlign w:val="bottom"/>
          </w:tcPr>
          <w:p>
            <w:pPr>
              <w:jc w:val="right"/>
              <w:ind w:right="31"/>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2</w:t>
            </w:r>
          </w:p>
        </w:tc>
      </w:tr>
      <w:tr>
        <w:trPr>
          <w:trHeight w:val="270"/>
        </w:trPr>
        <w:tc>
          <w:tcPr>
            <w:tcW w:w="65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Line 901 incident </w:t>
            </w:r>
            <w:r>
              <w:rPr>
                <w:rFonts w:ascii="Arial" w:cs="Arial" w:eastAsia="Arial" w:hAnsi="Arial"/>
                <w:sz w:val="25"/>
                <w:szCs w:val="25"/>
                <w:color w:val="auto"/>
                <w:vertAlign w:val="superscript"/>
              </w:rPr>
              <w:t>(7)</w:t>
            </w:r>
          </w:p>
        </w:tc>
        <w:tc>
          <w:tcPr>
            <w:tcW w:w="780" w:type="dxa"/>
            <w:vAlign w:val="bottom"/>
            <w:shd w:val="clear" w:color="auto" w:fill="CCEEFF"/>
          </w:tcPr>
          <w:p>
            <w:pPr>
              <w:spacing w:after="0"/>
              <w:rPr>
                <w:sz w:val="23"/>
                <w:szCs w:val="2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w:t>
            </w:r>
          </w:p>
        </w:tc>
        <w:tc>
          <w:tcPr>
            <w:tcW w:w="1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65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Significant acquisition-related expenses </w:t>
            </w:r>
            <w:r>
              <w:rPr>
                <w:rFonts w:ascii="Arial" w:cs="Arial" w:eastAsia="Arial" w:hAnsi="Arial"/>
                <w:sz w:val="25"/>
                <w:szCs w:val="25"/>
                <w:color w:val="auto"/>
                <w:vertAlign w:val="superscript"/>
              </w:rPr>
              <w:t>(8)</w:t>
            </w:r>
          </w:p>
        </w:tc>
        <w:tc>
          <w:tcPr>
            <w:tcW w:w="78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44"/>
        </w:trPr>
        <w:tc>
          <w:tcPr>
            <w:tcW w:w="652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Selected items impacting comparability - Adjusted EBITDA</w:t>
            </w:r>
          </w:p>
        </w:tc>
        <w:tc>
          <w:tcPr>
            <w:tcW w:w="780" w:type="dxa"/>
            <w:vAlign w:val="bottom"/>
            <w:tcBorders>
              <w:top w:val="single" w:sz="8" w:color="auto"/>
              <w:bottom w:val="single" w:sz="8" w:color="CCEEFF"/>
            </w:tcBorders>
            <w:shd w:val="clear" w:color="auto" w:fill="CCEEFF"/>
          </w:tcPr>
          <w:p>
            <w:pPr>
              <w:jc w:val="right"/>
              <w:ind w:right="574"/>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jc w:val="right"/>
              <w:ind w:right="552"/>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w:t>
            </w:r>
          </w:p>
        </w:tc>
      </w:tr>
      <w:tr>
        <w:trPr>
          <w:trHeight w:val="270"/>
        </w:trPr>
        <w:tc>
          <w:tcPr>
            <w:tcW w:w="65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Losses from derivative activities </w:t>
            </w:r>
            <w:r>
              <w:rPr>
                <w:rFonts w:ascii="Arial" w:cs="Arial" w:eastAsia="Arial" w:hAnsi="Arial"/>
                <w:sz w:val="25"/>
                <w:szCs w:val="25"/>
                <w:color w:val="auto"/>
                <w:vertAlign w:val="superscript"/>
              </w:rPr>
              <w:t>(2)</w:t>
            </w:r>
          </w:p>
        </w:tc>
        <w:tc>
          <w:tcPr>
            <w:tcW w:w="78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effect on selected items impacting comparability</w:t>
            </w:r>
          </w:p>
        </w:tc>
        <w:tc>
          <w:tcPr>
            <w:tcW w:w="7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w:t>
            </w:r>
          </w:p>
        </w:tc>
      </w:tr>
      <w:tr>
        <w:trPr>
          <w:trHeight w:val="257"/>
        </w:trPr>
        <w:tc>
          <w:tcPr>
            <w:tcW w:w="6520" w:type="dxa"/>
            <w:vAlign w:val="bottom"/>
          </w:tcPr>
          <w:p>
            <w:pPr>
              <w:ind w:left="200"/>
              <w:spacing w:after="0"/>
              <w:rPr>
                <w:sz w:val="20"/>
                <w:szCs w:val="20"/>
                <w:color w:val="auto"/>
              </w:rPr>
            </w:pPr>
            <w:r>
              <w:rPr>
                <w:rFonts w:ascii="Arial" w:cs="Arial" w:eastAsia="Arial" w:hAnsi="Arial"/>
                <w:sz w:val="18"/>
                <w:szCs w:val="18"/>
                <w:color w:val="auto"/>
                <w:w w:val="97"/>
              </w:rPr>
              <w:t>Selected items impacting comparability - Adjusted net income attributable to PAA</w:t>
            </w:r>
          </w:p>
        </w:tc>
        <w:tc>
          <w:tcPr>
            <w:tcW w:w="78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76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(35)</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w:t>
            </w:r>
          </w:p>
        </w:tc>
      </w:tr>
      <w:tr>
        <w:trPr>
          <w:trHeight w:val="20"/>
        </w:trPr>
        <w:tc>
          <w:tcPr>
            <w:tcW w:w="65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07"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24"/>
          <w:szCs w:val="24"/>
          <w:color w:val="auto"/>
          <w:vertAlign w:val="superscript"/>
        </w:rPr>
      </w:pPr>
      <w:r>
        <w:rPr>
          <w:rFonts w:ascii="Arial" w:cs="Arial" w:eastAsia="Arial" w:hAnsi="Arial"/>
          <w:sz w:val="15"/>
          <w:szCs w:val="15"/>
          <w:color w:val="auto"/>
        </w:rPr>
        <w:t>Certain of our non-GAAP financial measures may not be impacted by each of the selected items impacting comparability.</w:t>
      </w:r>
    </w:p>
    <w:p>
      <w:pPr>
        <w:spacing w:after="0" w:line="54" w:lineRule="exact"/>
        <w:rPr>
          <w:rFonts w:ascii="Arial" w:cs="Arial" w:eastAsia="Arial" w:hAnsi="Arial"/>
          <w:sz w:val="24"/>
          <w:szCs w:val="24"/>
          <w:color w:val="auto"/>
          <w:vertAlign w:val="superscript"/>
        </w:rPr>
      </w:pPr>
    </w:p>
    <w:p>
      <w:pPr>
        <w:ind w:left="340" w:right="20" w:hanging="332"/>
        <w:spacing w:after="0" w:line="236" w:lineRule="auto"/>
        <w:tabs>
          <w:tab w:leader="none" w:pos="340" w:val="left"/>
        </w:tabs>
        <w:numPr>
          <w:ilvl w:val="0"/>
          <w:numId w:val="11"/>
        </w:numPr>
        <w:rPr>
          <w:rFonts w:ascii="Arial" w:cs="Arial" w:eastAsia="Arial" w:hAnsi="Arial"/>
          <w:sz w:val="23"/>
          <w:szCs w:val="23"/>
          <w:color w:val="auto"/>
          <w:vertAlign w:val="superscript"/>
        </w:rPr>
      </w:pPr>
      <w:r>
        <w:rPr>
          <w:rFonts w:ascii="Arial" w:cs="Arial" w:eastAsia="Arial" w:hAnsi="Arial"/>
          <w:sz w:val="14"/>
          <w:szCs w:val="14"/>
          <w:color w:val="auto"/>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of operations, we identify the earnings that were recognized during the period related to derivative instruments for which the identified underlying transaction does not occur in the current period and exclude the related gains and losses in determining adjusted results. In addition, we exclude gains and losses on derivatives that are related to investing activities, such as the purchase of linefill. We also exclude the impact of corresponding inventory valuation adjustments, as applicable, as well as the mark-to-market adjustment related to our Preferred Distribution Rate Reset Option.</w:t>
      </w:r>
    </w:p>
    <w:p>
      <w:pPr>
        <w:spacing w:after="0" w:line="43" w:lineRule="exact"/>
        <w:rPr>
          <w:rFonts w:ascii="Arial" w:cs="Arial" w:eastAsia="Arial" w:hAnsi="Arial"/>
          <w:sz w:val="23"/>
          <w:szCs w:val="23"/>
          <w:color w:val="auto"/>
          <w:vertAlign w:val="superscript"/>
        </w:rPr>
      </w:pPr>
    </w:p>
    <w:p>
      <w:pPr>
        <w:ind w:left="340" w:right="180" w:hanging="332"/>
        <w:spacing w:after="0" w:line="250" w:lineRule="auto"/>
        <w:tabs>
          <w:tab w:leader="none" w:pos="340" w:val="left"/>
        </w:tabs>
        <w:numPr>
          <w:ilvl w:val="0"/>
          <w:numId w:val="11"/>
        </w:numPr>
        <w:rPr>
          <w:rFonts w:ascii="Arial" w:cs="Arial" w:eastAsia="Arial" w:hAnsi="Arial"/>
          <w:sz w:val="21"/>
          <w:szCs w:val="21"/>
          <w:color w:val="auto"/>
          <w:vertAlign w:val="superscript"/>
        </w:rPr>
      </w:pPr>
      <w:r>
        <w:rPr>
          <w:rFonts w:ascii="Arial" w:cs="Arial" w:eastAsia="Arial" w:hAnsi="Arial"/>
          <w:sz w:val="13"/>
          <w:szCs w:val="13"/>
          <w:color w:val="auto"/>
        </w:rPr>
        <w:t>We carry crude oil and NGL inventory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treat the impact of changes in the average cost of the long-term inventory (that result from fluctuations in market prices) and writedowns of such inventory that result from price declines as a selected item impacting comparability.</w:t>
      </w:r>
    </w:p>
    <w:p>
      <w:pPr>
        <w:spacing w:after="0" w:line="37" w:lineRule="exact"/>
        <w:rPr>
          <w:rFonts w:ascii="Arial" w:cs="Arial" w:eastAsia="Arial" w:hAnsi="Arial"/>
          <w:sz w:val="21"/>
          <w:szCs w:val="21"/>
          <w:color w:val="auto"/>
          <w:vertAlign w:val="superscript"/>
        </w:rPr>
      </w:pPr>
    </w:p>
    <w:p>
      <w:pPr>
        <w:ind w:left="340" w:right="40" w:hanging="332"/>
        <w:spacing w:after="0" w:line="266" w:lineRule="auto"/>
        <w:tabs>
          <w:tab w:leader="none" w:pos="340" w:val="left"/>
        </w:tabs>
        <w:numPr>
          <w:ilvl w:val="0"/>
          <w:numId w:val="11"/>
        </w:numPr>
        <w:rPr>
          <w:rFonts w:ascii="Arial" w:cs="Arial" w:eastAsia="Arial" w:hAnsi="Arial"/>
          <w:sz w:val="21"/>
          <w:szCs w:val="21"/>
          <w:color w:val="auto"/>
          <w:vertAlign w:val="superscript"/>
        </w:rPr>
      </w:pPr>
      <w:r>
        <w:rPr>
          <w:rFonts w:ascii="Arial" w:cs="Arial" w:eastAsia="Arial" w:hAnsi="Arial"/>
          <w:sz w:val="13"/>
          <w:szCs w:val="13"/>
          <w:color w:val="auto"/>
        </w:rPr>
        <w:t>We have certain agreements that require counterparties to deliver, transport or throughput a minimum volume over an agreed upon period. Substantially all of such agreements were entered into with counterparties to economically support the return on our capital expenditure necessary to construct the related asset.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counterparty’s make-up right and subsequently recognize the revenue at the earlier of when the deficiency volume is delivered or shipped, when the make-up right expires or when it is determined that the counterparty’s ability to utilize the make-up right is remote. We include the impact of amounts billed to counterparties for their deficiency obligation, net of applicable amounts subsequently recognized into revenue, as a selected item impacting comparability. We believe the inclusion of the contractually committed revenues associated with that period is meaningful to investors as the related asset has been constructed, is standing ready to provide the committed service and the fixed operating costs are included in the current period results.</w:t>
      </w:r>
    </w:p>
    <w:p>
      <w:pPr>
        <w:spacing w:after="0" w:line="31" w:lineRule="exact"/>
        <w:rPr>
          <w:rFonts w:ascii="Arial" w:cs="Arial" w:eastAsia="Arial" w:hAnsi="Arial"/>
          <w:sz w:val="21"/>
          <w:szCs w:val="21"/>
          <w:color w:val="auto"/>
          <w:vertAlign w:val="superscript"/>
        </w:rPr>
      </w:pPr>
    </w:p>
    <w:p>
      <w:pPr>
        <w:ind w:left="340" w:right="60" w:hanging="332"/>
        <w:spacing w:after="0" w:line="220" w:lineRule="auto"/>
        <w:tabs>
          <w:tab w:leader="none" w:pos="340" w:val="left"/>
        </w:tabs>
        <w:numPr>
          <w:ilvl w:val="0"/>
          <w:numId w:val="11"/>
        </w:numPr>
        <w:rPr>
          <w:rFonts w:ascii="Arial" w:cs="Arial" w:eastAsia="Arial" w:hAnsi="Arial"/>
          <w:sz w:val="24"/>
          <w:szCs w:val="24"/>
          <w:color w:val="auto"/>
          <w:vertAlign w:val="superscript"/>
        </w:rPr>
      </w:pPr>
      <w:r>
        <w:rPr>
          <w:rFonts w:ascii="Arial" w:cs="Arial" w:eastAsia="Arial" w:hAnsi="Arial"/>
          <w:sz w:val="15"/>
          <w:szCs w:val="15"/>
          <w:color w:val="auto"/>
        </w:rPr>
        <w:t>Our total equity-indexed compensation expense includes expense associated with awards that will or may be settled in units and awards that will or may be settled in cash. The awards that will or may be settled in units are included in our diluted net income per unit calculation when the applicable performance criteria have been met. We consider the compensation expense associated with these awards as a selected item impacting comparability as the dilutive impact of the outstanding awards is included in our diluted net income per unit calculation and the majority of the awards are expected to be settled in units. The portion of compensation expense associated with awards that are certain to be settled in cash is not considered a selected item impacting comparability.</w:t>
      </w:r>
    </w:p>
    <w:p>
      <w:pPr>
        <w:spacing w:after="0" w:line="46" w:lineRule="exact"/>
        <w:rPr>
          <w:rFonts w:ascii="Arial" w:cs="Arial" w:eastAsia="Arial" w:hAnsi="Arial"/>
          <w:sz w:val="24"/>
          <w:szCs w:val="24"/>
          <w:color w:val="auto"/>
          <w:vertAlign w:val="superscript"/>
        </w:rPr>
      </w:pPr>
    </w:p>
    <w:p>
      <w:pPr>
        <w:ind w:left="340" w:right="20" w:hanging="332"/>
        <w:spacing w:after="0" w:line="193" w:lineRule="auto"/>
        <w:tabs>
          <w:tab w:leader="none" w:pos="340" w:val="left"/>
        </w:tabs>
        <w:numPr>
          <w:ilvl w:val="0"/>
          <w:numId w:val="11"/>
        </w:numPr>
        <w:rPr>
          <w:rFonts w:ascii="Arial" w:cs="Arial" w:eastAsia="Arial" w:hAnsi="Arial"/>
          <w:sz w:val="24"/>
          <w:szCs w:val="24"/>
          <w:color w:val="auto"/>
          <w:vertAlign w:val="superscript"/>
        </w:rPr>
      </w:pPr>
      <w:r>
        <w:rPr>
          <w:rFonts w:ascii="Arial" w:cs="Arial" w:eastAsia="Arial" w:hAnsi="Arial"/>
          <w:sz w:val="15"/>
          <w:szCs w:val="15"/>
          <w:color w:val="auto"/>
        </w:rPr>
        <w:t>During the periods presented, there were fluctuations in the value of the Canadian dollar to the U.S. dollar, resulting in gains and losses that were not related to our core operating results for the period and were thus classified as a selected item impacting comparability.</w:t>
      </w:r>
    </w:p>
    <w:p>
      <w:pPr>
        <w:spacing w:after="0" w:line="1" w:lineRule="exact"/>
        <w:rPr>
          <w:rFonts w:ascii="Arial" w:cs="Arial" w:eastAsia="Arial" w:hAnsi="Arial"/>
          <w:sz w:val="24"/>
          <w:szCs w:val="24"/>
          <w:color w:val="auto"/>
          <w:vertAlign w:val="superscript"/>
        </w:rPr>
      </w:pPr>
    </w:p>
    <w:p>
      <w:pPr>
        <w:ind w:left="340" w:hanging="332"/>
        <w:spacing w:after="0" w:line="208" w:lineRule="auto"/>
        <w:tabs>
          <w:tab w:leader="none" w:pos="340" w:val="left"/>
        </w:tabs>
        <w:numPr>
          <w:ilvl w:val="0"/>
          <w:numId w:val="11"/>
        </w:numPr>
        <w:rPr>
          <w:rFonts w:ascii="Arial" w:cs="Arial" w:eastAsia="Arial" w:hAnsi="Arial"/>
          <w:sz w:val="23"/>
          <w:szCs w:val="23"/>
          <w:color w:val="auto"/>
          <w:vertAlign w:val="superscript"/>
        </w:rPr>
      </w:pPr>
      <w:r>
        <w:rPr>
          <w:rFonts w:ascii="Arial" w:cs="Arial" w:eastAsia="Arial" w:hAnsi="Arial"/>
          <w:sz w:val="14"/>
          <w:szCs w:val="14"/>
          <w:color w:val="auto"/>
        </w:rPr>
        <w:t>Includes costs recognized during the period related to the Line 901 incident that occurred in May 2015, net of amounts we believe are probable of recovery from insurance.</w:t>
      </w:r>
    </w:p>
    <w:p>
      <w:pPr>
        <w:spacing w:after="0" w:line="55" w:lineRule="exact"/>
        <w:rPr>
          <w:rFonts w:ascii="Arial" w:cs="Arial" w:eastAsia="Arial" w:hAnsi="Arial"/>
          <w:sz w:val="23"/>
          <w:szCs w:val="23"/>
          <w:color w:val="auto"/>
          <w:vertAlign w:val="superscript"/>
        </w:rPr>
      </w:pPr>
    </w:p>
    <w:p>
      <w:pPr>
        <w:ind w:left="340" w:hanging="332"/>
        <w:spacing w:after="0" w:line="182" w:lineRule="auto"/>
        <w:tabs>
          <w:tab w:leader="none" w:pos="340" w:val="left"/>
        </w:tabs>
        <w:numPr>
          <w:ilvl w:val="0"/>
          <w:numId w:val="11"/>
        </w:numPr>
        <w:rPr>
          <w:rFonts w:ascii="Arial" w:cs="Arial" w:eastAsia="Arial" w:hAnsi="Arial"/>
          <w:sz w:val="20"/>
          <w:szCs w:val="20"/>
          <w:color w:val="auto"/>
          <w:vertAlign w:val="superscript"/>
        </w:rPr>
      </w:pPr>
      <w:r>
        <w:rPr>
          <w:rFonts w:ascii="Arial" w:cs="Arial" w:eastAsia="Arial" w:hAnsi="Arial"/>
          <w:sz w:val="13"/>
          <w:szCs w:val="13"/>
          <w:color w:val="auto"/>
        </w:rPr>
        <w:t>Includes acquisition-related expenses associated with the Alpha Crude Connector acquisition.</w:t>
      </w:r>
    </w:p>
    <w:p>
      <w:pPr>
        <w:spacing w:after="0" w:line="225" w:lineRule="exact"/>
        <w:rPr>
          <w:rFonts w:ascii="Arial" w:cs="Arial" w:eastAsia="Arial" w:hAnsi="Arial"/>
          <w:sz w:val="20"/>
          <w:szCs w:val="20"/>
          <w:color w:val="auto"/>
          <w:vertAlign w:val="superscript"/>
        </w:rPr>
      </w:pPr>
    </w:p>
    <w:p>
      <w:pPr>
        <w:ind w:left="5520" w:hanging="96"/>
        <w:spacing w:after="0"/>
        <w:tabs>
          <w:tab w:leader="none" w:pos="55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7" w:lineRule="exact"/>
        <w:rPr>
          <w:sz w:val="20"/>
          <w:szCs w:val="20"/>
          <w:color w:val="auto"/>
        </w:rPr>
      </w:pPr>
    </w:p>
    <w:p>
      <w:pPr>
        <w:ind w:left="1800"/>
        <w:spacing w:after="0"/>
        <w:tabs>
          <w:tab w:leader="none" w:pos="4920" w:val="left"/>
          <w:tab w:leader="none" w:pos="76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420"/>
          </w:cols>
          <w:pgMar w:left="240" w:top="341"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auto"/>
        </w:rPr>
        <w:t>Page 14</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RECONCILIATIONS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data)</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60" w:type="dxa"/>
            <w:vAlign w:val="bottom"/>
            <w:gridSpan w:val="5"/>
          </w:tcPr>
          <w:p>
            <w:pPr>
              <w:ind w:left="220"/>
              <w:spacing w:after="0"/>
              <w:rPr>
                <w:sz w:val="20"/>
                <w:szCs w:val="20"/>
                <w:color w:val="auto"/>
              </w:rPr>
            </w:pPr>
            <w:r>
              <w:rPr>
                <w:rFonts w:ascii="Arial" w:cs="Arial" w:eastAsia="Arial" w:hAnsi="Arial"/>
                <w:sz w:val="16"/>
                <w:szCs w:val="16"/>
                <w:b w:val="1"/>
                <w:bCs w:val="1"/>
                <w:color w:val="auto"/>
              </w:rPr>
              <w:t>Three Months Ended</w:t>
            </w:r>
          </w:p>
        </w:tc>
        <w:tc>
          <w:tcPr>
            <w:tcW w:w="260" w:type="dxa"/>
            <w:vAlign w:val="bottom"/>
          </w:tcPr>
          <w:p>
            <w:pPr>
              <w:spacing w:after="0"/>
              <w:rPr>
                <w:sz w:val="17"/>
                <w:szCs w:val="17"/>
                <w:color w:val="auto"/>
              </w:rPr>
            </w:pPr>
          </w:p>
        </w:tc>
        <w:tc>
          <w:tcPr>
            <w:tcW w:w="2120" w:type="dxa"/>
            <w:vAlign w:val="bottom"/>
            <w:gridSpan w:val="4"/>
          </w:tcPr>
          <w:p>
            <w:pPr>
              <w:jc w:val="right"/>
              <w:ind w:right="451"/>
              <w:spacing w:after="0"/>
              <w:rPr>
                <w:sz w:val="20"/>
                <w:szCs w:val="20"/>
                <w:color w:val="auto"/>
              </w:rPr>
            </w:pPr>
            <w:r>
              <w:rPr>
                <w:rFonts w:ascii="Arial" w:cs="Arial" w:eastAsia="Arial" w:hAnsi="Arial"/>
                <w:sz w:val="16"/>
                <w:szCs w:val="16"/>
                <w:b w:val="1"/>
                <w:bCs w:val="1"/>
                <w:color w:val="auto"/>
              </w:rPr>
              <w:t>Six Months Ended</w:t>
            </w:r>
          </w:p>
        </w:tc>
      </w:tr>
      <w:tr>
        <w:trPr>
          <w:trHeight w:val="210"/>
        </w:trPr>
        <w:tc>
          <w:tcPr>
            <w:tcW w:w="6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3"/>
          </w:tcPr>
          <w:p>
            <w:pPr>
              <w:jc w:val="right"/>
              <w:ind w:right="10"/>
              <w:spacing w:after="0"/>
              <w:rPr>
                <w:sz w:val="20"/>
                <w:szCs w:val="20"/>
                <w:color w:val="auto"/>
              </w:rPr>
            </w:pPr>
            <w:r>
              <w:rPr>
                <w:rFonts w:ascii="Arial" w:cs="Arial" w:eastAsia="Arial" w:hAnsi="Arial"/>
                <w:sz w:val="16"/>
                <w:szCs w:val="16"/>
                <w:b w:val="1"/>
                <w:bCs w:val="1"/>
                <w:color w:val="auto"/>
              </w:rPr>
              <w:t>June 30,</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800" w:type="dxa"/>
            <w:vAlign w:val="bottom"/>
          </w:tcPr>
          <w:p>
            <w:pPr>
              <w:spacing w:after="0"/>
              <w:rPr>
                <w:sz w:val="18"/>
                <w:szCs w:val="18"/>
                <w:color w:val="auto"/>
              </w:rPr>
            </w:pPr>
          </w:p>
        </w:tc>
      </w:tr>
      <w:tr>
        <w:trPr>
          <w:trHeight w:val="33"/>
        </w:trPr>
        <w:tc>
          <w:tcPr>
            <w:tcW w:w="65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1"/>
        </w:trPr>
        <w:tc>
          <w:tcPr>
            <w:tcW w:w="6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52"/>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ind w:right="331"/>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2"/>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ind w:right="311"/>
              <w:spacing w:after="0"/>
              <w:rPr>
                <w:sz w:val="20"/>
                <w:szCs w:val="20"/>
                <w:color w:val="auto"/>
              </w:rPr>
            </w:pPr>
            <w:r>
              <w:rPr>
                <w:rFonts w:ascii="Arial" w:cs="Arial" w:eastAsia="Arial" w:hAnsi="Arial"/>
                <w:sz w:val="16"/>
                <w:szCs w:val="16"/>
                <w:b w:val="1"/>
                <w:bCs w:val="1"/>
                <w:color w:val="auto"/>
              </w:rPr>
              <w:t>2016</w:t>
            </w:r>
          </w:p>
        </w:tc>
      </w:tr>
      <w:tr>
        <w:trPr>
          <w:trHeight w:val="33"/>
        </w:trPr>
        <w:tc>
          <w:tcPr>
            <w:tcW w:w="6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to Adjusted EBITDA and Implied DCF Reconciliation</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633</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304</w:t>
            </w: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Interest expense, net</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227</w:t>
            </w:r>
          </w:p>
        </w:tc>
      </w:tr>
      <w:tr>
        <w:trPr>
          <w:trHeight w:val="243"/>
        </w:trPr>
        <w:tc>
          <w:tcPr>
            <w:tcW w:w="6520" w:type="dxa"/>
            <w:vAlign w:val="bottom"/>
          </w:tcPr>
          <w:p>
            <w:pPr>
              <w:ind w:left="200"/>
              <w:spacing w:after="0"/>
              <w:rPr>
                <w:sz w:val="20"/>
                <w:szCs w:val="20"/>
                <w:color w:val="auto"/>
              </w:rPr>
            </w:pPr>
            <w:r>
              <w:rPr>
                <w:rFonts w:ascii="Arial" w:cs="Arial" w:eastAsia="Arial" w:hAnsi="Arial"/>
                <w:sz w:val="18"/>
                <w:szCs w:val="18"/>
                <w:color w:val="auto"/>
              </w:rPr>
              <w:t>Income tax (benefit)/expense</w:t>
            </w:r>
          </w:p>
        </w:tc>
        <w:tc>
          <w:tcPr>
            <w:tcW w:w="26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13</w:t>
            </w: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319</w:t>
            </w:r>
          </w:p>
        </w:tc>
      </w:tr>
      <w:tr>
        <w:trPr>
          <w:trHeight w:val="270"/>
        </w:trPr>
        <w:tc>
          <w:tcPr>
            <w:tcW w:w="6520" w:type="dxa"/>
            <w:vAlign w:val="bottom"/>
          </w:tcPr>
          <w:p>
            <w:pPr>
              <w:ind w:left="200"/>
              <w:spacing w:after="0" w:line="270" w:lineRule="exact"/>
              <w:rPr>
                <w:sz w:val="20"/>
                <w:szCs w:val="20"/>
                <w:color w:val="auto"/>
              </w:rPr>
            </w:pPr>
            <w:r>
              <w:rPr>
                <w:rFonts w:ascii="Arial" w:cs="Arial" w:eastAsia="Arial" w:hAnsi="Arial"/>
                <w:sz w:val="18"/>
                <w:szCs w:val="18"/>
                <w:color w:val="auto"/>
              </w:rPr>
              <w:t xml:space="preserve">Depreciation and amortization of unconsolidated entities </w:t>
            </w:r>
            <w:r>
              <w:rPr>
                <w:rFonts w:ascii="Arial" w:cs="Arial" w:eastAsia="Arial" w:hAnsi="Arial"/>
                <w:sz w:val="25"/>
                <w:szCs w:val="25"/>
                <w:color w:val="auto"/>
                <w:vertAlign w:val="superscript"/>
              </w:rPr>
              <w:t>(1)</w:t>
            </w:r>
          </w:p>
        </w:tc>
        <w:tc>
          <w:tcPr>
            <w:tcW w:w="260" w:type="dxa"/>
            <w:vAlign w:val="bottom"/>
          </w:tcPr>
          <w:p>
            <w:pPr>
              <w:spacing w:after="0"/>
              <w:rPr>
                <w:sz w:val="23"/>
                <w:szCs w:val="23"/>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25</w:t>
            </w:r>
          </w:p>
        </w:tc>
      </w:tr>
      <w:tr>
        <w:trPr>
          <w:trHeight w:val="270"/>
        </w:trPr>
        <w:tc>
          <w:tcPr>
            <w:tcW w:w="6520" w:type="dxa"/>
            <w:vAlign w:val="bottom"/>
            <w:shd w:val="clear" w:color="auto" w:fill="CCEEFF"/>
          </w:tcPr>
          <w:p>
            <w:pPr>
              <w:ind w:left="200"/>
              <w:spacing w:after="0" w:line="270" w:lineRule="exact"/>
              <w:rPr>
                <w:sz w:val="20"/>
                <w:szCs w:val="20"/>
                <w:color w:val="auto"/>
              </w:rPr>
            </w:pPr>
            <w:r>
              <w:rPr>
                <w:rFonts w:ascii="Arial" w:cs="Arial" w:eastAsia="Arial" w:hAnsi="Arial"/>
                <w:sz w:val="18"/>
                <w:szCs w:val="18"/>
                <w:color w:val="auto"/>
              </w:rPr>
              <w:t xml:space="preserve">Selected items impacting comparability - Adjusted EBITDA </w:t>
            </w:r>
            <w:r>
              <w:rPr>
                <w:rFonts w:ascii="Arial" w:cs="Arial" w:eastAsia="Arial" w:hAnsi="Arial"/>
                <w:sz w:val="25"/>
                <w:szCs w:val="25"/>
                <w:color w:val="auto"/>
                <w:vertAlign w:val="superscript"/>
              </w:rPr>
              <w:t>(2)</w:t>
            </w:r>
          </w:p>
        </w:tc>
        <w:tc>
          <w:tcPr>
            <w:tcW w:w="26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219</w:t>
            </w: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color w:val="auto"/>
              </w:rPr>
              <w:t>Adjusted EBITDA</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451</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474</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963</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1,107</w:t>
            </w: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6520" w:type="dxa"/>
            <w:vAlign w:val="bottom"/>
            <w:shd w:val="clear" w:color="auto" w:fill="CCEEFF"/>
          </w:tcPr>
          <w:p>
            <w:pPr>
              <w:ind w:left="200"/>
              <w:spacing w:after="0" w:line="270" w:lineRule="exact"/>
              <w:rPr>
                <w:sz w:val="20"/>
                <w:szCs w:val="20"/>
                <w:color w:val="auto"/>
              </w:rPr>
            </w:pPr>
            <w:r>
              <w:rPr>
                <w:rFonts w:ascii="Arial" w:cs="Arial" w:eastAsia="Arial" w:hAnsi="Arial"/>
                <w:sz w:val="18"/>
                <w:szCs w:val="18"/>
                <w:color w:val="auto"/>
              </w:rPr>
              <w:t xml:space="preserve">Interest expense, net </w:t>
            </w:r>
            <w:r>
              <w:rPr>
                <w:rFonts w:ascii="Arial" w:cs="Arial" w:eastAsia="Arial" w:hAnsi="Arial"/>
                <w:sz w:val="25"/>
                <w:szCs w:val="25"/>
                <w:color w:val="auto"/>
                <w:vertAlign w:val="superscript"/>
              </w:rPr>
              <w:t>(3)</w:t>
            </w: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r>
      <w:tr>
        <w:trPr>
          <w:trHeight w:val="243"/>
        </w:trPr>
        <w:tc>
          <w:tcPr>
            <w:tcW w:w="6520" w:type="dxa"/>
            <w:vAlign w:val="bottom"/>
          </w:tcPr>
          <w:p>
            <w:pPr>
              <w:ind w:left="200"/>
              <w:spacing w:after="0"/>
              <w:rPr>
                <w:sz w:val="20"/>
                <w:szCs w:val="20"/>
                <w:color w:val="auto"/>
              </w:rPr>
            </w:pPr>
            <w:r>
              <w:rPr>
                <w:rFonts w:ascii="Arial" w:cs="Arial" w:eastAsia="Arial" w:hAnsi="Arial"/>
                <w:sz w:val="18"/>
                <w:szCs w:val="18"/>
                <w:color w:val="auto"/>
              </w:rPr>
              <w:t>Maintenance capital</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Current income tax expense</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70"/>
        </w:trPr>
        <w:tc>
          <w:tcPr>
            <w:tcW w:w="6520" w:type="dxa"/>
            <w:vAlign w:val="bottom"/>
          </w:tcPr>
          <w:p>
            <w:pPr>
              <w:ind w:left="200"/>
              <w:spacing w:after="0" w:line="270" w:lineRule="exact"/>
              <w:rPr>
                <w:sz w:val="20"/>
                <w:szCs w:val="20"/>
                <w:color w:val="auto"/>
              </w:rPr>
            </w:pPr>
            <w:r>
              <w:rPr>
                <w:rFonts w:ascii="Arial" w:cs="Arial" w:eastAsia="Arial" w:hAnsi="Arial"/>
                <w:sz w:val="18"/>
                <w:szCs w:val="18"/>
                <w:color w:val="auto"/>
              </w:rPr>
              <w:t xml:space="preserve">Adjusted equity earnings in unconsolidated entities, net of distributions </w:t>
            </w:r>
            <w:r>
              <w:rPr>
                <w:rFonts w:ascii="Arial" w:cs="Arial" w:eastAsia="Arial" w:hAnsi="Arial"/>
                <w:sz w:val="25"/>
                <w:szCs w:val="25"/>
                <w:color w:val="auto"/>
                <w:vertAlign w:val="superscript"/>
              </w:rPr>
              <w:t>(4)</w:t>
            </w:r>
          </w:p>
        </w:tc>
        <w:tc>
          <w:tcPr>
            <w:tcW w:w="260" w:type="dxa"/>
            <w:vAlign w:val="bottom"/>
          </w:tcPr>
          <w:p>
            <w:pPr>
              <w:spacing w:after="0"/>
              <w:rPr>
                <w:sz w:val="23"/>
                <w:szCs w:val="23"/>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0"/>
        </w:trPr>
        <w:tc>
          <w:tcPr>
            <w:tcW w:w="6520" w:type="dxa"/>
            <w:vAlign w:val="bottom"/>
            <w:shd w:val="clear" w:color="auto" w:fill="CCEEFF"/>
          </w:tcPr>
          <w:p>
            <w:pPr>
              <w:ind w:left="200"/>
              <w:spacing w:after="0" w:line="270" w:lineRule="exact"/>
              <w:rPr>
                <w:sz w:val="20"/>
                <w:szCs w:val="20"/>
                <w:color w:val="auto"/>
              </w:rPr>
            </w:pPr>
            <w:r>
              <w:rPr>
                <w:rFonts w:ascii="Arial" w:cs="Arial" w:eastAsia="Arial" w:hAnsi="Arial"/>
                <w:sz w:val="18"/>
                <w:szCs w:val="18"/>
                <w:color w:val="auto"/>
              </w:rPr>
              <w:t xml:space="preserve">Distributions to noncontrolling interests </w:t>
            </w:r>
            <w:r>
              <w:rPr>
                <w:rFonts w:ascii="Arial" w:cs="Arial" w:eastAsia="Arial" w:hAnsi="Arial"/>
                <w:sz w:val="25"/>
                <w:szCs w:val="25"/>
                <w:color w:val="auto"/>
                <w:vertAlign w:val="superscript"/>
              </w:rPr>
              <w:t>(5)</w:t>
            </w:r>
          </w:p>
        </w:tc>
        <w:tc>
          <w:tcPr>
            <w:tcW w:w="26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64"/>
        </w:trPr>
        <w:tc>
          <w:tcPr>
            <w:tcW w:w="6520" w:type="dxa"/>
            <w:vAlign w:val="bottom"/>
          </w:tcPr>
          <w:p>
            <w:pPr>
              <w:ind w:left="40"/>
              <w:spacing w:after="0" w:line="264" w:lineRule="exact"/>
              <w:rPr>
                <w:sz w:val="20"/>
                <w:szCs w:val="20"/>
                <w:color w:val="auto"/>
              </w:rPr>
            </w:pPr>
            <w:r>
              <w:rPr>
                <w:rFonts w:ascii="Arial" w:cs="Arial" w:eastAsia="Arial" w:hAnsi="Arial"/>
                <w:sz w:val="18"/>
                <w:szCs w:val="18"/>
                <w:color w:val="auto"/>
              </w:rPr>
              <w:t xml:space="preserve">Implied DCF </w:t>
            </w:r>
            <w:r>
              <w:rPr>
                <w:rFonts w:ascii="Arial" w:cs="Arial" w:eastAsia="Arial" w:hAnsi="Arial"/>
                <w:sz w:val="25"/>
                <w:szCs w:val="25"/>
                <w:color w:val="auto"/>
                <w:vertAlign w:val="superscript"/>
              </w:rPr>
              <w:t>(6)</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314</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592</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754</w:t>
            </w:r>
          </w:p>
        </w:tc>
      </w:tr>
      <w:tr>
        <w:trPr>
          <w:trHeight w:val="20"/>
        </w:trPr>
        <w:tc>
          <w:tcPr>
            <w:tcW w:w="6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27"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24"/>
          <w:szCs w:val="24"/>
          <w:color w:val="auto"/>
          <w:vertAlign w:val="superscript"/>
        </w:rPr>
      </w:pPr>
      <w:r>
        <w:rPr>
          <w:rFonts w:ascii="Arial" w:cs="Arial" w:eastAsia="Arial" w:hAnsi="Arial"/>
          <w:sz w:val="15"/>
          <w:szCs w:val="15"/>
          <w:color w:val="auto"/>
        </w:rPr>
        <w:t>Adjustment to add back our proportionate share of depreciation and amortization expense and gains or losses on significant asset sales of unconsolidated entities.</w:t>
      </w:r>
    </w:p>
    <w:p>
      <w:pPr>
        <w:spacing w:after="0" w:line="54" w:lineRule="exact"/>
        <w:rPr>
          <w:rFonts w:ascii="Arial" w:cs="Arial" w:eastAsia="Arial" w:hAnsi="Arial"/>
          <w:sz w:val="24"/>
          <w:szCs w:val="24"/>
          <w:color w:val="auto"/>
          <w:vertAlign w:val="superscript"/>
        </w:rPr>
      </w:pPr>
    </w:p>
    <w:p>
      <w:pPr>
        <w:ind w:left="340" w:hanging="332"/>
        <w:spacing w:after="0" w:line="183" w:lineRule="auto"/>
        <w:tabs>
          <w:tab w:leader="none" w:pos="340" w:val="left"/>
        </w:tabs>
        <w:numPr>
          <w:ilvl w:val="0"/>
          <w:numId w:val="12"/>
        </w:numPr>
        <w:rPr>
          <w:rFonts w:ascii="Arial" w:cs="Arial" w:eastAsia="Arial" w:hAnsi="Arial"/>
          <w:sz w:val="23"/>
          <w:szCs w:val="23"/>
          <w:color w:val="auto"/>
          <w:vertAlign w:val="superscript"/>
        </w:rPr>
      </w:pPr>
      <w:r>
        <w:rPr>
          <w:rFonts w:ascii="Arial" w:cs="Arial" w:eastAsia="Arial" w:hAnsi="Arial"/>
          <w:sz w:val="15"/>
          <w:szCs w:val="15"/>
          <w:color w:val="auto"/>
        </w:rPr>
        <w:t>Certain of our non-GAAP financial measures may not be impacted by each of the selected items impacting comparability.</w:t>
      </w:r>
    </w:p>
    <w:p>
      <w:pPr>
        <w:spacing w:after="0" w:line="54" w:lineRule="exact"/>
        <w:rPr>
          <w:rFonts w:ascii="Arial" w:cs="Arial" w:eastAsia="Arial" w:hAnsi="Arial"/>
          <w:sz w:val="23"/>
          <w:szCs w:val="23"/>
          <w:color w:val="auto"/>
          <w:vertAlign w:val="superscript"/>
        </w:rPr>
      </w:pPr>
    </w:p>
    <w:p>
      <w:pPr>
        <w:ind w:left="340" w:hanging="332"/>
        <w:spacing w:after="0" w:line="183" w:lineRule="auto"/>
        <w:tabs>
          <w:tab w:leader="none" w:pos="340" w:val="left"/>
        </w:tabs>
        <w:numPr>
          <w:ilvl w:val="0"/>
          <w:numId w:val="12"/>
        </w:numPr>
        <w:rPr>
          <w:rFonts w:ascii="Arial" w:cs="Arial" w:eastAsia="Arial" w:hAnsi="Arial"/>
          <w:sz w:val="23"/>
          <w:szCs w:val="23"/>
          <w:color w:val="auto"/>
          <w:vertAlign w:val="superscript"/>
        </w:rPr>
      </w:pPr>
      <w:r>
        <w:rPr>
          <w:rFonts w:ascii="Arial" w:cs="Arial" w:eastAsia="Arial" w:hAnsi="Arial"/>
          <w:sz w:val="15"/>
          <w:szCs w:val="15"/>
          <w:color w:val="auto"/>
        </w:rPr>
        <w:t>Excludes certain non-cash items impacting interest expense such as amortization of debt issuance costs and terminated interest rate swaps.</w:t>
      </w:r>
    </w:p>
    <w:p>
      <w:pPr>
        <w:spacing w:after="0" w:line="54" w:lineRule="exact"/>
        <w:rPr>
          <w:rFonts w:ascii="Arial" w:cs="Arial" w:eastAsia="Arial" w:hAnsi="Arial"/>
          <w:sz w:val="23"/>
          <w:szCs w:val="23"/>
          <w:color w:val="auto"/>
          <w:vertAlign w:val="superscript"/>
        </w:rPr>
      </w:pPr>
    </w:p>
    <w:p>
      <w:pPr>
        <w:ind w:left="340" w:right="100" w:hanging="332"/>
        <w:spacing w:after="0" w:line="187" w:lineRule="auto"/>
        <w:tabs>
          <w:tab w:leader="none" w:pos="340" w:val="left"/>
        </w:tabs>
        <w:numPr>
          <w:ilvl w:val="0"/>
          <w:numId w:val="12"/>
        </w:numPr>
        <w:rPr>
          <w:rFonts w:ascii="Arial" w:cs="Arial" w:eastAsia="Arial" w:hAnsi="Arial"/>
          <w:sz w:val="28"/>
          <w:szCs w:val="28"/>
          <w:color w:val="auto"/>
          <w:vertAlign w:val="superscript"/>
        </w:rPr>
      </w:pPr>
      <w:r>
        <w:rPr>
          <w:rFonts w:ascii="Arial" w:cs="Arial" w:eastAsia="Arial" w:hAnsi="Arial"/>
          <w:sz w:val="17"/>
          <w:szCs w:val="17"/>
          <w:color w:val="auto"/>
        </w:rPr>
        <w:t>Represents the difference between non-cash equity earnings in unconsolidated entities (adjusted for our proportionate share of depreciation and amortization and gains or losses on significant asset sales) and cash distributions received from such entities.</w:t>
      </w:r>
    </w:p>
    <w:p>
      <w:pPr>
        <w:spacing w:after="0" w:line="1" w:lineRule="exact"/>
        <w:rPr>
          <w:rFonts w:ascii="Arial" w:cs="Arial" w:eastAsia="Arial" w:hAnsi="Arial"/>
          <w:sz w:val="28"/>
          <w:szCs w:val="28"/>
          <w:color w:val="auto"/>
          <w:vertAlign w:val="superscript"/>
        </w:rPr>
      </w:pPr>
    </w:p>
    <w:p>
      <w:pPr>
        <w:ind w:left="340" w:hanging="332"/>
        <w:spacing w:after="0" w:line="191" w:lineRule="auto"/>
        <w:tabs>
          <w:tab w:leader="none" w:pos="340" w:val="left"/>
        </w:tabs>
        <w:numPr>
          <w:ilvl w:val="0"/>
          <w:numId w:val="12"/>
        </w:numPr>
        <w:rPr>
          <w:rFonts w:ascii="Arial" w:cs="Arial" w:eastAsia="Arial" w:hAnsi="Arial"/>
          <w:sz w:val="28"/>
          <w:szCs w:val="28"/>
          <w:color w:val="auto"/>
          <w:vertAlign w:val="superscript"/>
        </w:rPr>
      </w:pPr>
      <w:r>
        <w:rPr>
          <w:rFonts w:ascii="Arial" w:cs="Arial" w:eastAsia="Arial" w:hAnsi="Arial"/>
          <w:sz w:val="17"/>
          <w:szCs w:val="17"/>
          <w:color w:val="auto"/>
        </w:rPr>
        <w:t>Includes cash distributions that pertain to the current period’s net income, which are paid in the subsequent period.</w:t>
      </w:r>
    </w:p>
    <w:p>
      <w:pPr>
        <w:spacing w:after="0" w:line="54" w:lineRule="exact"/>
        <w:rPr>
          <w:rFonts w:ascii="Arial" w:cs="Arial" w:eastAsia="Arial" w:hAnsi="Arial"/>
          <w:sz w:val="28"/>
          <w:szCs w:val="28"/>
          <w:color w:val="auto"/>
          <w:vertAlign w:val="superscript"/>
        </w:rPr>
      </w:pPr>
    </w:p>
    <w:p>
      <w:pPr>
        <w:ind w:left="340" w:right="280" w:hanging="332"/>
        <w:spacing w:after="0" w:line="187" w:lineRule="auto"/>
        <w:tabs>
          <w:tab w:leader="none" w:pos="340" w:val="left"/>
        </w:tabs>
        <w:numPr>
          <w:ilvl w:val="0"/>
          <w:numId w:val="12"/>
        </w:numPr>
        <w:rPr>
          <w:rFonts w:ascii="Arial" w:cs="Arial" w:eastAsia="Arial" w:hAnsi="Arial"/>
          <w:sz w:val="28"/>
          <w:szCs w:val="28"/>
          <w:color w:val="auto"/>
          <w:vertAlign w:val="superscript"/>
        </w:rPr>
      </w:pPr>
      <w:r>
        <w:rPr>
          <w:rFonts w:ascii="Arial" w:cs="Arial" w:eastAsia="Arial" w:hAnsi="Arial"/>
          <w:sz w:val="17"/>
          <w:szCs w:val="17"/>
          <w:color w:val="auto"/>
        </w:rPr>
        <w:t>Including net costs recognized during the periods related to the Line 901 incident that occurred in May 2015, Implied DCF would have been $277 million and $580 million for the three and six months ended June 30, 2017, respectively.</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60" w:type="dxa"/>
            <w:vAlign w:val="bottom"/>
            <w:gridSpan w:val="5"/>
          </w:tcPr>
          <w:p>
            <w:pPr>
              <w:ind w:left="220"/>
              <w:spacing w:after="0"/>
              <w:rPr>
                <w:sz w:val="20"/>
                <w:szCs w:val="20"/>
                <w:color w:val="auto"/>
              </w:rPr>
            </w:pPr>
            <w:r>
              <w:rPr>
                <w:rFonts w:ascii="Arial" w:cs="Arial" w:eastAsia="Arial" w:hAnsi="Arial"/>
                <w:sz w:val="16"/>
                <w:szCs w:val="16"/>
                <w:b w:val="1"/>
                <w:bCs w:val="1"/>
                <w:color w:val="auto"/>
              </w:rPr>
              <w:t>Three Months Ended</w:t>
            </w:r>
          </w:p>
        </w:tc>
        <w:tc>
          <w:tcPr>
            <w:tcW w:w="260" w:type="dxa"/>
            <w:vAlign w:val="bottom"/>
          </w:tcPr>
          <w:p>
            <w:pPr>
              <w:spacing w:after="0"/>
              <w:rPr>
                <w:sz w:val="17"/>
                <w:szCs w:val="17"/>
                <w:color w:val="auto"/>
              </w:rPr>
            </w:pPr>
          </w:p>
        </w:tc>
        <w:tc>
          <w:tcPr>
            <w:tcW w:w="2120" w:type="dxa"/>
            <w:vAlign w:val="bottom"/>
            <w:gridSpan w:val="4"/>
          </w:tcPr>
          <w:p>
            <w:pPr>
              <w:jc w:val="right"/>
              <w:ind w:right="451"/>
              <w:spacing w:after="0"/>
              <w:rPr>
                <w:sz w:val="20"/>
                <w:szCs w:val="20"/>
                <w:color w:val="auto"/>
              </w:rPr>
            </w:pPr>
            <w:r>
              <w:rPr>
                <w:rFonts w:ascii="Arial" w:cs="Arial" w:eastAsia="Arial" w:hAnsi="Arial"/>
                <w:sz w:val="16"/>
                <w:szCs w:val="16"/>
                <w:b w:val="1"/>
                <w:bCs w:val="1"/>
                <w:color w:val="auto"/>
              </w:rPr>
              <w:t>Six Months Ended</w:t>
            </w:r>
          </w:p>
        </w:tc>
      </w:tr>
      <w:tr>
        <w:trPr>
          <w:trHeight w:val="210"/>
        </w:trPr>
        <w:tc>
          <w:tcPr>
            <w:tcW w:w="6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3"/>
          </w:tcPr>
          <w:p>
            <w:pPr>
              <w:jc w:val="right"/>
              <w:ind w:right="10"/>
              <w:spacing w:after="0"/>
              <w:rPr>
                <w:sz w:val="20"/>
                <w:szCs w:val="20"/>
                <w:color w:val="auto"/>
              </w:rPr>
            </w:pPr>
            <w:r>
              <w:rPr>
                <w:rFonts w:ascii="Arial" w:cs="Arial" w:eastAsia="Arial" w:hAnsi="Arial"/>
                <w:sz w:val="16"/>
                <w:szCs w:val="16"/>
                <w:b w:val="1"/>
                <w:bCs w:val="1"/>
                <w:color w:val="auto"/>
              </w:rPr>
              <w:t>June 30,</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800" w:type="dxa"/>
            <w:vAlign w:val="bottom"/>
          </w:tcPr>
          <w:p>
            <w:pPr>
              <w:spacing w:after="0"/>
              <w:rPr>
                <w:sz w:val="18"/>
                <w:szCs w:val="18"/>
                <w:color w:val="auto"/>
              </w:rPr>
            </w:pPr>
          </w:p>
        </w:tc>
      </w:tr>
      <w:tr>
        <w:trPr>
          <w:trHeight w:val="33"/>
        </w:trPr>
        <w:tc>
          <w:tcPr>
            <w:tcW w:w="65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1"/>
        </w:trPr>
        <w:tc>
          <w:tcPr>
            <w:tcW w:w="6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53"/>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ind w:right="331"/>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3"/>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ind w:right="311"/>
              <w:spacing w:after="0"/>
              <w:rPr>
                <w:sz w:val="20"/>
                <w:szCs w:val="20"/>
                <w:color w:val="auto"/>
              </w:rPr>
            </w:pPr>
            <w:r>
              <w:rPr>
                <w:rFonts w:ascii="Arial" w:cs="Arial" w:eastAsia="Arial" w:hAnsi="Arial"/>
                <w:sz w:val="16"/>
                <w:szCs w:val="16"/>
                <w:b w:val="1"/>
                <w:bCs w:val="1"/>
                <w:color w:val="auto"/>
              </w:rPr>
              <w:t>2016</w:t>
            </w:r>
          </w:p>
        </w:tc>
      </w:tr>
      <w:tr>
        <w:trPr>
          <w:trHeight w:val="33"/>
        </w:trPr>
        <w:tc>
          <w:tcPr>
            <w:tcW w:w="6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05"/>
        </w:trPr>
        <w:tc>
          <w:tcPr>
            <w:tcW w:w="6520" w:type="dxa"/>
            <w:vAlign w:val="bottom"/>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rPr>
              <w:t>Net Income Per Common Unit to Adjusted Net Income Per Common Unit</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41"/>
        </w:trPr>
        <w:tc>
          <w:tcPr>
            <w:tcW w:w="6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Reconciliation</w:t>
            </w: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Basic net income/(loss) per common unit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0.21</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(0.20)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0.78</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(0.13)</w:t>
            </w: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65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Selected items impacting comparability </w:t>
            </w:r>
            <w:r>
              <w:rPr>
                <w:rFonts w:ascii="Arial" w:cs="Arial" w:eastAsia="Arial" w:hAnsi="Arial"/>
                <w:sz w:val="25"/>
                <w:szCs w:val="25"/>
                <w:color w:val="auto"/>
                <w:vertAlign w:val="superscript"/>
              </w:rPr>
              <w:t>(1)</w:t>
            </w:r>
          </w:p>
        </w:tc>
        <w:tc>
          <w:tcPr>
            <w:tcW w:w="26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0.08</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0.46</w:t>
            </w: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color w:val="auto"/>
              </w:rPr>
              <w:t>Basic adjusted net income/(loss) per common unit</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0.21</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(0.12)</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0.47</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0.33</w:t>
            </w: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30"/>
        </w:trPr>
        <w:tc>
          <w:tcPr>
            <w:tcW w:w="65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Diluted net income/(loss) per common unit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0.21</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(0.20)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0.78</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(0.13)</w:t>
            </w: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65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Selected items impacting comparability </w:t>
            </w:r>
            <w:r>
              <w:rPr>
                <w:rFonts w:ascii="Arial" w:cs="Arial" w:eastAsia="Arial" w:hAnsi="Arial"/>
                <w:sz w:val="25"/>
                <w:szCs w:val="25"/>
                <w:color w:val="auto"/>
                <w:vertAlign w:val="superscript"/>
              </w:rPr>
              <w:t>(1)</w:t>
            </w:r>
          </w:p>
        </w:tc>
        <w:tc>
          <w:tcPr>
            <w:tcW w:w="26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0.08</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0.46</w:t>
            </w: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color w:val="auto"/>
              </w:rPr>
              <w:t>Diluted adjusted net income/(loss) per common unit</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0.21</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(0.12)</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0.47</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0.33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249555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313" w:lineRule="exact"/>
        <w:rPr>
          <w:sz w:val="20"/>
          <w:szCs w:val="20"/>
          <w:color w:val="auto"/>
        </w:rPr>
      </w:pPr>
    </w:p>
    <w:p>
      <w:pPr>
        <w:ind w:left="340" w:right="340" w:hanging="332"/>
        <w:spacing w:after="0" w:line="194" w:lineRule="auto"/>
        <w:tabs>
          <w:tab w:leader="none" w:pos="340" w:val="left"/>
        </w:tabs>
        <w:numPr>
          <w:ilvl w:val="0"/>
          <w:numId w:val="13"/>
        </w:numPr>
        <w:rPr>
          <w:rFonts w:ascii="Arial" w:cs="Arial" w:eastAsia="Arial" w:hAnsi="Arial"/>
          <w:sz w:val="28"/>
          <w:szCs w:val="28"/>
          <w:color w:val="auto"/>
          <w:vertAlign w:val="superscript"/>
        </w:rPr>
      </w:pPr>
      <w:r>
        <w:rPr>
          <w:rFonts w:ascii="Arial" w:cs="Arial" w:eastAsia="Arial" w:hAnsi="Arial"/>
          <w:sz w:val="17"/>
          <w:szCs w:val="17"/>
          <w:color w:val="auto"/>
        </w:rPr>
        <w:t>See the “Selected Items Impacting Comparability” and the “Computation of Basic and Diluted Adjusted Net Income Per Common Unit” tables for additional information.</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7" w:lineRule="exact"/>
        <w:rPr>
          <w:sz w:val="20"/>
          <w:szCs w:val="20"/>
          <w:color w:val="auto"/>
        </w:rPr>
      </w:pPr>
    </w:p>
    <w:p>
      <w:pPr>
        <w:ind w:left="1800"/>
        <w:spacing w:after="0"/>
        <w:tabs>
          <w:tab w:leader="none" w:pos="4920" w:val="left"/>
          <w:tab w:leader="none" w:pos="76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420"/>
          </w:cols>
          <w:pgMar w:left="240" w:top="341"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auto"/>
        </w:rPr>
        <w:t>Page 15</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RECONCILIATIONS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data)</w:t>
      </w:r>
    </w:p>
    <w:p>
      <w:pPr>
        <w:spacing w:after="0" w:line="373" w:lineRule="exact"/>
        <w:rPr>
          <w:sz w:val="20"/>
          <w:szCs w:val="20"/>
          <w:color w:val="auto"/>
        </w:rPr>
      </w:pPr>
    </w:p>
    <w:p>
      <w:pPr>
        <w:jc w:val="center"/>
        <w:ind w:left="9060"/>
        <w:spacing w:after="0"/>
        <w:rPr>
          <w:sz w:val="20"/>
          <w:szCs w:val="20"/>
          <w:color w:val="auto"/>
        </w:rPr>
      </w:pPr>
      <w:r>
        <w:rPr>
          <w:rFonts w:ascii="Arial" w:cs="Arial" w:eastAsia="Arial" w:hAnsi="Arial"/>
          <w:sz w:val="16"/>
          <w:szCs w:val="16"/>
          <w:b w:val="1"/>
          <w:bCs w:val="1"/>
          <w:color w:val="auto"/>
        </w:rPr>
        <w:t>Twelve Months Ended</w:t>
      </w:r>
    </w:p>
    <w:p>
      <w:pPr>
        <w:spacing w:after="0" w:line="26" w:lineRule="exact"/>
        <w:rPr>
          <w:sz w:val="20"/>
          <w:szCs w:val="20"/>
          <w:color w:val="auto"/>
        </w:rPr>
      </w:pPr>
    </w:p>
    <w:p>
      <w:pPr>
        <w:jc w:val="center"/>
        <w:ind w:left="906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5734050</wp:posOffset>
            </wp:positionH>
            <wp:positionV relativeFrom="paragraph">
              <wp:posOffset>33020</wp:posOffset>
            </wp:positionV>
            <wp:extent cx="151765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331"/>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11"/>
              <w:spacing w:after="0"/>
              <w:rPr>
                <w:sz w:val="20"/>
                <w:szCs w:val="20"/>
                <w:color w:val="auto"/>
              </w:rPr>
            </w:pPr>
            <w:r>
              <w:rPr>
                <w:rFonts w:ascii="Arial" w:cs="Arial" w:eastAsia="Arial" w:hAnsi="Arial"/>
                <w:sz w:val="16"/>
                <w:szCs w:val="16"/>
                <w:b w:val="1"/>
                <w:bCs w:val="1"/>
                <w:color w:val="auto"/>
              </w:rPr>
              <w:t>2015</w:t>
            </w:r>
          </w:p>
        </w:tc>
      </w:tr>
      <w:tr>
        <w:trPr>
          <w:trHeight w:val="33"/>
        </w:trPr>
        <w:tc>
          <w:tcPr>
            <w:tcW w:w="9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to Adjusted EBITDA and Implied DCF Reconciliation</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902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730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906</w:t>
            </w: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Interest expense, net</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432</w:t>
            </w:r>
          </w:p>
        </w:tc>
      </w:tr>
      <w:tr>
        <w:trPr>
          <w:trHeight w:val="243"/>
        </w:trPr>
        <w:tc>
          <w:tcPr>
            <w:tcW w:w="9020" w:type="dxa"/>
            <w:vAlign w:val="bottom"/>
          </w:tcPr>
          <w:p>
            <w:pPr>
              <w:ind w:left="200"/>
              <w:spacing w:after="0"/>
              <w:rPr>
                <w:sz w:val="20"/>
                <w:szCs w:val="20"/>
                <w:color w:val="auto"/>
              </w:rPr>
            </w:pPr>
            <w:r>
              <w:rPr>
                <w:rFonts w:ascii="Arial" w:cs="Arial" w:eastAsia="Arial" w:hAnsi="Arial"/>
                <w:sz w:val="18"/>
                <w:szCs w:val="18"/>
                <w:color w:val="auto"/>
              </w:rPr>
              <w:t>Income tax expense</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100</w:t>
            </w: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432</w:t>
            </w:r>
          </w:p>
        </w:tc>
      </w:tr>
      <w:tr>
        <w:trPr>
          <w:trHeight w:val="270"/>
        </w:trPr>
        <w:tc>
          <w:tcPr>
            <w:tcW w:w="9020" w:type="dxa"/>
            <w:vAlign w:val="bottom"/>
          </w:tcPr>
          <w:p>
            <w:pPr>
              <w:ind w:left="200"/>
              <w:spacing w:after="0" w:line="270" w:lineRule="exact"/>
              <w:rPr>
                <w:sz w:val="20"/>
                <w:szCs w:val="20"/>
                <w:color w:val="auto"/>
              </w:rPr>
            </w:pPr>
            <w:r>
              <w:rPr>
                <w:rFonts w:ascii="Arial" w:cs="Arial" w:eastAsia="Arial" w:hAnsi="Arial"/>
                <w:sz w:val="18"/>
                <w:szCs w:val="18"/>
                <w:color w:val="auto"/>
              </w:rPr>
              <w:t xml:space="preserve">Depreciation and amortization of unconsolidated entities </w:t>
            </w:r>
            <w:r>
              <w:rPr>
                <w:rFonts w:ascii="Arial" w:cs="Arial" w:eastAsia="Arial" w:hAnsi="Arial"/>
                <w:sz w:val="25"/>
                <w:szCs w:val="25"/>
                <w:color w:val="auto"/>
                <w:vertAlign w:val="superscript"/>
              </w:rPr>
              <w:t>(1)</w:t>
            </w:r>
          </w:p>
        </w:tc>
        <w:tc>
          <w:tcPr>
            <w:tcW w:w="280" w:type="dxa"/>
            <w:vAlign w:val="bottom"/>
          </w:tcPr>
          <w:p>
            <w:pPr>
              <w:spacing w:after="0"/>
              <w:rPr>
                <w:sz w:val="23"/>
                <w:szCs w:val="23"/>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45</w:t>
            </w:r>
          </w:p>
        </w:tc>
      </w:tr>
      <w:tr>
        <w:trPr>
          <w:trHeight w:val="270"/>
        </w:trPr>
        <w:tc>
          <w:tcPr>
            <w:tcW w:w="90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Selected items impacting comparability - Adjusted EBITDA</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298</w:t>
            </w:r>
          </w:p>
        </w:tc>
      </w:tr>
      <w:tr>
        <w:trPr>
          <w:trHeight w:val="237"/>
        </w:trPr>
        <w:tc>
          <w:tcPr>
            <w:tcW w:w="9020" w:type="dxa"/>
            <w:vAlign w:val="bottom"/>
          </w:tcPr>
          <w:p>
            <w:pPr>
              <w:ind w:left="40"/>
              <w:spacing w:after="0"/>
              <w:rPr>
                <w:sz w:val="20"/>
                <w:szCs w:val="20"/>
                <w:color w:val="auto"/>
              </w:rPr>
            </w:pPr>
            <w:r>
              <w:rPr>
                <w:rFonts w:ascii="Arial" w:cs="Arial" w:eastAsia="Arial" w:hAnsi="Arial"/>
                <w:sz w:val="18"/>
                <w:szCs w:val="18"/>
                <w:color w:val="auto"/>
              </w:rPr>
              <w:t>Adjusted EBITDA</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2,169</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2,213</w:t>
            </w: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9020" w:type="dxa"/>
            <w:vAlign w:val="bottom"/>
            <w:shd w:val="clear" w:color="auto" w:fill="CCEEFF"/>
          </w:tcPr>
          <w:p>
            <w:pPr>
              <w:ind w:left="200"/>
              <w:spacing w:after="0" w:line="270" w:lineRule="exact"/>
              <w:rPr>
                <w:sz w:val="20"/>
                <w:szCs w:val="20"/>
                <w:color w:val="auto"/>
              </w:rPr>
            </w:pPr>
            <w:r>
              <w:rPr>
                <w:rFonts w:ascii="Arial" w:cs="Arial" w:eastAsia="Arial" w:hAnsi="Arial"/>
                <w:sz w:val="18"/>
                <w:szCs w:val="18"/>
                <w:color w:val="auto"/>
              </w:rPr>
              <w:t xml:space="preserve">Interest expense, net </w:t>
            </w:r>
            <w:r>
              <w:rPr>
                <w:rFonts w:ascii="Arial" w:cs="Arial" w:eastAsia="Arial" w:hAnsi="Arial"/>
                <w:sz w:val="25"/>
                <w:szCs w:val="25"/>
                <w:color w:val="auto"/>
                <w:vertAlign w:val="superscript"/>
              </w:rPr>
              <w:t>(2)</w:t>
            </w: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w:t>
            </w:r>
          </w:p>
        </w:tc>
      </w:tr>
      <w:tr>
        <w:trPr>
          <w:trHeight w:val="243"/>
        </w:trPr>
        <w:tc>
          <w:tcPr>
            <w:tcW w:w="9020" w:type="dxa"/>
            <w:vAlign w:val="bottom"/>
          </w:tcPr>
          <w:p>
            <w:pPr>
              <w:ind w:left="200"/>
              <w:spacing w:after="0"/>
              <w:rPr>
                <w:sz w:val="20"/>
                <w:szCs w:val="20"/>
                <w:color w:val="auto"/>
              </w:rPr>
            </w:pPr>
            <w:r>
              <w:rPr>
                <w:rFonts w:ascii="Arial" w:cs="Arial" w:eastAsia="Arial" w:hAnsi="Arial"/>
                <w:sz w:val="18"/>
                <w:szCs w:val="18"/>
                <w:color w:val="auto"/>
              </w:rPr>
              <w:t>Maintenance capital</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(220)</w:t>
            </w: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Current income tax expense</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r>
      <w:tr>
        <w:trPr>
          <w:trHeight w:val="270"/>
        </w:trPr>
        <w:tc>
          <w:tcPr>
            <w:tcW w:w="9020" w:type="dxa"/>
            <w:vAlign w:val="bottom"/>
          </w:tcPr>
          <w:p>
            <w:pPr>
              <w:ind w:left="200"/>
              <w:spacing w:after="0" w:line="270" w:lineRule="exact"/>
              <w:rPr>
                <w:sz w:val="20"/>
                <w:szCs w:val="20"/>
                <w:color w:val="auto"/>
              </w:rPr>
            </w:pPr>
            <w:r>
              <w:rPr>
                <w:rFonts w:ascii="Arial" w:cs="Arial" w:eastAsia="Arial" w:hAnsi="Arial"/>
                <w:sz w:val="18"/>
                <w:szCs w:val="18"/>
                <w:color w:val="auto"/>
              </w:rPr>
              <w:t xml:space="preserve">Adjusted equity earnings in unconsolidated entities, net of distributions </w:t>
            </w:r>
            <w:r>
              <w:rPr>
                <w:rFonts w:ascii="Arial" w:cs="Arial" w:eastAsia="Arial" w:hAnsi="Arial"/>
                <w:sz w:val="25"/>
                <w:szCs w:val="25"/>
                <w:color w:val="auto"/>
                <w:vertAlign w:val="superscript"/>
              </w:rPr>
              <w:t>(3)</w:t>
            </w:r>
          </w:p>
        </w:tc>
        <w:tc>
          <w:tcPr>
            <w:tcW w:w="2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0"/>
        </w:trPr>
        <w:tc>
          <w:tcPr>
            <w:tcW w:w="9020" w:type="dxa"/>
            <w:vAlign w:val="bottom"/>
            <w:shd w:val="clear" w:color="auto" w:fill="CCEEFF"/>
          </w:tcPr>
          <w:p>
            <w:pPr>
              <w:ind w:left="200"/>
              <w:spacing w:after="0" w:line="270" w:lineRule="exact"/>
              <w:rPr>
                <w:sz w:val="20"/>
                <w:szCs w:val="20"/>
                <w:color w:val="auto"/>
              </w:rPr>
            </w:pPr>
            <w:r>
              <w:rPr>
                <w:rFonts w:ascii="Arial" w:cs="Arial" w:eastAsia="Arial" w:hAnsi="Arial"/>
                <w:sz w:val="18"/>
                <w:szCs w:val="18"/>
                <w:color w:val="auto"/>
              </w:rPr>
              <w:t xml:space="preserve">Distributions to noncontrolling interests </w:t>
            </w:r>
            <w:r>
              <w:rPr>
                <w:rFonts w:ascii="Arial" w:cs="Arial" w:eastAsia="Arial" w:hAnsi="Arial"/>
                <w:sz w:val="25"/>
                <w:szCs w:val="25"/>
                <w:color w:val="auto"/>
                <w:vertAlign w:val="superscript"/>
              </w:rPr>
              <w:t>(4)</w:t>
            </w:r>
          </w:p>
        </w:tc>
        <w:tc>
          <w:tcPr>
            <w:tcW w:w="2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57"/>
        </w:trPr>
        <w:tc>
          <w:tcPr>
            <w:tcW w:w="9020" w:type="dxa"/>
            <w:vAlign w:val="bottom"/>
          </w:tcPr>
          <w:p>
            <w:pPr>
              <w:ind w:left="40"/>
              <w:spacing w:after="0"/>
              <w:rPr>
                <w:sz w:val="20"/>
                <w:szCs w:val="20"/>
                <w:color w:val="auto"/>
              </w:rPr>
            </w:pPr>
            <w:r>
              <w:rPr>
                <w:rFonts w:ascii="Arial" w:cs="Arial" w:eastAsia="Arial" w:hAnsi="Arial"/>
                <w:sz w:val="18"/>
                <w:szCs w:val="18"/>
                <w:color w:val="auto"/>
              </w:rPr>
              <w:t>Implied DCF</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1,414</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1,474</w:t>
            </w:r>
          </w:p>
        </w:tc>
      </w:tr>
      <w:tr>
        <w:trPr>
          <w:trHeight w:val="20"/>
        </w:trPr>
        <w:tc>
          <w:tcPr>
            <w:tcW w:w="9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27"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24"/>
          <w:szCs w:val="24"/>
          <w:color w:val="auto"/>
          <w:vertAlign w:val="superscript"/>
        </w:rPr>
      </w:pPr>
      <w:r>
        <w:rPr>
          <w:rFonts w:ascii="Arial" w:cs="Arial" w:eastAsia="Arial" w:hAnsi="Arial"/>
          <w:sz w:val="15"/>
          <w:szCs w:val="15"/>
          <w:color w:val="auto"/>
        </w:rPr>
        <w:t>Adjustment to add back our proportionate share of depreciation and amortization expense and gains or losses on significant asset sales of unconsolidated entities.</w:t>
      </w:r>
    </w:p>
    <w:p>
      <w:pPr>
        <w:spacing w:after="0" w:line="54" w:lineRule="exact"/>
        <w:rPr>
          <w:rFonts w:ascii="Arial" w:cs="Arial" w:eastAsia="Arial" w:hAnsi="Arial"/>
          <w:sz w:val="24"/>
          <w:szCs w:val="24"/>
          <w:color w:val="auto"/>
          <w:vertAlign w:val="superscript"/>
        </w:rPr>
      </w:pPr>
    </w:p>
    <w:p>
      <w:pPr>
        <w:ind w:left="340" w:hanging="332"/>
        <w:spacing w:after="0" w:line="183" w:lineRule="auto"/>
        <w:tabs>
          <w:tab w:leader="none" w:pos="340" w:val="left"/>
        </w:tabs>
        <w:numPr>
          <w:ilvl w:val="0"/>
          <w:numId w:val="14"/>
        </w:numPr>
        <w:rPr>
          <w:rFonts w:ascii="Arial" w:cs="Arial" w:eastAsia="Arial" w:hAnsi="Arial"/>
          <w:sz w:val="23"/>
          <w:szCs w:val="23"/>
          <w:color w:val="auto"/>
          <w:vertAlign w:val="superscript"/>
        </w:rPr>
      </w:pPr>
      <w:r>
        <w:rPr>
          <w:rFonts w:ascii="Arial" w:cs="Arial" w:eastAsia="Arial" w:hAnsi="Arial"/>
          <w:sz w:val="15"/>
          <w:szCs w:val="15"/>
          <w:color w:val="auto"/>
        </w:rPr>
        <w:t>Excludes certain non-cash items impacting interest expense such as amortization of debt issuance costs and terminated interest rate swaps.</w:t>
      </w:r>
    </w:p>
    <w:p>
      <w:pPr>
        <w:spacing w:after="0" w:line="54" w:lineRule="exact"/>
        <w:rPr>
          <w:rFonts w:ascii="Arial" w:cs="Arial" w:eastAsia="Arial" w:hAnsi="Arial"/>
          <w:sz w:val="23"/>
          <w:szCs w:val="23"/>
          <w:color w:val="auto"/>
          <w:vertAlign w:val="superscript"/>
        </w:rPr>
      </w:pPr>
    </w:p>
    <w:p>
      <w:pPr>
        <w:ind w:left="340" w:right="100" w:hanging="332"/>
        <w:spacing w:after="0" w:line="187" w:lineRule="auto"/>
        <w:tabs>
          <w:tab w:leader="none" w:pos="340" w:val="left"/>
        </w:tabs>
        <w:numPr>
          <w:ilvl w:val="0"/>
          <w:numId w:val="14"/>
        </w:numPr>
        <w:rPr>
          <w:rFonts w:ascii="Arial" w:cs="Arial" w:eastAsia="Arial" w:hAnsi="Arial"/>
          <w:sz w:val="28"/>
          <w:szCs w:val="28"/>
          <w:color w:val="auto"/>
          <w:vertAlign w:val="superscript"/>
        </w:rPr>
      </w:pPr>
      <w:r>
        <w:rPr>
          <w:rFonts w:ascii="Arial" w:cs="Arial" w:eastAsia="Arial" w:hAnsi="Arial"/>
          <w:sz w:val="17"/>
          <w:szCs w:val="17"/>
          <w:color w:val="auto"/>
        </w:rPr>
        <w:t>Represents the difference between non-cash equity earnings in unconsolidated entities (adjusted for our proportionate share of depreciation and amortization and gains or losses on significant asset sales) and cash distributions received from such entities.</w:t>
      </w:r>
    </w:p>
    <w:p>
      <w:pPr>
        <w:spacing w:after="0" w:line="1" w:lineRule="exact"/>
        <w:rPr>
          <w:rFonts w:ascii="Arial" w:cs="Arial" w:eastAsia="Arial" w:hAnsi="Arial"/>
          <w:sz w:val="28"/>
          <w:szCs w:val="28"/>
          <w:color w:val="auto"/>
          <w:vertAlign w:val="superscript"/>
        </w:rPr>
      </w:pPr>
    </w:p>
    <w:p>
      <w:pPr>
        <w:ind w:left="340" w:hanging="332"/>
        <w:spacing w:after="0" w:line="191" w:lineRule="auto"/>
        <w:tabs>
          <w:tab w:leader="none" w:pos="340" w:val="left"/>
        </w:tabs>
        <w:numPr>
          <w:ilvl w:val="0"/>
          <w:numId w:val="14"/>
        </w:numPr>
        <w:rPr>
          <w:rFonts w:ascii="Arial" w:cs="Arial" w:eastAsia="Arial" w:hAnsi="Arial"/>
          <w:sz w:val="28"/>
          <w:szCs w:val="28"/>
          <w:color w:val="auto"/>
          <w:vertAlign w:val="superscript"/>
        </w:rPr>
      </w:pPr>
      <w:r>
        <w:rPr>
          <w:rFonts w:ascii="Arial" w:cs="Arial" w:eastAsia="Arial" w:hAnsi="Arial"/>
          <w:sz w:val="17"/>
          <w:szCs w:val="17"/>
          <w:color w:val="auto"/>
        </w:rPr>
        <w:t>Includes cash distributions that pertain to the current period’s net income, which are paid in the subsequent period.</w:t>
      </w:r>
    </w:p>
    <w:p>
      <w:pPr>
        <w:spacing w:after="0" w:line="233" w:lineRule="exact"/>
        <w:rPr>
          <w:rFonts w:ascii="Arial" w:cs="Arial" w:eastAsia="Arial" w:hAnsi="Arial"/>
          <w:sz w:val="28"/>
          <w:szCs w:val="28"/>
          <w:color w:val="auto"/>
          <w:vertAlign w:val="superscript"/>
        </w:rPr>
      </w:pPr>
    </w:p>
    <w:p>
      <w:pPr>
        <w:ind w:left="5520" w:hanging="96"/>
        <w:spacing w:after="0"/>
        <w:tabs>
          <w:tab w:leader="none" w:pos="55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7" w:lineRule="exact"/>
        <w:rPr>
          <w:sz w:val="20"/>
          <w:szCs w:val="20"/>
          <w:color w:val="auto"/>
        </w:rPr>
      </w:pPr>
    </w:p>
    <w:p>
      <w:pPr>
        <w:ind w:left="1800"/>
        <w:spacing w:after="0"/>
        <w:tabs>
          <w:tab w:leader="none" w:pos="4920" w:val="left"/>
          <w:tab w:leader="none" w:pos="76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420"/>
          </w:cols>
          <w:pgMar w:left="240" w:top="341"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auto"/>
        </w:rPr>
        <w:t>Page 16</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COMPUTATION OF BASIC AND DILUTED ADJUSTED NET INCOME PER COMMON UNIT</w:t>
      </w:r>
      <w:r>
        <w:rPr>
          <w:rFonts w:ascii="Arial" w:cs="Arial" w:eastAsia="Arial" w:hAnsi="Arial"/>
          <w:sz w:val="18"/>
          <w:szCs w:val="18"/>
          <w:b w:val="1"/>
          <w:bCs w:val="1"/>
          <w:color w:val="auto"/>
        </w:rPr>
        <w:t xml:space="preserve"> </w:t>
      </w:r>
      <w:r>
        <w:rPr>
          <w:rFonts w:ascii="Arial" w:cs="Arial" w:eastAsia="Arial" w:hAnsi="Arial"/>
          <w:sz w:val="25"/>
          <w:szCs w:val="25"/>
          <w:b w:val="1"/>
          <w:bCs w:val="1"/>
          <w:color w:val="auto"/>
          <w:vertAlign w:val="superscript"/>
        </w:rPr>
        <w:t>(1)</w:t>
      </w:r>
    </w:p>
    <w:p>
      <w:pPr>
        <w:spacing w:after="0"/>
        <w:rPr>
          <w:sz w:val="20"/>
          <w:szCs w:val="20"/>
          <w:color w:val="auto"/>
        </w:rPr>
      </w:pPr>
      <w:r>
        <w:rPr>
          <w:rFonts w:ascii="Arial" w:cs="Arial" w:eastAsia="Arial" w:hAnsi="Arial"/>
          <w:sz w:val="18"/>
          <w:szCs w:val="18"/>
          <w:color w:val="auto"/>
        </w:rPr>
        <w:t>(in millions, except per unit data)</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60" w:type="dxa"/>
            <w:vAlign w:val="bottom"/>
            <w:gridSpan w:val="5"/>
          </w:tcPr>
          <w:p>
            <w:pPr>
              <w:ind w:left="220"/>
              <w:spacing w:after="0"/>
              <w:rPr>
                <w:sz w:val="20"/>
                <w:szCs w:val="20"/>
                <w:color w:val="auto"/>
              </w:rPr>
            </w:pPr>
            <w:r>
              <w:rPr>
                <w:rFonts w:ascii="Arial" w:cs="Arial" w:eastAsia="Arial" w:hAnsi="Arial"/>
                <w:sz w:val="16"/>
                <w:szCs w:val="16"/>
                <w:b w:val="1"/>
                <w:bCs w:val="1"/>
                <w:color w:val="auto"/>
              </w:rPr>
              <w:t>Three Months Ended</w:t>
            </w:r>
          </w:p>
        </w:tc>
        <w:tc>
          <w:tcPr>
            <w:tcW w:w="260" w:type="dxa"/>
            <w:vAlign w:val="bottom"/>
          </w:tcPr>
          <w:p>
            <w:pPr>
              <w:spacing w:after="0"/>
              <w:rPr>
                <w:sz w:val="17"/>
                <w:szCs w:val="17"/>
                <w:color w:val="auto"/>
              </w:rPr>
            </w:pPr>
          </w:p>
        </w:tc>
        <w:tc>
          <w:tcPr>
            <w:tcW w:w="2120" w:type="dxa"/>
            <w:vAlign w:val="bottom"/>
            <w:gridSpan w:val="4"/>
          </w:tcPr>
          <w:p>
            <w:pPr>
              <w:jc w:val="right"/>
              <w:ind w:right="450"/>
              <w:spacing w:after="0"/>
              <w:rPr>
                <w:sz w:val="20"/>
                <w:szCs w:val="20"/>
                <w:color w:val="auto"/>
              </w:rPr>
            </w:pPr>
            <w:r>
              <w:rPr>
                <w:rFonts w:ascii="Arial" w:cs="Arial" w:eastAsia="Arial" w:hAnsi="Arial"/>
                <w:sz w:val="16"/>
                <w:szCs w:val="16"/>
                <w:b w:val="1"/>
                <w:bCs w:val="1"/>
                <w:color w:val="auto"/>
              </w:rPr>
              <w:t>Six Months Ended</w:t>
            </w:r>
          </w:p>
        </w:tc>
      </w:tr>
      <w:tr>
        <w:trPr>
          <w:trHeight w:val="210"/>
        </w:trPr>
        <w:tc>
          <w:tcPr>
            <w:tcW w:w="6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3"/>
          </w:tcPr>
          <w:p>
            <w:pPr>
              <w:jc w:val="right"/>
              <w:ind w:right="10"/>
              <w:spacing w:after="0"/>
              <w:rPr>
                <w:sz w:val="20"/>
                <w:szCs w:val="20"/>
                <w:color w:val="auto"/>
              </w:rPr>
            </w:pPr>
            <w:r>
              <w:rPr>
                <w:rFonts w:ascii="Arial" w:cs="Arial" w:eastAsia="Arial" w:hAnsi="Arial"/>
                <w:sz w:val="16"/>
                <w:szCs w:val="16"/>
                <w:b w:val="1"/>
                <w:bCs w:val="1"/>
                <w:color w:val="auto"/>
              </w:rPr>
              <w:t>June 30,</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800" w:type="dxa"/>
            <w:vAlign w:val="bottom"/>
          </w:tcPr>
          <w:p>
            <w:pPr>
              <w:spacing w:after="0"/>
              <w:rPr>
                <w:sz w:val="18"/>
                <w:szCs w:val="18"/>
                <w:color w:val="auto"/>
              </w:rPr>
            </w:pPr>
          </w:p>
        </w:tc>
      </w:tr>
      <w:tr>
        <w:trPr>
          <w:trHeight w:val="33"/>
        </w:trPr>
        <w:tc>
          <w:tcPr>
            <w:tcW w:w="65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1"/>
        </w:trPr>
        <w:tc>
          <w:tcPr>
            <w:tcW w:w="6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51"/>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ind w:right="330"/>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1"/>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ind w:right="310"/>
              <w:spacing w:after="0"/>
              <w:rPr>
                <w:sz w:val="20"/>
                <w:szCs w:val="20"/>
                <w:color w:val="auto"/>
              </w:rPr>
            </w:pPr>
            <w:r>
              <w:rPr>
                <w:rFonts w:ascii="Arial" w:cs="Arial" w:eastAsia="Arial" w:hAnsi="Arial"/>
                <w:sz w:val="16"/>
                <w:szCs w:val="16"/>
                <w:b w:val="1"/>
                <w:bCs w:val="1"/>
                <w:color w:val="auto"/>
              </w:rPr>
              <w:t>2016</w:t>
            </w:r>
          </w:p>
        </w:tc>
      </w:tr>
      <w:tr>
        <w:trPr>
          <w:trHeight w:val="33"/>
        </w:trPr>
        <w:tc>
          <w:tcPr>
            <w:tcW w:w="6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Adjusted Net Income per Common Unit</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Net income attributable to PAA</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632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302</w:t>
            </w: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6520" w:type="dxa"/>
            <w:vAlign w:val="bottom"/>
            <w:shd w:val="clear" w:color="auto" w:fill="CCEEFF"/>
          </w:tcPr>
          <w:p>
            <w:pPr>
              <w:ind w:left="200"/>
              <w:spacing w:after="0" w:line="270" w:lineRule="exact"/>
              <w:rPr>
                <w:sz w:val="20"/>
                <w:szCs w:val="20"/>
                <w:color w:val="auto"/>
              </w:rPr>
            </w:pPr>
            <w:r>
              <w:rPr>
                <w:rFonts w:ascii="Arial" w:cs="Arial" w:eastAsia="Arial" w:hAnsi="Arial"/>
                <w:sz w:val="18"/>
                <w:szCs w:val="18"/>
                <w:color w:val="auto"/>
                <w:w w:val="93"/>
              </w:rPr>
              <w:t xml:space="preserve">Selected items impacting comparability - Adjusted net income attributable to PAA </w:t>
            </w:r>
            <w:r>
              <w:rPr>
                <w:rFonts w:ascii="Arial" w:cs="Arial" w:eastAsia="Arial" w:hAnsi="Arial"/>
                <w:sz w:val="25"/>
                <w:szCs w:val="25"/>
                <w:color w:val="auto"/>
                <w:w w:val="93"/>
                <w:vertAlign w:val="superscript"/>
              </w:rPr>
              <w:t>(2)</w:t>
            </w:r>
          </w:p>
        </w:tc>
        <w:tc>
          <w:tcPr>
            <w:tcW w:w="26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189</w:t>
            </w: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color w:val="auto"/>
              </w:rPr>
              <w:t>Adjusted net income attributable to PAA</w:t>
            </w:r>
          </w:p>
        </w:tc>
        <w:tc>
          <w:tcPr>
            <w:tcW w:w="260" w:type="dxa"/>
            <w:vAlign w:val="bottom"/>
          </w:tcPr>
          <w:p>
            <w:pPr>
              <w:spacing w:after="0"/>
              <w:rPr>
                <w:sz w:val="20"/>
                <w:szCs w:val="20"/>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414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491</w:t>
            </w: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Distributions to Series A preferred units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43"/>
        </w:trPr>
        <w:tc>
          <w:tcPr>
            <w:tcW w:w="6520" w:type="dxa"/>
            <w:vAlign w:val="bottom"/>
          </w:tcPr>
          <w:p>
            <w:pPr>
              <w:ind w:left="200"/>
              <w:spacing w:after="0"/>
              <w:rPr>
                <w:sz w:val="20"/>
                <w:szCs w:val="20"/>
                <w:color w:val="auto"/>
              </w:rPr>
            </w:pPr>
            <w:r>
              <w:rPr>
                <w:rFonts w:ascii="Arial" w:cs="Arial" w:eastAsia="Arial" w:hAnsi="Arial"/>
                <w:sz w:val="18"/>
                <w:szCs w:val="18"/>
                <w:color w:val="auto"/>
              </w:rPr>
              <w:t>Distributions to general partner</w:t>
            </w:r>
          </w:p>
        </w:tc>
        <w:tc>
          <w:tcPr>
            <w:tcW w:w="2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(310)</w:t>
            </w: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r>
      <w:tr>
        <w:trPr>
          <w:trHeight w:val="297"/>
        </w:trPr>
        <w:tc>
          <w:tcPr>
            <w:tcW w:w="65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Adjusted net income/(loss) allocated to common unitholders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149</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337</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132</w:t>
            </w:r>
          </w:p>
        </w:tc>
      </w:tr>
      <w:tr>
        <w:trPr>
          <w:trHeight w:val="217"/>
        </w:trPr>
        <w:tc>
          <w:tcPr>
            <w:tcW w:w="6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Basic weighted average common units outstanding</w:t>
            </w:r>
          </w:p>
        </w:tc>
        <w:tc>
          <w:tcPr>
            <w:tcW w:w="26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725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398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708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398</w:t>
            </w: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30"/>
        </w:trPr>
        <w:tc>
          <w:tcPr>
            <w:tcW w:w="65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304"/>
        </w:trPr>
        <w:tc>
          <w:tcPr>
            <w:tcW w:w="65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Basic adjusted net income/(loss) per common unit</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0.21</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(0.12)</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0.47</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0.33</w:t>
            </w:r>
          </w:p>
        </w:tc>
      </w:tr>
      <w:tr>
        <w:trPr>
          <w:trHeight w:val="217"/>
        </w:trPr>
        <w:tc>
          <w:tcPr>
            <w:tcW w:w="6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b w:val="1"/>
                <w:bCs w:val="1"/>
                <w:color w:val="auto"/>
              </w:rPr>
              <w:t>Diluted Adjusted Net Income per Common Unit</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PAA</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302</w:t>
            </w:r>
          </w:p>
        </w:tc>
      </w:tr>
      <w:tr>
        <w:trPr>
          <w:trHeight w:val="270"/>
        </w:trPr>
        <w:tc>
          <w:tcPr>
            <w:tcW w:w="6520" w:type="dxa"/>
            <w:vAlign w:val="bottom"/>
            <w:tcBorders>
              <w:bottom w:val="single" w:sz="8" w:color="CCEEFF"/>
            </w:tcBorders>
          </w:tcPr>
          <w:p>
            <w:pPr>
              <w:ind w:left="200"/>
              <w:spacing w:after="0" w:line="270" w:lineRule="exact"/>
              <w:rPr>
                <w:sz w:val="20"/>
                <w:szCs w:val="20"/>
                <w:color w:val="auto"/>
              </w:rPr>
            </w:pPr>
            <w:r>
              <w:rPr>
                <w:rFonts w:ascii="Arial" w:cs="Arial" w:eastAsia="Arial" w:hAnsi="Arial"/>
                <w:sz w:val="18"/>
                <w:szCs w:val="18"/>
                <w:color w:val="auto"/>
                <w:w w:val="93"/>
              </w:rPr>
              <w:t xml:space="preserve">Selected items impacting comparability - Adjusted net income attributable to PAA </w:t>
            </w:r>
            <w:r>
              <w:rPr>
                <w:rFonts w:ascii="Arial" w:cs="Arial" w:eastAsia="Arial" w:hAnsi="Arial"/>
                <w:sz w:val="25"/>
                <w:szCs w:val="25"/>
                <w:color w:val="auto"/>
                <w:w w:val="93"/>
                <w:vertAlign w:val="superscript"/>
              </w:rPr>
              <w:t>(2)</w:t>
            </w:r>
          </w:p>
        </w:tc>
        <w:tc>
          <w:tcPr>
            <w:tcW w:w="2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189</w:t>
            </w: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net income attributable to PAA</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491</w:t>
            </w:r>
          </w:p>
        </w:tc>
      </w:tr>
      <w:tr>
        <w:trPr>
          <w:trHeight w:val="243"/>
        </w:trPr>
        <w:tc>
          <w:tcPr>
            <w:tcW w:w="6520" w:type="dxa"/>
            <w:vAlign w:val="bottom"/>
          </w:tcPr>
          <w:p>
            <w:pPr>
              <w:ind w:left="200"/>
              <w:spacing w:after="0"/>
              <w:rPr>
                <w:sz w:val="20"/>
                <w:szCs w:val="20"/>
                <w:color w:val="auto"/>
              </w:rPr>
            </w:pPr>
            <w:r>
              <w:rPr>
                <w:rFonts w:ascii="Arial" w:cs="Arial" w:eastAsia="Arial" w:hAnsi="Arial"/>
                <w:sz w:val="18"/>
                <w:szCs w:val="18"/>
                <w:color w:val="auto"/>
              </w:rPr>
              <w:t>Distributions to Series A preferred units</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Distributions to general partner</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w:t>
            </w:r>
          </w:p>
        </w:tc>
      </w:tr>
      <w:tr>
        <w:trPr>
          <w:trHeight w:val="243"/>
        </w:trPr>
        <w:tc>
          <w:tcPr>
            <w:tcW w:w="6520" w:type="dxa"/>
            <w:vAlign w:val="bottom"/>
          </w:tcPr>
          <w:p>
            <w:pPr>
              <w:ind w:left="20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6</w:t>
            </w:r>
          </w:p>
        </w:tc>
      </w:tr>
      <w:tr>
        <w:trPr>
          <w:trHeight w:val="27"/>
        </w:trPr>
        <w:tc>
          <w:tcPr>
            <w:tcW w:w="6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7"/>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net income/(loss) allocated to common unitholders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149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337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132</w:t>
            </w:r>
          </w:p>
        </w:tc>
      </w:tr>
      <w:tr>
        <w:trPr>
          <w:trHeight w:val="20"/>
        </w:trPr>
        <w:tc>
          <w:tcPr>
            <w:tcW w:w="6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17"/>
        </w:trPr>
        <w:tc>
          <w:tcPr>
            <w:tcW w:w="6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weighted average common units outstanding</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398</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Effect of dilutive securities: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6520" w:type="dxa"/>
            <w:vAlign w:val="bottom"/>
            <w:shd w:val="clear" w:color="auto" w:fill="CCEEFF"/>
          </w:tcPr>
          <w:p>
            <w:pPr>
              <w:ind w:left="200"/>
              <w:spacing w:after="0" w:line="270" w:lineRule="exact"/>
              <w:rPr>
                <w:sz w:val="20"/>
                <w:szCs w:val="20"/>
                <w:color w:val="auto"/>
              </w:rPr>
            </w:pPr>
            <w:r>
              <w:rPr>
                <w:rFonts w:ascii="Arial" w:cs="Arial" w:eastAsia="Arial" w:hAnsi="Arial"/>
                <w:sz w:val="18"/>
                <w:szCs w:val="18"/>
                <w:color w:val="auto"/>
              </w:rPr>
              <w:t xml:space="preserve">LTIP units </w:t>
            </w:r>
            <w:r>
              <w:rPr>
                <w:rFonts w:ascii="Arial" w:cs="Arial" w:eastAsia="Arial" w:hAnsi="Arial"/>
                <w:sz w:val="25"/>
                <w:szCs w:val="25"/>
                <w:color w:val="auto"/>
                <w:vertAlign w:val="superscript"/>
              </w:rPr>
              <w:t>(3)</w:t>
            </w: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97"/>
        </w:trPr>
        <w:tc>
          <w:tcPr>
            <w:tcW w:w="65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Diluted weighted average common units outstanding</w:t>
            </w:r>
          </w:p>
        </w:tc>
        <w:tc>
          <w:tcPr>
            <w:tcW w:w="26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727</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398</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710</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399</w:t>
            </w:r>
          </w:p>
        </w:tc>
      </w:tr>
      <w:tr>
        <w:trPr>
          <w:trHeight w:val="217"/>
        </w:trPr>
        <w:tc>
          <w:tcPr>
            <w:tcW w:w="6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70"/>
        </w:trPr>
        <w:tc>
          <w:tcPr>
            <w:tcW w:w="65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Diluted adjusted net income/(loss) per common unit </w:t>
            </w:r>
            <w:r>
              <w:rPr>
                <w:rFonts w:ascii="Arial" w:cs="Arial" w:eastAsia="Arial" w:hAnsi="Arial"/>
                <w:sz w:val="25"/>
                <w:szCs w:val="25"/>
                <w:color w:val="auto"/>
                <w:vertAlign w:val="superscript"/>
              </w:rPr>
              <w:t>(4)</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0.21</w:t>
            </w:r>
          </w:p>
        </w:tc>
        <w:tc>
          <w:tcPr>
            <w:tcW w:w="100" w:type="dxa"/>
            <w:vAlign w:val="bottom"/>
          </w:tcPr>
          <w:p>
            <w:pPr>
              <w:spacing w:after="0"/>
              <w:rPr>
                <w:sz w:val="23"/>
                <w:szCs w:val="23"/>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(0.12)</w:t>
            </w:r>
          </w:p>
        </w:tc>
        <w:tc>
          <w:tcPr>
            <w:tcW w:w="100" w:type="dxa"/>
            <w:vAlign w:val="bottom"/>
          </w:tcPr>
          <w:p>
            <w:pPr>
              <w:spacing w:after="0"/>
              <w:rPr>
                <w:sz w:val="23"/>
                <w:szCs w:val="23"/>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0.47</w:t>
            </w:r>
          </w:p>
        </w:tc>
        <w:tc>
          <w:tcPr>
            <w:tcW w:w="100" w:type="dxa"/>
            <w:vAlign w:val="bottom"/>
          </w:tcPr>
          <w:p>
            <w:pPr>
              <w:spacing w:after="0"/>
              <w:rPr>
                <w:sz w:val="23"/>
                <w:szCs w:val="23"/>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0.33</w:t>
            </w:r>
          </w:p>
        </w:tc>
      </w:tr>
      <w:tr>
        <w:trPr>
          <w:trHeight w:val="20"/>
        </w:trPr>
        <w:tc>
          <w:tcPr>
            <w:tcW w:w="6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88" w:lineRule="exact"/>
        <w:rPr>
          <w:sz w:val="20"/>
          <w:szCs w:val="20"/>
          <w:color w:val="auto"/>
        </w:rPr>
      </w:pPr>
    </w:p>
    <w:p>
      <w:pPr>
        <w:jc w:val="both"/>
        <w:ind w:left="340" w:right="140" w:hanging="332"/>
        <w:spacing w:after="0" w:line="259" w:lineRule="auto"/>
        <w:tabs>
          <w:tab w:leader="none" w:pos="340" w:val="left"/>
        </w:tabs>
        <w:numPr>
          <w:ilvl w:val="0"/>
          <w:numId w:val="15"/>
        </w:numPr>
        <w:rPr>
          <w:rFonts w:ascii="Arial" w:cs="Arial" w:eastAsia="Arial" w:hAnsi="Arial"/>
          <w:sz w:val="25"/>
          <w:szCs w:val="25"/>
          <w:color w:val="auto"/>
          <w:vertAlign w:val="superscript"/>
        </w:rPr>
      </w:pPr>
      <w:r>
        <w:rPr>
          <w:rFonts w:ascii="Arial" w:cs="Arial" w:eastAsia="Arial" w:hAnsi="Arial"/>
          <w:sz w:val="15"/>
          <w:szCs w:val="15"/>
          <w:color w:val="auto"/>
        </w:rPr>
        <w:t>We calculate adjusted net income/(loss) allocated to common unitholders based on the distributions pertaining to the current period’s net income. After adjusting for the appropriate period’s distributions, the remaining undistributed earnings or excess distributions over earnings (“undistributed loss”), if any, are allocated to the general partner, common unitholders and participating securities in accordance with the contractual terms of our partnership agreement in effect for the period and as further prescribed under the two-class method. The Simplification Transactions, which closed on November 15, 2016, simplified our governance structure and permanently eliminated our IDRs and the economic rights associated with our 2% general partner interest. As such, beginning with the distribution pertaining to the fourth quarter of 2016, our general partner is no longer entitled to receive distributions from these interests.</w:t>
      </w:r>
    </w:p>
    <w:p>
      <w:pPr>
        <w:ind w:left="340" w:hanging="332"/>
        <w:spacing w:after="0" w:line="191" w:lineRule="auto"/>
        <w:tabs>
          <w:tab w:leader="none" w:pos="340" w:val="left"/>
        </w:tabs>
        <w:numPr>
          <w:ilvl w:val="0"/>
          <w:numId w:val="15"/>
        </w:numPr>
        <w:rPr>
          <w:rFonts w:ascii="Arial" w:cs="Arial" w:eastAsia="Arial" w:hAnsi="Arial"/>
          <w:sz w:val="28"/>
          <w:szCs w:val="28"/>
          <w:color w:val="auto"/>
          <w:vertAlign w:val="superscript"/>
        </w:rPr>
      </w:pPr>
      <w:r>
        <w:rPr>
          <w:rFonts w:ascii="Arial" w:cs="Arial" w:eastAsia="Arial" w:hAnsi="Arial"/>
          <w:sz w:val="17"/>
          <w:szCs w:val="17"/>
          <w:color w:val="auto"/>
        </w:rPr>
        <w:t>Certain of our non-GAAP financial measures may not be impacted by each of the selected items impacting comparability.</w:t>
      </w:r>
    </w:p>
    <w:p>
      <w:pPr>
        <w:spacing w:after="0" w:line="56" w:lineRule="exact"/>
        <w:rPr>
          <w:rFonts w:ascii="Arial" w:cs="Arial" w:eastAsia="Arial" w:hAnsi="Arial"/>
          <w:sz w:val="28"/>
          <w:szCs w:val="28"/>
          <w:color w:val="auto"/>
          <w:vertAlign w:val="superscript"/>
        </w:rPr>
      </w:pPr>
    </w:p>
    <w:p>
      <w:pPr>
        <w:ind w:left="340" w:right="20" w:hanging="332"/>
        <w:spacing w:after="0" w:line="241" w:lineRule="auto"/>
        <w:tabs>
          <w:tab w:leader="none" w:pos="340" w:val="left"/>
        </w:tabs>
        <w:numPr>
          <w:ilvl w:val="0"/>
          <w:numId w:val="15"/>
        </w:numPr>
        <w:rPr>
          <w:rFonts w:ascii="Arial" w:cs="Arial" w:eastAsia="Arial" w:hAnsi="Arial"/>
          <w:sz w:val="25"/>
          <w:szCs w:val="25"/>
          <w:color w:val="auto"/>
          <w:vertAlign w:val="superscript"/>
        </w:rPr>
      </w:pPr>
      <w:r>
        <w:rPr>
          <w:rFonts w:ascii="Arial" w:cs="Arial" w:eastAsia="Arial" w:hAnsi="Arial"/>
          <w:sz w:val="15"/>
          <w:szCs w:val="15"/>
          <w:color w:val="auto"/>
        </w:rPr>
        <w:t>Our LTIP awards that contemplate the issuance of common units are considered dilutive unless (i) vesting occurs only upon the satisfaction of a performance condition and (ii) that performance condition has yet to be satisfied. LTIP awards that are deemed to be dilutive are reduced by a hypothetical unit repurchase based on the remaining unamortized fair value, as prescribed by the treasury stock method in guidance issued by the FASB. Such LTIP awards were excluded from the calculation of diluted adjusted net loss per common unit for the three months ended June 30, 2016 as the effect was antidilutive.</w:t>
      </w:r>
    </w:p>
    <w:p>
      <w:pPr>
        <w:spacing w:after="0" w:line="42" w:lineRule="exact"/>
        <w:rPr>
          <w:rFonts w:ascii="Arial" w:cs="Arial" w:eastAsia="Arial" w:hAnsi="Arial"/>
          <w:sz w:val="25"/>
          <w:szCs w:val="25"/>
          <w:color w:val="auto"/>
          <w:vertAlign w:val="superscript"/>
        </w:rPr>
      </w:pPr>
    </w:p>
    <w:p>
      <w:pPr>
        <w:ind w:left="340" w:right="120" w:hanging="332"/>
        <w:spacing w:after="0" w:line="193" w:lineRule="auto"/>
        <w:tabs>
          <w:tab w:leader="none" w:pos="340" w:val="left"/>
        </w:tabs>
        <w:numPr>
          <w:ilvl w:val="0"/>
          <w:numId w:val="15"/>
        </w:numPr>
        <w:rPr>
          <w:rFonts w:ascii="Arial" w:cs="Arial" w:eastAsia="Arial" w:hAnsi="Arial"/>
          <w:sz w:val="28"/>
          <w:szCs w:val="28"/>
          <w:color w:val="auto"/>
          <w:vertAlign w:val="superscript"/>
        </w:rPr>
      </w:pPr>
      <w:r>
        <w:rPr>
          <w:rFonts w:ascii="Arial" w:cs="Arial" w:eastAsia="Arial" w:hAnsi="Arial"/>
          <w:sz w:val="17"/>
          <w:szCs w:val="17"/>
          <w:color w:val="auto"/>
        </w:rPr>
        <w:t>The possible conversion of our Series A preferred units was excluded from the calculation of diluted adjusted net income/(loss) per common unit for the three and six months ended June 30, 2017 and 2016 as the effect was antidilutive.</w:t>
      </w:r>
    </w:p>
    <w:p>
      <w:pPr>
        <w:spacing w:after="0" w:line="234" w:lineRule="exact"/>
        <w:rPr>
          <w:rFonts w:ascii="Arial" w:cs="Arial" w:eastAsia="Arial" w:hAnsi="Arial"/>
          <w:sz w:val="28"/>
          <w:szCs w:val="28"/>
          <w:color w:val="auto"/>
          <w:vertAlign w:val="superscript"/>
        </w:rPr>
      </w:pPr>
    </w:p>
    <w:p>
      <w:pPr>
        <w:ind w:left="5520" w:hanging="96"/>
        <w:spacing w:after="0"/>
        <w:tabs>
          <w:tab w:leader="none" w:pos="55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7" w:lineRule="exact"/>
        <w:rPr>
          <w:sz w:val="20"/>
          <w:szCs w:val="20"/>
          <w:color w:val="auto"/>
        </w:rPr>
      </w:pPr>
    </w:p>
    <w:p>
      <w:pPr>
        <w:ind w:left="1800"/>
        <w:spacing w:after="0"/>
        <w:tabs>
          <w:tab w:leader="none" w:pos="4920" w:val="left"/>
          <w:tab w:leader="none" w:pos="76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420"/>
          </w:cols>
          <w:pgMar w:left="240" w:top="341"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auto"/>
        </w:rPr>
        <w:t>Page 17</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CONSOLIDATING STATEMENTS OF OPERATIONS</w:t>
      </w:r>
      <w:r>
        <w:rPr>
          <w:rFonts w:ascii="Arial" w:cs="Arial" w:eastAsia="Arial" w:hAnsi="Arial"/>
          <w:sz w:val="18"/>
          <w:szCs w:val="18"/>
          <w:b w:val="1"/>
          <w:bCs w:val="1"/>
          <w:color w:val="auto"/>
        </w:rPr>
        <w:t xml:space="preserve"> </w:t>
      </w:r>
      <w:r>
        <w:rPr>
          <w:rFonts w:ascii="Arial" w:cs="Arial" w:eastAsia="Arial" w:hAnsi="Arial"/>
          <w:sz w:val="25"/>
          <w:szCs w:val="25"/>
          <w:b w:val="1"/>
          <w:bCs w:val="1"/>
          <w:color w:val="auto"/>
          <w:vertAlign w:val="superscript"/>
        </w:rPr>
        <w:t>(1)</w:t>
      </w:r>
    </w:p>
    <w:p>
      <w:pPr>
        <w:spacing w:after="0"/>
        <w:rPr>
          <w:sz w:val="20"/>
          <w:szCs w:val="20"/>
          <w:color w:val="auto"/>
        </w:rPr>
      </w:pPr>
      <w:r>
        <w:rPr>
          <w:rFonts w:ascii="Arial" w:cs="Arial" w:eastAsia="Arial" w:hAnsi="Arial"/>
          <w:sz w:val="18"/>
          <w:szCs w:val="18"/>
          <w:color w:val="auto"/>
        </w:rPr>
        <w:t>(in millions, except per share data)</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720" w:type="dxa"/>
            <w:vAlign w:val="bottom"/>
            <w:gridSpan w:val="4"/>
          </w:tcPr>
          <w:p>
            <w:pPr>
              <w:jc w:val="center"/>
              <w:spacing w:after="0"/>
              <w:rPr>
                <w:sz w:val="20"/>
                <w:szCs w:val="20"/>
                <w:color w:val="auto"/>
              </w:rPr>
            </w:pPr>
            <w:r>
              <w:rPr>
                <w:rFonts w:ascii="Arial" w:cs="Arial" w:eastAsia="Arial" w:hAnsi="Arial"/>
                <w:sz w:val="16"/>
                <w:szCs w:val="16"/>
                <w:b w:val="1"/>
                <w:bCs w:val="1"/>
                <w:color w:val="auto"/>
                <w:w w:val="93"/>
              </w:rPr>
              <w:t>Three Months Ended</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3"/>
          </w:tcPr>
          <w:p>
            <w:pPr>
              <w:jc w:val="center"/>
              <w:ind w:right="60"/>
              <w:spacing w:after="0"/>
              <w:rPr>
                <w:sz w:val="20"/>
                <w:szCs w:val="20"/>
                <w:color w:val="auto"/>
              </w:rPr>
            </w:pPr>
            <w:r>
              <w:rPr>
                <w:rFonts w:ascii="Arial" w:cs="Arial" w:eastAsia="Arial" w:hAnsi="Arial"/>
                <w:sz w:val="16"/>
                <w:szCs w:val="16"/>
                <w:b w:val="1"/>
                <w:bCs w:val="1"/>
                <w:color w:val="auto"/>
                <w:w w:val="93"/>
              </w:rPr>
              <w:t>Three Months Ended</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0"/>
              </w:rPr>
              <w:t>June 30, 2017</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June 30, 2016</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Consolidating</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Consolidating</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32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31"/>
              <w:spacing w:after="0"/>
              <w:rPr>
                <w:sz w:val="20"/>
                <w:szCs w:val="20"/>
                <w:color w:val="auto"/>
              </w:rPr>
            </w:pPr>
            <w:r>
              <w:rPr>
                <w:rFonts w:ascii="Arial" w:cs="Arial" w:eastAsia="Arial" w:hAnsi="Arial"/>
                <w:sz w:val="16"/>
                <w:szCs w:val="16"/>
                <w:b w:val="1"/>
                <w:bCs w:val="1"/>
                <w:color w:val="auto"/>
              </w:rPr>
              <w:t>PAA</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center"/>
              <w:ind w:right="91"/>
              <w:spacing w:after="0"/>
              <w:rPr>
                <w:sz w:val="20"/>
                <w:szCs w:val="20"/>
                <w:color w:val="auto"/>
              </w:rPr>
            </w:pPr>
            <w:r>
              <w:rPr>
                <w:rFonts w:ascii="Arial" w:cs="Arial" w:eastAsia="Arial" w:hAnsi="Arial"/>
                <w:sz w:val="16"/>
                <w:szCs w:val="16"/>
                <w:b w:val="1"/>
                <w:bCs w:val="1"/>
                <w:color w:val="auto"/>
                <w:w w:val="89"/>
              </w:rPr>
              <w:t xml:space="preserve">Adjustments </w:t>
            </w:r>
            <w:r>
              <w:rPr>
                <w:rFonts w:ascii="Arial" w:cs="Arial" w:eastAsia="Arial" w:hAnsi="Arial"/>
                <w:sz w:val="21"/>
                <w:szCs w:val="21"/>
                <w:b w:val="1"/>
                <w:bCs w:val="1"/>
                <w:color w:val="auto"/>
                <w:w w:val="89"/>
                <w:vertAlign w:val="superscript"/>
              </w:rPr>
              <w:t>(2)</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6"/>
                <w:szCs w:val="16"/>
                <w:b w:val="1"/>
                <w:bCs w:val="1"/>
                <w:color w:val="auto"/>
              </w:rPr>
              <w:t>PAGP</w:t>
            </w: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11"/>
              <w:spacing w:after="0"/>
              <w:rPr>
                <w:sz w:val="20"/>
                <w:szCs w:val="20"/>
                <w:color w:val="auto"/>
              </w:rPr>
            </w:pPr>
            <w:r>
              <w:rPr>
                <w:rFonts w:ascii="Arial" w:cs="Arial" w:eastAsia="Arial" w:hAnsi="Arial"/>
                <w:sz w:val="16"/>
                <w:szCs w:val="16"/>
                <w:b w:val="1"/>
                <w:bCs w:val="1"/>
                <w:color w:val="auto"/>
              </w:rPr>
              <w:t>PAA</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center"/>
              <w:ind w:right="71"/>
              <w:spacing w:after="0"/>
              <w:rPr>
                <w:sz w:val="20"/>
                <w:szCs w:val="20"/>
                <w:color w:val="auto"/>
              </w:rPr>
            </w:pPr>
            <w:r>
              <w:rPr>
                <w:rFonts w:ascii="Arial" w:cs="Arial" w:eastAsia="Arial" w:hAnsi="Arial"/>
                <w:sz w:val="16"/>
                <w:szCs w:val="16"/>
                <w:b w:val="1"/>
                <w:bCs w:val="1"/>
                <w:color w:val="auto"/>
                <w:w w:val="87"/>
              </w:rPr>
              <w:t xml:space="preserve">Adjustments </w:t>
            </w:r>
            <w:r>
              <w:rPr>
                <w:rFonts w:ascii="Arial" w:cs="Arial" w:eastAsia="Arial" w:hAnsi="Arial"/>
                <w:sz w:val="21"/>
                <w:szCs w:val="21"/>
                <w:b w:val="1"/>
                <w:bCs w:val="1"/>
                <w:color w:val="auto"/>
                <w:w w:val="87"/>
                <w:vertAlign w:val="superscript"/>
              </w:rPr>
              <w:t>(2)</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6"/>
                <w:szCs w:val="16"/>
                <w:b w:val="1"/>
                <w:bCs w:val="1"/>
                <w:color w:val="auto"/>
              </w:rPr>
              <w:t>PAGP</w:t>
            </w:r>
          </w:p>
        </w:tc>
        <w:tc>
          <w:tcPr>
            <w:tcW w:w="0" w:type="dxa"/>
            <w:vAlign w:val="bottom"/>
          </w:tcPr>
          <w:p>
            <w:pPr>
              <w:spacing w:after="0"/>
              <w:rPr>
                <w:sz w:val="1"/>
                <w:szCs w:val="1"/>
                <w:color w:val="auto"/>
              </w:rPr>
            </w:pPr>
          </w:p>
        </w:tc>
      </w:tr>
      <w:tr>
        <w:trPr>
          <w:trHeight w:val="244"/>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6,078</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6,078</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4,950</w:t>
            </w:r>
          </w:p>
        </w:tc>
        <w:tc>
          <w:tcPr>
            <w:tcW w:w="0" w:type="dxa"/>
            <w:vAlign w:val="bottom"/>
          </w:tcPr>
          <w:p>
            <w:pPr>
              <w:spacing w:after="0"/>
              <w:rPr>
                <w:sz w:val="1"/>
                <w:szCs w:val="1"/>
                <w:color w:val="auto"/>
              </w:rPr>
            </w:pPr>
          </w:p>
        </w:tc>
      </w:tr>
      <w:tr>
        <w:trPr>
          <w:trHeight w:val="284"/>
        </w:trPr>
        <w:tc>
          <w:tcPr>
            <w:tcW w:w="3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COSTS AND EXPENSES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Purchases and related costs</w:t>
            </w:r>
          </w:p>
        </w:tc>
        <w:tc>
          <w:tcPr>
            <w:tcW w:w="2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5,320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5,320</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4,224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4,224</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Field operating costs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304</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General and administrative expenses</w:t>
            </w:r>
          </w:p>
        </w:tc>
        <w:tc>
          <w:tcPr>
            <w:tcW w:w="2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69</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129</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37"/>
        </w:trPr>
        <w:tc>
          <w:tcPr>
            <w:tcW w:w="3200" w:type="dxa"/>
            <w:vAlign w:val="bottom"/>
          </w:tcPr>
          <w:p>
            <w:pPr>
              <w:ind w:left="200"/>
              <w:spacing w:after="0"/>
              <w:rPr>
                <w:sz w:val="20"/>
                <w:szCs w:val="20"/>
                <w:color w:val="auto"/>
              </w:rPr>
            </w:pPr>
            <w:r>
              <w:rPr>
                <w:rFonts w:ascii="Arial" w:cs="Arial" w:eastAsia="Arial" w:hAnsi="Arial"/>
                <w:sz w:val="18"/>
                <w:szCs w:val="18"/>
                <w:color w:val="auto"/>
              </w:rPr>
              <w:t>Total costs and expenses</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5,821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5,822</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4,804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4,805</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32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b w:val="1"/>
                <w:bCs w:val="1"/>
                <w:color w:val="auto"/>
              </w:rPr>
              <w:t>OPERATING INCOME</w:t>
            </w:r>
          </w:p>
        </w:tc>
        <w:tc>
          <w:tcPr>
            <w:tcW w:w="2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257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256</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32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b w:val="1"/>
                <w:bCs w:val="1"/>
                <w:color w:val="auto"/>
              </w:rPr>
              <w:t>OTHER INCOME/(EXPENSE)</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Equity earnings in unconsolidated entities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(127)</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7"/>
        </w:trPr>
        <w:tc>
          <w:tcPr>
            <w:tcW w:w="32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TAX</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198</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Current income tax expense</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 benefit/(expense)</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7"/>
        </w:trPr>
        <w:tc>
          <w:tcPr>
            <w:tcW w:w="32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174</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29"/>
        </w:trPr>
        <w:tc>
          <w:tcPr>
            <w:tcW w:w="3200" w:type="dxa"/>
            <w:vAlign w:val="bottom"/>
          </w:tcPr>
          <w:p>
            <w:pPr>
              <w:ind w:left="200"/>
              <w:spacing w:after="0"/>
              <w:rPr>
                <w:sz w:val="20"/>
                <w:szCs w:val="20"/>
                <w:color w:val="auto"/>
              </w:rPr>
            </w:pPr>
            <w:r>
              <w:rPr>
                <w:rFonts w:ascii="Arial" w:cs="Arial" w:eastAsia="Arial" w:hAnsi="Arial"/>
                <w:sz w:val="18"/>
                <w:szCs w:val="18"/>
                <w:color w:val="auto"/>
              </w:rPr>
              <w:t>Net income attributable to</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360"/>
              <w:spacing w:after="0"/>
              <w:rPr>
                <w:sz w:val="20"/>
                <w:szCs w:val="20"/>
                <w:color w:val="auto"/>
              </w:rPr>
            </w:pPr>
            <w:r>
              <w:rPr>
                <w:rFonts w:ascii="Arial" w:cs="Arial" w:eastAsia="Arial" w:hAnsi="Arial"/>
                <w:sz w:val="18"/>
                <w:szCs w:val="18"/>
                <w:color w:val="auto"/>
              </w:rPr>
              <w:t>noncontrolling interests</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3200" w:type="dxa"/>
            <w:vAlign w:val="bottom"/>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rPr>
              <w:t>NET INCOME ATTRIBUTABLE TO</w:t>
            </w: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188</w:t>
            </w:r>
          </w:p>
        </w:tc>
        <w:tc>
          <w:tcPr>
            <w:tcW w:w="120" w:type="dxa"/>
            <w:vAlign w:val="bottom"/>
            <w:vMerge w:val="restart"/>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00" w:type="dxa"/>
            <w:vAlign w:val="bottom"/>
            <w:shd w:val="clear" w:color="auto" w:fill="CCEEFF"/>
          </w:tcPr>
          <w:p>
            <w:pPr>
              <w:spacing w:after="0"/>
              <w:rPr>
                <w:sz w:val="17"/>
                <w:szCs w:val="17"/>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24</w:t>
            </w:r>
          </w:p>
        </w:tc>
        <w:tc>
          <w:tcPr>
            <w:tcW w:w="120" w:type="dxa"/>
            <w:vAlign w:val="bottom"/>
            <w:tcBorders>
              <w:right w:val="single" w:sz="8" w:color="auto"/>
            </w:tcBorders>
            <w:shd w:val="clear" w:color="auto" w:fill="CCEEFF"/>
          </w:tcPr>
          <w:p>
            <w:pPr>
              <w:spacing w:after="0"/>
              <w:rPr>
                <w:sz w:val="17"/>
                <w:szCs w:val="17"/>
                <w:color w:val="auto"/>
              </w:rPr>
            </w:pPr>
          </w:p>
        </w:tc>
        <w:tc>
          <w:tcPr>
            <w:tcW w:w="100" w:type="dxa"/>
            <w:vAlign w:val="bottom"/>
            <w:vMerge w:val="restart"/>
            <w:shd w:val="clear" w:color="auto" w:fill="CCEEFF"/>
          </w:tcPr>
          <w:p>
            <w:pPr>
              <w:spacing w:after="0"/>
              <w:rPr>
                <w:sz w:val="17"/>
                <w:szCs w:val="17"/>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7"/>
                <w:szCs w:val="17"/>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41"/>
        </w:trPr>
        <w:tc>
          <w:tcPr>
            <w:tcW w:w="3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PAGP</w:t>
            </w: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vMerge w:val="continue"/>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3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vMerge w:val="continue"/>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3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3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32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3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BASIC NET INCOME PER CLASS A SHARE</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0.16</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r>
        <w:trPr>
          <w:trHeight w:val="20"/>
        </w:trPr>
        <w:tc>
          <w:tcPr>
            <w:tcW w:w="43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3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3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DILUTED NET INCOME PER CLASS A SHARE</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0.16</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0"/>
        </w:trPr>
        <w:tc>
          <w:tcPr>
            <w:tcW w:w="4500" w:type="dxa"/>
            <w:vAlign w:val="bottom"/>
            <w:gridSpan w:val="4"/>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3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10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8"/>
                <w:szCs w:val="18"/>
                <w:b w:val="1"/>
                <w:bCs w:val="1"/>
                <w:color w:val="auto"/>
              </w:rPr>
              <w:t>BASIC WEIGHTED AVERAGE CLASS A SHARES OUTSTANDING</w:t>
            </w:r>
          </w:p>
        </w:tc>
        <w:tc>
          <w:tcPr>
            <w:tcW w:w="2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153</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4500" w:type="dxa"/>
            <w:vAlign w:val="bottom"/>
            <w:gridSpan w:val="4"/>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3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10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8"/>
                <w:szCs w:val="18"/>
                <w:b w:val="1"/>
                <w:bCs w:val="1"/>
                <w:color w:val="auto"/>
              </w:rPr>
              <w:t>DILUTED WEIGHTED AVERAGE CLASS A SHARES OUTSTANDING</w:t>
            </w:r>
          </w:p>
        </w:tc>
        <w:tc>
          <w:tcPr>
            <w:tcW w:w="2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153</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90" w:lineRule="exact"/>
        <w:rPr>
          <w:sz w:val="20"/>
          <w:szCs w:val="20"/>
          <w:color w:val="auto"/>
        </w:rPr>
      </w:pPr>
    </w:p>
    <w:p>
      <w:pPr>
        <w:ind w:left="340" w:right="80" w:hanging="332"/>
        <w:spacing w:after="0" w:line="216" w:lineRule="auto"/>
        <w:tabs>
          <w:tab w:leader="none" w:pos="340" w:val="left"/>
        </w:tabs>
        <w:numPr>
          <w:ilvl w:val="0"/>
          <w:numId w:val="16"/>
        </w:numPr>
        <w:rPr>
          <w:rFonts w:ascii="Arial" w:cs="Arial" w:eastAsia="Arial" w:hAnsi="Arial"/>
          <w:sz w:val="25"/>
          <w:szCs w:val="25"/>
          <w:color w:val="auto"/>
          <w:vertAlign w:val="superscript"/>
        </w:rPr>
      </w:pPr>
      <w:r>
        <w:rPr>
          <w:rFonts w:ascii="Arial" w:cs="Arial" w:eastAsia="Arial" w:hAnsi="Arial"/>
          <w:sz w:val="18"/>
          <w:szCs w:val="18"/>
          <w:color w:val="auto"/>
        </w:rPr>
        <w:t>A reverse split of PAGP’s Class A shares was completed on November 15, 2016. The effect of the reverse split has been retroactively applied to all share and per-share amounts presented.</w:t>
      </w:r>
    </w:p>
    <w:p>
      <w:pPr>
        <w:spacing w:after="0" w:line="1" w:lineRule="exact"/>
        <w:rPr>
          <w:rFonts w:ascii="Arial" w:cs="Arial" w:eastAsia="Arial" w:hAnsi="Arial"/>
          <w:sz w:val="25"/>
          <w:szCs w:val="25"/>
          <w:color w:val="auto"/>
          <w:vertAlign w:val="superscript"/>
        </w:rPr>
      </w:pPr>
    </w:p>
    <w:p>
      <w:pPr>
        <w:ind w:left="340" w:hanging="332"/>
        <w:spacing w:after="0" w:line="225" w:lineRule="auto"/>
        <w:tabs>
          <w:tab w:leader="none" w:pos="340" w:val="left"/>
        </w:tabs>
        <w:numPr>
          <w:ilvl w:val="0"/>
          <w:numId w:val="16"/>
        </w:numPr>
        <w:rPr>
          <w:rFonts w:ascii="Arial" w:cs="Arial" w:eastAsia="Arial" w:hAnsi="Arial"/>
          <w:sz w:val="25"/>
          <w:szCs w:val="25"/>
          <w:color w:val="auto"/>
          <w:vertAlign w:val="superscript"/>
        </w:rPr>
      </w:pPr>
      <w:r>
        <w:rPr>
          <w:rFonts w:ascii="Arial" w:cs="Arial" w:eastAsia="Arial" w:hAnsi="Arial"/>
          <w:sz w:val="18"/>
          <w:szCs w:val="18"/>
          <w:color w:val="auto"/>
        </w:rPr>
        <w:t>Represents the aggregate consolidating adjustments necessary to produce consolidated financial statements for PAGP.</w:t>
      </w:r>
    </w:p>
    <w:p>
      <w:pPr>
        <w:spacing w:after="0" w:line="229" w:lineRule="exact"/>
        <w:rPr>
          <w:rFonts w:ascii="Arial" w:cs="Arial" w:eastAsia="Arial" w:hAnsi="Arial"/>
          <w:sz w:val="25"/>
          <w:szCs w:val="25"/>
          <w:color w:val="auto"/>
          <w:vertAlign w:val="superscript"/>
        </w:rPr>
      </w:pPr>
    </w:p>
    <w:p>
      <w:pPr>
        <w:ind w:left="5520" w:hanging="96"/>
        <w:spacing w:after="0"/>
        <w:tabs>
          <w:tab w:leader="none" w:pos="55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7" w:lineRule="exact"/>
        <w:rPr>
          <w:sz w:val="20"/>
          <w:szCs w:val="20"/>
          <w:color w:val="auto"/>
        </w:rPr>
      </w:pPr>
    </w:p>
    <w:p>
      <w:pPr>
        <w:ind w:left="1800"/>
        <w:spacing w:after="0"/>
        <w:tabs>
          <w:tab w:leader="none" w:pos="4920" w:val="left"/>
          <w:tab w:leader="none" w:pos="76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420"/>
          </w:cols>
          <w:pgMar w:left="240" w:top="341"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auto"/>
        </w:rPr>
        <w:t>Page 18</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CONSOLIDATING STATEMENTS OF OPERATIONS</w:t>
      </w:r>
      <w:r>
        <w:rPr>
          <w:rFonts w:ascii="Arial" w:cs="Arial" w:eastAsia="Arial" w:hAnsi="Arial"/>
          <w:sz w:val="18"/>
          <w:szCs w:val="18"/>
          <w:b w:val="1"/>
          <w:bCs w:val="1"/>
          <w:color w:val="auto"/>
        </w:rPr>
        <w:t xml:space="preserve"> </w:t>
      </w:r>
      <w:r>
        <w:rPr>
          <w:rFonts w:ascii="Arial" w:cs="Arial" w:eastAsia="Arial" w:hAnsi="Arial"/>
          <w:sz w:val="25"/>
          <w:szCs w:val="25"/>
          <w:b w:val="1"/>
          <w:bCs w:val="1"/>
          <w:color w:val="auto"/>
          <w:vertAlign w:val="superscript"/>
        </w:rPr>
        <w:t>(1)</w:t>
      </w:r>
    </w:p>
    <w:p>
      <w:pPr>
        <w:spacing w:after="0"/>
        <w:rPr>
          <w:sz w:val="20"/>
          <w:szCs w:val="20"/>
          <w:color w:val="auto"/>
        </w:rPr>
      </w:pPr>
      <w:r>
        <w:rPr>
          <w:rFonts w:ascii="Arial" w:cs="Arial" w:eastAsia="Arial" w:hAnsi="Arial"/>
          <w:sz w:val="18"/>
          <w:szCs w:val="18"/>
          <w:color w:val="auto"/>
        </w:rPr>
        <w:t>(in millions, except per share data)</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3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2"/>
              </w:rPr>
              <w:t>Six Months Ended</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2"/>
              </w:rPr>
              <w:t>Six Months Ended</w:t>
            </w: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June 30, 2017</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June 30, 2016</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Consolidating</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Consolidating</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32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31"/>
              <w:spacing w:after="0"/>
              <w:rPr>
                <w:sz w:val="20"/>
                <w:szCs w:val="20"/>
                <w:color w:val="auto"/>
              </w:rPr>
            </w:pPr>
            <w:r>
              <w:rPr>
                <w:rFonts w:ascii="Arial" w:cs="Arial" w:eastAsia="Arial" w:hAnsi="Arial"/>
                <w:sz w:val="16"/>
                <w:szCs w:val="16"/>
                <w:b w:val="1"/>
                <w:bCs w:val="1"/>
                <w:color w:val="auto"/>
              </w:rPr>
              <w:t>PAA</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center"/>
              <w:ind w:right="71"/>
              <w:spacing w:after="0"/>
              <w:rPr>
                <w:sz w:val="20"/>
                <w:szCs w:val="20"/>
                <w:color w:val="auto"/>
              </w:rPr>
            </w:pPr>
            <w:r>
              <w:rPr>
                <w:rFonts w:ascii="Arial" w:cs="Arial" w:eastAsia="Arial" w:hAnsi="Arial"/>
                <w:sz w:val="16"/>
                <w:szCs w:val="16"/>
                <w:b w:val="1"/>
                <w:bCs w:val="1"/>
                <w:color w:val="auto"/>
                <w:w w:val="87"/>
              </w:rPr>
              <w:t xml:space="preserve">Adjustments </w:t>
            </w:r>
            <w:r>
              <w:rPr>
                <w:rFonts w:ascii="Arial" w:cs="Arial" w:eastAsia="Arial" w:hAnsi="Arial"/>
                <w:sz w:val="21"/>
                <w:szCs w:val="21"/>
                <w:b w:val="1"/>
                <w:bCs w:val="1"/>
                <w:color w:val="auto"/>
                <w:w w:val="87"/>
                <w:vertAlign w:val="superscript"/>
              </w:rPr>
              <w:t>(2)</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6"/>
                <w:szCs w:val="16"/>
                <w:b w:val="1"/>
                <w:bCs w:val="1"/>
                <w:color w:val="auto"/>
              </w:rPr>
              <w:t>PAGP</w:t>
            </w:r>
          </w:p>
        </w:tc>
        <w:tc>
          <w:tcPr>
            <w:tcW w:w="1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31"/>
              <w:spacing w:after="0"/>
              <w:rPr>
                <w:sz w:val="20"/>
                <w:szCs w:val="20"/>
                <w:color w:val="auto"/>
              </w:rPr>
            </w:pPr>
            <w:r>
              <w:rPr>
                <w:rFonts w:ascii="Arial" w:cs="Arial" w:eastAsia="Arial" w:hAnsi="Arial"/>
                <w:sz w:val="16"/>
                <w:szCs w:val="16"/>
                <w:b w:val="1"/>
                <w:bCs w:val="1"/>
                <w:color w:val="auto"/>
              </w:rPr>
              <w:t>PAA</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center"/>
              <w:ind w:right="91"/>
              <w:spacing w:after="0"/>
              <w:rPr>
                <w:sz w:val="20"/>
                <w:szCs w:val="20"/>
                <w:color w:val="auto"/>
              </w:rPr>
            </w:pPr>
            <w:r>
              <w:rPr>
                <w:rFonts w:ascii="Arial" w:cs="Arial" w:eastAsia="Arial" w:hAnsi="Arial"/>
                <w:sz w:val="16"/>
                <w:szCs w:val="16"/>
                <w:b w:val="1"/>
                <w:bCs w:val="1"/>
                <w:color w:val="auto"/>
                <w:w w:val="89"/>
              </w:rPr>
              <w:t xml:space="preserve">Adjustments </w:t>
            </w:r>
            <w:r>
              <w:rPr>
                <w:rFonts w:ascii="Arial" w:cs="Arial" w:eastAsia="Arial" w:hAnsi="Arial"/>
                <w:sz w:val="21"/>
                <w:szCs w:val="21"/>
                <w:b w:val="1"/>
                <w:bCs w:val="1"/>
                <w:color w:val="auto"/>
                <w:w w:val="89"/>
                <w:vertAlign w:val="superscript"/>
              </w:rPr>
              <w:t>(2)</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6"/>
                <w:szCs w:val="16"/>
                <w:b w:val="1"/>
                <w:bCs w:val="1"/>
                <w:color w:val="auto"/>
              </w:rPr>
              <w:t>PAGP</w:t>
            </w:r>
          </w:p>
        </w:tc>
        <w:tc>
          <w:tcPr>
            <w:tcW w:w="0" w:type="dxa"/>
            <w:vAlign w:val="bottom"/>
          </w:tcPr>
          <w:p>
            <w:pPr>
              <w:spacing w:after="0"/>
              <w:rPr>
                <w:sz w:val="1"/>
                <w:szCs w:val="1"/>
                <w:color w:val="auto"/>
              </w:rPr>
            </w:pPr>
          </w:p>
        </w:tc>
      </w:tr>
      <w:tr>
        <w:trPr>
          <w:trHeight w:val="244"/>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12,745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12,745</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9,060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9,060</w:t>
            </w:r>
          </w:p>
        </w:tc>
        <w:tc>
          <w:tcPr>
            <w:tcW w:w="0" w:type="dxa"/>
            <w:vAlign w:val="bottom"/>
          </w:tcPr>
          <w:p>
            <w:pPr>
              <w:spacing w:after="0"/>
              <w:rPr>
                <w:sz w:val="1"/>
                <w:szCs w:val="1"/>
                <w:color w:val="auto"/>
              </w:rPr>
            </w:pPr>
          </w:p>
        </w:tc>
      </w:tr>
      <w:tr>
        <w:trPr>
          <w:trHeight w:val="284"/>
        </w:trPr>
        <w:tc>
          <w:tcPr>
            <w:tcW w:w="3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COSTS AND EXPENSES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00" w:type="dxa"/>
            <w:vAlign w:val="bottom"/>
          </w:tcPr>
          <w:p>
            <w:pPr>
              <w:ind w:left="20"/>
              <w:spacing w:after="0"/>
              <w:rPr>
                <w:sz w:val="20"/>
                <w:szCs w:val="20"/>
                <w:color w:val="auto"/>
              </w:rPr>
            </w:pPr>
            <w:r>
              <w:rPr>
                <w:rFonts w:ascii="Arial" w:cs="Arial" w:eastAsia="Arial" w:hAnsi="Arial"/>
                <w:sz w:val="18"/>
                <w:szCs w:val="18"/>
                <w:color w:val="auto"/>
              </w:rPr>
              <w:t>Purchases and related costs</w:t>
            </w: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10,912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10,912</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7,571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7,571</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Field operating costs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593</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43"/>
        </w:trPr>
        <w:tc>
          <w:tcPr>
            <w:tcW w:w="3200" w:type="dxa"/>
            <w:vAlign w:val="bottom"/>
          </w:tcPr>
          <w:p>
            <w:pPr>
              <w:ind w:left="20"/>
              <w:spacing w:after="0"/>
              <w:rPr>
                <w:sz w:val="20"/>
                <w:szCs w:val="20"/>
                <w:color w:val="auto"/>
              </w:rPr>
            </w:pPr>
            <w:r>
              <w:rPr>
                <w:rFonts w:ascii="Arial" w:cs="Arial" w:eastAsia="Arial" w:hAnsi="Arial"/>
                <w:sz w:val="18"/>
                <w:szCs w:val="18"/>
                <w:color w:val="auto"/>
              </w:rPr>
              <w:t>General and administrative expenses</w:t>
            </w: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142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145</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251</w:t>
            </w:r>
          </w:p>
        </w:tc>
        <w:tc>
          <w:tcPr>
            <w:tcW w:w="14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37"/>
        </w:trPr>
        <w:tc>
          <w:tcPr>
            <w:tcW w:w="3200" w:type="dxa"/>
            <w:vAlign w:val="bottom"/>
          </w:tcPr>
          <w:p>
            <w:pPr>
              <w:ind w:left="200"/>
              <w:spacing w:after="0"/>
              <w:rPr>
                <w:sz w:val="20"/>
                <w:szCs w:val="20"/>
                <w:color w:val="auto"/>
              </w:rPr>
            </w:pPr>
            <w:r>
              <w:rPr>
                <w:rFonts w:ascii="Arial" w:cs="Arial" w:eastAsia="Arial" w:hAnsi="Arial"/>
                <w:sz w:val="18"/>
                <w:szCs w:val="18"/>
                <w:color w:val="auto"/>
              </w:rPr>
              <w:t>Total costs and expenses</w:t>
            </w: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11,897</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11,901</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8,633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8,635</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32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4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200" w:type="dxa"/>
            <w:vAlign w:val="bottom"/>
          </w:tcPr>
          <w:p>
            <w:pPr>
              <w:ind w:left="20"/>
              <w:spacing w:after="0"/>
              <w:rPr>
                <w:sz w:val="20"/>
                <w:szCs w:val="20"/>
                <w:color w:val="auto"/>
              </w:rPr>
            </w:pPr>
            <w:r>
              <w:rPr>
                <w:rFonts w:ascii="Arial" w:cs="Arial" w:eastAsia="Arial" w:hAnsi="Arial"/>
                <w:sz w:val="18"/>
                <w:szCs w:val="18"/>
                <w:b w:val="1"/>
                <w:bCs w:val="1"/>
                <w:color w:val="auto"/>
              </w:rPr>
              <w:t>OPERATING INCOME</w:t>
            </w: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848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844</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427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32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4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200" w:type="dxa"/>
            <w:vAlign w:val="bottom"/>
          </w:tcPr>
          <w:p>
            <w:pPr>
              <w:ind w:left="20"/>
              <w:spacing w:after="0"/>
              <w:rPr>
                <w:sz w:val="20"/>
                <w:szCs w:val="20"/>
                <w:color w:val="auto"/>
              </w:rPr>
            </w:pPr>
            <w:r>
              <w:rPr>
                <w:rFonts w:ascii="Arial" w:cs="Arial" w:eastAsia="Arial" w:hAnsi="Arial"/>
                <w:sz w:val="18"/>
                <w:szCs w:val="18"/>
                <w:b w:val="1"/>
                <w:bCs w:val="1"/>
                <w:color w:val="auto"/>
              </w:rPr>
              <w:t>OTHER INCOME/(EXPENSE)</w:t>
            </w: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5"/>
              </w:rPr>
              <w:t>Equity earnings in unconsolidated entities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43"/>
        </w:trPr>
        <w:tc>
          <w:tcPr>
            <w:tcW w:w="320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(256)</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income/(expense), net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7"/>
        </w:trPr>
        <w:tc>
          <w:tcPr>
            <w:tcW w:w="32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INCOME BEFORE TAX</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705</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43"/>
        </w:trPr>
        <w:tc>
          <w:tcPr>
            <w:tcW w:w="3200" w:type="dxa"/>
            <w:vAlign w:val="bottom"/>
          </w:tcPr>
          <w:p>
            <w:pPr>
              <w:ind w:left="20"/>
              <w:spacing w:after="0"/>
              <w:rPr>
                <w:sz w:val="20"/>
                <w:szCs w:val="20"/>
                <w:color w:val="auto"/>
              </w:rPr>
            </w:pPr>
            <w:r>
              <w:rPr>
                <w:rFonts w:ascii="Arial" w:cs="Arial" w:eastAsia="Arial" w:hAnsi="Arial"/>
                <w:sz w:val="18"/>
                <w:szCs w:val="18"/>
                <w:color w:val="auto"/>
              </w:rPr>
              <w:t>Current income tax expense</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income tax benefit/(expense)</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4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7"/>
        </w:trPr>
        <w:tc>
          <w:tcPr>
            <w:tcW w:w="32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575</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29"/>
        </w:trPr>
        <w:tc>
          <w:tcPr>
            <w:tcW w:w="3200" w:type="dxa"/>
            <w:vAlign w:val="bottom"/>
          </w:tcPr>
          <w:p>
            <w:pPr>
              <w:ind w:left="200"/>
              <w:spacing w:after="0"/>
              <w:rPr>
                <w:sz w:val="20"/>
                <w:szCs w:val="20"/>
                <w:color w:val="auto"/>
              </w:rPr>
            </w:pPr>
            <w:r>
              <w:rPr>
                <w:rFonts w:ascii="Arial" w:cs="Arial" w:eastAsia="Arial" w:hAnsi="Arial"/>
                <w:sz w:val="18"/>
                <w:szCs w:val="18"/>
                <w:color w:val="auto"/>
              </w:rPr>
              <w:t>Net income attributable to</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360"/>
              <w:spacing w:after="0"/>
              <w:rPr>
                <w:sz w:val="20"/>
                <w:szCs w:val="20"/>
                <w:color w:val="auto"/>
              </w:rPr>
            </w:pPr>
            <w:r>
              <w:rPr>
                <w:rFonts w:ascii="Arial" w:cs="Arial" w:eastAsia="Arial" w:hAnsi="Arial"/>
                <w:sz w:val="18"/>
                <w:szCs w:val="18"/>
                <w:color w:val="auto"/>
              </w:rPr>
              <w:t>noncontrolling interests</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(509)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(510)</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320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b w:val="1"/>
                <w:bCs w:val="1"/>
                <w:color w:val="auto"/>
              </w:rPr>
              <w:t>NET INCOME ATTRIBUTABLE TO</w:t>
            </w: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632</w:t>
            </w:r>
          </w:p>
        </w:tc>
        <w:tc>
          <w:tcPr>
            <w:tcW w:w="12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120" w:type="dxa"/>
            <w:vAlign w:val="bottom"/>
            <w:shd w:val="clear" w:color="auto" w:fill="CCEEFF"/>
          </w:tcPr>
          <w:p>
            <w:pPr>
              <w:spacing w:after="0"/>
              <w:rPr>
                <w:sz w:val="17"/>
                <w:szCs w:val="17"/>
                <w:color w:val="auto"/>
              </w:rPr>
            </w:pPr>
          </w:p>
        </w:tc>
        <w:tc>
          <w:tcPr>
            <w:tcW w:w="2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65</w:t>
            </w:r>
          </w:p>
        </w:tc>
        <w:tc>
          <w:tcPr>
            <w:tcW w:w="140" w:type="dxa"/>
            <w:vAlign w:val="bottom"/>
            <w:tcBorders>
              <w:right w:val="single" w:sz="8" w:color="auto"/>
            </w:tcBorders>
            <w:shd w:val="clear" w:color="auto" w:fill="CCEEFF"/>
          </w:tcPr>
          <w:p>
            <w:pPr>
              <w:spacing w:after="0"/>
              <w:rPr>
                <w:sz w:val="17"/>
                <w:szCs w:val="17"/>
                <w:color w:val="auto"/>
              </w:rPr>
            </w:pPr>
          </w:p>
        </w:tc>
        <w:tc>
          <w:tcPr>
            <w:tcW w:w="100" w:type="dxa"/>
            <w:vAlign w:val="bottom"/>
            <w:vMerge w:val="restart"/>
            <w:shd w:val="clear" w:color="auto" w:fill="CCEEFF"/>
          </w:tcPr>
          <w:p>
            <w:pPr>
              <w:spacing w:after="0"/>
              <w:rPr>
                <w:sz w:val="17"/>
                <w:szCs w:val="17"/>
                <w:color w:val="auto"/>
              </w:rPr>
            </w:pP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302</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00" w:type="dxa"/>
            <w:vAlign w:val="bottom"/>
            <w:shd w:val="clear" w:color="auto" w:fill="CCEEFF"/>
          </w:tcPr>
          <w:p>
            <w:pPr>
              <w:spacing w:after="0"/>
              <w:rPr>
                <w:sz w:val="17"/>
                <w:szCs w:val="17"/>
                <w:color w:val="auto"/>
              </w:rPr>
            </w:pPr>
          </w:p>
        </w:tc>
        <w:tc>
          <w:tcPr>
            <w:tcW w:w="2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41"/>
        </w:trPr>
        <w:tc>
          <w:tcPr>
            <w:tcW w:w="3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PAGP</w:t>
            </w: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3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vMerge w:val="continue"/>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3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3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32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46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b w:val="1"/>
                <w:bCs w:val="1"/>
                <w:color w:val="auto"/>
              </w:rPr>
              <w:t>BASIC NET INCOME PER CLASS A SHARE</w:t>
            </w: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0.47</w:t>
            </w: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0.80</w:t>
            </w:r>
          </w:p>
        </w:tc>
        <w:tc>
          <w:tcPr>
            <w:tcW w:w="0" w:type="dxa"/>
            <w:vAlign w:val="bottom"/>
          </w:tcPr>
          <w:p>
            <w:pPr>
              <w:spacing w:after="0"/>
              <w:rPr>
                <w:sz w:val="1"/>
                <w:szCs w:val="1"/>
                <w:color w:val="auto"/>
              </w:rPr>
            </w:pPr>
          </w:p>
        </w:tc>
      </w:tr>
      <w:tr>
        <w:trPr>
          <w:trHeight w:val="20"/>
        </w:trPr>
        <w:tc>
          <w:tcPr>
            <w:tcW w:w="43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3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46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b w:val="1"/>
                <w:bCs w:val="1"/>
                <w:color w:val="auto"/>
              </w:rPr>
              <w:t>DILUTED NET INCOME PER CLASS A SHARE</w:t>
            </w: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0.47</w:t>
            </w: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0.77</w:t>
            </w:r>
          </w:p>
        </w:tc>
        <w:tc>
          <w:tcPr>
            <w:tcW w:w="0" w:type="dxa"/>
            <w:vAlign w:val="bottom"/>
          </w:tcPr>
          <w:p>
            <w:pPr>
              <w:spacing w:after="0"/>
              <w:rPr>
                <w:sz w:val="1"/>
                <w:szCs w:val="1"/>
                <w:color w:val="auto"/>
              </w:rPr>
            </w:pPr>
          </w:p>
        </w:tc>
      </w:tr>
      <w:tr>
        <w:trPr>
          <w:trHeight w:val="20"/>
        </w:trPr>
        <w:tc>
          <w:tcPr>
            <w:tcW w:w="4340" w:type="dxa"/>
            <w:vAlign w:val="bottom"/>
            <w:gridSpan w:val="3"/>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3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040" w:type="dxa"/>
            <w:vAlign w:val="bottom"/>
            <w:tcBorders>
              <w:bottom w:val="single" w:sz="8" w:color="CCEEFF"/>
            </w:tcBorders>
            <w:gridSpan w:val="7"/>
            <w:shd w:val="clear" w:color="auto" w:fill="CCEEFF"/>
          </w:tcPr>
          <w:p>
            <w:pPr>
              <w:ind w:left="20"/>
              <w:spacing w:after="0"/>
              <w:rPr>
                <w:sz w:val="20"/>
                <w:szCs w:val="20"/>
                <w:color w:val="auto"/>
              </w:rPr>
            </w:pPr>
            <w:r>
              <w:rPr>
                <w:rFonts w:ascii="Arial" w:cs="Arial" w:eastAsia="Arial" w:hAnsi="Arial"/>
                <w:sz w:val="18"/>
                <w:szCs w:val="18"/>
                <w:b w:val="1"/>
                <w:bCs w:val="1"/>
                <w:color w:val="auto"/>
              </w:rPr>
              <w:t>BASIC WEIGHTED AVERAGE CLASS A SHARES OUTSTANDING</w:t>
            </w:r>
          </w:p>
        </w:tc>
        <w:tc>
          <w:tcPr>
            <w:tcW w:w="22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136</w:t>
            </w: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0"/>
        </w:trPr>
        <w:tc>
          <w:tcPr>
            <w:tcW w:w="4340" w:type="dxa"/>
            <w:vAlign w:val="bottom"/>
            <w:gridSpan w:val="3"/>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3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040" w:type="dxa"/>
            <w:vAlign w:val="bottom"/>
            <w:tcBorders>
              <w:bottom w:val="single" w:sz="8" w:color="CCEEFF"/>
            </w:tcBorders>
            <w:gridSpan w:val="7"/>
            <w:shd w:val="clear" w:color="auto" w:fill="CCEEFF"/>
          </w:tcPr>
          <w:p>
            <w:pPr>
              <w:ind w:left="20"/>
              <w:spacing w:after="0"/>
              <w:rPr>
                <w:sz w:val="20"/>
                <w:szCs w:val="20"/>
                <w:color w:val="auto"/>
              </w:rPr>
            </w:pPr>
            <w:r>
              <w:rPr>
                <w:rFonts w:ascii="Arial" w:cs="Arial" w:eastAsia="Arial" w:hAnsi="Arial"/>
                <w:sz w:val="18"/>
                <w:szCs w:val="18"/>
                <w:b w:val="1"/>
                <w:bCs w:val="1"/>
                <w:color w:val="auto"/>
              </w:rPr>
              <w:t>DILUTED WEIGHTED AVERAGE CLASS A SHARES OUTSTANDING</w:t>
            </w:r>
          </w:p>
        </w:tc>
        <w:tc>
          <w:tcPr>
            <w:tcW w:w="22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136</w:t>
            </w: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90" w:lineRule="exact"/>
        <w:rPr>
          <w:sz w:val="20"/>
          <w:szCs w:val="20"/>
          <w:color w:val="auto"/>
        </w:rPr>
      </w:pPr>
    </w:p>
    <w:p>
      <w:pPr>
        <w:ind w:left="340" w:right="60" w:hanging="332"/>
        <w:spacing w:after="0" w:line="216" w:lineRule="auto"/>
        <w:tabs>
          <w:tab w:leader="none" w:pos="340" w:val="left"/>
        </w:tabs>
        <w:numPr>
          <w:ilvl w:val="0"/>
          <w:numId w:val="17"/>
        </w:numPr>
        <w:rPr>
          <w:rFonts w:ascii="Arial" w:cs="Arial" w:eastAsia="Arial" w:hAnsi="Arial"/>
          <w:sz w:val="25"/>
          <w:szCs w:val="25"/>
          <w:color w:val="auto"/>
          <w:vertAlign w:val="superscript"/>
        </w:rPr>
      </w:pPr>
      <w:r>
        <w:rPr>
          <w:rFonts w:ascii="Arial" w:cs="Arial" w:eastAsia="Arial" w:hAnsi="Arial"/>
          <w:sz w:val="18"/>
          <w:szCs w:val="18"/>
          <w:color w:val="auto"/>
        </w:rPr>
        <w:t>A reverse split of PAGP’s Class A shares was completed on November 15, 2016. The effect of the reverse split has been retroactively applied to all share and per-share amounts presented.</w:t>
      </w:r>
    </w:p>
    <w:p>
      <w:pPr>
        <w:spacing w:after="0" w:line="1" w:lineRule="exact"/>
        <w:rPr>
          <w:rFonts w:ascii="Arial" w:cs="Arial" w:eastAsia="Arial" w:hAnsi="Arial"/>
          <w:sz w:val="25"/>
          <w:szCs w:val="25"/>
          <w:color w:val="auto"/>
          <w:vertAlign w:val="superscript"/>
        </w:rPr>
      </w:pPr>
    </w:p>
    <w:p>
      <w:pPr>
        <w:ind w:left="340" w:hanging="332"/>
        <w:spacing w:after="0" w:line="225" w:lineRule="auto"/>
        <w:tabs>
          <w:tab w:leader="none" w:pos="340" w:val="left"/>
        </w:tabs>
        <w:numPr>
          <w:ilvl w:val="0"/>
          <w:numId w:val="17"/>
        </w:numPr>
        <w:rPr>
          <w:rFonts w:ascii="Arial" w:cs="Arial" w:eastAsia="Arial" w:hAnsi="Arial"/>
          <w:sz w:val="25"/>
          <w:szCs w:val="25"/>
          <w:color w:val="auto"/>
          <w:vertAlign w:val="superscript"/>
        </w:rPr>
      </w:pPr>
      <w:r>
        <w:rPr>
          <w:rFonts w:ascii="Arial" w:cs="Arial" w:eastAsia="Arial" w:hAnsi="Arial"/>
          <w:sz w:val="18"/>
          <w:szCs w:val="18"/>
          <w:color w:val="auto"/>
        </w:rPr>
        <w:t>Represents the aggregate consolidating adjustments necessary to produce consolidated financial statements for PAGP.</w:t>
      </w:r>
    </w:p>
    <w:p>
      <w:pPr>
        <w:spacing w:after="0" w:line="229" w:lineRule="exact"/>
        <w:rPr>
          <w:rFonts w:ascii="Arial" w:cs="Arial" w:eastAsia="Arial" w:hAnsi="Arial"/>
          <w:sz w:val="25"/>
          <w:szCs w:val="25"/>
          <w:color w:val="auto"/>
          <w:vertAlign w:val="superscript"/>
        </w:rPr>
      </w:pPr>
    </w:p>
    <w:p>
      <w:pPr>
        <w:ind w:left="5520" w:hanging="96"/>
        <w:spacing w:after="0"/>
        <w:tabs>
          <w:tab w:leader="none" w:pos="55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7" w:lineRule="exact"/>
        <w:rPr>
          <w:sz w:val="20"/>
          <w:szCs w:val="20"/>
          <w:color w:val="auto"/>
        </w:rPr>
      </w:pPr>
    </w:p>
    <w:p>
      <w:pPr>
        <w:ind w:left="1800"/>
        <w:spacing w:after="0"/>
        <w:tabs>
          <w:tab w:leader="none" w:pos="4920" w:val="left"/>
          <w:tab w:leader="none" w:pos="76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400"/>
          </w:cols>
          <w:pgMar w:left="240" w:top="341" w:right="25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auto"/>
        </w:rPr>
        <w:t>Page 19</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CONSOLIDATING BALANCE SHEET DATA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0"/>
              </w:rPr>
              <w:t>June 30, 2017</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90"/>
              </w:rPr>
              <w:t>December 31, 2016</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33"/>
        </w:trPr>
        <w:tc>
          <w:tcPr>
            <w:tcW w:w="3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1"/>
        </w:trPr>
        <w:tc>
          <w:tcPr>
            <w:tcW w:w="3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Consolidating</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Consolidating</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03"/>
        </w:trPr>
        <w:tc>
          <w:tcPr>
            <w:tcW w:w="3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gridSpan w:val="2"/>
          </w:tcPr>
          <w:p>
            <w:pPr>
              <w:ind w:left="160"/>
              <w:spacing w:after="0"/>
              <w:rPr>
                <w:sz w:val="20"/>
                <w:szCs w:val="20"/>
                <w:color w:val="auto"/>
              </w:rPr>
            </w:pPr>
            <w:r>
              <w:rPr>
                <w:rFonts w:ascii="Arial" w:cs="Arial" w:eastAsia="Arial" w:hAnsi="Arial"/>
                <w:sz w:val="16"/>
                <w:szCs w:val="16"/>
                <w:b w:val="1"/>
                <w:bCs w:val="1"/>
                <w:color w:val="auto"/>
              </w:rPr>
              <w:t>PAA</w:t>
            </w:r>
          </w:p>
        </w:tc>
        <w:tc>
          <w:tcPr>
            <w:tcW w:w="180" w:type="dxa"/>
            <w:vAlign w:val="bottom"/>
          </w:tcPr>
          <w:p>
            <w:pPr>
              <w:spacing w:after="0"/>
              <w:rPr>
                <w:sz w:val="24"/>
                <w:szCs w:val="24"/>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 xml:space="preserve">Adjustments </w:t>
            </w:r>
            <w:r>
              <w:rPr>
                <w:rFonts w:ascii="Arial" w:cs="Arial" w:eastAsia="Arial" w:hAnsi="Arial"/>
                <w:sz w:val="21"/>
                <w:szCs w:val="21"/>
                <w:b w:val="1"/>
                <w:bCs w:val="1"/>
                <w:color w:val="auto"/>
                <w:w w:val="89"/>
                <w:vertAlign w:val="superscript"/>
              </w:rPr>
              <w:t>(1)</w:t>
            </w:r>
          </w:p>
        </w:tc>
        <w:tc>
          <w:tcPr>
            <w:tcW w:w="240" w:type="dxa"/>
            <w:vAlign w:val="bottom"/>
          </w:tcPr>
          <w:p>
            <w:pPr>
              <w:spacing w:after="0"/>
              <w:rPr>
                <w:sz w:val="24"/>
                <w:szCs w:val="24"/>
                <w:color w:val="auto"/>
              </w:rPr>
            </w:pPr>
          </w:p>
        </w:tc>
        <w:tc>
          <w:tcPr>
            <w:tcW w:w="1120" w:type="dxa"/>
            <w:vAlign w:val="bottom"/>
            <w:gridSpan w:val="3"/>
          </w:tcPr>
          <w:p>
            <w:pPr>
              <w:ind w:left="120"/>
              <w:spacing w:after="0"/>
              <w:rPr>
                <w:sz w:val="20"/>
                <w:szCs w:val="20"/>
                <w:color w:val="auto"/>
              </w:rPr>
            </w:pPr>
            <w:r>
              <w:rPr>
                <w:rFonts w:ascii="Arial" w:cs="Arial" w:eastAsia="Arial" w:hAnsi="Arial"/>
                <w:sz w:val="16"/>
                <w:szCs w:val="16"/>
                <w:b w:val="1"/>
                <w:bCs w:val="1"/>
                <w:color w:val="auto"/>
              </w:rPr>
              <w:t>PAGP</w:t>
            </w:r>
          </w:p>
        </w:tc>
        <w:tc>
          <w:tcPr>
            <w:tcW w:w="260" w:type="dxa"/>
            <w:vAlign w:val="bottom"/>
          </w:tcPr>
          <w:p>
            <w:pPr>
              <w:spacing w:after="0"/>
              <w:rPr>
                <w:sz w:val="24"/>
                <w:szCs w:val="24"/>
                <w:color w:val="auto"/>
              </w:rPr>
            </w:pPr>
          </w:p>
        </w:tc>
        <w:tc>
          <w:tcPr>
            <w:tcW w:w="980" w:type="dxa"/>
            <w:vAlign w:val="bottom"/>
            <w:gridSpan w:val="2"/>
          </w:tcPr>
          <w:p>
            <w:pPr>
              <w:ind w:left="140"/>
              <w:spacing w:after="0"/>
              <w:rPr>
                <w:sz w:val="20"/>
                <w:szCs w:val="20"/>
                <w:color w:val="auto"/>
              </w:rPr>
            </w:pPr>
            <w:r>
              <w:rPr>
                <w:rFonts w:ascii="Arial" w:cs="Arial" w:eastAsia="Arial" w:hAnsi="Arial"/>
                <w:sz w:val="16"/>
                <w:szCs w:val="16"/>
                <w:b w:val="1"/>
                <w:bCs w:val="1"/>
                <w:color w:val="auto"/>
              </w:rPr>
              <w:t>PAA</w:t>
            </w:r>
          </w:p>
        </w:tc>
        <w:tc>
          <w:tcPr>
            <w:tcW w:w="160" w:type="dxa"/>
            <w:vAlign w:val="bottom"/>
          </w:tcPr>
          <w:p>
            <w:pPr>
              <w:spacing w:after="0"/>
              <w:rPr>
                <w:sz w:val="24"/>
                <w:szCs w:val="2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 xml:space="preserve">Adjustments </w:t>
            </w:r>
            <w:r>
              <w:rPr>
                <w:rFonts w:ascii="Arial" w:cs="Arial" w:eastAsia="Arial" w:hAnsi="Arial"/>
                <w:sz w:val="21"/>
                <w:szCs w:val="21"/>
                <w:b w:val="1"/>
                <w:bCs w:val="1"/>
                <w:color w:val="auto"/>
                <w:w w:val="87"/>
                <w:vertAlign w:val="superscript"/>
              </w:rPr>
              <w:t>(1)</w:t>
            </w:r>
          </w:p>
        </w:tc>
        <w:tc>
          <w:tcPr>
            <w:tcW w:w="240" w:type="dxa"/>
            <w:vAlign w:val="bottom"/>
          </w:tcPr>
          <w:p>
            <w:pPr>
              <w:spacing w:after="0"/>
              <w:rPr>
                <w:sz w:val="24"/>
                <w:szCs w:val="24"/>
                <w:color w:val="auto"/>
              </w:rPr>
            </w:pPr>
          </w:p>
        </w:tc>
        <w:tc>
          <w:tcPr>
            <w:tcW w:w="900" w:type="dxa"/>
            <w:vAlign w:val="bottom"/>
          </w:tcPr>
          <w:p>
            <w:pPr>
              <w:jc w:val="right"/>
              <w:ind w:right="270"/>
              <w:spacing w:after="0"/>
              <w:rPr>
                <w:sz w:val="20"/>
                <w:szCs w:val="20"/>
                <w:color w:val="auto"/>
              </w:rPr>
            </w:pPr>
            <w:r>
              <w:rPr>
                <w:rFonts w:ascii="Arial" w:cs="Arial" w:eastAsia="Arial" w:hAnsi="Arial"/>
                <w:sz w:val="16"/>
                <w:szCs w:val="16"/>
                <w:b w:val="1"/>
                <w:bCs w:val="1"/>
                <w:color w:val="auto"/>
              </w:rPr>
              <w:t>PAGP</w:t>
            </w:r>
          </w:p>
        </w:tc>
      </w:tr>
      <w:tr>
        <w:trPr>
          <w:trHeight w:val="244"/>
        </w:trPr>
        <w:tc>
          <w:tcPr>
            <w:tcW w:w="32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3,528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3,531</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4,272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4,275</w:t>
            </w:r>
          </w:p>
        </w:tc>
      </w:tr>
      <w:tr>
        <w:trPr>
          <w:trHeight w:val="27"/>
        </w:trPr>
        <w:tc>
          <w:tcPr>
            <w:tcW w:w="3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14,322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14,338</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13,872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13,890</w:t>
            </w: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Goodwill</w:t>
            </w:r>
          </w:p>
        </w:tc>
        <w:tc>
          <w:tcPr>
            <w:tcW w:w="28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2,596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2,596</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2,344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2,344</w:t>
            </w:r>
          </w:p>
        </w:tc>
      </w:tr>
      <w:tr>
        <w:trPr>
          <w:trHeight w:val="27"/>
        </w:trPr>
        <w:tc>
          <w:tcPr>
            <w:tcW w:w="3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 in unconsolidated entities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2,626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2,626</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2,343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2,343</w:t>
            </w: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Deferred tax asset</w:t>
            </w:r>
          </w:p>
        </w:tc>
        <w:tc>
          <w:tcPr>
            <w:tcW w:w="28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2,214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2,214</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1,876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1,876</w:t>
            </w:r>
          </w:p>
        </w:tc>
      </w:tr>
      <w:tr>
        <w:trPr>
          <w:trHeight w:val="27"/>
        </w:trPr>
        <w:tc>
          <w:tcPr>
            <w:tcW w:w="3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Linefill and base gas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894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894</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896</w:t>
            </w: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Long-term inventory</w:t>
            </w:r>
          </w:p>
        </w:tc>
        <w:tc>
          <w:tcPr>
            <w:tcW w:w="28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117</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193</w:t>
            </w:r>
          </w:p>
        </w:tc>
      </w:tr>
      <w:tr>
        <w:trPr>
          <w:trHeight w:val="27"/>
        </w:trPr>
        <w:tc>
          <w:tcPr>
            <w:tcW w:w="3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assets, net</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921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919</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286</w:t>
            </w:r>
          </w:p>
        </w:tc>
      </w:tr>
      <w:tr>
        <w:trPr>
          <w:trHeight w:val="297"/>
        </w:trPr>
        <w:tc>
          <w:tcPr>
            <w:tcW w:w="32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assets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25,004</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2,231</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27,235</w:t>
            </w:r>
          </w:p>
        </w:tc>
        <w:tc>
          <w:tcPr>
            <w:tcW w:w="120" w:type="dxa"/>
            <w:vAlign w:val="bottom"/>
            <w:tcBorders>
              <w:bottom w:val="single" w:sz="8" w:color="CCEEFF"/>
              <w:right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24,210</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1,893</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26,103</w:t>
            </w:r>
          </w:p>
        </w:tc>
      </w:tr>
      <w:tr>
        <w:trPr>
          <w:trHeight w:val="271"/>
        </w:trPr>
        <w:tc>
          <w:tcPr>
            <w:tcW w:w="32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25"/>
        </w:trPr>
        <w:tc>
          <w:tcPr>
            <w:tcW w:w="3200" w:type="dxa"/>
            <w:vAlign w:val="bottom"/>
          </w:tcPr>
          <w:p>
            <w:pPr>
              <w:ind w:left="40"/>
              <w:spacing w:after="0"/>
              <w:rPr>
                <w:sz w:val="20"/>
                <w:szCs w:val="20"/>
                <w:color w:val="auto"/>
              </w:rPr>
            </w:pPr>
            <w:r>
              <w:rPr>
                <w:rFonts w:ascii="Arial" w:cs="Arial" w:eastAsia="Arial" w:hAnsi="Arial"/>
                <w:sz w:val="18"/>
                <w:szCs w:val="18"/>
                <w:b w:val="1"/>
                <w:bCs w:val="1"/>
                <w:color w:val="auto"/>
              </w:rPr>
              <w:t>LIABILITIES AND PARTNERS'</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4"/>
        </w:trPr>
        <w:tc>
          <w:tcPr>
            <w:tcW w:w="3200" w:type="dxa"/>
            <w:vAlign w:val="bottom"/>
          </w:tcPr>
          <w:p>
            <w:pPr>
              <w:ind w:left="200"/>
              <w:spacing w:after="0"/>
              <w:rPr>
                <w:sz w:val="20"/>
                <w:szCs w:val="20"/>
                <w:color w:val="auto"/>
              </w:rPr>
            </w:pPr>
            <w:r>
              <w:rPr>
                <w:rFonts w:ascii="Arial" w:cs="Arial" w:eastAsia="Arial" w:hAnsi="Arial"/>
                <w:sz w:val="18"/>
                <w:szCs w:val="18"/>
                <w:b w:val="1"/>
                <w:bCs w:val="1"/>
                <w:color w:val="auto"/>
              </w:rPr>
              <w:t>CAPITAL</w:t>
            </w: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3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3,757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3,759</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4,664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4,666</w:t>
            </w:r>
          </w:p>
        </w:tc>
      </w:tr>
      <w:tr>
        <w:trPr>
          <w:trHeight w:val="229"/>
        </w:trPr>
        <w:tc>
          <w:tcPr>
            <w:tcW w:w="3200" w:type="dxa"/>
            <w:vAlign w:val="bottom"/>
          </w:tcPr>
          <w:p>
            <w:pPr>
              <w:ind w:left="40"/>
              <w:spacing w:after="0"/>
              <w:rPr>
                <w:sz w:val="20"/>
                <w:szCs w:val="20"/>
                <w:color w:val="auto"/>
              </w:rPr>
            </w:pPr>
            <w:r>
              <w:rPr>
                <w:rFonts w:ascii="Arial" w:cs="Arial" w:eastAsia="Arial" w:hAnsi="Arial"/>
                <w:sz w:val="18"/>
                <w:szCs w:val="18"/>
                <w:color w:val="auto"/>
                <w:w w:val="92"/>
              </w:rPr>
              <w:t>Senior notes, net of unamortized discounts</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3200" w:type="dxa"/>
            <w:vAlign w:val="bottom"/>
          </w:tcPr>
          <w:p>
            <w:pPr>
              <w:ind w:left="200"/>
              <w:spacing w:after="0"/>
              <w:rPr>
                <w:sz w:val="20"/>
                <w:szCs w:val="20"/>
                <w:color w:val="auto"/>
              </w:rPr>
            </w:pPr>
            <w:r>
              <w:rPr>
                <w:rFonts w:ascii="Arial" w:cs="Arial" w:eastAsia="Arial" w:hAnsi="Arial"/>
                <w:sz w:val="18"/>
                <w:szCs w:val="18"/>
                <w:color w:val="auto"/>
              </w:rPr>
              <w:t>and debt issuance costs</w:t>
            </w:r>
          </w:p>
        </w:tc>
        <w:tc>
          <w:tcPr>
            <w:tcW w:w="28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9,878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9,878</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9,874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9,874</w:t>
            </w:r>
          </w:p>
        </w:tc>
      </w:tr>
      <w:tr>
        <w:trPr>
          <w:trHeight w:val="27"/>
        </w:trPr>
        <w:tc>
          <w:tcPr>
            <w:tcW w:w="3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debt</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162</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w:t>
            </w:r>
          </w:p>
        </w:tc>
      </w:tr>
      <w:tr>
        <w:trPr>
          <w:trHeight w:val="229"/>
        </w:trPr>
        <w:tc>
          <w:tcPr>
            <w:tcW w:w="3200" w:type="dxa"/>
            <w:vAlign w:val="bottom"/>
          </w:tcPr>
          <w:p>
            <w:pPr>
              <w:ind w:left="40"/>
              <w:spacing w:after="0"/>
              <w:rPr>
                <w:sz w:val="20"/>
                <w:szCs w:val="20"/>
                <w:color w:val="auto"/>
              </w:rPr>
            </w:pPr>
            <w:r>
              <w:rPr>
                <w:rFonts w:ascii="Arial" w:cs="Arial" w:eastAsia="Arial" w:hAnsi="Arial"/>
                <w:sz w:val="18"/>
                <w:szCs w:val="18"/>
                <w:color w:val="auto"/>
              </w:rPr>
              <w:t>Other long-term liabilities and deferred</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3200" w:type="dxa"/>
            <w:vAlign w:val="bottom"/>
          </w:tcPr>
          <w:p>
            <w:pPr>
              <w:ind w:left="200"/>
              <w:spacing w:after="0"/>
              <w:rPr>
                <w:sz w:val="20"/>
                <w:szCs w:val="20"/>
                <w:color w:val="auto"/>
              </w:rPr>
            </w:pPr>
            <w:r>
              <w:rPr>
                <w:rFonts w:ascii="Arial" w:cs="Arial" w:eastAsia="Arial" w:hAnsi="Arial"/>
                <w:sz w:val="18"/>
                <w:szCs w:val="18"/>
                <w:color w:val="auto"/>
              </w:rPr>
              <w:t>credits</w:t>
            </w:r>
          </w:p>
        </w:tc>
        <w:tc>
          <w:tcPr>
            <w:tcW w:w="28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706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706</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606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606</w:t>
            </w:r>
          </w:p>
        </w:tc>
      </w:tr>
      <w:tr>
        <w:trPr>
          <w:trHeight w:val="27"/>
        </w:trPr>
        <w:tc>
          <w:tcPr>
            <w:tcW w:w="3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3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liabilities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14,503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14,505</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15,394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15,396</w:t>
            </w:r>
          </w:p>
        </w:tc>
      </w:tr>
      <w:tr>
        <w:trPr>
          <w:trHeight w:val="284"/>
        </w:trPr>
        <w:tc>
          <w:tcPr>
            <w:tcW w:w="3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29"/>
        </w:trPr>
        <w:tc>
          <w:tcPr>
            <w:tcW w:w="32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Partners' capital excluding noncontrolling</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7"/>
        </w:trPr>
        <w:tc>
          <w:tcPr>
            <w:tcW w:w="3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interests</w:t>
            </w: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10,444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(7,866)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2,578</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8,759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(7,022)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1,737</w:t>
            </w: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Noncontrolling interests</w:t>
            </w:r>
          </w:p>
        </w:tc>
        <w:tc>
          <w:tcPr>
            <w:tcW w:w="28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10,095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10,152</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8,913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8,970</w:t>
            </w:r>
          </w:p>
        </w:tc>
      </w:tr>
      <w:tr>
        <w:trPr>
          <w:trHeight w:val="27"/>
        </w:trPr>
        <w:tc>
          <w:tcPr>
            <w:tcW w:w="3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3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partners' capital</w:t>
            </w: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10,501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2,229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12,730</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8,816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1,891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10,707</w:t>
            </w:r>
          </w:p>
        </w:tc>
      </w:tr>
      <w:tr>
        <w:trPr>
          <w:trHeight w:val="257"/>
        </w:trPr>
        <w:tc>
          <w:tcPr>
            <w:tcW w:w="3200" w:type="dxa"/>
            <w:vAlign w:val="bottom"/>
          </w:tcPr>
          <w:p>
            <w:pPr>
              <w:ind w:left="360"/>
              <w:spacing w:after="0"/>
              <w:rPr>
                <w:sz w:val="20"/>
                <w:szCs w:val="20"/>
                <w:color w:val="auto"/>
              </w:rPr>
            </w:pPr>
            <w:r>
              <w:rPr>
                <w:rFonts w:ascii="Arial" w:cs="Arial" w:eastAsia="Arial" w:hAnsi="Arial"/>
                <w:sz w:val="18"/>
                <w:szCs w:val="18"/>
                <w:color w:val="auto"/>
              </w:rPr>
              <w:t>Total liabilities and partners' capital</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25,004</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2,231</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27,235</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24,210</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1,893</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26,103</w:t>
            </w:r>
          </w:p>
        </w:tc>
      </w:tr>
      <w:tr>
        <w:trPr>
          <w:trHeight w:val="20"/>
        </w:trPr>
        <w:tc>
          <w:tcPr>
            <w:tcW w:w="3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33"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25"/>
          <w:szCs w:val="25"/>
          <w:color w:val="auto"/>
          <w:vertAlign w:val="superscript"/>
        </w:rPr>
      </w:pPr>
      <w:r>
        <w:rPr>
          <w:rFonts w:ascii="Arial" w:cs="Arial" w:eastAsia="Arial" w:hAnsi="Arial"/>
          <w:sz w:val="18"/>
          <w:szCs w:val="18"/>
          <w:color w:val="auto"/>
        </w:rPr>
        <w:t>Represents the aggregate consolidating adjustments necessary to produce consolidated financial statements for PAGP.</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7" w:lineRule="exact"/>
        <w:rPr>
          <w:sz w:val="20"/>
          <w:szCs w:val="20"/>
          <w:color w:val="auto"/>
        </w:rPr>
      </w:pPr>
    </w:p>
    <w:p>
      <w:pPr>
        <w:ind w:left="1800"/>
        <w:spacing w:after="0"/>
        <w:tabs>
          <w:tab w:leader="none" w:pos="4920" w:val="left"/>
          <w:tab w:leader="none" w:pos="76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420"/>
          </w:cols>
          <w:pgMar w:left="240" w:top="341"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auto"/>
        </w:rPr>
        <w:t>Page 20</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COMPUTATION OF BASIC AND DILUTED NET INCOME PER CLASS A SHARE</w:t>
      </w:r>
      <w:r>
        <w:rPr>
          <w:rFonts w:ascii="Arial" w:cs="Arial" w:eastAsia="Arial" w:hAnsi="Arial"/>
          <w:sz w:val="18"/>
          <w:szCs w:val="18"/>
          <w:b w:val="1"/>
          <w:bCs w:val="1"/>
          <w:color w:val="auto"/>
        </w:rPr>
        <w:t xml:space="preserve"> </w:t>
      </w:r>
      <w:r>
        <w:rPr>
          <w:rFonts w:ascii="Arial" w:cs="Arial" w:eastAsia="Arial" w:hAnsi="Arial"/>
          <w:sz w:val="25"/>
          <w:szCs w:val="25"/>
          <w:b w:val="1"/>
          <w:bCs w:val="1"/>
          <w:color w:val="auto"/>
          <w:vertAlign w:val="superscript"/>
        </w:rPr>
        <w:t>(1)</w:t>
      </w:r>
    </w:p>
    <w:p>
      <w:pPr>
        <w:spacing w:after="0"/>
        <w:rPr>
          <w:sz w:val="20"/>
          <w:szCs w:val="20"/>
          <w:color w:val="auto"/>
        </w:rPr>
      </w:pPr>
      <w:r>
        <w:rPr>
          <w:rFonts w:ascii="Arial" w:cs="Arial" w:eastAsia="Arial" w:hAnsi="Arial"/>
          <w:sz w:val="18"/>
          <w:szCs w:val="18"/>
          <w:color w:val="auto"/>
        </w:rPr>
        <w:t>(in millions, except per share data)</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60" w:type="dxa"/>
            <w:vAlign w:val="bottom"/>
            <w:gridSpan w:val="5"/>
          </w:tcPr>
          <w:p>
            <w:pPr>
              <w:ind w:left="220"/>
              <w:spacing w:after="0"/>
              <w:rPr>
                <w:sz w:val="20"/>
                <w:szCs w:val="20"/>
                <w:color w:val="auto"/>
              </w:rPr>
            </w:pPr>
            <w:r>
              <w:rPr>
                <w:rFonts w:ascii="Arial" w:cs="Arial" w:eastAsia="Arial" w:hAnsi="Arial"/>
                <w:sz w:val="16"/>
                <w:szCs w:val="16"/>
                <w:b w:val="1"/>
                <w:bCs w:val="1"/>
                <w:color w:val="auto"/>
              </w:rPr>
              <w:t>Three Months Ended</w:t>
            </w:r>
          </w:p>
        </w:tc>
        <w:tc>
          <w:tcPr>
            <w:tcW w:w="260" w:type="dxa"/>
            <w:vAlign w:val="bottom"/>
          </w:tcPr>
          <w:p>
            <w:pPr>
              <w:spacing w:after="0"/>
              <w:rPr>
                <w:sz w:val="17"/>
                <w:szCs w:val="17"/>
                <w:color w:val="auto"/>
              </w:rPr>
            </w:pPr>
          </w:p>
        </w:tc>
        <w:tc>
          <w:tcPr>
            <w:tcW w:w="2120" w:type="dxa"/>
            <w:vAlign w:val="bottom"/>
            <w:gridSpan w:val="4"/>
          </w:tcPr>
          <w:p>
            <w:pPr>
              <w:jc w:val="right"/>
              <w:ind w:right="451"/>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10"/>
        </w:trPr>
        <w:tc>
          <w:tcPr>
            <w:tcW w:w="6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3"/>
          </w:tcPr>
          <w:p>
            <w:pPr>
              <w:jc w:val="right"/>
              <w:ind w:right="10"/>
              <w:spacing w:after="0"/>
              <w:rPr>
                <w:sz w:val="20"/>
                <w:szCs w:val="20"/>
                <w:color w:val="auto"/>
              </w:rPr>
            </w:pPr>
            <w:r>
              <w:rPr>
                <w:rFonts w:ascii="Arial" w:cs="Arial" w:eastAsia="Arial" w:hAnsi="Arial"/>
                <w:sz w:val="16"/>
                <w:szCs w:val="16"/>
                <w:b w:val="1"/>
                <w:bCs w:val="1"/>
                <w:color w:val="auto"/>
              </w:rPr>
              <w:t>June 30,</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52"/>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ind w:right="331"/>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2"/>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ind w:right="311"/>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33"/>
        </w:trPr>
        <w:tc>
          <w:tcPr>
            <w:tcW w:w="6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Net Income per Class A Share</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200"/>
              <w:spacing w:after="0"/>
              <w:rPr>
                <w:sz w:val="20"/>
                <w:szCs w:val="20"/>
                <w:color w:val="auto"/>
              </w:rPr>
            </w:pPr>
            <w:r>
              <w:rPr>
                <w:rFonts w:ascii="Arial" w:cs="Arial" w:eastAsia="Arial" w:hAnsi="Arial"/>
                <w:sz w:val="18"/>
                <w:szCs w:val="18"/>
                <w:color w:val="auto"/>
              </w:rPr>
              <w:t>Net income attributable to PAGP</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Basic weighted average Class A shares outstanding</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84"/>
        </w:trPr>
        <w:tc>
          <w:tcPr>
            <w:tcW w:w="6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Basic net income per Class A share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0.16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0.41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0.47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0.80</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65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Diluted Net Income per Class A Share</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Net income attributable to PAGP</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52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3"/>
              </w:rPr>
              <w:t>Incremental net income attributable to PAGP resulting from assumed exchange of</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5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AAP units and AAP Management Units</w:t>
            </w:r>
          </w:p>
        </w:tc>
        <w:tc>
          <w:tcPr>
            <w:tcW w:w="2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09"/>
        </w:trPr>
        <w:tc>
          <w:tcPr>
            <w:tcW w:w="6520" w:type="dxa"/>
            <w:vAlign w:val="bottom"/>
          </w:tcPr>
          <w:p>
            <w:pPr>
              <w:ind w:left="180"/>
              <w:spacing w:after="0"/>
              <w:rPr>
                <w:sz w:val="20"/>
                <w:szCs w:val="20"/>
                <w:color w:val="auto"/>
              </w:rPr>
            </w:pPr>
            <w:r>
              <w:rPr>
                <w:rFonts w:ascii="Arial" w:cs="Arial" w:eastAsia="Arial" w:hAnsi="Arial"/>
                <w:sz w:val="18"/>
                <w:szCs w:val="18"/>
                <w:color w:val="auto"/>
                <w:w w:val="97"/>
              </w:rPr>
              <w:t>Net income attributable to PAGP including incremental net income from assumed</w:t>
            </w:r>
          </w:p>
        </w:tc>
        <w:tc>
          <w:tcPr>
            <w:tcW w:w="26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8"/>
                <w:szCs w:val="18"/>
                <w:color w:val="auto"/>
              </w:rPr>
            </w:pPr>
          </w:p>
        </w:tc>
        <w:tc>
          <w:tcPr>
            <w:tcW w:w="320" w:type="dxa"/>
            <w:vAlign w:val="bottom"/>
            <w:tcBorders>
              <w:top w:val="single" w:sz="8" w:color="auto"/>
            </w:tcBorders>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vMerge w:val="restart"/>
          </w:tcPr>
          <w:p>
            <w:pPr>
              <w:jc w:val="right"/>
              <w:ind w:right="31"/>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8"/>
                <w:szCs w:val="18"/>
                <w:color w:val="auto"/>
              </w:rPr>
            </w:pPr>
          </w:p>
        </w:tc>
        <w:tc>
          <w:tcPr>
            <w:tcW w:w="26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8"/>
                <w:szCs w:val="18"/>
                <w:color w:val="auto"/>
              </w:rPr>
            </w:pPr>
          </w:p>
        </w:tc>
        <w:tc>
          <w:tcPr>
            <w:tcW w:w="340" w:type="dxa"/>
            <w:vAlign w:val="bottom"/>
            <w:tcBorders>
              <w:top w:val="single" w:sz="8" w:color="auto"/>
            </w:tcBorders>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77"/>
        </w:trPr>
        <w:tc>
          <w:tcPr>
            <w:tcW w:w="65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exchange of AAP units and AAP Management Units</w:t>
            </w:r>
          </w:p>
        </w:tc>
        <w:tc>
          <w:tcPr>
            <w:tcW w:w="260" w:type="dxa"/>
            <w:vAlign w:val="bottom"/>
            <w:tcBorders>
              <w:bottom w:val="single" w:sz="8" w:color="auto"/>
            </w:tcBorders>
            <w:vMerge w:val="continue"/>
          </w:tcPr>
          <w:p>
            <w:pPr>
              <w:spacing w:after="0"/>
              <w:rPr>
                <w:sz w:val="24"/>
                <w:szCs w:val="24"/>
                <w:color w:val="auto"/>
              </w:rPr>
            </w:pPr>
          </w:p>
        </w:tc>
        <w:tc>
          <w:tcPr>
            <w:tcW w:w="9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vMerge w:val="continue"/>
          </w:tcPr>
          <w:p>
            <w:pPr>
              <w:spacing w:after="0"/>
              <w:rPr>
                <w:sz w:val="24"/>
                <w:szCs w:val="24"/>
                <w:color w:val="auto"/>
              </w:rPr>
            </w:pPr>
          </w:p>
        </w:tc>
        <w:tc>
          <w:tcPr>
            <w:tcW w:w="8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vMerge w:val="continue"/>
          </w:tcPr>
          <w:p>
            <w:pPr>
              <w:spacing w:after="0"/>
              <w:rPr>
                <w:sz w:val="24"/>
                <w:szCs w:val="24"/>
                <w:color w:val="auto"/>
              </w:rPr>
            </w:pPr>
          </w:p>
        </w:tc>
        <w:tc>
          <w:tcPr>
            <w:tcW w:w="88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vMerge w:val="continue"/>
          </w:tcPr>
          <w:p>
            <w:pPr>
              <w:spacing w:after="0"/>
              <w:rPr>
                <w:sz w:val="24"/>
                <w:szCs w:val="24"/>
                <w:color w:val="auto"/>
              </w:rPr>
            </w:pPr>
          </w:p>
        </w:tc>
        <w:tc>
          <w:tcPr>
            <w:tcW w:w="80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65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Basic weighted average Class A shares outstanding</w:t>
            </w:r>
          </w:p>
        </w:tc>
        <w:tc>
          <w:tcPr>
            <w:tcW w:w="26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5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Dilutive shares resulting from assumed exchange of AAP units and AAP</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5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Management Units</w:t>
            </w:r>
          </w:p>
        </w:tc>
        <w:tc>
          <w:tcPr>
            <w:tcW w:w="2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37"/>
        </w:trPr>
        <w:tc>
          <w:tcPr>
            <w:tcW w:w="6520" w:type="dxa"/>
            <w:vAlign w:val="bottom"/>
          </w:tcPr>
          <w:p>
            <w:pPr>
              <w:ind w:left="180"/>
              <w:spacing w:after="0"/>
              <w:rPr>
                <w:sz w:val="20"/>
                <w:szCs w:val="20"/>
                <w:color w:val="auto"/>
              </w:rPr>
            </w:pPr>
            <w:r>
              <w:rPr>
                <w:rFonts w:ascii="Arial" w:cs="Arial" w:eastAsia="Arial" w:hAnsi="Arial"/>
                <w:sz w:val="18"/>
                <w:szCs w:val="18"/>
                <w:color w:val="auto"/>
              </w:rPr>
              <w:t>Diluted weighted average Class A shares outstanding</w:t>
            </w: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67"/>
        </w:trPr>
        <w:tc>
          <w:tcPr>
            <w:tcW w:w="65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65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652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Diluted net income per Class A share </w:t>
            </w:r>
            <w:r>
              <w:rPr>
                <w:rFonts w:ascii="Arial" w:cs="Arial" w:eastAsia="Arial" w:hAnsi="Arial"/>
                <w:sz w:val="25"/>
                <w:szCs w:val="25"/>
                <w:color w:val="auto"/>
                <w:vertAlign w:val="superscript"/>
              </w:rPr>
              <w:t>(2)</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0.16</w:t>
            </w:r>
          </w:p>
        </w:tc>
        <w:tc>
          <w:tcPr>
            <w:tcW w:w="100" w:type="dxa"/>
            <w:vAlign w:val="bottom"/>
          </w:tcPr>
          <w:p>
            <w:pPr>
              <w:spacing w:after="0"/>
              <w:rPr>
                <w:sz w:val="23"/>
                <w:szCs w:val="23"/>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0.40</w:t>
            </w:r>
          </w:p>
        </w:tc>
        <w:tc>
          <w:tcPr>
            <w:tcW w:w="100" w:type="dxa"/>
            <w:vAlign w:val="bottom"/>
          </w:tcPr>
          <w:p>
            <w:pPr>
              <w:spacing w:after="0"/>
              <w:rPr>
                <w:sz w:val="23"/>
                <w:szCs w:val="23"/>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0.47</w:t>
            </w:r>
          </w:p>
        </w:tc>
        <w:tc>
          <w:tcPr>
            <w:tcW w:w="100" w:type="dxa"/>
            <w:vAlign w:val="bottom"/>
          </w:tcPr>
          <w:p>
            <w:pPr>
              <w:spacing w:after="0"/>
              <w:rPr>
                <w:sz w:val="23"/>
                <w:szCs w:val="23"/>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0.77</w:t>
            </w:r>
          </w:p>
        </w:tc>
        <w:tc>
          <w:tcPr>
            <w:tcW w:w="0" w:type="dxa"/>
            <w:vAlign w:val="bottom"/>
          </w:tcPr>
          <w:p>
            <w:pPr>
              <w:spacing w:after="0"/>
              <w:rPr>
                <w:sz w:val="1"/>
                <w:szCs w:val="1"/>
                <w:color w:val="auto"/>
              </w:rPr>
            </w:pPr>
          </w:p>
        </w:tc>
      </w:tr>
      <w:tr>
        <w:trPr>
          <w:trHeight w:val="20"/>
        </w:trPr>
        <w:tc>
          <w:tcPr>
            <w:tcW w:w="6520" w:type="dxa"/>
            <w:vAlign w:val="bottom"/>
            <w:vMerge w:val="restart"/>
          </w:tcPr>
          <w:p>
            <w:pPr>
              <w:spacing w:after="0"/>
              <w:rPr>
                <w:sz w:val="20"/>
                <w:szCs w:val="20"/>
                <w:color w:val="auto"/>
              </w:rPr>
            </w:pPr>
            <w:r>
              <w:rPr>
                <w:rFonts w:ascii="Arial" w:cs="Arial" w:eastAsia="Arial" w:hAnsi="Arial"/>
                <w:sz w:val="18"/>
                <w:szCs w:val="18"/>
                <w:color w:val="auto"/>
              </w:rPr>
              <w:t>___________________________________________</w:t>
            </w: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2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340" w:right="80" w:hanging="332"/>
        <w:spacing w:after="0" w:line="216" w:lineRule="auto"/>
        <w:tabs>
          <w:tab w:leader="none" w:pos="340" w:val="left"/>
        </w:tabs>
        <w:numPr>
          <w:ilvl w:val="0"/>
          <w:numId w:val="19"/>
        </w:numPr>
        <w:rPr>
          <w:rFonts w:ascii="Arial" w:cs="Arial" w:eastAsia="Arial" w:hAnsi="Arial"/>
          <w:sz w:val="25"/>
          <w:szCs w:val="25"/>
          <w:color w:val="auto"/>
          <w:vertAlign w:val="superscript"/>
        </w:rPr>
      </w:pPr>
      <w:r>
        <w:rPr>
          <w:rFonts w:ascii="Arial" w:cs="Arial" w:eastAsia="Arial" w:hAnsi="Arial"/>
          <w:sz w:val="18"/>
          <w:szCs w:val="18"/>
          <w:color w:val="auto"/>
        </w:rPr>
        <w:t>A reverse split of PAGP’s Class A shares was completed on November 15, 2016. The effect of the reverse split has been retroactively applied to all share and per-share amounts presented.</w:t>
      </w:r>
    </w:p>
    <w:p>
      <w:pPr>
        <w:spacing w:after="0" w:line="41" w:lineRule="exact"/>
        <w:rPr>
          <w:rFonts w:ascii="Arial" w:cs="Arial" w:eastAsia="Arial" w:hAnsi="Arial"/>
          <w:sz w:val="25"/>
          <w:szCs w:val="25"/>
          <w:color w:val="auto"/>
          <w:vertAlign w:val="superscript"/>
        </w:rPr>
      </w:pPr>
    </w:p>
    <w:p>
      <w:pPr>
        <w:ind w:left="340" w:right="280" w:hanging="332"/>
        <w:spacing w:after="0" w:line="216" w:lineRule="auto"/>
        <w:tabs>
          <w:tab w:leader="none" w:pos="340" w:val="left"/>
        </w:tabs>
        <w:numPr>
          <w:ilvl w:val="0"/>
          <w:numId w:val="19"/>
        </w:numPr>
        <w:rPr>
          <w:rFonts w:ascii="Arial" w:cs="Arial" w:eastAsia="Arial" w:hAnsi="Arial"/>
          <w:sz w:val="25"/>
          <w:szCs w:val="25"/>
          <w:color w:val="auto"/>
          <w:vertAlign w:val="superscript"/>
        </w:rPr>
      </w:pPr>
      <w:r>
        <w:rPr>
          <w:rFonts w:ascii="Arial" w:cs="Arial" w:eastAsia="Arial" w:hAnsi="Arial"/>
          <w:sz w:val="18"/>
          <w:szCs w:val="18"/>
          <w:color w:val="auto"/>
        </w:rPr>
        <w:t>For the three and six months ended June 30, 2017, the possible exchange of any AAP units and certain AAP Management Units would not have had a dilutive effect on basic net income per Class A share.</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80" w:type="dxa"/>
            <w:vAlign w:val="bottom"/>
            <w:gridSpan w:val="3"/>
          </w:tcPr>
          <w:p>
            <w:pPr>
              <w:spacing w:after="0"/>
              <w:rPr>
                <w:sz w:val="20"/>
                <w:szCs w:val="20"/>
                <w:color w:val="auto"/>
              </w:rPr>
            </w:pPr>
            <w:r>
              <w:rPr>
                <w:rFonts w:ascii="Arial" w:cs="Arial" w:eastAsia="Arial" w:hAnsi="Arial"/>
                <w:sz w:val="18"/>
                <w:szCs w:val="18"/>
                <w:color w:val="auto"/>
              </w:rPr>
              <w:t>Contacts:</w:t>
            </w:r>
          </w:p>
        </w:tc>
        <w:tc>
          <w:tcPr>
            <w:tcW w:w="2840" w:type="dxa"/>
            <w:vAlign w:val="bottom"/>
          </w:tcPr>
          <w:p>
            <w:pPr>
              <w:spacing w:after="0"/>
              <w:rPr>
                <w:sz w:val="18"/>
                <w:szCs w:val="18"/>
                <w:color w:val="auto"/>
              </w:rPr>
            </w:pPr>
          </w:p>
        </w:tc>
        <w:tc>
          <w:tcPr>
            <w:tcW w:w="4180" w:type="dxa"/>
            <w:vAlign w:val="bottom"/>
          </w:tcPr>
          <w:p>
            <w:pPr>
              <w:spacing w:after="0"/>
              <w:rPr>
                <w:sz w:val="18"/>
                <w:szCs w:val="18"/>
                <w:color w:val="auto"/>
              </w:rPr>
            </w:pPr>
          </w:p>
        </w:tc>
      </w:tr>
      <w:tr>
        <w:trPr>
          <w:trHeight w:val="20"/>
        </w:trPr>
        <w:tc>
          <w:tcPr>
            <w:tcW w:w="640" w:type="dxa"/>
            <w:vAlign w:val="bottom"/>
            <w:gridSpan w:val="2"/>
            <w:shd w:val="clear" w:color="auto" w:fill="000000"/>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r>
      <w:tr>
        <w:trPr>
          <w:trHeight w:val="453"/>
        </w:trPr>
        <w:tc>
          <w:tcPr>
            <w:tcW w:w="4380" w:type="dxa"/>
            <w:vAlign w:val="bottom"/>
            <w:gridSpan w:val="3"/>
          </w:tcPr>
          <w:p>
            <w:pPr>
              <w:ind w:left="40"/>
              <w:spacing w:after="0"/>
              <w:rPr>
                <w:sz w:val="20"/>
                <w:szCs w:val="20"/>
                <w:color w:val="auto"/>
              </w:rPr>
            </w:pPr>
            <w:r>
              <w:rPr>
                <w:rFonts w:ascii="Arial" w:cs="Arial" w:eastAsia="Arial" w:hAnsi="Arial"/>
                <w:sz w:val="18"/>
                <w:szCs w:val="18"/>
                <w:color w:val="auto"/>
              </w:rPr>
              <w:t>Roy Lamoreaux</w:t>
            </w:r>
          </w:p>
        </w:tc>
        <w:tc>
          <w:tcPr>
            <w:tcW w:w="2840" w:type="dxa"/>
            <w:vAlign w:val="bottom"/>
          </w:tcPr>
          <w:p>
            <w:pPr>
              <w:ind w:left="1360"/>
              <w:spacing w:after="0"/>
              <w:rPr>
                <w:sz w:val="20"/>
                <w:szCs w:val="20"/>
                <w:color w:val="auto"/>
              </w:rPr>
            </w:pPr>
            <w:r>
              <w:rPr>
                <w:rFonts w:ascii="Arial" w:cs="Arial" w:eastAsia="Arial" w:hAnsi="Arial"/>
                <w:sz w:val="18"/>
                <w:szCs w:val="18"/>
                <w:color w:val="auto"/>
              </w:rPr>
              <w:t>Brett Magill</w:t>
            </w:r>
          </w:p>
        </w:tc>
        <w:tc>
          <w:tcPr>
            <w:tcW w:w="4180" w:type="dxa"/>
            <w:vAlign w:val="bottom"/>
          </w:tcPr>
          <w:p>
            <w:pPr>
              <w:spacing w:after="0"/>
              <w:rPr>
                <w:sz w:val="24"/>
                <w:szCs w:val="24"/>
                <w:color w:val="auto"/>
              </w:rPr>
            </w:pPr>
          </w:p>
        </w:tc>
      </w:tr>
      <w:tr>
        <w:trPr>
          <w:trHeight w:val="270"/>
        </w:trPr>
        <w:tc>
          <w:tcPr>
            <w:tcW w:w="4380" w:type="dxa"/>
            <w:vAlign w:val="bottom"/>
            <w:gridSpan w:val="3"/>
          </w:tcPr>
          <w:p>
            <w:pPr>
              <w:ind w:left="40"/>
              <w:spacing w:after="0"/>
              <w:rPr>
                <w:sz w:val="20"/>
                <w:szCs w:val="20"/>
                <w:color w:val="auto"/>
              </w:rPr>
            </w:pPr>
            <w:r>
              <w:rPr>
                <w:rFonts w:ascii="Arial" w:cs="Arial" w:eastAsia="Arial" w:hAnsi="Arial"/>
                <w:sz w:val="18"/>
                <w:szCs w:val="18"/>
                <w:color w:val="auto"/>
              </w:rPr>
              <w:t>Vice President, Investor Relations &amp; Communications</w:t>
            </w:r>
          </w:p>
        </w:tc>
        <w:tc>
          <w:tcPr>
            <w:tcW w:w="7020" w:type="dxa"/>
            <w:vAlign w:val="bottom"/>
            <w:gridSpan w:val="2"/>
          </w:tcPr>
          <w:p>
            <w:pPr>
              <w:ind w:left="1360"/>
              <w:spacing w:after="0"/>
              <w:rPr>
                <w:sz w:val="20"/>
                <w:szCs w:val="20"/>
                <w:color w:val="auto"/>
              </w:rPr>
            </w:pPr>
            <w:r>
              <w:rPr>
                <w:rFonts w:ascii="Arial" w:cs="Arial" w:eastAsia="Arial" w:hAnsi="Arial"/>
                <w:sz w:val="18"/>
                <w:szCs w:val="18"/>
                <w:color w:val="auto"/>
              </w:rPr>
              <w:t>Manager, Investor Relations</w:t>
            </w:r>
          </w:p>
        </w:tc>
      </w:tr>
      <w:tr>
        <w:trPr>
          <w:trHeight w:val="270"/>
        </w:trPr>
        <w:tc>
          <w:tcPr>
            <w:tcW w:w="4380" w:type="dxa"/>
            <w:vAlign w:val="bottom"/>
            <w:gridSpan w:val="3"/>
          </w:tcPr>
          <w:p>
            <w:pPr>
              <w:ind w:left="40"/>
              <w:spacing w:after="0"/>
              <w:rPr>
                <w:sz w:val="20"/>
                <w:szCs w:val="20"/>
                <w:color w:val="auto"/>
              </w:rPr>
            </w:pPr>
            <w:r>
              <w:rPr>
                <w:rFonts w:ascii="Arial" w:cs="Arial" w:eastAsia="Arial" w:hAnsi="Arial"/>
                <w:sz w:val="18"/>
                <w:szCs w:val="18"/>
                <w:color w:val="auto"/>
              </w:rPr>
              <w:t>(866) 809-1291</w:t>
            </w:r>
          </w:p>
        </w:tc>
        <w:tc>
          <w:tcPr>
            <w:tcW w:w="2840" w:type="dxa"/>
            <w:vAlign w:val="bottom"/>
          </w:tcPr>
          <w:p>
            <w:pPr>
              <w:ind w:left="1360"/>
              <w:spacing w:after="0"/>
              <w:rPr>
                <w:sz w:val="20"/>
                <w:szCs w:val="20"/>
                <w:color w:val="auto"/>
              </w:rPr>
            </w:pPr>
            <w:r>
              <w:rPr>
                <w:rFonts w:ascii="Arial" w:cs="Arial" w:eastAsia="Arial" w:hAnsi="Arial"/>
                <w:sz w:val="18"/>
                <w:szCs w:val="18"/>
                <w:color w:val="auto"/>
              </w:rPr>
              <w:t>(866) 809-1291</w:t>
            </w:r>
          </w:p>
        </w:tc>
        <w:tc>
          <w:tcPr>
            <w:tcW w:w="4180" w:type="dxa"/>
            <w:vAlign w:val="bottom"/>
          </w:tcPr>
          <w:p>
            <w:pPr>
              <w:spacing w:after="0"/>
              <w:rPr>
                <w:sz w:val="23"/>
                <w:szCs w:val="23"/>
                <w:color w:val="auto"/>
              </w:rPr>
            </w:pPr>
          </w:p>
        </w:tc>
      </w:tr>
      <w:tr>
        <w:trPr>
          <w:trHeight w:val="702"/>
        </w:trPr>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840" w:type="dxa"/>
            <w:vAlign w:val="bottom"/>
          </w:tcPr>
          <w:p>
            <w:pPr>
              <w:jc w:val="right"/>
              <w:ind w:right="1290"/>
              <w:spacing w:after="0"/>
              <w:rPr>
                <w:sz w:val="20"/>
                <w:szCs w:val="20"/>
                <w:color w:val="auto"/>
              </w:rPr>
            </w:pPr>
            <w:r>
              <w:rPr>
                <w:rFonts w:ascii="Arial" w:cs="Arial" w:eastAsia="Arial" w:hAnsi="Arial"/>
                <w:sz w:val="18"/>
                <w:szCs w:val="18"/>
                <w:color w:val="auto"/>
              </w:rPr>
              <w:t>###</w:t>
            </w:r>
          </w:p>
        </w:tc>
        <w:tc>
          <w:tcPr>
            <w:tcW w:w="4180" w:type="dxa"/>
            <w:vAlign w:val="bottom"/>
          </w:tcPr>
          <w:p>
            <w:pPr>
              <w:spacing w:after="0"/>
              <w:rPr>
                <w:sz w:val="24"/>
                <w:szCs w:val="24"/>
                <w:color w:val="auto"/>
              </w:rPr>
            </w:pPr>
          </w:p>
        </w:tc>
      </w:tr>
      <w:tr>
        <w:trPr>
          <w:trHeight w:val="243"/>
        </w:trPr>
        <w:tc>
          <w:tcPr>
            <w:tcW w:w="40" w:type="dxa"/>
            <w:vAlign w:val="bottom"/>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3740" w:type="dxa"/>
            <w:vAlign w:val="bottom"/>
            <w:tcBorders>
              <w:bottom w:val="single" w:sz="8" w:color="auto"/>
            </w:tcBorders>
          </w:tcPr>
          <w:p>
            <w:pPr>
              <w:spacing w:after="0"/>
              <w:rPr>
                <w:sz w:val="21"/>
                <w:szCs w:val="21"/>
                <w:color w:val="auto"/>
              </w:rPr>
            </w:pPr>
          </w:p>
        </w:tc>
        <w:tc>
          <w:tcPr>
            <w:tcW w:w="2840" w:type="dxa"/>
            <w:vAlign w:val="bottom"/>
            <w:tcBorders>
              <w:bottom w:val="single" w:sz="8" w:color="auto"/>
            </w:tcBorders>
          </w:tcPr>
          <w:p>
            <w:pPr>
              <w:spacing w:after="0"/>
              <w:rPr>
                <w:sz w:val="21"/>
                <w:szCs w:val="21"/>
                <w:color w:val="auto"/>
              </w:rPr>
            </w:pPr>
          </w:p>
        </w:tc>
        <w:tc>
          <w:tcPr>
            <w:tcW w:w="4180" w:type="dxa"/>
            <w:vAlign w:val="bottom"/>
            <w:tcBorders>
              <w:bottom w:val="single" w:sz="8" w:color="auto"/>
            </w:tcBorders>
          </w:tcPr>
          <w:p>
            <w:pPr>
              <w:spacing w:after="0"/>
              <w:rPr>
                <w:sz w:val="21"/>
                <w:szCs w:val="21"/>
                <w:color w:val="auto"/>
              </w:rPr>
            </w:pPr>
          </w:p>
        </w:tc>
      </w:tr>
      <w:tr>
        <w:trPr>
          <w:trHeight w:val="345"/>
        </w:trPr>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740" w:type="dxa"/>
            <w:vAlign w:val="bottom"/>
          </w:tcPr>
          <w:p>
            <w:pPr>
              <w:ind w:left="1060"/>
              <w:spacing w:after="0"/>
              <w:rPr>
                <w:sz w:val="20"/>
                <w:szCs w:val="20"/>
                <w:color w:val="auto"/>
              </w:rPr>
            </w:pPr>
            <w:r>
              <w:rPr>
                <w:rFonts w:ascii="Arial" w:cs="Arial" w:eastAsia="Arial" w:hAnsi="Arial"/>
                <w:sz w:val="18"/>
                <w:szCs w:val="18"/>
                <w:b w:val="1"/>
                <w:bCs w:val="1"/>
                <w:color w:val="auto"/>
              </w:rPr>
              <w:t>333 Clay Street, Suite 1600</w:t>
            </w:r>
          </w:p>
        </w:tc>
        <w:tc>
          <w:tcPr>
            <w:tcW w:w="2840" w:type="dxa"/>
            <w:vAlign w:val="bottom"/>
          </w:tcPr>
          <w:p>
            <w:pPr>
              <w:ind w:left="460"/>
              <w:spacing w:after="0"/>
              <w:rPr>
                <w:sz w:val="20"/>
                <w:szCs w:val="20"/>
                <w:color w:val="auto"/>
              </w:rPr>
            </w:pPr>
            <w:r>
              <w:rPr>
                <w:rFonts w:ascii="Arial" w:cs="Arial" w:eastAsia="Arial" w:hAnsi="Arial"/>
                <w:sz w:val="18"/>
                <w:szCs w:val="18"/>
                <w:b w:val="1"/>
                <w:bCs w:val="1"/>
                <w:color w:val="auto"/>
              </w:rPr>
              <w:t>Houston, Texas 77002</w:t>
            </w:r>
          </w:p>
        </w:tc>
        <w:tc>
          <w:tcPr>
            <w:tcW w:w="4180" w:type="dxa"/>
            <w:vAlign w:val="bottom"/>
          </w:tcPr>
          <w:p>
            <w:pPr>
              <w:jc w:val="right"/>
              <w:ind w:right="1550"/>
              <w:spacing w:after="0"/>
              <w:rPr>
                <w:sz w:val="20"/>
                <w:szCs w:val="20"/>
                <w:color w:val="auto"/>
              </w:rPr>
            </w:pPr>
            <w:r>
              <w:rPr>
                <w:rFonts w:ascii="Arial" w:cs="Arial" w:eastAsia="Arial" w:hAnsi="Arial"/>
                <w:sz w:val="18"/>
                <w:szCs w:val="18"/>
                <w:b w:val="1"/>
                <w:bCs w:val="1"/>
                <w:color w:val="auto"/>
              </w:rPr>
              <w:t>713-646-4100 / 866-809-1291</w:t>
            </w:r>
          </w:p>
        </w:tc>
      </w:tr>
    </w:tbl>
    <w:p>
      <w:pPr>
        <w:spacing w:after="0" w:line="1" w:lineRule="exact"/>
        <w:rPr>
          <w:sz w:val="20"/>
          <w:szCs w:val="20"/>
          <w:color w:val="auto"/>
        </w:rPr>
      </w:pPr>
    </w:p>
    <w:sectPr>
      <w:pgSz w:w="11900" w:h="16838" w:orient="portrait"/>
      <w:cols w:equalWidth="0" w:num="1">
        <w:col w:w="11420"/>
      </w:cols>
      <w:pgMar w:left="240" w:top="34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decimal"/>
      <w:start w:val="1"/>
    </w:lvl>
  </w:abstractNum>
  <w:abstractNum w:abstractNumId="1">
    <w:nsid w:val="216231B"/>
    <w:multiLevelType w:val="hybridMultilevel"/>
    <w:lvl w:ilvl="0">
      <w:lvlJc w:val="left"/>
      <w:lvlText w:val="(%1)"/>
      <w:numFmt w:val="decimal"/>
      <w:start w:val="1"/>
    </w:lvl>
  </w:abstractNum>
  <w:abstractNum w:abstractNumId="2">
    <w:nsid w:val="1F16E9E8"/>
    <w:multiLevelType w:val="hybridMultilevel"/>
    <w:lvl w:ilvl="0">
      <w:lvlJc w:val="left"/>
      <w:lvlText w:val="(%1)"/>
      <w:numFmt w:val="decimal"/>
      <w:start w:val="1"/>
    </w:lvl>
    <w:lvl w:ilvl="1">
      <w:lvlJc w:val="left"/>
      <w:lvlText w:val="-"/>
      <w:numFmt w:val="bullet"/>
      <w:start w:val="1"/>
    </w:lvl>
  </w:abstractNum>
  <w:abstractNum w:abstractNumId="3">
    <w:nsid w:val="1190CDE7"/>
    <w:multiLevelType w:val="hybridMultilevel"/>
    <w:lvl w:ilvl="0">
      <w:lvlJc w:val="left"/>
      <w:lvlText w:val="(%1)"/>
      <w:numFmt w:val="decimal"/>
      <w:start w:val="1"/>
    </w:lvl>
  </w:abstractNum>
  <w:abstractNum w:abstractNumId="4">
    <w:nsid w:val="66EF438D"/>
    <w:multiLevelType w:val="hybridMultilevel"/>
    <w:lvl w:ilvl="0">
      <w:lvlJc w:val="left"/>
      <w:lvlText w:val="%1."/>
      <w:numFmt w:val="decimal"/>
      <w:start w:val="1"/>
    </w:lvl>
  </w:abstractNum>
  <w:abstractNum w:abstractNumId="5">
    <w:nsid w:val="140E0F76"/>
    <w:multiLevelType w:val="hybridMultilevel"/>
    <w:lvl w:ilvl="0">
      <w:lvlJc w:val="left"/>
      <w:lvlText w:val="(%1)"/>
      <w:numFmt w:val="decimal"/>
      <w:start w:val="1"/>
    </w:lvl>
    <w:lvl w:ilvl="1">
      <w:lvlJc w:val="left"/>
      <w:lvlText w:val="-"/>
      <w:numFmt w:val="bullet"/>
      <w:start w:val="1"/>
    </w:lvl>
  </w:abstractNum>
  <w:abstractNum w:abstractNumId="6">
    <w:nsid w:val="3352255A"/>
    <w:multiLevelType w:val="hybridMultilevel"/>
    <w:lvl w:ilvl="0">
      <w:lvlJc w:val="left"/>
      <w:lvlText w:val="(%1)"/>
      <w:numFmt w:val="decimal"/>
      <w:start w:val="1"/>
    </w:lvl>
    <w:lvl w:ilvl="1">
      <w:lvlJc w:val="left"/>
      <w:lvlText w:val="-"/>
      <w:numFmt w:val="bullet"/>
      <w:start w:val="1"/>
    </w:lvl>
  </w:abstractNum>
  <w:abstractNum w:abstractNumId="7">
    <w:nsid w:val="109CF92E"/>
    <w:multiLevelType w:val="hybridMultilevel"/>
    <w:lvl w:ilvl="0">
      <w:lvlJc w:val="left"/>
      <w:lvlText w:val="(%1)"/>
      <w:numFmt w:val="decimal"/>
      <w:start w:val="1"/>
    </w:lvl>
  </w:abstractNum>
  <w:abstractNum w:abstractNumId="8">
    <w:nsid w:val="DED7263"/>
    <w:multiLevelType w:val="hybridMultilevel"/>
    <w:lvl w:ilvl="0">
      <w:lvlJc w:val="left"/>
      <w:lvlText w:val="(%1)"/>
      <w:numFmt w:val="decimal"/>
      <w:start w:val="1"/>
    </w:lvl>
    <w:lvl w:ilvl="1">
      <w:lvlJc w:val="left"/>
      <w:lvlText w:val="-"/>
      <w:numFmt w:val="bullet"/>
      <w:start w:val="1"/>
    </w:lvl>
  </w:abstractNum>
  <w:abstractNum w:abstractNumId="9">
    <w:nsid w:val="7FDCC233"/>
    <w:multiLevelType w:val="hybridMultilevel"/>
    <w:lvl w:ilvl="0">
      <w:lvlJc w:val="left"/>
      <w:lvlText w:val="(%1)"/>
      <w:numFmt w:val="decimal"/>
      <w:start w:val="1"/>
    </w:lvl>
    <w:lvl w:ilvl="1">
      <w:lvlJc w:val="left"/>
      <w:lvlText w:val="-"/>
      <w:numFmt w:val="bullet"/>
      <w:start w:val="1"/>
    </w:lvl>
  </w:abstractNum>
  <w:abstractNum w:abstractNumId="10">
    <w:nsid w:val="1BEFD79F"/>
    <w:multiLevelType w:val="hybridMultilevel"/>
    <w:lvl w:ilvl="0">
      <w:lvlJc w:val="left"/>
      <w:lvlText w:val="(%1)"/>
      <w:numFmt w:val="decimal"/>
      <w:start w:val="1"/>
    </w:lvl>
    <w:lvl w:ilvl="1">
      <w:lvlJc w:val="left"/>
      <w:lvlText w:val="-"/>
      <w:numFmt w:val="bullet"/>
      <w:start w:val="1"/>
    </w:lvl>
  </w:abstractNum>
  <w:abstractNum w:abstractNumId="11">
    <w:nsid w:val="41A7C4C9"/>
    <w:multiLevelType w:val="hybridMultilevel"/>
    <w:lvl w:ilvl="0">
      <w:lvlJc w:val="left"/>
      <w:lvlText w:val="(%1)"/>
      <w:numFmt w:val="decimal"/>
      <w:start w:val="1"/>
    </w:lvl>
  </w:abstractNum>
  <w:abstractNum w:abstractNumId="12">
    <w:nsid w:val="6B68079A"/>
    <w:multiLevelType w:val="hybridMultilevel"/>
    <w:lvl w:ilvl="0">
      <w:lvlJc w:val="left"/>
      <w:lvlText w:val="(%1)"/>
      <w:numFmt w:val="decimal"/>
      <w:start w:val="1"/>
    </w:lvl>
  </w:abstractNum>
  <w:abstractNum w:abstractNumId="13">
    <w:nsid w:val="4E6AFB66"/>
    <w:multiLevelType w:val="hybridMultilevel"/>
    <w:lvl w:ilvl="0">
      <w:lvlJc w:val="left"/>
      <w:lvlText w:val="(%1)"/>
      <w:numFmt w:val="decimal"/>
      <w:start w:val="1"/>
    </w:lvl>
    <w:lvl w:ilvl="1">
      <w:lvlJc w:val="left"/>
      <w:lvlText w:val="-"/>
      <w:numFmt w:val="bullet"/>
      <w:start w:val="1"/>
    </w:lvl>
  </w:abstractNum>
  <w:abstractNum w:abstractNumId="14">
    <w:nsid w:val="25E45D32"/>
    <w:multiLevelType w:val="hybridMultilevel"/>
    <w:lvl w:ilvl="0">
      <w:lvlJc w:val="left"/>
      <w:lvlText w:val="(%1)"/>
      <w:numFmt w:val="decimal"/>
      <w:start w:val="1"/>
    </w:lvl>
    <w:lvl w:ilvl="1">
      <w:lvlJc w:val="left"/>
      <w:lvlText w:val="-"/>
      <w:numFmt w:val="bullet"/>
      <w:start w:val="1"/>
    </w:lvl>
  </w:abstractNum>
  <w:abstractNum w:abstractNumId="15">
    <w:nsid w:val="519B500D"/>
    <w:multiLevelType w:val="hybridMultilevel"/>
    <w:lvl w:ilvl="0">
      <w:lvlJc w:val="left"/>
      <w:lvlText w:val="(%1)"/>
      <w:numFmt w:val="decimal"/>
      <w:start w:val="1"/>
    </w:lvl>
    <w:lvl w:ilvl="1">
      <w:lvlJc w:val="left"/>
      <w:lvlText w:val="-"/>
      <w:numFmt w:val="bullet"/>
      <w:start w:val="1"/>
    </w:lvl>
  </w:abstractNum>
  <w:abstractNum w:abstractNumId="16">
    <w:nsid w:val="431BD7B7"/>
    <w:multiLevelType w:val="hybridMultilevel"/>
    <w:lvl w:ilvl="0">
      <w:lvlJc w:val="left"/>
      <w:lvlText w:val="(%1)"/>
      <w:numFmt w:val="decimal"/>
      <w:start w:val="1"/>
    </w:lvl>
    <w:lvl w:ilvl="1">
      <w:lvlJc w:val="left"/>
      <w:lvlText w:val="-"/>
      <w:numFmt w:val="bullet"/>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2020-01-18T00:07:55Z</dcterms:created>
  <dcterms:modified xsi:type="dcterms:W3CDTF">2020-01-18T00:07:55Z</dcterms:modified>
</cp:coreProperties>
</file>