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20, 2026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8"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The 2026 annual meeting of common unitholders and Series A Convertible Preferred unitholders (collectively, the “Unitholders”) of Plains All American Pipeline, L.P. (“PAA” or the “Partnership”) was held on May 20, 2026. At the annual meeting, the Unitholders (other than Plains AAP, L.P.) considered and voted on how to instruct PAA to vote the Class C shares of Plains GP Holdings, L.P. (“PAGP”) that PAA owns at PAGP’s annual meeting with respect to the following matters, each of which is described in greater detail in PAA’s Proxy Statement dated April 10, 2026 (the “Proxy Statement”):</w:t>
      </w:r>
    </w:p>
    <w:p>
      <w:pPr>
        <w:spacing w:after="0" w:line="3" w:lineRule="exact"/>
        <w:rPr>
          <w:sz w:val="20"/>
          <w:szCs w:val="20"/>
          <w:color w:val="auto"/>
        </w:rPr>
      </w:pPr>
    </w:p>
    <w:p>
      <w:pPr>
        <w:ind w:right="260" w:firstLine="8"/>
        <w:spacing w:after="0" w:line="255"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four Class I directors to serve on the board of directors of PAA GP Holdings LLC until the 2029 annual meeting; (ii) the ratification of the appointment of PricewaterhouseCoopers LLP as PAGP’s and PAA’s independent registered public accounting firm for the fiscal year ending December 31, 2026; and (iii) the approval, on a non-binding advisory basis, of our 2025 named executive officer compensation.</w:t>
      </w:r>
    </w:p>
    <w:p>
      <w:pPr>
        <w:spacing w:after="0" w:line="18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Out of the 530,943,161 common units and Series A Preferred units entitled to vote on Items 1, 2 and 3, approximately 83.2%, or 441,976,013 units, were represented in person or by proxy at the PAA annual meeting. The voting results for each matter presented at the PAA annual meeting were as follows:</w:t>
      </w:r>
    </w:p>
    <w:p>
      <w:pPr>
        <w:spacing w:after="0" w:line="176" w:lineRule="exact"/>
        <w:rPr>
          <w:sz w:val="20"/>
          <w:szCs w:val="20"/>
          <w:color w:val="auto"/>
        </w:rPr>
      </w:pPr>
    </w:p>
    <w:p>
      <w:pPr>
        <w:ind w:left="900" w:right="180" w:hanging="244"/>
        <w:spacing w:after="0" w:line="312"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Unitholders (other than Plains AAP, L.P.) voted to instruct PAA to vote the PAGP Class C shares that it owns at the PAGP annual meeting on the election of four Class I directors to serve on the board of directors of PAA GP Holdings LLC until the 2029 annual meeting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Percentage of Votes Cast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09"/>
        </w:trPr>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Willie Chiang</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305,596,109</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6,476,382</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97.9%</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129,903,522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Ellen DeSanctis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306,878,470</w:t>
            </w:r>
          </w:p>
        </w:tc>
        <w:tc>
          <w:tcPr>
            <w:tcW w:w="20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5,194,021</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98.3%</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129,903,522</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Alexandra Pruner</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304,958,788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7,113,703</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129,903,522</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Larry Ziemba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306,095,853</w:t>
            </w:r>
          </w:p>
        </w:tc>
        <w:tc>
          <w:tcPr>
            <w:tcW w:w="20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5,976,638</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98.1%</w:t>
            </w: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129,903,522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00" w:right="20" w:hanging="244"/>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(other than Plains AAP, L.P.) voted to instruct PAA to vote the PAGP Class C shares that it owns at the PAGP annual meeting on the ratification of the appointment of PricewaterhouseCoopers LLP as PAGP’s and PAA’s independent registered public accounting firm for the fiscal year ending December 31, 2026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Percentage of Votes Cast</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16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437,632,921</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3,758,542</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584,550</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900" w:right="180" w:hanging="244"/>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(other than Plains AAP, L.P.) voted to instruct PAA to vote the PAGP Class C shares that it owns at the PAGP annual meeting on the approval, on a non-binding advisory basis, of our 2025 named executive officer compensation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Percentage of Votes Cast</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16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188,931,812</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121,666,547</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1,474,133</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129,903,521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*With respect to Items 1, 2 and 3, PAA Unitholders (other than Plains AAP, L.P.) voted on a “pass-through” basis by instructing PAA how to vote the PAGP Class C shares that it owns on Items 1, 2 and 3 at the PAGP annual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7"/>
          <w:szCs w:val="17"/>
          <w:b w:val="1"/>
          <w:bCs w:val="1"/>
          <w:color w:val="auto"/>
        </w:rPr>
        <w:t>PLAINS ALL AMERICAN PIPELINE,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2026-05-22T15:47:07Z</dcterms:created>
  <dcterms:modified xsi:type="dcterms:W3CDTF">2026-05-22T15:47:07Z</dcterms:modified>
</cp:coreProperties>
</file>