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-637540</wp:posOffset>
            </wp:positionV>
            <wp:extent cx="59055" cy="650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0875"/>
                    </a:xfrm>
                    <a:prstGeom prst="rect">
                      <a:avLst/>
                    </a:prstGeom>
                    <a:noFill/>
                  </pic:spPr>
                </pic:pic>
              </a:graphicData>
            </a:graphic>
          </wp:anchor>
        </w:drawing>
        <w:drawing>
          <wp:anchor simplePos="0" relativeHeight="251657728" behindDoc="1" locked="0" layoutInCell="0" allowOverlap="1">
            <wp:simplePos x="0" y="0"/>
            <wp:positionH relativeFrom="column">
              <wp:posOffset>4112260</wp:posOffset>
            </wp:positionH>
            <wp:positionV relativeFrom="paragraph">
              <wp:posOffset>-637540</wp:posOffset>
            </wp:positionV>
            <wp:extent cx="59055" cy="650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087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275830" cy="9368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5830" cy="9368790"/>
                    </a:xfrm>
                    <a:prstGeom prst="rect">
                      <a:avLst/>
                    </a:prstGeom>
                    <a:noFill/>
                  </pic:spPr>
                </pic:pic>
              </a:graphicData>
            </a:graphic>
          </wp:anchor>
        </w:drawing>
      </w:r>
    </w:p>
    <w:p>
      <w:pPr>
        <w:spacing w:after="0" w:line="43" w:lineRule="exact"/>
        <w:rPr>
          <w:sz w:val="24"/>
          <w:szCs w:val="24"/>
          <w:color w:val="auto"/>
        </w:rPr>
      </w:pPr>
    </w:p>
    <w:p>
      <w:pPr>
        <w:sectPr>
          <w:pgSz w:w="11900" w:h="16913" w:orient="portrait"/>
          <w:cols w:equalWidth="0" w:num="2">
            <w:col w:w="2300" w:space="420"/>
            <w:col w:w="8800"/>
          </w:cols>
          <w:pgMar w:left="240" w:top="223" w:right="1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11"/>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80" w:type="dxa"/>
            <w:vAlign w:val="bottom"/>
            <w:gridSpan w:val="13"/>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6"/>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KAFU Holdings (QP), L.P.</w:t>
              </w:r>
            </w:hyperlink>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20" w:type="dxa"/>
            <w:vAlign w:val="bottom"/>
            <w:gridSpan w:val="12"/>
          </w:tcPr>
          <w:p>
            <w:pPr>
              <w:ind w:left="60"/>
              <w:spacing w:after="0" w:line="105"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PLAINS GP HOLDINGS LP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PAGP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0" w:type="dxa"/>
            <w:vAlign w:val="bottom"/>
            <w:gridSpan w:val="6"/>
            <w:vMerge w:val="restart"/>
          </w:tcPr>
          <w:p>
            <w:pPr>
              <w:spacing w:after="0"/>
              <w:rPr>
                <w:sz w:val="20"/>
                <w:szCs w:val="20"/>
                <w:color w:val="auto"/>
              </w:rPr>
            </w:pPr>
            <w:r>
              <w:rPr>
                <w:rFonts w:ascii="Arial" w:cs="Arial" w:eastAsia="Arial" w:hAnsi="Arial"/>
                <w:sz w:val="13"/>
                <w:szCs w:val="13"/>
                <w:color w:val="auto"/>
              </w:rPr>
              <w:t>(Check all applicable)</w:t>
            </w: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0" w:type="dxa"/>
            <w:vAlign w:val="bottom"/>
            <w:gridSpan w:val="6"/>
            <w:vMerge w:val="continue"/>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6"/>
            <w:vMerge w:val="continue"/>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gridSpan w:val="3"/>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5"/>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220" w:type="dxa"/>
            <w:vAlign w:val="bottom"/>
          </w:tcPr>
          <w:p>
            <w:pPr>
              <w:spacing w:after="0"/>
              <w:rPr>
                <w:sz w:val="7"/>
                <w:szCs w:val="7"/>
                <w:color w:val="auto"/>
              </w:rPr>
            </w:pPr>
          </w:p>
        </w:tc>
        <w:tc>
          <w:tcPr>
            <w:tcW w:w="320" w:type="dxa"/>
            <w:vAlign w:val="bottom"/>
            <w:vMerge w:val="restart"/>
          </w:tcPr>
          <w:p>
            <w:pPr>
              <w:ind w:left="20"/>
              <w:spacing w:after="0"/>
              <w:rPr>
                <w:sz w:val="20"/>
                <w:szCs w:val="20"/>
                <w:color w:val="auto"/>
              </w:rPr>
            </w:pPr>
            <w:r>
              <w:rPr>
                <w:rFonts w:ascii="Arial" w:cs="Arial" w:eastAsia="Arial" w:hAnsi="Arial"/>
                <w:sz w:val="17"/>
                <w:szCs w:val="17"/>
                <w:color w:val="0000FF"/>
              </w:rPr>
              <w:t>X</w:t>
            </w:r>
          </w:p>
        </w:tc>
        <w:tc>
          <w:tcPr>
            <w:tcW w:w="1340" w:type="dxa"/>
            <w:vAlign w:val="bottom"/>
            <w:gridSpan w:val="5"/>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13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3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8"/>
                <w:szCs w:val="8"/>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20" w:type="dxa"/>
            <w:vAlign w:val="bottom"/>
            <w:gridSpan w:val="11"/>
            <w:vMerge w:val="restart"/>
          </w:tcPr>
          <w:p>
            <w:pPr>
              <w:ind w:left="60"/>
              <w:spacing w:after="0" w:line="137" w:lineRule="exact"/>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restart"/>
          </w:tcPr>
          <w:p>
            <w:pPr>
              <w:ind w:left="200"/>
              <w:spacing w:after="0" w:line="137" w:lineRule="exact"/>
              <w:rPr>
                <w:sz w:val="20"/>
                <w:szCs w:val="20"/>
                <w:color w:val="auto"/>
              </w:rPr>
            </w:pPr>
            <w:r>
              <w:rPr>
                <w:rFonts w:ascii="Arial" w:cs="Arial" w:eastAsia="Arial" w:hAnsi="Arial"/>
                <w:sz w:val="13"/>
                <w:szCs w:val="13"/>
                <w:color w:val="auto"/>
                <w:w w:val="99"/>
              </w:rPr>
              <w:t>below)</w:t>
            </w: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gridSpan w:val="2"/>
            <w:vMerge w:val="restart"/>
          </w:tcPr>
          <w:p>
            <w:pPr>
              <w:ind w:left="40"/>
              <w:spacing w:after="0" w:line="137"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gridSpan w:val="4"/>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gridSpan w:val="11"/>
            <w:vMerge w:val="continue"/>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540" w:type="dxa"/>
            <w:vAlign w:val="bottom"/>
            <w:gridSpan w:val="8"/>
            <w:vMerge w:val="restart"/>
          </w:tcPr>
          <w:p>
            <w:pPr>
              <w:ind w:left="240"/>
              <w:spacing w:after="0"/>
              <w:rPr>
                <w:sz w:val="20"/>
                <w:szCs w:val="20"/>
                <w:color w:val="auto"/>
              </w:rPr>
            </w:pPr>
            <w:r>
              <w:rPr>
                <w:rFonts w:ascii="Arial" w:cs="Arial" w:eastAsia="Arial" w:hAnsi="Arial"/>
                <w:sz w:val="17"/>
                <w:szCs w:val="17"/>
                <w:color w:val="0000FF"/>
              </w:rPr>
              <w:t>12/29/2017</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80" w:type="dxa"/>
            <w:vAlign w:val="bottom"/>
            <w:gridSpan w:val="3"/>
            <w:vMerge w:val="restart"/>
          </w:tcPr>
          <w:p>
            <w:pPr>
              <w:jc w:val="center"/>
              <w:ind w:left="159"/>
              <w:spacing w:after="0"/>
              <w:rPr>
                <w:sz w:val="20"/>
                <w:szCs w:val="20"/>
                <w:color w:val="auto"/>
              </w:rPr>
            </w:pPr>
            <w:r>
              <w:rPr>
                <w:rFonts w:ascii="Arial" w:cs="Arial" w:eastAsia="Arial" w:hAnsi="Arial"/>
                <w:sz w:val="17"/>
                <w:szCs w:val="17"/>
                <w:color w:val="0000FF"/>
                <w:w w:val="86"/>
              </w:rPr>
              <w:t>See Remaks</w:t>
            </w: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gridSpan w:val="7"/>
            <w:vMerge w:val="restart"/>
          </w:tcPr>
          <w:p>
            <w:pPr>
              <w:spacing w:after="0"/>
              <w:rPr>
                <w:sz w:val="20"/>
                <w:szCs w:val="20"/>
                <w:color w:val="auto"/>
              </w:rPr>
            </w:pPr>
            <w:r>
              <w:rPr>
                <w:rFonts w:ascii="Arial" w:cs="Arial" w:eastAsia="Arial" w:hAnsi="Arial"/>
                <w:sz w:val="17"/>
                <w:szCs w:val="17"/>
                <w:color w:val="0000FF"/>
              </w:rPr>
              <w:t>1800 AVENUE OF THE STARS, SUITE 300</w:t>
            </w:r>
          </w:p>
        </w:tc>
        <w:tc>
          <w:tcPr>
            <w:tcW w:w="1540" w:type="dxa"/>
            <w:vAlign w:val="bottom"/>
            <w:gridSpan w:val="8"/>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0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7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gridSpan w:val="2"/>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gridSpan w:val="2"/>
          </w:tcPr>
          <w:p>
            <w:pPr>
              <w:spacing w:after="0"/>
              <w:rPr>
                <w:sz w:val="19"/>
                <w:szCs w:val="19"/>
                <w:color w:val="auto"/>
              </w:rPr>
            </w:pPr>
          </w:p>
        </w:tc>
        <w:tc>
          <w:tcPr>
            <w:tcW w:w="1180" w:type="dxa"/>
            <w:vAlign w:val="bottom"/>
            <w:tcBorders>
              <w:bottom w:val="single" w:sz="8" w:color="2C2C2C"/>
            </w:tcBorders>
            <w:gridSpan w:val="4"/>
          </w:tcPr>
          <w:p>
            <w:pPr>
              <w:spacing w:after="0"/>
              <w:rPr>
                <w:sz w:val="19"/>
                <w:szCs w:val="19"/>
                <w:color w:val="auto"/>
              </w:rPr>
            </w:pPr>
          </w:p>
        </w:tc>
        <w:tc>
          <w:tcPr>
            <w:tcW w:w="980" w:type="dxa"/>
            <w:vAlign w:val="bottom"/>
            <w:tcBorders>
              <w:bottom w:val="single" w:sz="8" w:color="2C2C2C"/>
            </w:tcBorders>
            <w:gridSpan w:val="2"/>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gridSpan w:val="2"/>
          </w:tcPr>
          <w:p>
            <w:pPr>
              <w:spacing w:after="0"/>
              <w:rPr>
                <w:sz w:val="19"/>
                <w:szCs w:val="19"/>
                <w:color w:val="auto"/>
              </w:rPr>
            </w:pPr>
          </w:p>
        </w:tc>
        <w:tc>
          <w:tcPr>
            <w:tcW w:w="3160" w:type="dxa"/>
            <w:vAlign w:val="bottom"/>
            <w:tcBorders>
              <w:bottom w:val="single" w:sz="8" w:color="2C2C2C"/>
            </w:tcBorders>
            <w:gridSpan w:val="8"/>
          </w:tcPr>
          <w:p>
            <w:pPr>
              <w:spacing w:after="0"/>
              <w:rPr>
                <w:sz w:val="19"/>
                <w:szCs w:val="19"/>
                <w:color w:val="auto"/>
              </w:rPr>
            </w:pP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70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16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gridSpan w:val="12"/>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13"/>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20" w:type="dxa"/>
            <w:vAlign w:val="bottom"/>
            <w:gridSpan w:val="12"/>
            <w:vMerge w:val="continue"/>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1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gridSpan w:val="4"/>
            <w:vMerge w:val="restart"/>
          </w:tcPr>
          <w:p>
            <w:pPr>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LOS ANGELES</w:t>
            </w:r>
          </w:p>
        </w:tc>
        <w:tc>
          <w:tcPr>
            <w:tcW w:w="12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20"/>
              <w:spacing w:after="0"/>
              <w:rPr>
                <w:sz w:val="20"/>
                <w:szCs w:val="20"/>
                <w:color w:val="auto"/>
              </w:rPr>
            </w:pPr>
            <w:r>
              <w:rPr>
                <w:rFonts w:ascii="Arial" w:cs="Arial" w:eastAsia="Arial" w:hAnsi="Arial"/>
                <w:sz w:val="17"/>
                <w:szCs w:val="17"/>
                <w:color w:val="0000FF"/>
              </w:rPr>
              <w:t>90067</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80" w:type="dxa"/>
            <w:vAlign w:val="bottom"/>
            <w:gridSpan w:val="4"/>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6"/>
          </w:tcPr>
          <w:p>
            <w:pPr>
              <w:ind w:left="200"/>
              <w:spacing w:after="0"/>
              <w:rPr>
                <w:sz w:val="20"/>
                <w:szCs w:val="20"/>
                <w:color w:val="auto"/>
              </w:rPr>
            </w:pPr>
            <w:r>
              <w:rPr>
                <w:rFonts w:ascii="Arial" w:cs="Arial" w:eastAsia="Arial" w:hAnsi="Arial"/>
                <w:sz w:val="13"/>
                <w:szCs w:val="13"/>
                <w:color w:val="auto"/>
                <w:w w:val="99"/>
              </w:rPr>
              <w:t>Form filed by One Reporting Person</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vMerge w:val="restart"/>
          </w:tcPr>
          <w:p>
            <w:pPr>
              <w:ind w:left="20"/>
              <w:spacing w:after="0"/>
              <w:rPr>
                <w:sz w:val="20"/>
                <w:szCs w:val="20"/>
                <w:color w:val="auto"/>
              </w:rPr>
            </w:pPr>
            <w:r>
              <w:rPr>
                <w:rFonts w:ascii="Arial" w:cs="Arial" w:eastAsia="Arial" w:hAnsi="Arial"/>
                <w:sz w:val="17"/>
                <w:szCs w:val="17"/>
                <w:color w:val="0000FF"/>
              </w:rPr>
              <w:t>X</w:t>
            </w:r>
          </w:p>
        </w:tc>
        <w:tc>
          <w:tcPr>
            <w:tcW w:w="3120" w:type="dxa"/>
            <w:vAlign w:val="bottom"/>
            <w:gridSpan w:val="9"/>
          </w:tcPr>
          <w:p>
            <w:pPr>
              <w:ind w:left="200"/>
              <w:spacing w:after="0" w:line="139"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4"/>
                <w:szCs w:val="4"/>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280" w:type="dxa"/>
            <w:vAlign w:val="bottom"/>
            <w:gridSpan w:val="4"/>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4"/>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7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580" w:type="dxa"/>
            <w:vAlign w:val="bottom"/>
            <w:tcBorders>
              <w:top w:val="single" w:sz="8" w:color="2C2C2C"/>
            </w:tcBorders>
            <w:gridSpan w:val="23"/>
          </w:tcPr>
          <w:p>
            <w:pPr>
              <w:ind w:left="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5"/>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100" w:type="dxa"/>
            <w:vAlign w:val="bottom"/>
          </w:tcPr>
          <w:p>
            <w:pPr>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4"/>
                <w:szCs w:val="14"/>
                <w:color w:val="auto"/>
              </w:rPr>
            </w:pPr>
          </w:p>
        </w:tc>
        <w:tc>
          <w:tcPr>
            <w:tcW w:w="18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1180" w:type="dxa"/>
            <w:vAlign w:val="bottom"/>
            <w:gridSpan w:val="3"/>
          </w:tcPr>
          <w:p>
            <w:pPr>
              <w:ind w:left="360"/>
              <w:spacing w:after="0"/>
              <w:rPr>
                <w:sz w:val="20"/>
                <w:szCs w:val="20"/>
                <w:color w:val="auto"/>
              </w:rPr>
            </w:pPr>
            <w:r>
              <w:rPr>
                <w:rFonts w:ascii="Arial" w:cs="Arial" w:eastAsia="Arial" w:hAnsi="Arial"/>
                <w:sz w:val="12"/>
                <w:szCs w:val="12"/>
                <w:b w:val="1"/>
                <w:bCs w:val="1"/>
                <w:color w:val="auto"/>
              </w:rPr>
              <w:t>6. Ownership</w:t>
            </w:r>
          </w:p>
        </w:tc>
        <w:tc>
          <w:tcPr>
            <w:tcW w:w="120" w:type="dxa"/>
            <w:vAlign w:val="bottom"/>
          </w:tcPr>
          <w:p>
            <w:pPr>
              <w:spacing w:after="0"/>
              <w:rPr>
                <w:sz w:val="14"/>
                <w:szCs w:val="14"/>
                <w:color w:val="auto"/>
              </w:rPr>
            </w:pPr>
          </w:p>
        </w:tc>
        <w:tc>
          <w:tcPr>
            <w:tcW w:w="12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ind w:left="5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180" w:type="dxa"/>
            <w:vAlign w:val="bottom"/>
            <w:gridSpan w:val="3"/>
          </w:tcPr>
          <w:p>
            <w:pPr>
              <w:ind w:left="360"/>
              <w:spacing w:after="0" w:line="129" w:lineRule="exact"/>
              <w:rPr>
                <w:sz w:val="20"/>
                <w:szCs w:val="20"/>
                <w:color w:val="auto"/>
              </w:rPr>
            </w:pPr>
            <w:r>
              <w:rPr>
                <w:rFonts w:ascii="Arial" w:cs="Arial" w:eastAsia="Arial" w:hAnsi="Arial"/>
                <w:sz w:val="12"/>
                <w:szCs w:val="12"/>
                <w:b w:val="1"/>
                <w:bCs w:val="1"/>
                <w:color w:val="auto"/>
              </w:rPr>
              <w:t>Form: Direct</w:t>
            </w:r>
          </w:p>
        </w:tc>
        <w:tc>
          <w:tcPr>
            <w:tcW w:w="12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gridSpan w:val="5"/>
          </w:tcPr>
          <w:p>
            <w:pPr>
              <w:ind w:left="560"/>
              <w:spacing w:after="0" w:line="132"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3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1180" w:type="dxa"/>
            <w:vAlign w:val="bottom"/>
            <w:gridSpan w:val="3"/>
          </w:tcPr>
          <w:p>
            <w:pPr>
              <w:ind w:left="360"/>
              <w:spacing w:after="0" w:line="132" w:lineRule="exact"/>
              <w:rPr>
                <w:sz w:val="20"/>
                <w:szCs w:val="20"/>
                <w:color w:val="auto"/>
              </w:rPr>
            </w:pPr>
            <w:r>
              <w:rPr>
                <w:rFonts w:ascii="Arial" w:cs="Arial" w:eastAsia="Arial" w:hAnsi="Arial"/>
                <w:sz w:val="12"/>
                <w:szCs w:val="12"/>
                <w:b w:val="1"/>
                <w:bCs w:val="1"/>
                <w:color w:val="auto"/>
              </w:rPr>
              <w:t>(D) or Indirect</w:t>
            </w:r>
          </w:p>
        </w:tc>
        <w:tc>
          <w:tcPr>
            <w:tcW w:w="120" w:type="dxa"/>
            <w:vAlign w:val="bottom"/>
          </w:tcPr>
          <w:p>
            <w:pPr>
              <w:spacing w:after="0"/>
              <w:rPr>
                <w:sz w:val="11"/>
                <w:szCs w:val="11"/>
                <w:color w:val="auto"/>
              </w:rPr>
            </w:pPr>
          </w:p>
        </w:tc>
        <w:tc>
          <w:tcPr>
            <w:tcW w:w="122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line="132"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0" w:type="dxa"/>
            <w:vAlign w:val="bottom"/>
            <w:gridSpan w:val="6"/>
          </w:tcPr>
          <w:p>
            <w:pPr>
              <w:ind w:left="20"/>
              <w:spacing w:after="0" w:line="132" w:lineRule="exact"/>
              <w:rPr>
                <w:sz w:val="20"/>
                <w:szCs w:val="20"/>
                <w:color w:val="auto"/>
              </w:rPr>
            </w:pPr>
            <w:r>
              <w:rPr>
                <w:rFonts w:ascii="Arial" w:cs="Arial" w:eastAsia="Arial" w:hAnsi="Arial"/>
                <w:sz w:val="12"/>
                <w:szCs w:val="12"/>
                <w:b w:val="1"/>
                <w:bCs w:val="1"/>
                <w:color w:val="auto"/>
              </w:rPr>
              <w:t>Owned Following   (I) (Instr. 4)</w:t>
            </w:r>
          </w:p>
        </w:tc>
        <w:tc>
          <w:tcPr>
            <w:tcW w:w="120" w:type="dxa"/>
            <w:vAlign w:val="bottom"/>
          </w:tcPr>
          <w:p>
            <w:pPr>
              <w:spacing w:after="0"/>
              <w:rPr>
                <w:sz w:val="11"/>
                <w:szCs w:val="11"/>
                <w:color w:val="auto"/>
              </w:rPr>
            </w:pPr>
          </w:p>
        </w:tc>
        <w:tc>
          <w:tcPr>
            <w:tcW w:w="4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4"/>
              </w:rPr>
              <w:t>Transaction(s)</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w w:val="95"/>
              </w:rPr>
              <w:t>(Instr. 3 and 4)</w:t>
            </w: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Shares</w:t>
            </w: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gridSpan w:val="5"/>
            <w:vMerge w:val="restart"/>
          </w:tcPr>
          <w:p>
            <w:pPr>
              <w:jc w:val="right"/>
              <w:ind w:right="160"/>
              <w:spacing w:after="0"/>
              <w:rPr>
                <w:sz w:val="20"/>
                <w:szCs w:val="20"/>
                <w:color w:val="auto"/>
              </w:rPr>
            </w:pPr>
            <w:r>
              <w:rPr>
                <w:rFonts w:ascii="Arial" w:cs="Arial" w:eastAsia="Arial" w:hAnsi="Arial"/>
                <w:sz w:val="17"/>
                <w:szCs w:val="17"/>
                <w:color w:val="0000FF"/>
              </w:rPr>
              <w:t>12/29/2017</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A</w:t>
            </w:r>
          </w:p>
        </w:tc>
        <w:tc>
          <w:tcPr>
            <w:tcW w:w="860" w:type="dxa"/>
            <w:vAlign w:val="bottom"/>
            <w:gridSpan w:val="2"/>
            <w:vMerge w:val="restart"/>
          </w:tcPr>
          <w:p>
            <w:pPr>
              <w:ind w:left="140"/>
              <w:spacing w:after="0"/>
              <w:rPr>
                <w:sz w:val="20"/>
                <w:szCs w:val="20"/>
                <w:color w:val="auto"/>
              </w:rPr>
            </w:pPr>
            <w:r>
              <w:rPr>
                <w:rFonts w:ascii="Arial" w:cs="Arial" w:eastAsia="Arial" w:hAnsi="Arial"/>
                <w:sz w:val="17"/>
                <w:szCs w:val="17"/>
                <w:color w:val="0000FF"/>
              </w:rPr>
              <w:t>223,465</w:t>
            </w:r>
          </w:p>
        </w:tc>
        <w:tc>
          <w:tcPr>
            <w:tcW w:w="500" w:type="dxa"/>
            <w:vAlign w:val="bottom"/>
            <w:vMerge w:val="restart"/>
          </w:tcPr>
          <w:p>
            <w:pPr>
              <w:ind w:left="180"/>
              <w:spacing w:after="0"/>
              <w:rPr>
                <w:sz w:val="20"/>
                <w:szCs w:val="20"/>
                <w:color w:val="auto"/>
              </w:rPr>
            </w:pPr>
            <w:r>
              <w:rPr>
                <w:rFonts w:ascii="Arial" w:cs="Arial" w:eastAsia="Arial" w:hAnsi="Arial"/>
                <w:sz w:val="17"/>
                <w:szCs w:val="17"/>
                <w:color w:val="0000FF"/>
              </w:rPr>
              <w:t>A</w:t>
            </w:r>
          </w:p>
        </w:tc>
        <w:tc>
          <w:tcPr>
            <w:tcW w:w="460" w:type="dxa"/>
            <w:vAlign w:val="bottom"/>
            <w:vMerge w:val="restart"/>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223,465</w:t>
            </w:r>
          </w:p>
        </w:tc>
        <w:tc>
          <w:tcPr>
            <w:tcW w:w="640" w:type="dxa"/>
            <w:vAlign w:val="bottom"/>
          </w:tcPr>
          <w:p>
            <w:pPr>
              <w:spacing w:after="0"/>
              <w:rPr>
                <w:sz w:val="22"/>
                <w:szCs w:val="22"/>
                <w:color w:val="auto"/>
              </w:rPr>
            </w:pPr>
          </w:p>
        </w:tc>
        <w:tc>
          <w:tcPr>
            <w:tcW w:w="2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ind w:left="20"/>
              <w:spacing w:after="0"/>
              <w:rPr>
                <w:sz w:val="20"/>
                <w:szCs w:val="20"/>
                <w:color w:val="auto"/>
              </w:rPr>
            </w:pPr>
            <w:r>
              <w:rPr>
                <w:rFonts w:ascii="Arial" w:cs="Arial" w:eastAsia="Arial" w:hAnsi="Arial"/>
                <w:sz w:val="17"/>
                <w:szCs w:val="17"/>
                <w:color w:val="0000FF"/>
              </w:rPr>
              <w:t>See</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4"/>
            <w:vMerge w:val="restart"/>
          </w:tcPr>
          <w:p>
            <w:pPr>
              <w:ind w:left="20"/>
              <w:spacing w:after="0"/>
              <w:rPr>
                <w:sz w:val="20"/>
                <w:szCs w:val="20"/>
                <w:color w:val="auto"/>
              </w:rPr>
            </w:pPr>
            <w:r>
              <w:rPr>
                <w:rFonts w:ascii="Arial" w:cs="Arial" w:eastAsia="Arial" w:hAnsi="Arial"/>
                <w:sz w:val="17"/>
                <w:szCs w:val="17"/>
                <w:color w:val="0000FF"/>
                <w:w w:val="97"/>
              </w:rPr>
              <w:t>footnotes</w:t>
            </w:r>
            <w:r>
              <w:rPr>
                <w:rFonts w:ascii="Arial" w:cs="Arial" w:eastAsia="Arial" w:hAnsi="Arial"/>
                <w:sz w:val="21"/>
                <w:szCs w:val="21"/>
                <w:color w:val="008000"/>
                <w:w w:val="97"/>
                <w:vertAlign w:val="superscript"/>
              </w:rPr>
              <w:t>(1)(2)(3)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6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Class A Shares</w:t>
            </w:r>
          </w:p>
        </w:tc>
        <w:tc>
          <w:tcPr>
            <w:tcW w:w="1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5"/>
            <w:vMerge w:val="restart"/>
          </w:tcPr>
          <w:p>
            <w:pPr>
              <w:jc w:val="right"/>
              <w:ind w:right="160"/>
              <w:spacing w:after="0"/>
              <w:rPr>
                <w:sz w:val="20"/>
                <w:szCs w:val="20"/>
                <w:color w:val="auto"/>
              </w:rPr>
            </w:pPr>
            <w:r>
              <w:rPr>
                <w:rFonts w:ascii="Arial" w:cs="Arial" w:eastAsia="Arial" w:hAnsi="Arial"/>
                <w:sz w:val="17"/>
                <w:szCs w:val="17"/>
                <w:color w:val="0000FF"/>
              </w:rPr>
              <w:t>12/29/2017</w:t>
            </w:r>
          </w:p>
        </w:tc>
        <w:tc>
          <w:tcPr>
            <w:tcW w:w="2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vMerge w:val="restart"/>
          </w:tcPr>
          <w:p>
            <w:pPr>
              <w:ind w:left="20"/>
              <w:spacing w:after="0"/>
              <w:rPr>
                <w:sz w:val="20"/>
                <w:szCs w:val="20"/>
                <w:color w:val="auto"/>
              </w:rPr>
            </w:pPr>
            <w:r>
              <w:rPr>
                <w:rFonts w:ascii="Arial" w:cs="Arial" w:eastAsia="Arial" w:hAnsi="Arial"/>
                <w:sz w:val="13"/>
                <w:szCs w:val="13"/>
                <w:color w:val="0000FF"/>
              </w:rPr>
              <w:t>J</w:t>
            </w:r>
          </w:p>
        </w:tc>
        <w:tc>
          <w:tcPr>
            <w:tcW w:w="860" w:type="dxa"/>
            <w:vAlign w:val="bottom"/>
            <w:tcBorders>
              <w:top w:val="single" w:sz="8" w:color="2C2C2C"/>
            </w:tcBorders>
            <w:gridSpan w:val="2"/>
            <w:vMerge w:val="restart"/>
          </w:tcPr>
          <w:p>
            <w:pPr>
              <w:ind w:left="140"/>
              <w:spacing w:after="0"/>
              <w:rPr>
                <w:sz w:val="20"/>
                <w:szCs w:val="20"/>
                <w:color w:val="auto"/>
              </w:rPr>
            </w:pPr>
            <w:r>
              <w:rPr>
                <w:rFonts w:ascii="Arial" w:cs="Arial" w:eastAsia="Arial" w:hAnsi="Arial"/>
                <w:sz w:val="17"/>
                <w:szCs w:val="17"/>
                <w:color w:val="0000FF"/>
              </w:rPr>
              <w:t>223,465</w:t>
            </w:r>
          </w:p>
        </w:tc>
        <w:tc>
          <w:tcPr>
            <w:tcW w:w="5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7"/>
                <w:szCs w:val="17"/>
                <w:color w:val="0000FF"/>
              </w:rPr>
              <w:t>D</w:t>
            </w:r>
          </w:p>
        </w:tc>
        <w:tc>
          <w:tcPr>
            <w:tcW w:w="460" w:type="dxa"/>
            <w:vAlign w:val="bottom"/>
            <w:tcBorders>
              <w:top w:val="single" w:sz="8" w:color="2C2C2C"/>
            </w:tcBorders>
            <w:vMerge w:val="restart"/>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0</w:t>
            </w:r>
          </w:p>
        </w:tc>
        <w:tc>
          <w:tcPr>
            <w:tcW w:w="6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ind w:left="20"/>
              <w:spacing w:after="0"/>
              <w:rPr>
                <w:sz w:val="20"/>
                <w:szCs w:val="20"/>
                <w:color w:val="auto"/>
              </w:rPr>
            </w:pPr>
            <w:r>
              <w:rPr>
                <w:rFonts w:ascii="Arial" w:cs="Arial" w:eastAsia="Arial" w:hAnsi="Arial"/>
                <w:sz w:val="17"/>
                <w:szCs w:val="17"/>
                <w:color w:val="0000FF"/>
              </w:rPr>
              <w:t>See</w:t>
            </w:r>
          </w:p>
        </w:tc>
        <w:tc>
          <w:tcPr>
            <w:tcW w:w="7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4"/>
            <w:vMerge w:val="restart"/>
          </w:tcPr>
          <w:p>
            <w:pPr>
              <w:ind w:left="20"/>
              <w:spacing w:after="0"/>
              <w:rPr>
                <w:sz w:val="20"/>
                <w:szCs w:val="20"/>
                <w:color w:val="auto"/>
              </w:rPr>
            </w:pPr>
            <w:r>
              <w:rPr>
                <w:rFonts w:ascii="Arial" w:cs="Arial" w:eastAsia="Arial" w:hAnsi="Arial"/>
                <w:sz w:val="17"/>
                <w:szCs w:val="17"/>
                <w:color w:val="0000FF"/>
                <w:w w:val="97"/>
              </w:rPr>
              <w:t>footnotes</w:t>
            </w:r>
            <w:r>
              <w:rPr>
                <w:rFonts w:ascii="Arial" w:cs="Arial" w:eastAsia="Arial" w:hAnsi="Arial"/>
                <w:sz w:val="21"/>
                <w:szCs w:val="21"/>
                <w:color w:val="008000"/>
                <w:w w:val="97"/>
                <w:vertAlign w:val="superscript"/>
              </w:rPr>
              <w:t>(1)(2)(3)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36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Shares</w:t>
            </w:r>
          </w:p>
        </w:tc>
        <w:tc>
          <w:tcPr>
            <w:tcW w:w="18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240" w:type="dxa"/>
            <w:vAlign w:val="bottom"/>
            <w:tcBorders>
              <w:top w:val="single" w:sz="8" w:color="2C2C2C"/>
              <w:bottom w:val="single" w:sz="8" w:color="2C2C2C"/>
            </w:tcBorders>
          </w:tcPr>
          <w:p>
            <w:pPr>
              <w:spacing w:after="0"/>
              <w:rPr>
                <w:sz w:val="24"/>
                <w:szCs w:val="24"/>
                <w:color w:val="auto"/>
              </w:rPr>
            </w:pPr>
          </w:p>
        </w:tc>
        <w:tc>
          <w:tcPr>
            <w:tcW w:w="11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0000FF"/>
                <w:w w:val="87"/>
              </w:rPr>
              <w:t>257,624</w:t>
            </w:r>
          </w:p>
        </w:tc>
        <w:tc>
          <w:tcPr>
            <w:tcW w:w="64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gridSpan w:val="2"/>
          </w:tcPr>
          <w:p>
            <w:pPr>
              <w:jc w:val="center"/>
              <w:ind w:right="217"/>
              <w:spacing w:after="0" w:line="315"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(4)</w:t>
            </w:r>
          </w:p>
        </w:tc>
        <w:tc>
          <w:tcPr>
            <w:tcW w:w="12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340" w:type="dxa"/>
            <w:vAlign w:val="bottom"/>
            <w:tcBorders>
              <w:top w:val="single" w:sz="8" w:color="2C2C2C"/>
            </w:tcBorders>
            <w:gridSpan w:val="2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20" w:type="dxa"/>
            <w:vAlign w:val="bottom"/>
            <w:gridSpan w:val="1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100" w:type="dxa"/>
            <w:vAlign w:val="bottom"/>
            <w:gridSpan w:val="3"/>
          </w:tcPr>
          <w:p>
            <w:pPr>
              <w:ind w:left="12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80"/>
              <w:spacing w:after="0"/>
              <w:rPr>
                <w:sz w:val="20"/>
                <w:szCs w:val="20"/>
                <w:color w:val="auto"/>
              </w:rPr>
            </w:pPr>
            <w:r>
              <w:rPr>
                <w:rFonts w:ascii="Arial" w:cs="Arial" w:eastAsia="Arial" w:hAnsi="Arial"/>
                <w:sz w:val="12"/>
                <w:szCs w:val="12"/>
                <w:b w:val="1"/>
                <w:bCs w:val="1"/>
                <w:color w:val="auto"/>
                <w:w w:val="79"/>
              </w:rPr>
              <w:t>4.</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3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6"/>
              </w:rPr>
              <w:t>Conversion</w:t>
            </w:r>
          </w:p>
        </w:tc>
        <w:tc>
          <w:tcPr>
            <w:tcW w:w="110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7"/>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7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48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84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8"/>
              </w:rPr>
              <w:t>or Exercise</w:t>
            </w:r>
          </w:p>
        </w:tc>
        <w:tc>
          <w:tcPr>
            <w:tcW w:w="110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7"/>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148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4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w w:val="93"/>
              </w:rPr>
              <w:t>Form:</w:t>
            </w:r>
          </w:p>
        </w:tc>
        <w:tc>
          <w:tcPr>
            <w:tcW w:w="400" w:type="dxa"/>
            <w:vAlign w:val="bottom"/>
          </w:tcPr>
          <w:p>
            <w:pPr>
              <w:spacing w:after="0"/>
              <w:rPr>
                <w:sz w:val="11"/>
                <w:szCs w:val="11"/>
                <w:color w:val="auto"/>
              </w:rPr>
            </w:pP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w w:val="97"/>
              </w:rPr>
              <w:t>Acquired (A)</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or Disposed</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220" w:type="dxa"/>
            <w:vAlign w:val="bottom"/>
          </w:tcPr>
          <w:p>
            <w:pPr>
              <w:spacing w:after="0"/>
              <w:rPr>
                <w:sz w:val="11"/>
                <w:szCs w:val="11"/>
                <w:color w:val="auto"/>
              </w:rPr>
            </w:pPr>
          </w:p>
        </w:tc>
        <w:tc>
          <w:tcPr>
            <w:tcW w:w="84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Security</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of (D) (Instr.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w w:val="95"/>
              </w:rPr>
              <w:t>Security (Instr. 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220" w:type="dxa"/>
            <w:vAlign w:val="bottom"/>
          </w:tcPr>
          <w:p>
            <w:pPr>
              <w:spacing w:after="0"/>
              <w:rPr>
                <w:sz w:val="11"/>
                <w:szCs w:val="11"/>
                <w:color w:val="auto"/>
              </w:rPr>
            </w:pPr>
          </w:p>
        </w:tc>
        <w:tc>
          <w:tcPr>
            <w:tcW w:w="84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3, 4 and 5)</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and 4)</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2"/>
            <w:vMerge w:val="restart"/>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3"/>
          </w:tcPr>
          <w:p>
            <w:pPr>
              <w:ind w:left="60"/>
              <w:spacing w:after="0"/>
              <w:rPr>
                <w:sz w:val="20"/>
                <w:szCs w:val="20"/>
                <w:color w:val="auto"/>
              </w:rPr>
            </w:pPr>
            <w:r>
              <w:rPr>
                <w:rFonts w:ascii="Arial" w:cs="Arial" w:eastAsia="Arial" w:hAnsi="Arial"/>
                <w:sz w:val="12"/>
                <w:szCs w:val="12"/>
                <w:b w:val="1"/>
                <w:bCs w:val="1"/>
                <w:color w:val="auto"/>
              </w:rPr>
              <w:t>V</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100" w:type="dxa"/>
            <w:vAlign w:val="bottom"/>
          </w:tcPr>
          <w:p>
            <w:pPr>
              <w:spacing w:after="0"/>
              <w:rPr>
                <w:sz w:val="13"/>
                <w:szCs w:val="13"/>
                <w:color w:val="auto"/>
              </w:rPr>
            </w:pP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4"/>
          </w:tcPr>
          <w:p>
            <w:pPr>
              <w:ind w:left="8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vMerge w:val="restart"/>
          </w:tcPr>
          <w:p>
            <w:pPr>
              <w:ind w:left="120"/>
              <w:spacing w:after="0"/>
              <w:rPr>
                <w:sz w:val="20"/>
                <w:szCs w:val="20"/>
                <w:color w:val="auto"/>
              </w:rPr>
            </w:pPr>
            <w:r>
              <w:rPr>
                <w:rFonts w:ascii="Arial" w:cs="Arial" w:eastAsia="Arial" w:hAnsi="Arial"/>
                <w:sz w:val="13"/>
                <w:szCs w:val="13"/>
                <w:color w:val="0000FF"/>
              </w:rPr>
              <w:t>Class</w:t>
            </w: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gridSpan w:val="3"/>
            <w:vMerge w:val="restart"/>
          </w:tcPr>
          <w:p>
            <w:pPr>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0" w:type="dxa"/>
            <w:vAlign w:val="bottom"/>
            <w:gridSpan w:val="2"/>
            <w:vMerge w:val="restart"/>
          </w:tcPr>
          <w:p>
            <w:pPr>
              <w:ind w:left="60"/>
              <w:spacing w:after="0" w:line="127" w:lineRule="exact"/>
              <w:rPr>
                <w:sz w:val="20"/>
                <w:szCs w:val="20"/>
                <w:color w:val="auto"/>
              </w:rPr>
            </w:pPr>
            <w:r>
              <w:rPr>
                <w:rFonts w:ascii="Arial" w:cs="Arial" w:eastAsia="Arial" w:hAnsi="Arial"/>
                <w:sz w:val="13"/>
                <w:szCs w:val="13"/>
                <w:color w:val="0000FF"/>
                <w:w w:val="93"/>
              </w:rPr>
              <w:t>Shares/Class</w:t>
            </w: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260"/>
              <w:spacing w:after="0"/>
              <w:rPr>
                <w:sz w:val="20"/>
                <w:szCs w:val="20"/>
                <w:color w:val="auto"/>
              </w:rPr>
            </w:pPr>
            <w:r>
              <w:rPr>
                <w:rFonts w:ascii="Arial" w:cs="Arial" w:eastAsia="Arial" w:hAnsi="Arial"/>
                <w:sz w:val="11"/>
                <w:szCs w:val="11"/>
                <w:color w:val="008000"/>
              </w:rPr>
              <w:t>(1)(2)</w:t>
            </w:r>
          </w:p>
        </w:tc>
        <w:tc>
          <w:tcPr>
            <w:tcW w:w="860" w:type="dxa"/>
            <w:vAlign w:val="bottom"/>
            <w:gridSpan w:val="2"/>
            <w:vMerge w:val="restart"/>
          </w:tcPr>
          <w:p>
            <w:pPr>
              <w:ind w:left="400"/>
              <w:spacing w:after="0"/>
              <w:rPr>
                <w:sz w:val="20"/>
                <w:szCs w:val="20"/>
                <w:color w:val="auto"/>
              </w:rPr>
            </w:pPr>
            <w:r>
              <w:rPr>
                <w:rFonts w:ascii="Arial" w:cs="Arial" w:eastAsia="Arial" w:hAnsi="Arial"/>
                <w:sz w:val="11"/>
                <w:szCs w:val="11"/>
                <w:color w:val="008000"/>
              </w:rPr>
              <w:t>(1)(2)</w:t>
            </w:r>
          </w:p>
        </w:tc>
        <w:tc>
          <w:tcPr>
            <w:tcW w:w="500" w:type="dxa"/>
            <w:vAlign w:val="bottom"/>
            <w:vMerge w:val="continue"/>
          </w:tcPr>
          <w:p>
            <w:pPr>
              <w:spacing w:after="0"/>
              <w:rPr>
                <w:sz w:val="5"/>
                <w:szCs w:val="5"/>
                <w:color w:val="auto"/>
              </w:rPr>
            </w:pPr>
          </w:p>
        </w:tc>
        <w:tc>
          <w:tcPr>
            <w:tcW w:w="660" w:type="dxa"/>
            <w:vAlign w:val="bottom"/>
            <w:gridSpan w:val="4"/>
            <w:vMerge w:val="restart"/>
          </w:tcPr>
          <w:p>
            <w:pPr>
              <w:ind w:left="80"/>
              <w:spacing w:after="0"/>
              <w:rPr>
                <w:sz w:val="20"/>
                <w:szCs w:val="20"/>
                <w:color w:val="auto"/>
              </w:rPr>
            </w:pPr>
            <w:r>
              <w:rPr>
                <w:rFonts w:ascii="Arial" w:cs="Arial" w:eastAsia="Arial" w:hAnsi="Arial"/>
                <w:sz w:val="17"/>
                <w:szCs w:val="17"/>
                <w:color w:val="0000FF"/>
                <w:w w:val="91"/>
              </w:rPr>
              <w:t>223,465</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1"/>
                <w:szCs w:val="11"/>
                <w:color w:val="008000"/>
                <w:w w:val="88"/>
              </w:rPr>
              <w:t>(5)</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60" w:type="dxa"/>
            <w:vAlign w:val="bottom"/>
            <w:vMerge w:val="restart"/>
          </w:tcPr>
          <w:p>
            <w:pPr>
              <w:ind w:left="3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80" w:type="dxa"/>
            <w:vAlign w:val="bottom"/>
          </w:tcPr>
          <w:p>
            <w:pPr>
              <w:spacing w:after="0"/>
              <w:rPr>
                <w:sz w:val="5"/>
                <w:szCs w:val="5"/>
                <w:color w:val="auto"/>
              </w:rPr>
            </w:pPr>
          </w:p>
        </w:tc>
        <w:tc>
          <w:tcPr>
            <w:tcW w:w="1100" w:type="dxa"/>
            <w:vAlign w:val="bottom"/>
            <w:gridSpan w:val="3"/>
            <w:vMerge w:val="restart"/>
          </w:tcPr>
          <w:p>
            <w:pPr>
              <w:ind w:left="320"/>
              <w:spacing w:after="0" w:line="145" w:lineRule="exact"/>
              <w:rPr>
                <w:sz w:val="20"/>
                <w:szCs w:val="20"/>
                <w:color w:val="auto"/>
              </w:rPr>
            </w:pPr>
            <w:r>
              <w:rPr>
                <w:rFonts w:ascii="Arial" w:cs="Arial" w:eastAsia="Arial" w:hAnsi="Arial"/>
                <w:sz w:val="13"/>
                <w:szCs w:val="13"/>
                <w:color w:val="0000FF"/>
              </w:rPr>
              <w:t>12/29/2017</w:t>
            </w: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gridSpan w:val="3"/>
            <w:vMerge w:val="restart"/>
          </w:tcPr>
          <w:p>
            <w:pPr>
              <w:jc w:val="right"/>
              <w:ind w:right="160"/>
              <w:spacing w:after="0" w:line="145"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3"/>
            <w:vMerge w:val="restart"/>
          </w:tcPr>
          <w:p>
            <w:pPr>
              <w:ind w:left="340"/>
              <w:spacing w:after="0" w:line="145" w:lineRule="exact"/>
              <w:rPr>
                <w:sz w:val="20"/>
                <w:szCs w:val="20"/>
                <w:color w:val="auto"/>
              </w:rPr>
            </w:pPr>
            <w:r>
              <w:rPr>
                <w:rFonts w:ascii="Arial" w:cs="Arial" w:eastAsia="Arial" w:hAnsi="Arial"/>
                <w:sz w:val="13"/>
                <w:szCs w:val="13"/>
                <w:color w:val="0000FF"/>
              </w:rPr>
              <w:t>223,465</w:t>
            </w:r>
          </w:p>
        </w:tc>
        <w:tc>
          <w:tcPr>
            <w:tcW w:w="6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500" w:type="dxa"/>
            <w:vAlign w:val="bottom"/>
            <w:vMerge w:val="restart"/>
          </w:tcPr>
          <w:p>
            <w:pPr>
              <w:ind w:left="220"/>
              <w:spacing w:after="0" w:line="145" w:lineRule="exact"/>
              <w:rPr>
                <w:sz w:val="20"/>
                <w:szCs w:val="20"/>
                <w:color w:val="auto"/>
              </w:rPr>
            </w:pPr>
            <w:r>
              <w:rPr>
                <w:rFonts w:ascii="Arial" w:cs="Arial" w:eastAsia="Arial" w:hAnsi="Arial"/>
                <w:sz w:val="13"/>
                <w:szCs w:val="13"/>
                <w:color w:val="0000FF"/>
              </w:rPr>
              <w:t>A</w:t>
            </w:r>
          </w:p>
        </w:tc>
        <w:tc>
          <w:tcPr>
            <w:tcW w:w="660" w:type="dxa"/>
            <w:vAlign w:val="bottom"/>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w w:val="86"/>
              </w:rPr>
              <w:t>18,366,175</w:t>
            </w:r>
          </w:p>
        </w:tc>
        <w:tc>
          <w:tcPr>
            <w:tcW w:w="2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I</w:t>
            </w:r>
          </w:p>
        </w:tc>
        <w:tc>
          <w:tcPr>
            <w:tcW w:w="40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rPr>
              <w:t>A Units/GP</w:t>
            </w:r>
          </w:p>
        </w:tc>
        <w:tc>
          <w:tcPr>
            <w:tcW w:w="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gridSpan w:val="3"/>
            <w:vMerge w:val="restart"/>
          </w:tcPr>
          <w:p>
            <w:pPr>
              <w:spacing w:after="0" w:line="162" w:lineRule="exact"/>
              <w:rPr>
                <w:sz w:val="20"/>
                <w:szCs w:val="20"/>
                <w:color w:val="auto"/>
              </w:rPr>
            </w:pPr>
            <w:r>
              <w:rPr>
                <w:rFonts w:ascii="Arial" w:cs="Arial" w:eastAsia="Arial" w:hAnsi="Arial"/>
                <w:sz w:val="12"/>
                <w:szCs w:val="12"/>
                <w:color w:val="0000FF"/>
              </w:rPr>
              <w:t>footnotes</w:t>
            </w:r>
            <w:r>
              <w:rPr>
                <w:rFonts w:ascii="Arial" w:cs="Arial" w:eastAsia="Arial" w:hAnsi="Arial"/>
                <w:sz w:val="18"/>
                <w:szCs w:val="18"/>
                <w:color w:val="008000"/>
                <w:vertAlign w:val="superscript"/>
              </w:rPr>
              <w:t>(1)(2)</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vMerge w:val="restart"/>
          </w:tcPr>
          <w:p>
            <w:pPr>
              <w:ind w:left="100"/>
              <w:spacing w:after="0"/>
              <w:rPr>
                <w:sz w:val="20"/>
                <w:szCs w:val="20"/>
                <w:color w:val="auto"/>
              </w:rPr>
            </w:pPr>
            <w:r>
              <w:rPr>
                <w:rFonts w:ascii="Arial" w:cs="Arial" w:eastAsia="Arial" w:hAnsi="Arial"/>
                <w:sz w:val="13"/>
                <w:szCs w:val="13"/>
                <w:color w:val="0000FF"/>
                <w:w w:val="92"/>
              </w:rPr>
              <w:t>Shares</w:t>
            </w:r>
          </w:p>
        </w:tc>
        <w:tc>
          <w:tcPr>
            <w:tcW w:w="66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4"/>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2640" w:type="dxa"/>
            <w:vAlign w:val="bottom"/>
            <w:tcBorders>
              <w:top w:val="single" w:sz="8" w:color="2C2C2C"/>
            </w:tcBorders>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6"/>
          </w:tcPr>
          <w:p>
            <w:pPr>
              <w:spacing w:after="0" w:line="219" w:lineRule="exact"/>
              <w:rPr>
                <w:rFonts w:ascii="Arial" w:cs="Arial" w:eastAsia="Arial" w:hAnsi="Arial"/>
                <w:sz w:val="21"/>
                <w:szCs w:val="21"/>
                <w:color w:val="0000EE"/>
              </w:rPr>
            </w:pPr>
            <w:hyperlink r:id="rId12">
              <w:r>
                <w:rPr>
                  <w:rFonts w:ascii="Arial" w:cs="Arial" w:eastAsia="Arial" w:hAnsi="Arial"/>
                  <w:sz w:val="21"/>
                  <w:szCs w:val="21"/>
                  <w:color w:val="0000EE"/>
                </w:rPr>
                <w:t>KAFU Holdings (QP), L.P.</w:t>
              </w:r>
            </w:hyperlink>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gridSpan w:val="7"/>
          </w:tcPr>
          <w:p>
            <w:pPr>
              <w:spacing w:after="0"/>
              <w:rPr>
                <w:sz w:val="20"/>
                <w:szCs w:val="20"/>
                <w:color w:val="auto"/>
              </w:rPr>
            </w:pPr>
            <w:r>
              <w:rPr>
                <w:rFonts w:ascii="Arial" w:cs="Arial" w:eastAsia="Arial" w:hAnsi="Arial"/>
                <w:sz w:val="17"/>
                <w:szCs w:val="17"/>
                <w:color w:val="0000FF"/>
              </w:rPr>
              <w:t>1800 AVENUE OF THE STARS, SUITE 300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80" w:type="dxa"/>
            <w:vAlign w:val="bottom"/>
          </w:tcPr>
          <w:p>
            <w:pPr>
              <w:spacing w:after="0"/>
              <w:rPr>
                <w:sz w:val="20"/>
                <w:szCs w:val="20"/>
                <w:color w:val="auto"/>
              </w:rPr>
            </w:pPr>
          </w:p>
        </w:tc>
        <w:tc>
          <w:tcPr>
            <w:tcW w:w="1100" w:type="dxa"/>
            <w:vAlign w:val="bottom"/>
            <w:gridSpan w:val="3"/>
          </w:tcPr>
          <w:p>
            <w:pPr>
              <w:ind w:left="20"/>
              <w:spacing w:after="0"/>
              <w:rPr>
                <w:sz w:val="20"/>
                <w:szCs w:val="20"/>
                <w:color w:val="auto"/>
              </w:rPr>
            </w:pPr>
            <w:r>
              <w:rPr>
                <w:rFonts w:ascii="Arial" w:cs="Arial" w:eastAsia="Arial" w:hAnsi="Arial"/>
                <w:sz w:val="17"/>
                <w:szCs w:val="17"/>
                <w:color w:val="0000FF"/>
              </w:rPr>
              <w:t>CA</w:t>
            </w:r>
          </w:p>
        </w:tc>
        <w:tc>
          <w:tcPr>
            <w:tcW w:w="1160" w:type="dxa"/>
            <w:vAlign w:val="bottom"/>
          </w:tcPr>
          <w:p>
            <w:pPr>
              <w:ind w:left="380"/>
              <w:spacing w:after="0"/>
              <w:rPr>
                <w:sz w:val="20"/>
                <w:szCs w:val="20"/>
                <w:color w:val="auto"/>
              </w:rPr>
            </w:pPr>
            <w:r>
              <w:rPr>
                <w:rFonts w:ascii="Arial" w:cs="Arial" w:eastAsia="Arial" w:hAnsi="Arial"/>
                <w:sz w:val="17"/>
                <w:szCs w:val="17"/>
                <w:color w:val="0000FF"/>
              </w:rPr>
              <w:t>90067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tcPr>
          <w:p>
            <w:pPr>
              <w:ind w:left="38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4"/>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6"/>
          </w:tcPr>
          <w:p>
            <w:pPr>
              <w:spacing w:after="0" w:line="219" w:lineRule="exact"/>
              <w:rPr>
                <w:rFonts w:ascii="Arial" w:cs="Arial" w:eastAsia="Arial" w:hAnsi="Arial"/>
                <w:sz w:val="21"/>
                <w:szCs w:val="21"/>
                <w:color w:val="0000EE"/>
              </w:rPr>
            </w:pPr>
            <w:hyperlink r:id="rId14">
              <w:r>
                <w:rPr>
                  <w:rFonts w:ascii="Arial" w:cs="Arial" w:eastAsia="Arial" w:hAnsi="Arial"/>
                  <w:sz w:val="21"/>
                  <w:szCs w:val="21"/>
                  <w:color w:val="0000EE"/>
                </w:rPr>
                <w:t>KAFU HOLDINGS, L.P.</w:t>
              </w:r>
            </w:hyperlink>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40" w:type="dxa"/>
            <w:vAlign w:val="bottom"/>
            <w:gridSpan w:val="6"/>
          </w:tcPr>
          <w:p>
            <w:pPr>
              <w:spacing w:after="0"/>
              <w:rPr>
                <w:sz w:val="20"/>
                <w:szCs w:val="20"/>
                <w:color w:val="auto"/>
              </w:rPr>
            </w:pPr>
            <w:r>
              <w:rPr>
                <w:rFonts w:ascii="Arial" w:cs="Arial" w:eastAsia="Arial" w:hAnsi="Arial"/>
                <w:sz w:val="17"/>
                <w:szCs w:val="17"/>
                <w:color w:val="0000FF"/>
              </w:rPr>
              <w:t>1800 AVENUE OF THE STARS</w:t>
            </w: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3RD FLOOR</w:t>
            </w: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80" w:type="dxa"/>
            <w:vAlign w:val="bottom"/>
          </w:tcPr>
          <w:p>
            <w:pPr>
              <w:spacing w:after="0"/>
              <w:rPr>
                <w:sz w:val="20"/>
                <w:szCs w:val="20"/>
                <w:color w:val="auto"/>
              </w:rPr>
            </w:pPr>
          </w:p>
        </w:tc>
        <w:tc>
          <w:tcPr>
            <w:tcW w:w="1100" w:type="dxa"/>
            <w:vAlign w:val="bottom"/>
            <w:gridSpan w:val="3"/>
          </w:tcPr>
          <w:p>
            <w:pPr>
              <w:ind w:left="20"/>
              <w:spacing w:after="0"/>
              <w:rPr>
                <w:sz w:val="20"/>
                <w:szCs w:val="20"/>
                <w:color w:val="auto"/>
              </w:rPr>
            </w:pPr>
            <w:r>
              <w:rPr>
                <w:rFonts w:ascii="Arial" w:cs="Arial" w:eastAsia="Arial" w:hAnsi="Arial"/>
                <w:sz w:val="17"/>
                <w:szCs w:val="17"/>
                <w:color w:val="0000FF"/>
              </w:rPr>
              <w:t>CA</w:t>
            </w:r>
          </w:p>
        </w:tc>
        <w:tc>
          <w:tcPr>
            <w:tcW w:w="1160" w:type="dxa"/>
            <w:vAlign w:val="bottom"/>
          </w:tcPr>
          <w:p>
            <w:pPr>
              <w:ind w:left="380"/>
              <w:spacing w:after="0"/>
              <w:rPr>
                <w:sz w:val="20"/>
                <w:szCs w:val="20"/>
                <w:color w:val="auto"/>
              </w:rPr>
            </w:pPr>
            <w:r>
              <w:rPr>
                <w:rFonts w:ascii="Arial" w:cs="Arial" w:eastAsia="Arial" w:hAnsi="Arial"/>
                <w:sz w:val="17"/>
                <w:szCs w:val="17"/>
                <w:color w:val="0000FF"/>
              </w:rPr>
              <w:t>77002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tcPr>
          <w:p>
            <w:pPr>
              <w:ind w:left="38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-5234305</wp:posOffset>
            </wp:positionV>
            <wp:extent cx="24130" cy="1910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130" cy="1910715"/>
                    </a:xfrm>
                    <a:prstGeom prst="rect">
                      <a:avLst/>
                    </a:prstGeom>
                    <a:noFill/>
                  </pic:spPr>
                </pic:pic>
              </a:graphicData>
            </a:graphic>
          </wp:anchor>
        </w:drawing>
      </w:r>
    </w:p>
    <w:p>
      <w:pPr>
        <w:spacing w:after="0" w:line="11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KAYNE ANDERSON CAPITAL ADVISORS LP</w:t>
        </w:r>
      </w:hyperlink>
    </w:p>
    <w:p>
      <w:pPr>
        <w:sectPr>
          <w:pgSz w:w="11900" w:h="16913" w:orient="portrait"/>
          <w:cols w:equalWidth="0" w:num="1">
            <w:col w:w="11520"/>
          </w:cols>
          <w:pgMar w:left="240" w:top="223" w:right="139" w:bottom="0" w:gutter="0" w:footer="0" w:header="0"/>
          <w:type w:val="continuous"/>
        </w:sectPr>
      </w:pPr>
    </w:p>
    <w:p>
      <w:pPr>
        <w:spacing w:after="0" w:line="313"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913" w:orient="portrait"/>
          <w:cols w:equalWidth="0" w:num="1">
            <w:col w:w="11520"/>
          </w:cols>
          <w:pgMar w:left="240" w:top="223" w:right="13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7"/>
          <w:szCs w:val="17"/>
          <w:color w:val="0000FF"/>
        </w:rPr>
        <w:drawing>
          <wp:anchor simplePos="0" relativeHeight="251657728" behindDoc="1" locked="0" layoutInCell="0" allowOverlap="1">
            <wp:simplePos x="0" y="0"/>
            <wp:positionH relativeFrom="page">
              <wp:posOffset>142875</wp:posOffset>
            </wp:positionH>
            <wp:positionV relativeFrom="page">
              <wp:posOffset>88900</wp:posOffset>
            </wp:positionV>
            <wp:extent cx="2920365" cy="1155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0365" cy="1155700"/>
                    </a:xfrm>
                    <a:prstGeom prst="rect">
                      <a:avLst/>
                    </a:prstGeom>
                    <a:noFill/>
                  </pic:spPr>
                </pic:pic>
              </a:graphicData>
            </a:graphic>
          </wp:anchor>
        </w:drawing>
        <w:t>1800 AVENUE OF THE STARS</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3RD FLOOR</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57"/>
        </w:trPr>
        <w:tc>
          <w:tcPr>
            <w:tcW w:w="13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960" w:type="dxa"/>
            <w:vAlign w:val="bottom"/>
          </w:tcPr>
          <w:p>
            <w:pPr>
              <w:spacing w:after="0"/>
              <w:rPr>
                <w:sz w:val="13"/>
                <w:szCs w:val="13"/>
                <w:color w:val="auto"/>
              </w:rPr>
            </w:pPr>
          </w:p>
        </w:tc>
      </w:tr>
      <w:tr>
        <w:trPr>
          <w:trHeight w:val="235"/>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LOS ANGELES</w:t>
            </w:r>
          </w:p>
        </w:tc>
        <w:tc>
          <w:tcPr>
            <w:tcW w:w="1080" w:type="dxa"/>
            <w:vAlign w:val="bottom"/>
          </w:tcPr>
          <w:p>
            <w:pPr>
              <w:ind w:left="160"/>
              <w:spacing w:after="0"/>
              <w:rPr>
                <w:sz w:val="20"/>
                <w:szCs w:val="20"/>
                <w:color w:val="auto"/>
              </w:rPr>
            </w:pPr>
            <w:r>
              <w:rPr>
                <w:rFonts w:ascii="Arial" w:cs="Arial" w:eastAsia="Arial" w:hAnsi="Arial"/>
                <w:sz w:val="17"/>
                <w:szCs w:val="17"/>
                <w:color w:val="0000FF"/>
              </w:rPr>
              <w:t>CA</w:t>
            </w:r>
          </w:p>
        </w:tc>
        <w:tc>
          <w:tcPr>
            <w:tcW w:w="1960" w:type="dxa"/>
            <w:vAlign w:val="bottom"/>
          </w:tcPr>
          <w:p>
            <w:pPr>
              <w:ind w:left="540"/>
              <w:spacing w:after="0"/>
              <w:rPr>
                <w:sz w:val="20"/>
                <w:szCs w:val="20"/>
                <w:color w:val="auto"/>
              </w:rPr>
            </w:pPr>
            <w:r>
              <w:rPr>
                <w:rFonts w:ascii="Arial" w:cs="Arial" w:eastAsia="Arial" w:hAnsi="Arial"/>
                <w:sz w:val="17"/>
                <w:szCs w:val="17"/>
                <w:color w:val="0000FF"/>
              </w:rPr>
              <w:t>90067</w:t>
            </w:r>
          </w:p>
        </w:tc>
      </w:tr>
      <w:tr>
        <w:trPr>
          <w:trHeight w:val="153"/>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r>
      <w:tr>
        <w:trPr>
          <w:trHeight w:val="301"/>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6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0"/>
          <w:szCs w:val="20"/>
          <w:color w:val="auto"/>
        </w:rPr>
      </w:pPr>
    </w:p>
    <w:p>
      <w:pPr>
        <w:ind w:firstLine="5"/>
        <w:spacing w:after="0" w:line="238" w:lineRule="auto"/>
        <w:tabs>
          <w:tab w:leader="none" w:pos="13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KAFU Holdings (QP), L.P. and KAFU Holdings, L.P. (Collectively "KAFU") hold Class B shares representing limited partner interest in Plains GP Holdings L.P. (the "Issuer"), an equivalent number of units representing limited liability company interests of the Issuer's general partner ("GP Units"), and an equivalent number of Class A Units representing limited partner interests in Plains AAP, L.P. ("AAP"). The Eight Amended and Restated Limited Partnership Agreement of AAP provides that each partner of AAP, including KAFU, has the right at any time (without expiration) to immediately exchange (the "Exchange Right") its Class A units in AAP together with a like number of Class B shares and GP Units, for a like number of Class A shares of the Issuer. On December 29, 2017, KAFU Holdings (QP), L.P and KAFU Holdings L.P. exercised the Exchange Right with respect to 223,465 Class A Units.</w:t>
      </w:r>
    </w:p>
    <w:p>
      <w:pPr>
        <w:spacing w:after="0" w:line="33" w:lineRule="exact"/>
        <w:rPr>
          <w:rFonts w:ascii="Arial" w:cs="Arial" w:eastAsia="Arial" w:hAnsi="Arial"/>
          <w:sz w:val="13"/>
          <w:szCs w:val="13"/>
          <w:color w:val="008000"/>
        </w:rPr>
      </w:pPr>
    </w:p>
    <w:p>
      <w:pPr>
        <w:ind w:right="80" w:firstLine="5"/>
        <w:spacing w:after="0" w:line="297" w:lineRule="auto"/>
        <w:tabs>
          <w:tab w:leader="none" w:pos="13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Kayne Anderson Capital Advisors, L.P. ("KACALP") is the manager of the general partner of KAFU and may be deemed to beneficially own the Class B shares, Class A Units, and GP Units held by KAFU. The filing of this statement shall not be construed as an admission that either KAFU or KACALP are, for purposes of Section 13(d) of the Exchange Act, as amended, the beneficial owner of any security.</w:t>
      </w:r>
    </w:p>
    <w:p>
      <w:pPr>
        <w:ind w:left="140" w:hanging="135"/>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transaction involves an in-kind distribution to redeeming limited partners of KAFU Holdings (QP), L.P. and KAFU Holdings L.P.</w:t>
      </w:r>
    </w:p>
    <w:p>
      <w:pPr>
        <w:spacing w:after="0" w:line="47" w:lineRule="exact"/>
        <w:rPr>
          <w:rFonts w:ascii="Arial" w:cs="Arial" w:eastAsia="Arial" w:hAnsi="Arial"/>
          <w:sz w:val="13"/>
          <w:szCs w:val="13"/>
          <w:color w:val="008000"/>
        </w:rPr>
      </w:pPr>
    </w:p>
    <w:p>
      <w:pPr>
        <w:ind w:left="140" w:hanging="135"/>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KACALP.</w:t>
      </w:r>
    </w:p>
    <w:p>
      <w:pPr>
        <w:spacing w:after="0" w:line="47" w:lineRule="exact"/>
        <w:rPr>
          <w:rFonts w:ascii="Arial" w:cs="Arial" w:eastAsia="Arial" w:hAnsi="Arial"/>
          <w:sz w:val="13"/>
          <w:szCs w:val="13"/>
          <w:color w:val="008000"/>
        </w:rPr>
      </w:pPr>
    </w:p>
    <w:p>
      <w:pPr>
        <w:ind w:right="40" w:firstLine="5"/>
        <w:spacing w:after="0" w:line="244" w:lineRule="auto"/>
        <w:tabs>
          <w:tab w:leader="none" w:pos="13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 a simultaneous transaction, KAFU exercised the redemption right provided for in the limited partnership agreement of AAP with respect to 551,323 Class A units. As a result, such Class A units were cancelled and 551,323 Common Units of Plains All American Pipeline, L.P. were distributed by AAP to KAFU. The number of derivative securities owned reflects both the exchange transaction reported herein and the simultaneous redemption transaction.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2" w:lineRule="exact"/>
        <w:rPr>
          <w:sz w:val="20"/>
          <w:szCs w:val="20"/>
          <w:color w:val="auto"/>
        </w:rPr>
      </w:pPr>
    </w:p>
    <w:p>
      <w:pPr>
        <w:ind w:right="300"/>
        <w:spacing w:after="0" w:line="244" w:lineRule="auto"/>
        <w:rPr>
          <w:sz w:val="20"/>
          <w:szCs w:val="20"/>
          <w:color w:val="auto"/>
        </w:rPr>
      </w:pPr>
      <w:r>
        <w:rPr>
          <w:rFonts w:ascii="Arial" w:cs="Arial" w:eastAsia="Arial" w:hAnsi="Arial"/>
          <w:sz w:val="13"/>
          <w:szCs w:val="13"/>
          <w:color w:val="008000"/>
        </w:rPr>
        <w:t>Bob Sinnott is a director of the managing general partner of the Issuer. Based on the relationship of Mr. Sinnott and the Reporting Persons, the Reporting Persons may be deemed directors by deputization of the Issuer. KAFU Holdings (QP), L.P., KAFU Holdings, L.P., are referred to herein as the "Reporting Persons". The filing of this Statement shall not be construed as an admission that any Reporting Person is, for purposes of Section 13(d) of the Exchange Act, as amended, the beneficial owner of any security.</w:t>
      </w:r>
    </w:p>
    <w:p>
      <w:pPr>
        <w:spacing w:after="0" w:line="41"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100" w:type="dxa"/>
            <w:vAlign w:val="bottom"/>
            <w:gridSpan w:val="2"/>
          </w:tcPr>
          <w:p>
            <w:pPr>
              <w:spacing w:after="0"/>
              <w:rPr>
                <w:sz w:val="20"/>
                <w:szCs w:val="20"/>
                <w:color w:val="auto"/>
              </w:rPr>
            </w:pPr>
            <w:r>
              <w:rPr>
                <w:rFonts w:ascii="Arial" w:cs="Arial" w:eastAsia="Arial" w:hAnsi="Arial"/>
                <w:sz w:val="17"/>
                <w:szCs w:val="17"/>
                <w:color w:val="0000FF"/>
              </w:rPr>
              <w:t>David Shladovsky</w:t>
            </w:r>
          </w:p>
        </w:tc>
        <w:tc>
          <w:tcPr>
            <w:tcW w:w="960" w:type="dxa"/>
            <w:vAlign w:val="bottom"/>
            <w:gridSpan w:val="2"/>
          </w:tcPr>
          <w:p>
            <w:pPr>
              <w:ind w:left="180"/>
              <w:spacing w:after="0"/>
              <w:rPr>
                <w:sz w:val="20"/>
                <w:szCs w:val="20"/>
                <w:color w:val="auto"/>
              </w:rPr>
            </w:pPr>
            <w:r>
              <w:rPr>
                <w:rFonts w:ascii="Arial" w:cs="Arial" w:eastAsia="Arial" w:hAnsi="Arial"/>
                <w:sz w:val="17"/>
                <w:szCs w:val="17"/>
                <w:color w:val="0000FF"/>
                <w:w w:val="89"/>
              </w:rPr>
              <w:t>01/03/2018</w:t>
            </w:r>
          </w:p>
        </w:tc>
      </w:tr>
      <w:tr>
        <w:trPr>
          <w:trHeight w:val="20"/>
        </w:trPr>
        <w:tc>
          <w:tcPr>
            <w:tcW w:w="12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8"/>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3740" w:firstLine="5"/>
        <w:spacing w:after="0" w:line="314" w:lineRule="auto"/>
        <w:tabs>
          <w:tab w:leader="none" w:pos="13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21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638385" TargetMode="External"/><Relationship Id="rId13" Type="http://schemas.openxmlformats.org/officeDocument/2006/relationships/hyperlink" Target="http://www.sec.gov/cgi-bin/browse-edgar?action=getcompany&amp;CIK=0001581990" TargetMode="External"/><Relationship Id="rId14" Type="http://schemas.openxmlformats.org/officeDocument/2006/relationships/hyperlink" Target="http://www.sec.gov/cgi-bin/browse-edgar?action=getcompany&amp;CIK=0001590015" TargetMode="External"/><Relationship Id="rId16" Type="http://schemas.openxmlformats.org/officeDocument/2006/relationships/hyperlink" Target="http://www.sec.gov/cgi-bin/browse-edgar?action=getcompany&amp;CIK=0000949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2019-12-24T06:47:36Z</dcterms:created>
  <dcterms:modified xsi:type="dcterms:W3CDTF">2019-12-24T06:47:36Z</dcterms:modified>
</cp:coreProperties>
</file>