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333-227358</w:t>
      </w:r>
    </w:p>
    <w:p>
      <w:pPr>
        <w:spacing w:after="0" w:line="213" w:lineRule="exact"/>
        <w:rPr>
          <w:sz w:val="24"/>
          <w:szCs w:val="24"/>
          <w:color w:val="auto"/>
        </w:rPr>
      </w:pPr>
    </w:p>
    <w:p>
      <w:pPr>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EF505F"/>
        </w:rPr>
        <w:t>SUBJECT TO COMPLETION, DATED JUNE 8,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14, 2018)</w:t>
      </w:r>
    </w:p>
    <w:p>
      <w:pPr>
        <w:spacing w:after="0" w:line="199" w:lineRule="exact"/>
        <w:rPr>
          <w:sz w:val="24"/>
          <w:szCs w:val="24"/>
          <w:color w:val="auto"/>
        </w:rPr>
      </w:pPr>
    </w:p>
    <w:p>
      <w:pPr>
        <w:ind w:left="502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160020</wp:posOffset>
            </wp:positionV>
            <wp:extent cx="223710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360"/>
        <w:spacing w:after="0"/>
        <w:tabs>
          <w:tab w:leader="none" w:pos="6040" w:val="left"/>
          <w:tab w:leader="none" w:pos="9080" w:val="left"/>
          <w:tab w:leader="none" w:pos="10880" w:val="left"/>
        </w:tabs>
        <w:rPr>
          <w:sz w:val="20"/>
          <w:szCs w:val="20"/>
          <w:color w:val="auto"/>
        </w:rPr>
      </w:pPr>
      <w:r>
        <w:rPr>
          <w:rFonts w:ascii="Arial" w:cs="Arial" w:eastAsia="Arial" w:hAnsi="Arial"/>
          <w:sz w:val="18"/>
          <w:szCs w:val="18"/>
          <w:color w:val="auto"/>
        </w:rPr>
        <w:t>Plains All American Pipeline, L.P. and PAA Finance Corp. are offering $</w:t>
      </w:r>
      <w:r>
        <w:rPr>
          <w:sz w:val="20"/>
          <w:szCs w:val="20"/>
          <w:color w:val="auto"/>
        </w:rPr>
        <w:tab/>
      </w:r>
      <w:r>
        <w:rPr>
          <w:rFonts w:ascii="Arial" w:cs="Arial" w:eastAsia="Arial" w:hAnsi="Arial"/>
          <w:sz w:val="18"/>
          <w:szCs w:val="18"/>
          <w:color w:val="auto"/>
        </w:rPr>
        <w:t>million aggregate principal amount of</w:t>
      </w:r>
      <w:r>
        <w:rPr>
          <w:sz w:val="20"/>
          <w:szCs w:val="20"/>
          <w:color w:val="auto"/>
        </w:rPr>
        <w:tab/>
      </w:r>
      <w:r>
        <w:rPr>
          <w:rFonts w:ascii="Arial" w:cs="Arial" w:eastAsia="Arial" w:hAnsi="Arial"/>
          <w:sz w:val="18"/>
          <w:szCs w:val="18"/>
          <w:color w:val="auto"/>
        </w:rPr>
        <w:t>% Senior Notes due 20</w:t>
      </w:r>
      <w:r>
        <w:rPr>
          <w:sz w:val="20"/>
          <w:szCs w:val="20"/>
          <w:color w:val="auto"/>
        </w:rPr>
        <w:tab/>
      </w:r>
      <w:r>
        <w:rPr>
          <w:rFonts w:ascii="Arial" w:cs="Arial" w:eastAsia="Arial" w:hAnsi="Arial"/>
          <w:sz w:val="16"/>
          <w:szCs w:val="16"/>
          <w:color w:val="auto"/>
        </w:rPr>
        <w:t>(the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"Notes").</w:t>
      </w:r>
    </w:p>
    <w:p>
      <w:pPr>
        <w:spacing w:after="0" w:line="219" w:lineRule="exact"/>
        <w:rPr>
          <w:sz w:val="24"/>
          <w:szCs w:val="24"/>
          <w:color w:val="auto"/>
        </w:rPr>
      </w:pPr>
    </w:p>
    <w:p>
      <w:pPr>
        <w:ind w:left="360"/>
        <w:spacing w:after="0"/>
        <w:tabs>
          <w:tab w:leader="none" w:pos="5160" w:val="left"/>
          <w:tab w:leader="none" w:pos="5940" w:val="left"/>
          <w:tab w:leader="none" w:pos="8840" w:val="left"/>
          <w:tab w:leader="none" w:pos="9280" w:val="left"/>
        </w:tabs>
        <w:rPr>
          <w:sz w:val="20"/>
          <w:szCs w:val="20"/>
          <w:color w:val="auto"/>
        </w:rPr>
      </w:pPr>
      <w:r>
        <w:rPr>
          <w:rFonts w:ascii="Arial" w:cs="Arial" w:eastAsia="Arial" w:hAnsi="Arial"/>
          <w:sz w:val="18"/>
          <w:szCs w:val="18"/>
          <w:color w:val="auto"/>
        </w:rPr>
        <w:t>We will pay interest on the Notes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Notes will mature on</w:t>
      </w:r>
    </w:p>
    <w:p>
      <w:pPr>
        <w:spacing w:after="0" w:line="15" w:lineRule="exact"/>
        <w:rPr>
          <w:sz w:val="24"/>
          <w:szCs w:val="24"/>
          <w:color w:val="auto"/>
        </w:rPr>
      </w:pPr>
    </w:p>
    <w:p>
      <w:pPr>
        <w:ind w:left="1060"/>
        <w:spacing w:after="0"/>
        <w:tabs>
          <w:tab w:leader="none" w:pos="148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unless redeemed prior to the maturity date.</w:t>
      </w:r>
    </w:p>
    <w:p>
      <w:pPr>
        <w:spacing w:after="0" w:line="219" w:lineRule="exact"/>
        <w:rPr>
          <w:sz w:val="24"/>
          <w:szCs w:val="24"/>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86"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86" w:lineRule="exact"/>
        <w:rPr>
          <w:sz w:val="24"/>
          <w:szCs w:val="24"/>
          <w:color w:val="auto"/>
        </w:rPr>
      </w:pPr>
    </w:p>
    <w:p>
      <w:pPr>
        <w:ind w:right="240" w:firstLine="348"/>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123190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360"/>
        <w:spacing w:after="0"/>
        <w:rPr>
          <w:sz w:val="20"/>
          <w:szCs w:val="20"/>
          <w:color w:val="auto"/>
        </w:rPr>
      </w:pPr>
      <w:r>
        <w:rPr>
          <w:rFonts w:ascii="Arial" w:cs="Arial" w:eastAsia="Arial" w:hAnsi="Arial"/>
          <w:sz w:val="19"/>
          <w:szCs w:val="19"/>
          <w:b w:val="1"/>
          <w:bCs w:val="1"/>
          <w:color w:val="auto"/>
        </w:rPr>
        <w:t>Investing in the Notes involves risks. See "Risk Factors" beginning on page S-6 of this prospectus supplement.</w:t>
      </w:r>
    </w:p>
    <w:p>
      <w:pPr>
        <w:spacing w:after="0" w:line="260" w:lineRule="exact"/>
        <w:rPr>
          <w:sz w:val="24"/>
          <w:szCs w:val="24"/>
          <w:color w:val="auto"/>
        </w:rPr>
      </w:pPr>
    </w:p>
    <w:p>
      <w:pPr>
        <w:ind w:right="20" w:firstLine="351"/>
        <w:spacing w:after="0" w:line="33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15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30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0" w:type="dxa"/>
            <w:vAlign w:val="bottom"/>
          </w:tcPr>
          <w:p>
            <w:pPr>
              <w:ind w:left="1820"/>
              <w:spacing w:after="0" w:line="116" w:lineRule="exact"/>
              <w:rPr>
                <w:sz w:val="20"/>
                <w:szCs w:val="20"/>
                <w:color w:val="auto"/>
              </w:rPr>
            </w:pPr>
            <w:r>
              <w:rPr>
                <w:rFonts w:ascii="Arial" w:cs="Arial" w:eastAsia="Arial" w:hAnsi="Arial"/>
                <w:sz w:val="13"/>
                <w:szCs w:val="13"/>
                <w:b w:val="1"/>
                <w:bCs w:val="1"/>
                <w:color w:val="auto"/>
              </w:rPr>
              <w:t>Public Offering</w:t>
            </w:r>
          </w:p>
        </w:tc>
        <w:tc>
          <w:tcPr>
            <w:tcW w:w="14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Underwriting</w:t>
            </w:r>
          </w:p>
        </w:tc>
        <w:tc>
          <w:tcPr>
            <w:tcW w:w="1400" w:type="dxa"/>
            <w:vAlign w:val="bottom"/>
          </w:tcPr>
          <w:p>
            <w:pPr>
              <w:ind w:left="260"/>
              <w:spacing w:after="0" w:line="116" w:lineRule="exact"/>
              <w:rPr>
                <w:sz w:val="20"/>
                <w:szCs w:val="20"/>
                <w:color w:val="auto"/>
              </w:rPr>
            </w:pPr>
            <w:r>
              <w:rPr>
                <w:rFonts w:ascii="Arial" w:cs="Arial" w:eastAsia="Arial" w:hAnsi="Arial"/>
                <w:sz w:val="13"/>
                <w:szCs w:val="13"/>
                <w:b w:val="1"/>
                <w:bCs w:val="1"/>
                <w:color w:val="auto"/>
              </w:rPr>
              <w:t>Proceeds, Before</w:t>
            </w:r>
          </w:p>
        </w:tc>
      </w:tr>
      <w:tr>
        <w:trPr>
          <w:trHeight w:val="182"/>
        </w:trPr>
        <w:tc>
          <w:tcPr>
            <w:tcW w:w="2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Price(1)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Discount</w:t>
            </w: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Expenses, to Us</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Per Note</w:t>
            </w:r>
          </w:p>
        </w:tc>
        <w:tc>
          <w:tcPr>
            <w:tcW w:w="300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6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2"/>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w:t>
            </w:r>
          </w:p>
        </w:tc>
        <w:tc>
          <w:tcPr>
            <w:tcW w:w="3000" w:type="dxa"/>
            <w:vAlign w:val="bottom"/>
          </w:tcPr>
          <w:p>
            <w:pPr>
              <w:ind w:left="18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82"/>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685" w:right="339" w:bottom="694" w:gutter="0" w:footer="0" w:header="0"/>
        </w:sectPr>
      </w:pPr>
    </w:p>
    <w:p>
      <w:pPr>
        <w:spacing w:after="0" w:line="8" w:lineRule="exact"/>
        <w:rPr>
          <w:sz w:val="24"/>
          <w:szCs w:val="24"/>
          <w:color w:val="auto"/>
        </w:rPr>
      </w:pPr>
    </w:p>
    <w:p>
      <w:pPr>
        <w:spacing w:after="0"/>
        <w:tabs>
          <w:tab w:leader="none" w:pos="520" w:val="left"/>
          <w:tab w:leader="none" w:pos="3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Plus accrued interest, if any, from June</w:t>
      </w:r>
      <w:r>
        <w:rPr>
          <w:sz w:val="20"/>
          <w:szCs w:val="20"/>
          <w:color w:val="auto"/>
        </w:rPr>
        <w:tab/>
      </w:r>
      <w:r>
        <w:rPr>
          <w:rFonts w:ascii="Arial" w:cs="Arial" w:eastAsia="Arial" w:hAnsi="Arial"/>
          <w:sz w:val="15"/>
          <w:szCs w:val="15"/>
          <w:color w:val="auto"/>
        </w:rPr>
        <w:t>, 2020 if settlement occurs after that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240"/>
          </w:cols>
          <w:pgMar w:left="320" w:top="685" w:right="339" w:bottom="694" w:gutter="0" w:footer="0" w:header="0"/>
          <w:type w:val="continuous"/>
        </w:sectPr>
      </w:pPr>
    </w:p>
    <w:bookmarkStart w:id="1" w:name="page2"/>
    <w:bookmarkEnd w:id="1"/>
    <w:p>
      <w:pPr>
        <w:ind w:firstLine="348"/>
        <w:spacing w:after="0" w:line="259" w:lineRule="auto"/>
        <w:rPr>
          <w:sz w:val="20"/>
          <w:szCs w:val="20"/>
          <w:color w:val="auto"/>
        </w:rPr>
      </w:pPr>
      <w:r>
        <w:rPr>
          <w:rFonts w:ascii="Arial" w:cs="Arial" w:eastAsia="Arial" w:hAnsi="Arial"/>
          <w:sz w:val="18"/>
          <w:szCs w:val="18"/>
          <w:color w:val="auto"/>
        </w:rPr>
        <w:t xml:space="preserve">The underwriters expect to deliver the Notes in book-entry form only through facilities of The Depository Trust Company for the account of its participants, including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and Euroclear Bank SA/NV, as operator of the Euroclear System, against payment in New York, New York on or about June , 2020, the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128270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ind w:left="1520"/>
        <w:spacing w:after="0"/>
        <w:tabs>
          <w:tab w:leader="none" w:pos="3920" w:val="left"/>
          <w:tab w:leader="none" w:pos="5800" w:val="left"/>
          <w:tab w:leader="none" w:pos="782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Barclays</w:t>
      </w:r>
      <w:r>
        <w:rPr>
          <w:sz w:val="20"/>
          <w:szCs w:val="20"/>
          <w:color w:val="auto"/>
        </w:rPr>
        <w:tab/>
      </w:r>
      <w:r>
        <w:rPr>
          <w:rFonts w:ascii="Arial" w:cs="Arial" w:eastAsia="Arial" w:hAnsi="Arial"/>
          <w:sz w:val="24"/>
          <w:szCs w:val="24"/>
          <w:b w:val="1"/>
          <w:bCs w:val="1"/>
          <w:color w:val="auto"/>
        </w:rPr>
        <w:t>BofA Securities</w:t>
      </w:r>
      <w:r>
        <w:rPr>
          <w:sz w:val="20"/>
          <w:szCs w:val="20"/>
          <w:color w:val="auto"/>
        </w:rPr>
        <w:tab/>
      </w:r>
      <w:r>
        <w:rPr>
          <w:rFonts w:ascii="Arial" w:cs="Arial" w:eastAsia="Arial" w:hAnsi="Arial"/>
          <w:sz w:val="23"/>
          <w:szCs w:val="23"/>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The date of this prospectus supplement is June</w:t>
      </w:r>
      <w:r>
        <w:rPr>
          <w:sz w:val="20"/>
          <w:szCs w:val="20"/>
          <w:color w:val="auto"/>
        </w:rPr>
        <w:tab/>
      </w:r>
      <w:r>
        <w:rPr>
          <w:rFonts w:ascii="Arial" w:cs="Arial" w:eastAsia="Arial" w:hAnsi="Arial"/>
          <w:sz w:val="16"/>
          <w:szCs w:val="16"/>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340" w:type="dxa"/>
            <w:vAlign w:val="bottom"/>
            <w:gridSpan w:val="4"/>
            <w:vMerge w:val="restart"/>
          </w:tcPr>
          <w:p>
            <w:pPr>
              <w:spacing w:after="0"/>
              <w:rPr>
                <w:rFonts w:ascii="Arial" w:cs="Arial" w:eastAsia="Arial" w:hAnsi="Arial"/>
                <w:sz w:val="18"/>
                <w:szCs w:val="18"/>
                <w:u w:val="single" w:color="auto"/>
                <w:color w:val="0000EE"/>
                <w:w w:val="97"/>
              </w:rPr>
            </w:pPr>
            <w:hyperlink w:anchor="page4">
              <w:r>
                <w:rPr>
                  <w:rFonts w:ascii="Arial" w:cs="Arial" w:eastAsia="Arial" w:hAnsi="Arial"/>
                  <w:sz w:val="18"/>
                  <w:szCs w:val="18"/>
                  <w:u w:val="single" w:color="auto"/>
                  <w:color w:val="0000EE"/>
                  <w:w w:val="97"/>
                </w:rPr>
                <w:t>Important Notice About Information in this Prospectus Supplement and the Accompanying Base Prospectus</w:t>
              </w:r>
            </w:hyperlink>
          </w:p>
        </w:tc>
        <w:tc>
          <w:tcPr>
            <w:tcW w:w="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6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Supplement Summary</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Capitalization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Notes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Book-Entry, Delivery and Form</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S-25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Material U.S. Federal Income Tax Consequences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S-28</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Underwriting</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S-34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Matters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Experts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S-40</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Where You Can Find More Information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S-40</w:t>
              </w:r>
            </w:hyperlink>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40" w:type="dxa"/>
            <w:vAlign w:val="bottom"/>
            <w:gridSpan w:val="2"/>
          </w:tcPr>
          <w:p>
            <w:pPr>
              <w:ind w:left="2960"/>
              <w:spacing w:after="0"/>
              <w:rPr>
                <w:sz w:val="20"/>
                <w:szCs w:val="20"/>
                <w:color w:val="auto"/>
              </w:rPr>
            </w:pPr>
            <w:r>
              <w:rPr>
                <w:rFonts w:ascii="Arial" w:cs="Arial" w:eastAsia="Arial" w:hAnsi="Arial"/>
                <w:sz w:val="18"/>
                <w:szCs w:val="18"/>
                <w:b w:val="1"/>
                <w:bCs w:val="1"/>
                <w:color w:val="auto"/>
              </w:rPr>
              <w:t>Prospectus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34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Forward-Looking Statements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About Plains All American Pipeline, L.P.</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Risk Factors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184"/>
        </w:trPr>
        <w:tc>
          <w:tcPr>
            <w:tcW w:w="8340" w:type="dxa"/>
            <w:vAlign w:val="bottom"/>
            <w:gridSpan w:val="4"/>
          </w:tcPr>
          <w:p>
            <w:pPr>
              <w:spacing w:after="0" w:line="184"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Ratio Of Earnings To Fixed Charges and Ratio of Earnings to Combined Fixed Charges and Preferred Unit</w:t>
              </w:r>
            </w:hyperlink>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Distributions</w:t>
              </w:r>
            </w:hyperlink>
          </w:p>
        </w:tc>
        <w:tc>
          <w:tcPr>
            <w:tcW w:w="640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spacing w:after="0" w:line="196"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28"/>
        </w:trPr>
        <w:tc>
          <w:tcPr>
            <w:tcW w:w="8340" w:type="dxa"/>
            <w:vAlign w:val="bottom"/>
            <w:gridSpan w:val="4"/>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Description of Our Debt Securities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Our Preferred Units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Description of Our Common Units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Cash Distribution Policy</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Our Partnership Agreement</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Material U.S. Federal Income Tax Consequences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26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Plan of Distribution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44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Legal Matters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Experts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86"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58"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See "Forward-Looking Statements" and "Risk Factors."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expect delivery of the Notes will be made against payment therefor on or about June , 2020, which is the third business day following the date of pricing of the Notes (such settlement being referred to as "T+3"). Under Rule 15c6-1 of the Securities Exchange Act of 1934, as amended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39" w:lineRule="exact"/>
        <w:rPr>
          <w:sz w:val="20"/>
          <w:szCs w:val="20"/>
          <w:color w:val="auto"/>
        </w:rPr>
      </w:pPr>
    </w:p>
    <w:p>
      <w:pPr>
        <w:ind w:left="1080" w:right="60" w:hanging="532"/>
        <w:spacing w:after="0" w:line="291"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continuation of a swift and material decline in global crude oil demand and crude oil prices for an uncertain period of time that correspondingly may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00"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79"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9"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67" w:lineRule="exact"/>
        <w:rPr>
          <w:rFonts w:ascii="Arial" w:cs="Arial" w:eastAsia="Arial" w:hAnsi="Arial"/>
          <w:sz w:val="16"/>
          <w:szCs w:val="16"/>
          <w:color w:val="auto"/>
        </w:rPr>
      </w:pPr>
    </w:p>
    <w:p>
      <w:pPr>
        <w:ind w:left="1080" w:right="50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w:t>
      </w:r>
    </w:p>
    <w:p>
      <w:pPr>
        <w:spacing w:after="0" w:line="207"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(e.g.,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79" w:lineRule="exact"/>
        <w:rPr>
          <w:rFonts w:ascii="Arial" w:cs="Arial" w:eastAsia="Arial" w:hAnsi="Arial"/>
          <w:sz w:val="16"/>
          <w:szCs w:val="16"/>
          <w:color w:val="auto"/>
        </w:rPr>
      </w:pPr>
    </w:p>
    <w:p>
      <w:pPr>
        <w:jc w:val="both"/>
        <w:ind w:left="1080" w:right="500" w:hanging="532"/>
        <w:spacing w:after="0" w:line="369"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44"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inability to complete forecasted asset sale transactions due to governmental action, litigation, counterparty non-performance or other factors;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52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5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9" w:lineRule="exact"/>
        <w:rPr>
          <w:rFonts w:ascii="Arial" w:cs="Arial" w:eastAsia="Arial" w:hAnsi="Arial"/>
          <w:sz w:val="18"/>
          <w:szCs w:val="18"/>
          <w:color w:val="auto"/>
        </w:rPr>
      </w:pPr>
    </w:p>
    <w:p>
      <w:pPr>
        <w:ind w:left="1080" w:right="24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7"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317" w:lineRule="auto"/>
        <w:rPr>
          <w:rFonts w:ascii="Arial" w:cs="Arial" w:eastAsia="Arial" w:hAnsi="Arial"/>
          <w:sz w:val="15"/>
          <w:szCs w:val="15"/>
          <w:color w:val="0000EE"/>
        </w:rPr>
      </w:pPr>
      <w:r>
        <w:rPr>
          <w:rFonts w:ascii="Arial" w:cs="Arial" w:eastAsia="Arial" w:hAnsi="Arial"/>
          <w:sz w:val="15"/>
          <w:szCs w:val="15"/>
          <w:color w:val="auto"/>
        </w:rPr>
        <w:t xml:space="preserve">Other factors described or incorporated by reference herein, as well as factors that are unknown or unpredictable, could also have a material adverse effect </w:t>
      </w:r>
      <w:hyperlink r:id="rId20">
        <w:r>
          <w:rPr>
            <w:rFonts w:ascii="Arial" w:cs="Arial" w:eastAsia="Arial" w:hAnsi="Arial"/>
            <w:sz w:val="15"/>
            <w:szCs w:val="15"/>
            <w:color w:val="auto"/>
          </w:rPr>
          <w:t xml:space="preserve">on future results. See "Risk Factors" beginning on page S-6 of this prospectus supplement and in Item 1A. "Risk Factors" in our </w:t>
        </w:r>
        <w:r>
          <w:rPr>
            <w:rFonts w:ascii="Arial" w:cs="Arial" w:eastAsia="Arial" w:hAnsi="Arial"/>
            <w:sz w:val="15"/>
            <w:szCs w:val="15"/>
            <w:u w:val="single" w:color="auto"/>
            <w:color w:val="0000EE"/>
          </w:rPr>
          <w:t>Annual Report on Form 10-K</w:t>
        </w:r>
      </w:hyperlink>
      <w:r>
        <w:rPr>
          <w:rFonts w:ascii="Arial" w:cs="Arial" w:eastAsia="Arial" w:hAnsi="Arial"/>
          <w:sz w:val="15"/>
          <w:szCs w:val="15"/>
          <w:color w:val="auto"/>
        </w:rPr>
        <w:t xml:space="preserve"> </w:t>
      </w:r>
      <w:hyperlink r:id="rId20">
        <w:r>
          <w:rPr>
            <w:rFonts w:ascii="Arial" w:cs="Arial" w:eastAsia="Arial" w:hAnsi="Arial"/>
            <w:sz w:val="15"/>
            <w:szCs w:val="15"/>
            <w:u w:val="single" w:color="auto"/>
            <w:color w:val="0000EE"/>
          </w:rPr>
          <w:t>for the fiscal year ended December 31, 2019</w:t>
        </w:r>
        <w:r>
          <w:rPr>
            <w:rFonts w:ascii="Arial" w:cs="Arial" w:eastAsia="Arial" w:hAnsi="Arial"/>
            <w:sz w:val="15"/>
            <w:szCs w:val="15"/>
            <w:color w:val="0000EE"/>
          </w:rPr>
          <w:t xml:space="preserve"> </w:t>
        </w:r>
        <w:r>
          <w:rPr>
            <w:rFonts w:ascii="Arial" w:cs="Arial" w:eastAsia="Arial" w:hAnsi="Arial"/>
            <w:sz w:val="15"/>
            <w:szCs w:val="15"/>
            <w:color w:val="000000"/>
          </w:rPr>
          <w:t>(File No. 001-14569), in our</w:t>
        </w:r>
        <w:r>
          <w:rPr>
            <w:rFonts w:ascii="Arial" w:cs="Arial" w:eastAsia="Arial" w:hAnsi="Arial"/>
            <w:sz w:val="15"/>
            <w:szCs w:val="15"/>
            <w:color w:val="0000EE"/>
          </w:rPr>
          <w:t xml:space="preserve"> </w:t>
        </w:r>
      </w:hyperlink>
      <w:hyperlink r:id="rId21">
        <w:r>
          <w:rPr>
            <w:rFonts w:ascii="Arial" w:cs="Arial" w:eastAsia="Arial" w:hAnsi="Arial"/>
            <w:sz w:val="15"/>
            <w:szCs w:val="15"/>
            <w:u w:val="single" w:color="auto"/>
            <w:color w:val="0000EE"/>
          </w:rPr>
          <w:t xml:space="preserve">Quarterly Report on Form 10-Q for the quarter ended March 31, 2020 </w:t>
        </w:r>
      </w:hyperlink>
      <w:hyperlink r:id="rId20">
        <w:r>
          <w:rPr>
            <w:rFonts w:ascii="Arial" w:cs="Arial" w:eastAsia="Arial" w:hAnsi="Arial"/>
            <w:sz w:val="15"/>
            <w:szCs w:val="15"/>
            <w:color w:val="000000"/>
          </w:rPr>
          <w:t>and in any of</w:t>
        </w:r>
      </w:hyperlink>
      <w:r>
        <w:rPr>
          <w:rFonts w:ascii="Arial" w:cs="Arial" w:eastAsia="Arial" w:hAnsi="Arial"/>
          <w:sz w:val="15"/>
          <w:szCs w:val="15"/>
          <w:color w:val="0000EE"/>
        </w:rPr>
        <w:t xml:space="preserve"> </w:t>
      </w:r>
      <w:r>
        <w:rPr>
          <w:rFonts w:ascii="Arial" w:cs="Arial" w:eastAsia="Arial" w:hAnsi="Arial"/>
          <w:sz w:val="15"/>
          <w:szCs w:val="15"/>
          <w:color w:val="000000"/>
        </w:rPr>
        <w:t>our subsequent quarterly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57" w:lineRule="exact"/>
        <w:rPr>
          <w:rFonts w:ascii="Arial" w:cs="Arial" w:eastAsia="Arial" w:hAnsi="Arial"/>
          <w:sz w:val="15"/>
          <w:szCs w:val="15"/>
          <w:color w:val="0000EE"/>
        </w:rPr>
      </w:pPr>
    </w:p>
    <w:p>
      <w:pPr>
        <w:jc w:val="center"/>
        <w:ind w:right="-19"/>
        <w:spacing w:after="0"/>
        <w:rPr>
          <w:sz w:val="20"/>
          <w:szCs w:val="20"/>
          <w:color w:val="auto"/>
        </w:rPr>
      </w:pPr>
      <w:r>
        <w:rPr>
          <w:rFonts w:ascii="Arial" w:cs="Arial" w:eastAsia="Arial" w:hAnsi="Arial"/>
          <w:sz w:val="18"/>
          <w:szCs w:val="18"/>
          <w:color w:val="auto"/>
        </w:rPr>
        <w:t>S-v</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064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40" w:firstLine="351"/>
        <w:spacing w:after="0" w:line="290"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S-6 of this prospectus supplement </w:t>
      </w:r>
      <w:hyperlink r:id="rId21">
        <w:r>
          <w:rPr>
            <w:rFonts w:ascii="Arial" w:cs="Arial" w:eastAsia="Arial" w:hAnsi="Arial"/>
            <w:sz w:val="16"/>
            <w:szCs w:val="16"/>
            <w:i w:val="1"/>
            <w:iCs w:val="1"/>
            <w:color w:val="auto"/>
          </w:rPr>
          <w:t xml:space="preserve">and in our </w:t>
        </w:r>
        <w:r>
          <w:rPr>
            <w:rFonts w:ascii="Arial" w:cs="Arial" w:eastAsia="Arial" w:hAnsi="Arial"/>
            <w:sz w:val="16"/>
            <w:szCs w:val="16"/>
            <w:i w:val="1"/>
            <w:iCs w:val="1"/>
            <w:u w:val="single" w:color="auto"/>
            <w:color w:val="0000EE"/>
          </w:rPr>
          <w:t>Annual Report on Form 10-K for the fiscal year ended December 31, 2019</w:t>
        </w:r>
        <w:r>
          <w:rPr>
            <w:rFonts w:ascii="Arial" w:cs="Arial" w:eastAsia="Arial" w:hAnsi="Arial"/>
            <w:sz w:val="16"/>
            <w:szCs w:val="16"/>
            <w:i w:val="1"/>
            <w:iCs w:val="1"/>
            <w:color w:val="auto"/>
          </w:rPr>
          <w:t xml:space="preserve"> (File No. 001-14569), in our </w:t>
        </w:r>
        <w:r>
          <w:rPr>
            <w:rFonts w:ascii="Arial" w:cs="Arial" w:eastAsia="Arial" w:hAnsi="Arial"/>
            <w:sz w:val="16"/>
            <w:szCs w:val="16"/>
            <w:i w:val="1"/>
            <w:iCs w:val="1"/>
            <w:u w:val="single" w:color="auto"/>
            <w:color w:val="0000EE"/>
          </w:rPr>
          <w:t>Quarterly Report on Form 10-Q for</w:t>
        </w:r>
      </w:hyperlink>
      <w:r>
        <w:rPr>
          <w:rFonts w:ascii="Arial" w:cs="Arial" w:eastAsia="Arial" w:hAnsi="Arial"/>
          <w:sz w:val="16"/>
          <w:szCs w:val="16"/>
          <w:i w:val="1"/>
          <w:iCs w:val="1"/>
          <w:color w:val="auto"/>
        </w:rPr>
        <w:t xml:space="preserve"> </w:t>
      </w:r>
      <w:hyperlink r:id="rId21">
        <w:r>
          <w:rPr>
            <w:rFonts w:ascii="Arial" w:cs="Arial" w:eastAsia="Arial" w:hAnsi="Arial"/>
            <w:sz w:val="16"/>
            <w:szCs w:val="16"/>
            <w:i w:val="1"/>
            <w:iCs w:val="1"/>
            <w:u w:val="single" w:color="auto"/>
            <w:color w:val="0000EE"/>
          </w:rPr>
          <w:t>the quarter ended March 31,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of our subsequent quarterly reports, which are incorporated in this prospectus supplement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for information regarding risks you should consider before making a decision to purchase any Notes in this offering.</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context clearly indicates otherwise, references to "PAA," the "Partnership," "we," "us," "our" and similar terms refer to Plains All American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Pipeline, L.P. and its subsidiaries. With respect to the cover page and in the section entitled "—The Offering," "we," "our" and "us" refer only to Plains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All American Pipeline, L.P. and, as the context requires, PAA Finance Corp., but not to any of the other subsidiaries of Plains All American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Pipeline, L.P. References to our "general partner," as the context requires, include any or all of PAA GP LLC, Plains AAP, L.P. and Plains All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GP LLC.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40" w:firstLine="348"/>
        <w:spacing w:after="0" w:line="254"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increased competition for new build assets and our desire to make disciplined capital investment decisions, over the last several years, we have increased our joint venture and/or joint ownership related activities in an effort to fully meet the current and future needs of our customers while also optimizing and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3870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348"/>
        <w:spacing w:after="0" w:line="256" w:lineRule="auto"/>
        <w:rPr>
          <w:sz w:val="20"/>
          <w:szCs w:val="20"/>
          <w:color w:val="auto"/>
        </w:rPr>
      </w:pPr>
      <w:r>
        <w:rPr>
          <w:rFonts w:ascii="Arial" w:cs="Arial" w:eastAsia="Arial" w:hAnsi="Arial"/>
          <w:sz w:val="18"/>
          <w:szCs w:val="18"/>
          <w:color w:val="auto"/>
        </w:rPr>
        <w:t>We also continuously evaluate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w:t>
      </w:r>
    </w:p>
    <w:p>
      <w:pPr>
        <w:spacing w:after="0" w:line="197"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For additional information about us, including our partnership structure and management, please refer to the documents set forth under "Where You Can Find More Information" in this prospectus supplement, including our </w:t>
      </w:r>
      <w:hyperlink r:id="rId20">
        <w:r>
          <w:rPr>
            <w:rFonts w:ascii="Arial" w:cs="Arial" w:eastAsia="Arial" w:hAnsi="Arial"/>
            <w:sz w:val="16"/>
            <w:szCs w:val="16"/>
            <w:u w:val="single" w:color="auto"/>
            <w:color w:val="0000EE"/>
          </w:rPr>
          <w:t>Annual Report on Form 10-K for the fiscal year ended December 31, 2019</w:t>
        </w:r>
      </w:hyperlink>
      <w:r>
        <w:rPr>
          <w:rFonts w:ascii="Arial" w:cs="Arial" w:eastAsia="Arial" w:hAnsi="Arial"/>
          <w:sz w:val="16"/>
          <w:szCs w:val="16"/>
          <w:color w:val="auto"/>
        </w:rPr>
        <w:t xml:space="preserve"> and our </w:t>
      </w:r>
      <w:hyperlink r:id="rId21">
        <w:r>
          <w:rPr>
            <w:rFonts w:ascii="Arial" w:cs="Arial" w:eastAsia="Arial" w:hAnsi="Arial"/>
            <w:sz w:val="16"/>
            <w:szCs w:val="16"/>
            <w:u w:val="single" w:color="auto"/>
            <w:color w:val="0000EE"/>
          </w:rPr>
          <w:t>Quarterly Report on Form 10-Q for the quarter ended March 31, 2020</w:t>
        </w:r>
      </w:hyperlink>
      <w:r>
        <w:rPr>
          <w:rFonts w:ascii="Arial" w:cs="Arial" w:eastAsia="Arial" w:hAnsi="Arial"/>
          <w:sz w:val="16"/>
          <w:szCs w:val="16"/>
          <w:color w:val="auto"/>
        </w:rPr>
        <w:t>,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259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6130"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94"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Issuers</w:t>
            </w: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7"/>
              </w:rPr>
              <w:t>Plains All American Pipeline, L.P. and PAA Finance</w:t>
            </w:r>
          </w:p>
        </w:tc>
        <w:tc>
          <w:tcPr>
            <w:tcW w:w="80" w:type="dxa"/>
            <w:vAlign w:val="bottom"/>
          </w:tcPr>
          <w:p>
            <w:pPr>
              <w:spacing w:after="0"/>
              <w:rPr>
                <w:sz w:val="18"/>
                <w:szCs w:val="18"/>
                <w:color w:val="auto"/>
              </w:rPr>
            </w:pPr>
          </w:p>
        </w:tc>
      </w:tr>
      <w:tr>
        <w:trPr>
          <w:trHeight w:val="222"/>
        </w:trPr>
        <w:tc>
          <w:tcPr>
            <w:tcW w:w="3060" w:type="dxa"/>
            <w:vAlign w:val="bottom"/>
          </w:tcPr>
          <w:p>
            <w:pPr>
              <w:spacing w:after="0"/>
              <w:rPr>
                <w:sz w:val="19"/>
                <w:szCs w:val="19"/>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Corp.</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3060" w:type="dxa"/>
            <w:vAlign w:val="bottom"/>
          </w:tcPr>
          <w:p>
            <w:pPr>
              <w:spacing w:after="0"/>
              <w:rPr>
                <w:sz w:val="24"/>
                <w:szCs w:val="24"/>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0"/>
              </w:rPr>
              <w:t>PAA Finance Corp., a Delaware corporation, is a wholly</w:t>
            </w:r>
          </w:p>
        </w:tc>
        <w:tc>
          <w:tcPr>
            <w:tcW w:w="8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3"/>
              </w:rPr>
              <w:t>owned subsidiary of Plains All American Pipeline, L.P.</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88"/>
              </w:rPr>
              <w:t>that has been organized for the purpose of co-issuing our</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2"/>
              </w:rPr>
              <w:t>existing notes, the Notes offered hereby and the notes</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1"/>
              </w:rPr>
              <w:t>issued in any future offerings. PAA Finance Corp. does</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4"/>
              </w:rPr>
              <w:t>not have operations of any kind and will not have any</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8"/>
              </w:rPr>
              <w:t>revenue other than as may be incidental to its activities as</w:t>
            </w:r>
          </w:p>
        </w:tc>
      </w:tr>
      <w:tr>
        <w:trPr>
          <w:trHeight w:val="222"/>
        </w:trPr>
        <w:tc>
          <w:tcPr>
            <w:tcW w:w="3060" w:type="dxa"/>
            <w:vAlign w:val="bottom"/>
          </w:tcPr>
          <w:p>
            <w:pPr>
              <w:spacing w:after="0"/>
              <w:rPr>
                <w:sz w:val="19"/>
                <w:szCs w:val="19"/>
                <w:color w:val="auto"/>
              </w:rPr>
            </w:pPr>
          </w:p>
        </w:tc>
        <w:tc>
          <w:tcPr>
            <w:tcW w:w="3760" w:type="dxa"/>
            <w:vAlign w:val="bottom"/>
            <w:gridSpan w:val="3"/>
          </w:tcPr>
          <w:p>
            <w:pPr>
              <w:ind w:left="1420"/>
              <w:spacing w:after="0"/>
              <w:rPr>
                <w:sz w:val="20"/>
                <w:szCs w:val="20"/>
                <w:color w:val="auto"/>
              </w:rPr>
            </w:pPr>
            <w:r>
              <w:rPr>
                <w:rFonts w:ascii="Arial" w:cs="Arial" w:eastAsia="Arial" w:hAnsi="Arial"/>
                <w:sz w:val="18"/>
                <w:szCs w:val="18"/>
                <w:color w:val="auto"/>
                <w:w w:val="87"/>
              </w:rPr>
              <w:t>a co-issuer of our debt securities.</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Future Guarantees</w:t>
            </w: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rPr>
              <w:t>Initially, the Notes will not be guaranteed by any</w:t>
            </w:r>
          </w:p>
        </w:tc>
        <w:tc>
          <w:tcPr>
            <w:tcW w:w="8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0"/>
              </w:rPr>
              <w:t>subsidiaries of the issuers. In the future, however, if any</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88"/>
              </w:rPr>
              <w:t>subsidiary guarantees any of the issuers' other debt, then</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rPr>
              <w:t>such subsidiary will, jointly and severally, fully and</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8"/>
              </w:rPr>
              <w:t>unconditionally guarantee the issuers' payment obligations</w:t>
            </w: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3"/>
              </w:rPr>
              <w:t>under the Notes. See "Description of Notes—Possible</w:t>
            </w:r>
          </w:p>
        </w:tc>
        <w:tc>
          <w:tcPr>
            <w:tcW w:w="80" w:type="dxa"/>
            <w:vAlign w:val="bottom"/>
          </w:tcPr>
          <w:p>
            <w:pPr>
              <w:spacing w:after="0"/>
              <w:rPr>
                <w:sz w:val="18"/>
                <w:szCs w:val="18"/>
                <w:color w:val="auto"/>
              </w:rPr>
            </w:pPr>
          </w:p>
        </w:tc>
      </w:tr>
      <w:tr>
        <w:trPr>
          <w:trHeight w:val="222"/>
        </w:trPr>
        <w:tc>
          <w:tcPr>
            <w:tcW w:w="3060" w:type="dxa"/>
            <w:vAlign w:val="bottom"/>
          </w:tcPr>
          <w:p>
            <w:pPr>
              <w:spacing w:after="0"/>
              <w:rPr>
                <w:sz w:val="19"/>
                <w:szCs w:val="19"/>
                <w:color w:val="auto"/>
              </w:rPr>
            </w:pPr>
          </w:p>
        </w:tc>
        <w:tc>
          <w:tcPr>
            <w:tcW w:w="2860" w:type="dxa"/>
            <w:vAlign w:val="bottom"/>
            <w:gridSpan w:val="2"/>
          </w:tcPr>
          <w:p>
            <w:pPr>
              <w:ind w:left="1420"/>
              <w:spacing w:after="0"/>
              <w:rPr>
                <w:sz w:val="20"/>
                <w:szCs w:val="20"/>
                <w:color w:val="auto"/>
              </w:rPr>
            </w:pPr>
            <w:r>
              <w:rPr>
                <w:rFonts w:ascii="Arial" w:cs="Arial" w:eastAsia="Arial" w:hAnsi="Arial"/>
                <w:sz w:val="18"/>
                <w:szCs w:val="18"/>
                <w:color w:val="auto"/>
                <w:w w:val="87"/>
              </w:rPr>
              <w:t>Future Guarantees."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Notes Offered</w:t>
            </w:r>
          </w:p>
        </w:tc>
        <w:tc>
          <w:tcPr>
            <w:tcW w:w="2000" w:type="dxa"/>
            <w:vAlign w:val="bottom"/>
          </w:tcPr>
          <w:p>
            <w:pPr>
              <w:ind w:left="1420"/>
              <w:spacing w:after="0"/>
              <w:rPr>
                <w:sz w:val="20"/>
                <w:szCs w:val="20"/>
                <w:color w:val="auto"/>
              </w:rPr>
            </w:pPr>
            <w:r>
              <w:rPr>
                <w:rFonts w:ascii="Arial" w:cs="Arial" w:eastAsia="Arial" w:hAnsi="Arial"/>
                <w:sz w:val="18"/>
                <w:szCs w:val="18"/>
                <w:color w:val="auto"/>
              </w:rPr>
              <w:t>$</w:t>
            </w:r>
          </w:p>
        </w:tc>
        <w:tc>
          <w:tcPr>
            <w:tcW w:w="2320" w:type="dxa"/>
            <w:vAlign w:val="bottom"/>
            <w:gridSpan w:val="3"/>
          </w:tcPr>
          <w:p>
            <w:pPr>
              <w:ind w:left="40"/>
              <w:spacing w:after="0"/>
              <w:rPr>
                <w:sz w:val="20"/>
                <w:szCs w:val="20"/>
                <w:color w:val="auto"/>
              </w:rPr>
            </w:pPr>
            <w:r>
              <w:rPr>
                <w:rFonts w:ascii="Arial" w:cs="Arial" w:eastAsia="Arial" w:hAnsi="Arial"/>
                <w:sz w:val="18"/>
                <w:szCs w:val="18"/>
                <w:color w:val="auto"/>
                <w:w w:val="94"/>
              </w:rPr>
              <w:t>aggregate principal amount of</w:t>
            </w:r>
          </w:p>
        </w:tc>
        <w:tc>
          <w:tcPr>
            <w:tcW w:w="1140" w:type="dxa"/>
            <w:vAlign w:val="bottom"/>
          </w:tcPr>
          <w:p>
            <w:pPr>
              <w:ind w:left="180"/>
              <w:spacing w:after="0"/>
              <w:rPr>
                <w:sz w:val="20"/>
                <w:szCs w:val="20"/>
                <w:color w:val="auto"/>
              </w:rPr>
            </w:pPr>
            <w:r>
              <w:rPr>
                <w:rFonts w:ascii="Arial" w:cs="Arial" w:eastAsia="Arial" w:hAnsi="Arial"/>
                <w:sz w:val="18"/>
                <w:szCs w:val="18"/>
                <w:color w:val="auto"/>
              </w:rPr>
              <w:t>% Senior</w:t>
            </w:r>
          </w:p>
        </w:tc>
        <w:tc>
          <w:tcPr>
            <w:tcW w:w="80" w:type="dxa"/>
            <w:vAlign w:val="bottom"/>
          </w:tcPr>
          <w:p>
            <w:pPr>
              <w:spacing w:after="0"/>
              <w:rPr>
                <w:sz w:val="24"/>
                <w:szCs w:val="24"/>
                <w:color w:val="auto"/>
              </w:rPr>
            </w:pPr>
          </w:p>
        </w:tc>
      </w:tr>
      <w:tr>
        <w:trPr>
          <w:trHeight w:val="222"/>
        </w:trPr>
        <w:tc>
          <w:tcPr>
            <w:tcW w:w="3060" w:type="dxa"/>
            <w:vAlign w:val="bottom"/>
          </w:tcPr>
          <w:p>
            <w:pPr>
              <w:spacing w:after="0"/>
              <w:rPr>
                <w:sz w:val="19"/>
                <w:szCs w:val="19"/>
                <w:color w:val="auto"/>
              </w:rPr>
            </w:pPr>
          </w:p>
        </w:tc>
        <w:tc>
          <w:tcPr>
            <w:tcW w:w="2860" w:type="dxa"/>
            <w:vAlign w:val="bottom"/>
            <w:gridSpan w:val="2"/>
          </w:tcPr>
          <w:p>
            <w:pPr>
              <w:ind w:left="1420"/>
              <w:spacing w:after="0"/>
              <w:rPr>
                <w:sz w:val="20"/>
                <w:szCs w:val="20"/>
                <w:color w:val="auto"/>
              </w:rPr>
            </w:pPr>
            <w:r>
              <w:rPr>
                <w:rFonts w:ascii="Arial" w:cs="Arial" w:eastAsia="Arial" w:hAnsi="Arial"/>
                <w:sz w:val="18"/>
                <w:szCs w:val="18"/>
                <w:color w:val="auto"/>
              </w:rPr>
              <w:t>Notes due 20  .</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Maturity Date</w:t>
            </w:r>
          </w:p>
        </w:tc>
        <w:tc>
          <w:tcPr>
            <w:tcW w:w="20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  .</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Interest Rate</w:t>
            </w:r>
          </w:p>
        </w:tc>
        <w:tc>
          <w:tcPr>
            <w:tcW w:w="2000" w:type="dxa"/>
            <w:vAlign w:val="bottom"/>
          </w:tcPr>
          <w:p>
            <w:pPr>
              <w:ind w:left="1780"/>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9"/>
              </w:rPr>
              <w:t>We will pay interest on the Notes semi-annually in arrears</w:t>
            </w:r>
          </w:p>
        </w:tc>
      </w:tr>
      <w:tr>
        <w:trPr>
          <w:trHeight w:val="216"/>
        </w:trPr>
        <w:tc>
          <w:tcPr>
            <w:tcW w:w="3060" w:type="dxa"/>
            <w:vAlign w:val="bottom"/>
          </w:tcPr>
          <w:p>
            <w:pPr>
              <w:spacing w:after="0"/>
              <w:rPr>
                <w:sz w:val="18"/>
                <w:szCs w:val="18"/>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on</w:t>
            </w:r>
          </w:p>
        </w:tc>
        <w:tc>
          <w:tcPr>
            <w:tcW w:w="860" w:type="dxa"/>
            <w:vAlign w:val="bottom"/>
          </w:tcPr>
          <w:p>
            <w:pPr>
              <w:jc w:val="right"/>
              <w:ind w:right="392"/>
              <w:spacing w:after="0"/>
              <w:rPr>
                <w:sz w:val="20"/>
                <w:szCs w:val="20"/>
                <w:color w:val="auto"/>
              </w:rPr>
            </w:pPr>
            <w:r>
              <w:rPr>
                <w:rFonts w:ascii="Arial" w:cs="Arial" w:eastAsia="Arial" w:hAnsi="Arial"/>
                <w:sz w:val="18"/>
                <w:szCs w:val="18"/>
                <w:color w:val="auto"/>
              </w:rPr>
              <w:t>and</w:t>
            </w:r>
          </w:p>
        </w:tc>
        <w:tc>
          <w:tcPr>
            <w:tcW w:w="2600" w:type="dxa"/>
            <w:vAlign w:val="bottom"/>
            <w:gridSpan w:val="3"/>
          </w:tcPr>
          <w:p>
            <w:pPr>
              <w:ind w:left="40"/>
              <w:spacing w:after="0"/>
              <w:rPr>
                <w:sz w:val="20"/>
                <w:szCs w:val="20"/>
                <w:color w:val="auto"/>
              </w:rPr>
            </w:pPr>
            <w:r>
              <w:rPr>
                <w:rFonts w:ascii="Arial" w:cs="Arial" w:eastAsia="Arial" w:hAnsi="Arial"/>
                <w:sz w:val="18"/>
                <w:szCs w:val="18"/>
                <w:color w:val="auto"/>
              </w:rPr>
              <w:t>of each year, beginning on</w:t>
            </w: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22"/>
        </w:trPr>
        <w:tc>
          <w:tcPr>
            <w:tcW w:w="3060" w:type="dxa"/>
            <w:vAlign w:val="bottom"/>
          </w:tcPr>
          <w:p>
            <w:pPr>
              <w:spacing w:after="0"/>
              <w:rPr>
                <w:sz w:val="19"/>
                <w:szCs w:val="19"/>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20  .</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Optional Redemption</w:t>
            </w: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8"/>
              </w:rPr>
              <w:t>We may redeem the Notes, in whole or in part, at any time</w:t>
            </w: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0"/>
              </w:rPr>
              <w:t>and from time to time prior to maturity. If we redeem the</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860" w:type="dxa"/>
            <w:vAlign w:val="bottom"/>
            <w:gridSpan w:val="2"/>
          </w:tcPr>
          <w:p>
            <w:pPr>
              <w:ind w:left="1420"/>
              <w:spacing w:after="0"/>
              <w:rPr>
                <w:sz w:val="20"/>
                <w:szCs w:val="20"/>
                <w:color w:val="auto"/>
              </w:rPr>
            </w:pPr>
            <w:r>
              <w:rPr>
                <w:rFonts w:ascii="Arial" w:cs="Arial" w:eastAsia="Arial" w:hAnsi="Arial"/>
                <w:sz w:val="18"/>
                <w:szCs w:val="18"/>
                <w:color w:val="auto"/>
              </w:rPr>
              <w:t>Notes before</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,20  (</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months prior to the</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1"/>
              </w:rPr>
              <w:t>maturity date, which we refer to as the "Par Call Date"),</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89"/>
              </w:rPr>
              <w:t>we will pay an amount equal to the greater of (i) 100% of</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3"/>
              </w:rPr>
              <w:t>the principal amount of the Notes to be redeemed and</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rPr>
              <w:t>(ii) the sum of the present values of the remaining</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8"/>
              </w:rPr>
              <w:t>scheduled payments of principal and interest on the Notes</w:t>
            </w:r>
          </w:p>
        </w:tc>
      </w:tr>
      <w:tr>
        <w:trPr>
          <w:trHeight w:val="216"/>
        </w:trPr>
        <w:tc>
          <w:tcPr>
            <w:tcW w:w="3060" w:type="dxa"/>
            <w:vAlign w:val="bottom"/>
          </w:tcPr>
          <w:p>
            <w:pPr>
              <w:spacing w:after="0"/>
              <w:rPr>
                <w:sz w:val="18"/>
                <w:szCs w:val="18"/>
                <w:color w:val="auto"/>
              </w:rPr>
            </w:pP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8"/>
              </w:rPr>
              <w:t>to be redeemed that would be due if the Notes matured on</w:t>
            </w: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87"/>
              </w:rPr>
              <w:t>the Par Call Date, discounted to the redemption date on a</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7"/>
              </w:rPr>
              <w:t>semiannual basis at the Adjusted Treasury Rate (as</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860" w:type="dxa"/>
            <w:vAlign w:val="bottom"/>
            <w:gridSpan w:val="2"/>
          </w:tcPr>
          <w:p>
            <w:pPr>
              <w:ind w:left="1420"/>
              <w:spacing w:after="0"/>
              <w:rPr>
                <w:sz w:val="20"/>
                <w:szCs w:val="20"/>
                <w:color w:val="auto"/>
              </w:rPr>
            </w:pPr>
            <w:r>
              <w:rPr>
                <w:rFonts w:ascii="Arial" w:cs="Arial" w:eastAsia="Arial" w:hAnsi="Arial"/>
                <w:sz w:val="18"/>
                <w:szCs w:val="18"/>
                <w:color w:val="auto"/>
                <w:w w:val="89"/>
              </w:rPr>
              <w:t>defined herein) plus</w:t>
            </w:r>
          </w:p>
        </w:tc>
        <w:tc>
          <w:tcPr>
            <w:tcW w:w="2680" w:type="dxa"/>
            <w:vAlign w:val="bottom"/>
            <w:gridSpan w:val="4"/>
          </w:tcPr>
          <w:p>
            <w:pPr>
              <w:jc w:val="right"/>
              <w:spacing w:after="0"/>
              <w:rPr>
                <w:sz w:val="20"/>
                <w:szCs w:val="20"/>
                <w:color w:val="auto"/>
              </w:rPr>
            </w:pPr>
            <w:r>
              <w:rPr>
                <w:rFonts w:ascii="Arial" w:cs="Arial" w:eastAsia="Arial" w:hAnsi="Arial"/>
                <w:sz w:val="18"/>
                <w:szCs w:val="18"/>
                <w:color w:val="auto"/>
                <w:w w:val="95"/>
              </w:rPr>
              <w:t>basis points, together with accrued</w:t>
            </w: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8"/>
              </w:rPr>
              <w:t>and unpaid interest to the date of redemption. If we</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2"/>
              </w:rPr>
              <w:t>redeem the Notes on or after the Par Call Date, we will</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0"/>
              </w:rPr>
              <w:t>pay an amount equal to 100% of the principal amount of</w:t>
            </w: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540" w:type="dxa"/>
            <w:vAlign w:val="bottom"/>
            <w:gridSpan w:val="6"/>
          </w:tcPr>
          <w:p>
            <w:pPr>
              <w:ind w:left="1420"/>
              <w:spacing w:after="0"/>
              <w:rPr>
                <w:sz w:val="20"/>
                <w:szCs w:val="20"/>
                <w:color w:val="auto"/>
              </w:rPr>
            </w:pPr>
            <w:r>
              <w:rPr>
                <w:rFonts w:ascii="Arial" w:cs="Arial" w:eastAsia="Arial" w:hAnsi="Arial"/>
                <w:sz w:val="18"/>
                <w:szCs w:val="18"/>
                <w:color w:val="auto"/>
                <w:w w:val="86"/>
              </w:rPr>
              <w:t>the Notes to be redeemed plus accrued and unpaid interest</w:t>
            </w:r>
          </w:p>
        </w:tc>
      </w:tr>
      <w:tr>
        <w:trPr>
          <w:trHeight w:val="216"/>
        </w:trPr>
        <w:tc>
          <w:tcPr>
            <w:tcW w:w="3060" w:type="dxa"/>
            <w:vAlign w:val="bottom"/>
          </w:tcPr>
          <w:p>
            <w:pPr>
              <w:spacing w:after="0"/>
              <w:rPr>
                <w:sz w:val="18"/>
                <w:szCs w:val="18"/>
                <w:color w:val="auto"/>
              </w:rPr>
            </w:pPr>
          </w:p>
        </w:tc>
        <w:tc>
          <w:tcPr>
            <w:tcW w:w="5460" w:type="dxa"/>
            <w:vAlign w:val="bottom"/>
            <w:gridSpan w:val="5"/>
          </w:tcPr>
          <w:p>
            <w:pPr>
              <w:ind w:left="1420"/>
              <w:spacing w:after="0"/>
              <w:rPr>
                <w:sz w:val="20"/>
                <w:szCs w:val="20"/>
                <w:color w:val="auto"/>
              </w:rPr>
            </w:pPr>
            <w:r>
              <w:rPr>
                <w:rFonts w:ascii="Arial" w:cs="Arial" w:eastAsia="Arial" w:hAnsi="Arial"/>
                <w:sz w:val="18"/>
                <w:szCs w:val="18"/>
                <w:color w:val="auto"/>
                <w:w w:val="97"/>
              </w:rPr>
              <w:t>to the redemption date. See "Description of Notes—</w:t>
            </w:r>
          </w:p>
        </w:tc>
        <w:tc>
          <w:tcPr>
            <w:tcW w:w="80" w:type="dxa"/>
            <w:vAlign w:val="bottom"/>
          </w:tcPr>
          <w:p>
            <w:pPr>
              <w:spacing w:after="0"/>
              <w:rPr>
                <w:sz w:val="18"/>
                <w:szCs w:val="18"/>
                <w:color w:val="auto"/>
              </w:rPr>
            </w:pPr>
          </w:p>
        </w:tc>
      </w:tr>
      <w:tr>
        <w:trPr>
          <w:trHeight w:val="222"/>
        </w:trPr>
        <w:tc>
          <w:tcPr>
            <w:tcW w:w="3060" w:type="dxa"/>
            <w:vAlign w:val="bottom"/>
          </w:tcPr>
          <w:p>
            <w:pPr>
              <w:spacing w:after="0"/>
              <w:rPr>
                <w:sz w:val="19"/>
                <w:szCs w:val="19"/>
                <w:color w:val="auto"/>
              </w:rPr>
            </w:pPr>
          </w:p>
        </w:tc>
        <w:tc>
          <w:tcPr>
            <w:tcW w:w="3760" w:type="dxa"/>
            <w:vAlign w:val="bottom"/>
            <w:gridSpan w:val="3"/>
          </w:tcPr>
          <w:p>
            <w:pPr>
              <w:ind w:left="1420"/>
              <w:spacing w:after="0"/>
              <w:rPr>
                <w:sz w:val="20"/>
                <w:szCs w:val="20"/>
                <w:color w:val="auto"/>
              </w:rPr>
            </w:pPr>
            <w:r>
              <w:rPr>
                <w:rFonts w:ascii="Arial" w:cs="Arial" w:eastAsia="Arial" w:hAnsi="Arial"/>
                <w:sz w:val="18"/>
                <w:szCs w:val="18"/>
                <w:color w:val="auto"/>
              </w:rPr>
              <w:t>Optional Redemption."</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000"/>
          </w:cols>
          <w:pgMar w:left="320" w:top="131" w:right="57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8396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6130" cy="8396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Ranking</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7"/>
              </w:rPr>
              <w:t>The Notes will be senior unsecured obligations of the</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issuers and will rank equally in right of payment with the</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5"/>
              </w:rPr>
              <w:t>existing and future senior indebtedness of the issuers.</w:t>
            </w:r>
          </w:p>
        </w:tc>
      </w:tr>
      <w:tr>
        <w:trPr>
          <w:trHeight w:val="426"/>
        </w:trPr>
        <w:tc>
          <w:tcPr>
            <w:tcW w:w="3360" w:type="dxa"/>
            <w:vAlign w:val="bottom"/>
          </w:tcPr>
          <w:p>
            <w:pPr>
              <w:spacing w:after="0"/>
              <w:rPr>
                <w:sz w:val="20"/>
                <w:szCs w:val="20"/>
                <w:color w:val="auto"/>
              </w:rPr>
            </w:pPr>
            <w:r>
              <w:rPr>
                <w:rFonts w:ascii="Arial" w:cs="Arial" w:eastAsia="Arial" w:hAnsi="Arial"/>
                <w:sz w:val="18"/>
                <w:szCs w:val="18"/>
                <w:color w:val="auto"/>
              </w:rPr>
              <w:t>Certain Covenants</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3"/>
              </w:rPr>
              <w:t>The Notes will be issued under an indenture containing</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covenants for your benefit. These covenants restrict our</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ability, with certain exceptions, to:</w:t>
            </w:r>
          </w:p>
        </w:tc>
      </w:tr>
      <w:tr>
        <w:trPr>
          <w:trHeight w:val="432"/>
        </w:trPr>
        <w:tc>
          <w:tcPr>
            <w:tcW w:w="3360" w:type="dxa"/>
            <w:vAlign w:val="bottom"/>
          </w:tcPr>
          <w:p>
            <w:pPr>
              <w:spacing w:after="0"/>
              <w:rPr>
                <w:sz w:val="24"/>
                <w:szCs w:val="24"/>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  incur liens on principal properties to secure debt;</w:t>
            </w:r>
          </w:p>
        </w:tc>
      </w:tr>
      <w:tr>
        <w:trPr>
          <w:trHeight w:val="432"/>
        </w:trPr>
        <w:tc>
          <w:tcPr>
            <w:tcW w:w="3360" w:type="dxa"/>
            <w:vAlign w:val="bottom"/>
          </w:tcPr>
          <w:p>
            <w:pPr>
              <w:spacing w:after="0"/>
              <w:rPr>
                <w:sz w:val="24"/>
                <w:szCs w:val="24"/>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  engage in sale-leaseback transactions; and</w:t>
            </w:r>
          </w:p>
        </w:tc>
      </w:tr>
      <w:tr>
        <w:trPr>
          <w:trHeight w:val="426"/>
        </w:trPr>
        <w:tc>
          <w:tcPr>
            <w:tcW w:w="3360" w:type="dxa"/>
            <w:vAlign w:val="bottom"/>
          </w:tcPr>
          <w:p>
            <w:pPr>
              <w:spacing w:after="0"/>
              <w:rPr>
                <w:sz w:val="24"/>
                <w:szCs w:val="24"/>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  merge or consolidate with another entity or sell, lease</w:t>
            </w:r>
          </w:p>
        </w:tc>
      </w:tr>
      <w:tr>
        <w:trPr>
          <w:trHeight w:val="216"/>
        </w:trPr>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w w:val="88"/>
              </w:rPr>
              <w:t>or transfer substantially all of our properties or assets to</w:t>
            </w:r>
          </w:p>
        </w:tc>
      </w:tr>
      <w:tr>
        <w:trPr>
          <w:trHeight w:val="222"/>
        </w:trPr>
        <w:tc>
          <w:tcPr>
            <w:tcW w:w="3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another entity.</w:t>
            </w:r>
          </w:p>
        </w:tc>
      </w:tr>
      <w:tr>
        <w:trPr>
          <w:trHeight w:val="432"/>
        </w:trPr>
        <w:tc>
          <w:tcPr>
            <w:tcW w:w="3360" w:type="dxa"/>
            <w:vAlign w:val="bottom"/>
          </w:tcPr>
          <w:p>
            <w:pPr>
              <w:spacing w:after="0"/>
              <w:rPr>
                <w:sz w:val="24"/>
                <w:szCs w:val="24"/>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See "Description of Notes—Covenants."</w:t>
            </w:r>
          </w:p>
        </w:tc>
      </w:tr>
      <w:tr>
        <w:trPr>
          <w:trHeight w:val="426"/>
        </w:trPr>
        <w:tc>
          <w:tcPr>
            <w:tcW w:w="3360" w:type="dxa"/>
            <w:vAlign w:val="bottom"/>
          </w:tcPr>
          <w:p>
            <w:pPr>
              <w:spacing w:after="0"/>
              <w:rPr>
                <w:sz w:val="20"/>
                <w:szCs w:val="20"/>
                <w:color w:val="auto"/>
              </w:rPr>
            </w:pPr>
            <w:r>
              <w:rPr>
                <w:rFonts w:ascii="Arial" w:cs="Arial" w:eastAsia="Arial" w:hAnsi="Arial"/>
                <w:sz w:val="18"/>
                <w:szCs w:val="18"/>
                <w:color w:val="auto"/>
              </w:rPr>
              <w:t>Use of Proceeds</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5"/>
              </w:rPr>
              <w:t>The net proceeds of this offering will be approximately</w:t>
            </w:r>
          </w:p>
        </w:tc>
      </w:tr>
      <w:tr>
        <w:trPr>
          <w:trHeight w:val="216"/>
        </w:trPr>
        <w:tc>
          <w:tcPr>
            <w:tcW w:w="3360" w:type="dxa"/>
            <w:vAlign w:val="bottom"/>
          </w:tcPr>
          <w:p>
            <w:pPr>
              <w:spacing w:after="0"/>
              <w:rPr>
                <w:sz w:val="18"/>
                <w:szCs w:val="18"/>
                <w:color w:val="auto"/>
              </w:rPr>
            </w:pPr>
          </w:p>
        </w:tc>
        <w:tc>
          <w:tcPr>
            <w:tcW w:w="1260" w:type="dxa"/>
            <w:vAlign w:val="bottom"/>
          </w:tcPr>
          <w:p>
            <w:pPr>
              <w:ind w:left="1120"/>
              <w:spacing w:after="0"/>
              <w:rPr>
                <w:sz w:val="20"/>
                <w:szCs w:val="20"/>
                <w:color w:val="auto"/>
              </w:rPr>
            </w:pPr>
            <w:r>
              <w:rPr>
                <w:rFonts w:ascii="Arial" w:cs="Arial" w:eastAsia="Arial" w:hAnsi="Arial"/>
                <w:sz w:val="18"/>
                <w:szCs w:val="18"/>
                <w:color w:val="auto"/>
              </w:rPr>
              <w:t>$</w:t>
            </w:r>
          </w:p>
        </w:tc>
        <w:tc>
          <w:tcPr>
            <w:tcW w:w="3980" w:type="dxa"/>
            <w:vAlign w:val="bottom"/>
          </w:tcPr>
          <w:p>
            <w:pPr>
              <w:ind w:left="480"/>
              <w:spacing w:after="0"/>
              <w:rPr>
                <w:sz w:val="20"/>
                <w:szCs w:val="20"/>
                <w:color w:val="auto"/>
              </w:rPr>
            </w:pPr>
            <w:r>
              <w:rPr>
                <w:rFonts w:ascii="Arial" w:cs="Arial" w:eastAsia="Arial" w:hAnsi="Arial"/>
                <w:sz w:val="18"/>
                <w:szCs w:val="18"/>
                <w:color w:val="auto"/>
                <w:w w:val="91"/>
              </w:rPr>
              <w:t>million after deducting the underwriting discount</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87"/>
              </w:rPr>
              <w:t>and our estimated offering expenses. We intend to use the</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net proceeds from the offering to partially repay the</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principal amount of our $600 million 5.00% senior notes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due 2021 ("2021 senior notes") on or prior to their</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maturity date in February 2021 and, pending such</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1"/>
              </w:rPr>
              <w:t>repayment, for general partnership purposes, which may</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0"/>
              </w:rPr>
              <w:t>include, among other things, repayment of indebtedness,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acquisitions, capital expenditures and additions to</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working capital.</w:t>
            </w:r>
          </w:p>
        </w:tc>
      </w:tr>
      <w:tr>
        <w:trPr>
          <w:trHeight w:val="426"/>
        </w:trPr>
        <w:tc>
          <w:tcPr>
            <w:tcW w:w="3360" w:type="dxa"/>
            <w:vAlign w:val="bottom"/>
          </w:tcPr>
          <w:p>
            <w:pPr>
              <w:spacing w:after="0"/>
              <w:rPr>
                <w:sz w:val="24"/>
                <w:szCs w:val="24"/>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0"/>
              </w:rPr>
              <w:t>Certain of the underwriters or their affiliates may hold our</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4"/>
              </w:rPr>
              <w:t>2021 senior notes to be repaid with proceeds from this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offering and, accordingly, may receive a substantial</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3"/>
              </w:rPr>
              <w:t>portion of the net proceeds of this offering. See "Use of</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Proceeds."</w:t>
            </w:r>
          </w:p>
        </w:tc>
      </w:tr>
      <w:tr>
        <w:trPr>
          <w:trHeight w:val="426"/>
        </w:trPr>
        <w:tc>
          <w:tcPr>
            <w:tcW w:w="3360" w:type="dxa"/>
            <w:vAlign w:val="bottom"/>
          </w:tcPr>
          <w:p>
            <w:pPr>
              <w:spacing w:after="0"/>
              <w:rPr>
                <w:sz w:val="20"/>
                <w:szCs w:val="20"/>
                <w:color w:val="auto"/>
              </w:rPr>
            </w:pPr>
            <w:r>
              <w:rPr>
                <w:rFonts w:ascii="Arial" w:cs="Arial" w:eastAsia="Arial" w:hAnsi="Arial"/>
                <w:sz w:val="18"/>
                <w:szCs w:val="18"/>
                <w:color w:val="auto"/>
              </w:rPr>
              <w:t>Book-Entry, Delivery and Form</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89"/>
              </w:rPr>
              <w:t>The Notes will be represented by one or more permanent</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global certificates in fully registered form deposited with</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89"/>
              </w:rPr>
              <w:t>a custodian for, and registered in the name of, a nominee</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of The Depository Trust Company.</w:t>
            </w:r>
          </w:p>
        </w:tc>
      </w:tr>
      <w:tr>
        <w:trPr>
          <w:trHeight w:val="426"/>
        </w:trPr>
        <w:tc>
          <w:tcPr>
            <w:tcW w:w="3360" w:type="dxa"/>
            <w:vAlign w:val="bottom"/>
          </w:tcPr>
          <w:p>
            <w:pPr>
              <w:spacing w:after="0"/>
              <w:rPr>
                <w:sz w:val="20"/>
                <w:szCs w:val="20"/>
                <w:color w:val="auto"/>
              </w:rPr>
            </w:pPr>
            <w:r>
              <w:rPr>
                <w:rFonts w:ascii="Arial" w:cs="Arial" w:eastAsia="Arial" w:hAnsi="Arial"/>
                <w:sz w:val="18"/>
                <w:szCs w:val="18"/>
                <w:color w:val="auto"/>
              </w:rPr>
              <w:t>Further Issuances</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88"/>
              </w:rPr>
              <w:t>We may create and issue additional Notes ranking equally</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7"/>
              </w:rPr>
              <w:t>and ratably with the Notes offered by this prospectus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1"/>
              </w:rPr>
              <w:t>supplement in all respects, so that such additional Notes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4"/>
              </w:rPr>
              <w:t>will be consolidated and form a single series with such</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Notes and will have the same terms, as to status,</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5"/>
              </w:rPr>
              <w:t>redemption or otherwise except for the issue date, the</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initial interest payment date, if applicable, and the</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87"/>
              </w:rPr>
              <w:t>payment of interest accruing prior to the issue date of such</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additional Notes.</w:t>
            </w:r>
          </w:p>
        </w:tc>
      </w:tr>
      <w:tr>
        <w:trPr>
          <w:trHeight w:val="426"/>
        </w:trPr>
        <w:tc>
          <w:tcPr>
            <w:tcW w:w="3360" w:type="dxa"/>
            <w:vAlign w:val="bottom"/>
          </w:tcPr>
          <w:p>
            <w:pPr>
              <w:spacing w:after="0"/>
              <w:rPr>
                <w:sz w:val="20"/>
                <w:szCs w:val="20"/>
                <w:color w:val="auto"/>
              </w:rPr>
            </w:pPr>
            <w:r>
              <w:rPr>
                <w:rFonts w:ascii="Arial" w:cs="Arial" w:eastAsia="Arial" w:hAnsi="Arial"/>
                <w:sz w:val="18"/>
                <w:szCs w:val="18"/>
                <w:color w:val="auto"/>
              </w:rPr>
              <w:t>No Listing</w:t>
            </w: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rPr>
              <w:t>The Notes are a new issue of securities with no</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0"/>
              </w:rPr>
              <w:t>established trading market. We do not currently intend to</w:t>
            </w:r>
          </w:p>
        </w:tc>
      </w:tr>
      <w:tr>
        <w:trPr>
          <w:trHeight w:val="216"/>
        </w:trPr>
        <w:tc>
          <w:tcPr>
            <w:tcW w:w="3360" w:type="dxa"/>
            <w:vAlign w:val="bottom"/>
          </w:tcPr>
          <w:p>
            <w:pPr>
              <w:spacing w:after="0"/>
              <w:rPr>
                <w:sz w:val="18"/>
                <w:szCs w:val="18"/>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2"/>
              </w:rPr>
              <w:t>apply for listing of the Notes on any securities exchange</w:t>
            </w:r>
          </w:p>
        </w:tc>
      </w:tr>
      <w:tr>
        <w:trPr>
          <w:trHeight w:val="222"/>
        </w:trPr>
        <w:tc>
          <w:tcPr>
            <w:tcW w:w="3360" w:type="dxa"/>
            <w:vAlign w:val="bottom"/>
          </w:tcPr>
          <w:p>
            <w:pPr>
              <w:spacing w:after="0"/>
              <w:rPr>
                <w:sz w:val="19"/>
                <w:szCs w:val="19"/>
                <w:color w:val="auto"/>
              </w:rPr>
            </w:pPr>
          </w:p>
        </w:tc>
        <w:tc>
          <w:tcPr>
            <w:tcW w:w="5240" w:type="dxa"/>
            <w:vAlign w:val="bottom"/>
            <w:gridSpan w:val="2"/>
          </w:tcPr>
          <w:p>
            <w:pPr>
              <w:ind w:left="1120"/>
              <w:spacing w:after="0"/>
              <w:rPr>
                <w:sz w:val="20"/>
                <w:szCs w:val="20"/>
                <w:color w:val="auto"/>
              </w:rPr>
            </w:pPr>
            <w:r>
              <w:rPr>
                <w:rFonts w:ascii="Arial" w:cs="Arial" w:eastAsia="Arial" w:hAnsi="Arial"/>
                <w:sz w:val="18"/>
                <w:szCs w:val="18"/>
                <w:color w:val="auto"/>
                <w:w w:val="95"/>
              </w:rPr>
              <w:t>or have the Notes quoted on any automated quotation</w:t>
            </w:r>
          </w:p>
        </w:tc>
      </w:tr>
    </w:tbl>
    <w:p>
      <w:pPr>
        <w:ind w:left="6880"/>
        <w:spacing w:after="0"/>
        <w:rPr>
          <w:sz w:val="20"/>
          <w:szCs w:val="20"/>
          <w:color w:val="auto"/>
        </w:rPr>
      </w:pPr>
      <w:r>
        <w:rPr>
          <w:rFonts w:ascii="Arial" w:cs="Arial" w:eastAsia="Arial" w:hAnsi="Arial"/>
          <w:sz w:val="16"/>
          <w:szCs w:val="16"/>
          <w:color w:val="auto"/>
        </w:rPr>
        <w:t>system. See "Risk Factors—Risks Related to the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Your ability to transfer the Notes may be limited by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absence of an organized trading market."</w:t>
      </w:r>
    </w:p>
    <w:p>
      <w:pPr>
        <w:sectPr>
          <w:pgSz w:w="11900" w:h="16838" w:orient="portrait"/>
          <w:cols w:equalWidth="0" w:num="1">
            <w:col w:w="11000"/>
          </w:cols>
          <w:pgMar w:left="320" w:top="13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500" w:type="dxa"/>
            <w:vAlign w:val="bottom"/>
            <w:tcBorders>
              <w:top w:val="single" w:sz="8" w:color="auto"/>
              <w:left w:val="single" w:sz="8" w:color="auto"/>
            </w:tcBorders>
          </w:tcPr>
          <w:p>
            <w:pPr>
              <w:ind w:left="2400"/>
              <w:spacing w:after="0"/>
              <w:rPr>
                <w:sz w:val="20"/>
                <w:szCs w:val="20"/>
                <w:color w:val="auto"/>
              </w:rPr>
            </w:pPr>
            <w:r>
              <w:rPr>
                <w:rFonts w:ascii="Arial" w:cs="Arial" w:eastAsia="Arial" w:hAnsi="Arial"/>
                <w:sz w:val="18"/>
                <w:szCs w:val="18"/>
                <w:color w:val="auto"/>
              </w:rPr>
              <w:t>Governing Law</w:t>
            </w:r>
          </w:p>
        </w:tc>
        <w:tc>
          <w:tcPr>
            <w:tcW w:w="674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color w:val="auto"/>
              </w:rPr>
              <w:t>State of New York.</w:t>
            </w:r>
          </w:p>
        </w:tc>
      </w:tr>
      <w:tr>
        <w:trPr>
          <w:trHeight w:val="432"/>
        </w:trPr>
        <w:tc>
          <w:tcPr>
            <w:tcW w:w="4500" w:type="dxa"/>
            <w:vAlign w:val="bottom"/>
            <w:tcBorders>
              <w:left w:val="single" w:sz="8" w:color="auto"/>
            </w:tcBorders>
          </w:tcPr>
          <w:p>
            <w:pPr>
              <w:ind w:left="2400"/>
              <w:spacing w:after="0"/>
              <w:rPr>
                <w:sz w:val="20"/>
                <w:szCs w:val="20"/>
                <w:color w:val="auto"/>
              </w:rPr>
            </w:pPr>
            <w:r>
              <w:rPr>
                <w:rFonts w:ascii="Arial" w:cs="Arial" w:eastAsia="Arial" w:hAnsi="Arial"/>
                <w:sz w:val="18"/>
                <w:szCs w:val="18"/>
                <w:color w:val="auto"/>
              </w:rPr>
              <w:t>Trustee</w:t>
            </w: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500" w:type="dxa"/>
            <w:vAlign w:val="bottom"/>
            <w:tcBorders>
              <w:left w:val="single" w:sz="8" w:color="auto"/>
            </w:tcBorders>
          </w:tcPr>
          <w:p>
            <w:pPr>
              <w:ind w:left="2400"/>
              <w:spacing w:after="0"/>
              <w:rPr>
                <w:sz w:val="20"/>
                <w:szCs w:val="20"/>
                <w:color w:val="auto"/>
              </w:rPr>
            </w:pPr>
            <w:r>
              <w:rPr>
                <w:rFonts w:ascii="Arial" w:cs="Arial" w:eastAsia="Arial" w:hAnsi="Arial"/>
                <w:sz w:val="18"/>
                <w:szCs w:val="18"/>
                <w:color w:val="auto"/>
              </w:rPr>
              <w:t>Risk Factors</w:t>
            </w: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4"/>
              </w:rPr>
              <w:t>Investing in the Notes involves risks. You should consider</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carefully all of the information in this prospectus</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3"/>
              </w:rPr>
              <w:t>supplement, the accompanying base prospectus, any free</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writing prospectus relating to this offering and the</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documents incorporated by reference herein and therein.</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In particular, you should consider carefully the specific</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risks set forth in "Risk Factors" beginning on page S-6 of</w:t>
            </w:r>
          </w:p>
        </w:tc>
      </w:tr>
      <w:tr>
        <w:trPr>
          <w:trHeight w:val="222"/>
        </w:trPr>
        <w:tc>
          <w:tcPr>
            <w:tcW w:w="450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this prospectus supplement.</w:t>
            </w:r>
          </w:p>
        </w:tc>
      </w:tr>
      <w:tr>
        <w:trPr>
          <w:trHeight w:val="228"/>
        </w:trPr>
        <w:tc>
          <w:tcPr>
            <w:tcW w:w="4500" w:type="dxa"/>
            <w:vAlign w:val="bottom"/>
            <w:tcBorders>
              <w:left w:val="single" w:sz="8" w:color="auto"/>
              <w:bottom w:val="single" w:sz="8" w:color="auto"/>
            </w:tcBorders>
          </w:tcPr>
          <w:p>
            <w:pPr>
              <w:spacing w:after="0"/>
              <w:rPr>
                <w:sz w:val="19"/>
                <w:szCs w:val="19"/>
                <w:color w:val="auto"/>
              </w:rPr>
            </w:pPr>
          </w:p>
        </w:tc>
        <w:tc>
          <w:tcPr>
            <w:tcW w:w="6740" w:type="dxa"/>
            <w:vAlign w:val="bottom"/>
            <w:tcBorders>
              <w:bottom w:val="single" w:sz="8" w:color="auto"/>
              <w:right w:val="single" w:sz="8" w:color="auto"/>
            </w:tcBorders>
          </w:tcPr>
          <w:p>
            <w:pPr>
              <w:spacing w:after="0"/>
              <w:rPr>
                <w:sz w:val="19"/>
                <w:szCs w:val="19"/>
                <w:color w:val="auto"/>
              </w:rPr>
            </w:pPr>
          </w:p>
        </w:tc>
      </w:tr>
      <w:tr>
        <w:trPr>
          <w:trHeight w:val="427"/>
        </w:trPr>
        <w:tc>
          <w:tcPr>
            <w:tcW w:w="4500" w:type="dxa"/>
            <w:vAlign w:val="bottom"/>
          </w:tcPr>
          <w:p>
            <w:pPr>
              <w:spacing w:after="0"/>
              <w:rPr>
                <w:sz w:val="24"/>
                <w:szCs w:val="24"/>
                <w:color w:val="auto"/>
              </w:rPr>
            </w:pPr>
          </w:p>
        </w:tc>
        <w:tc>
          <w:tcPr>
            <w:tcW w:w="6740" w:type="dxa"/>
            <w:vAlign w:val="bottom"/>
          </w:tcPr>
          <w:p>
            <w:pPr>
              <w:ind w:left="1000"/>
              <w:spacing w:after="0"/>
              <w:rPr>
                <w:sz w:val="20"/>
                <w:szCs w:val="20"/>
                <w:color w:val="auto"/>
              </w:rPr>
            </w:pPr>
            <w:r>
              <w:rPr>
                <w:rFonts w:ascii="Arial" w:cs="Arial" w:eastAsia="Arial" w:hAnsi="Arial"/>
                <w:sz w:val="18"/>
                <w:szCs w:val="18"/>
                <w:color w:val="auto"/>
              </w:rPr>
              <w:t>S-5</w:t>
            </w:r>
          </w:p>
        </w:tc>
      </w:tr>
      <w:tr>
        <w:trPr>
          <w:trHeight w:val="228"/>
        </w:trPr>
        <w:tc>
          <w:tcPr>
            <w:tcW w:w="450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Before making an investment in the Notes offered hereby, you should carefully consider the risk factors discussed herein and those included in Item 1A. </w:t>
      </w:r>
      <w:hyperlink r:id="rId21">
        <w:r>
          <w:rPr>
            <w:rFonts w:ascii="Arial" w:cs="Arial" w:eastAsia="Arial" w:hAnsi="Arial"/>
            <w:sz w:val="16"/>
            <w:szCs w:val="16"/>
            <w:i w:val="1"/>
            <w:iCs w:val="1"/>
            <w:color w:val="auto"/>
          </w:rPr>
          <w:t xml:space="preserve">"Risk Factors" in our </w:t>
        </w:r>
        <w:r>
          <w:rPr>
            <w:rFonts w:ascii="Arial" w:cs="Arial" w:eastAsia="Arial" w:hAnsi="Arial"/>
            <w:sz w:val="16"/>
            <w:szCs w:val="16"/>
            <w:i w:val="1"/>
            <w:iCs w:val="1"/>
            <w:u w:val="single" w:color="auto"/>
            <w:color w:val="0000EE"/>
          </w:rPr>
          <w:t>Annual Report on Form 10-K for the fiscal year ended December 31, 2019</w:t>
        </w:r>
        <w:r>
          <w:rPr>
            <w:rFonts w:ascii="Arial" w:cs="Arial" w:eastAsia="Arial" w:hAnsi="Arial"/>
            <w:sz w:val="16"/>
            <w:szCs w:val="16"/>
            <w:i w:val="1"/>
            <w:iCs w:val="1"/>
            <w:color w:val="auto"/>
          </w:rPr>
          <w:t xml:space="preserve"> (File No. 001-14569), in our </w:t>
        </w:r>
        <w:r>
          <w:rPr>
            <w:rFonts w:ascii="Arial" w:cs="Arial" w:eastAsia="Arial" w:hAnsi="Arial"/>
            <w:sz w:val="16"/>
            <w:szCs w:val="16"/>
            <w:i w:val="1"/>
            <w:iCs w:val="1"/>
            <w:u w:val="single" w:color="auto"/>
            <w:color w:val="0000EE"/>
          </w:rPr>
          <w:t>Quarterly Report on Form 10-Q</w:t>
        </w:r>
      </w:hyperlink>
      <w:r>
        <w:rPr>
          <w:rFonts w:ascii="Arial" w:cs="Arial" w:eastAsia="Arial" w:hAnsi="Arial"/>
          <w:sz w:val="16"/>
          <w:szCs w:val="16"/>
          <w:i w:val="1"/>
          <w:iCs w:val="1"/>
          <w:color w:val="auto"/>
        </w:rPr>
        <w:t xml:space="preserve"> </w:t>
      </w:r>
      <w:hyperlink r:id="rId21">
        <w:r>
          <w:rPr>
            <w:rFonts w:ascii="Arial" w:cs="Arial" w:eastAsia="Arial" w:hAnsi="Arial"/>
            <w:sz w:val="16"/>
            <w:szCs w:val="16"/>
            <w:i w:val="1"/>
            <w:iCs w:val="1"/>
            <w:u w:val="single" w:color="auto"/>
            <w:color w:val="0000EE"/>
          </w:rPr>
          <w:t>for the quarter ended March 31,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of our subsequent quarterly reports, which are incorporated by reference herein, together with all of the other</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guarantee the Notes in the future. As of March 31, 2020, on an as adjusted basis as described under "Capitalization," the Notes would have been effectively subordinated to $414 million of secured indebtedness and would have been structurally subordinated to $785 million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leverage is significant in relation to our partners' capital. As of March 31, 2020, on an as adjusted basis as described under "Capitalization," our total</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outstanding long-term debt was approximately $ billion, and our total outstanding short-term debt was approximately $363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63"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continuation or worsening of the current significant downturn in the hydrocarbon industry, including as a result of the ongoing impacts of COVID-19,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6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 of our operating partnerships (including reserves for future capital expenditures and for our anticipated future credit needs);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comply with applicable law or any loan agreement, security agreement, mortgage, debt instrument or other agreement or obligation;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preferred unitholders;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225"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6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8"/>
          <w:szCs w:val="18"/>
          <w:color w:val="auto"/>
        </w:rPr>
        <w:t>The net proceeds of this offering will be approximately $</w:t>
      </w:r>
      <w:r>
        <w:rPr>
          <w:sz w:val="20"/>
          <w:szCs w:val="20"/>
          <w:color w:val="auto"/>
        </w:rPr>
        <w:tab/>
      </w:r>
      <w:r>
        <w:rPr>
          <w:rFonts w:ascii="Arial" w:cs="Arial" w:eastAsia="Arial" w:hAnsi="Arial"/>
          <w:sz w:val="16"/>
          <w:szCs w:val="16"/>
          <w:color w:val="auto"/>
        </w:rPr>
        <w:t>million after deducting the underwriting discount and our estimated offering expenses.</w:t>
      </w:r>
    </w:p>
    <w:p>
      <w:pPr>
        <w:spacing w:after="0" w:line="15"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We intend to use the net proceeds from the offering to partially repay the principal amount of our 2021 senior notes on or prior to their maturity date in February 2021 and, pending such repayment, for general partnership purposes, which may include, among other things, repayment of indebtedness, acquisitions, capital expenditures and additions to working capital.</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2021 senior notes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w w:val="86"/>
              </w:rPr>
              <w:t>As of</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Historical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3"/>
          </w:tcPr>
          <w:p>
            <w:pPr>
              <w:jc w:val="right"/>
              <w:ind w:right="39"/>
              <w:spacing w:after="0" w:line="142" w:lineRule="exact"/>
              <w:rPr>
                <w:sz w:val="20"/>
                <w:szCs w:val="20"/>
                <w:color w:val="auto"/>
              </w:rPr>
            </w:pPr>
            <w:r>
              <w:rPr>
                <w:rFonts w:ascii="Arial" w:cs="Arial" w:eastAsia="Arial" w:hAnsi="Arial"/>
                <w:sz w:val="13"/>
                <w:szCs w:val="13"/>
                <w:b w:val="1"/>
                <w:bCs w:val="1"/>
                <w:color w:val="auto"/>
                <w:w w:val="93"/>
              </w:rPr>
              <w:t>millions)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hedged inventory facility(1)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short-term debt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discounts and debt issuance costs(2)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6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Senior secured hedged inventory facility(3)</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 Zone term loans, net of debt issuance costs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Notes offered hereby, net of unamortized discount and debt issuance costs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7060" w:type="dxa"/>
            <w:vAlign w:val="bottom"/>
            <w:gridSpan w:val="2"/>
          </w:tcPr>
          <w:p>
            <w:pPr>
              <w:ind w:left="3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Series A preferred unitholders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62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1,505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Series B preferred unitholders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Common unitholders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7,287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7,287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7060" w:type="dxa"/>
            <w:vAlign w:val="bottom"/>
            <w:gridSpan w:val="2"/>
          </w:tcPr>
          <w:p>
            <w:pPr>
              <w:ind w:left="380"/>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6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classified these credit facility borrowings as short-term as of March 31, 2020, as these borrowings were primarily designated as working capital borrowings, were required to be repaid within one year and were primarily for hedged NGL and crude oil inventory and NYMEX and ICE margin deposits.</w:t>
      </w:r>
    </w:p>
    <w:p>
      <w:pPr>
        <w:spacing w:after="0" w:line="207" w:lineRule="exact"/>
        <w:rPr>
          <w:rFonts w:ascii="Arial" w:cs="Arial" w:eastAsia="Arial" w:hAnsi="Arial"/>
          <w:sz w:val="18"/>
          <w:szCs w:val="18"/>
          <w:color w:val="auto"/>
        </w:rPr>
      </w:pPr>
    </w:p>
    <w:p>
      <w:pPr>
        <w:ind w:left="1680" w:right="140" w:hanging="549"/>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2020, we classified our 2021 senior notes as long-term based on our ability and intent to refinance such amounts on a long-term basis, including through the application of the net proceeds from this offering.</w:t>
      </w:r>
    </w:p>
    <w:p>
      <w:pPr>
        <w:spacing w:after="0" w:line="212" w:lineRule="exact"/>
        <w:rPr>
          <w:rFonts w:ascii="Arial" w:cs="Arial" w:eastAsia="Arial" w:hAnsi="Arial"/>
          <w:sz w:val="18"/>
          <w:szCs w:val="18"/>
          <w:color w:val="auto"/>
        </w:rPr>
      </w:pPr>
    </w:p>
    <w:p>
      <w:pPr>
        <w:ind w:left="1680" w:right="320" w:hanging="549"/>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2020, we classified a portion of our senior secured hedged inventory facility borrowings as long-term based on our ability and intent to refinance such amounts on a long-term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We will issue the Notes under an indenture (the "Base Indenture") dated as of September 25, 2002, among us and U.S. Bank National Association, as successor trustee, and a supplemental indenture thereto with respect to the Notes to be dated as of June , 2020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6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7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6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structurally junior to existing and future indebtedness and other obligations of our Subsidiaries, including trade payables, other than Subsidiaries that guarantee the Notes in the future.</w:t>
      </w:r>
    </w:p>
    <w:p>
      <w:pPr>
        <w:spacing w:after="0" w:line="186"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March 31, 2020, on an as adjusted basis as described under "Capitalization," the Notes would have been effectively subordinated to $414 million of secured indebtedness and would have been structurally subordinated to $785 million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left="360"/>
        <w:spacing w:after="0"/>
        <w:tabs>
          <w:tab w:leader="none" w:pos="5600" w:val="left"/>
          <w:tab w:leader="none" w:pos="8860" w:val="left"/>
          <w:tab w:leader="none" w:pos="9300" w:val="left"/>
        </w:tabs>
        <w:rPr>
          <w:sz w:val="20"/>
          <w:szCs w:val="20"/>
          <w:color w:val="auto"/>
        </w:rPr>
      </w:pPr>
      <w:r>
        <w:rPr>
          <w:rFonts w:ascii="Arial" w:cs="Arial" w:eastAsia="Arial" w:hAnsi="Arial"/>
          <w:sz w:val="18"/>
          <w:szCs w:val="18"/>
          <w:color w:val="auto"/>
        </w:rPr>
        <w:t>We will issue the Notes in an initial aggregate principal amount of $</w:t>
      </w:r>
      <w:r>
        <w:rPr>
          <w:sz w:val="20"/>
          <w:szCs w:val="20"/>
          <w:color w:val="auto"/>
        </w:rPr>
        <w:tab/>
      </w:r>
      <w:r>
        <w:rPr>
          <w:rFonts w:ascii="Arial" w:cs="Arial" w:eastAsia="Arial" w:hAnsi="Arial"/>
          <w:sz w:val="18"/>
          <w:szCs w:val="18"/>
          <w:color w:val="auto"/>
        </w:rPr>
        <w:t>million. 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Notes will bear</w:t>
      </w:r>
    </w:p>
    <w:p>
      <w:pPr>
        <w:spacing w:after="0" w:line="15" w:lineRule="exact"/>
        <w:rPr>
          <w:sz w:val="20"/>
          <w:szCs w:val="20"/>
          <w:color w:val="auto"/>
        </w:rPr>
      </w:pPr>
    </w:p>
    <w:p>
      <w:pPr>
        <w:spacing w:after="0"/>
        <w:tabs>
          <w:tab w:leader="none" w:pos="2160" w:val="left"/>
          <w:tab w:leader="none" w:pos="5640" w:val="left"/>
        </w:tabs>
        <w:rPr>
          <w:sz w:val="20"/>
          <w:szCs w:val="20"/>
          <w:color w:val="auto"/>
        </w:rPr>
      </w:pPr>
      <w:r>
        <w:rPr>
          <w:rFonts w:ascii="Arial" w:cs="Arial" w:eastAsia="Arial" w:hAnsi="Arial"/>
          <w:sz w:val="18"/>
          <w:szCs w:val="18"/>
          <w:color w:val="auto"/>
        </w:rPr>
        <w:t>interest at an annual rate of</w:t>
        <w:tab/>
        <w:t>%. Interest on the Notes will accrue from June</w:t>
      </w:r>
      <w:r>
        <w:rPr>
          <w:sz w:val="20"/>
          <w:szCs w:val="20"/>
          <w:color w:val="auto"/>
        </w:rPr>
        <w:tab/>
      </w:r>
      <w:r>
        <w:rPr>
          <w:rFonts w:ascii="Arial" w:cs="Arial" w:eastAsia="Arial" w:hAnsi="Arial"/>
          <w:sz w:val="15"/>
          <w:szCs w:val="15"/>
          <w:color w:val="auto"/>
        </w:rPr>
        <w:t>, 2020 and will be payable semi-annually in arrears</w:t>
      </w:r>
    </w:p>
    <w:p>
      <w:pPr>
        <w:spacing w:after="0" w:line="9" w:lineRule="exact"/>
        <w:rPr>
          <w:sz w:val="20"/>
          <w:szCs w:val="20"/>
          <w:color w:val="auto"/>
        </w:rPr>
      </w:pPr>
    </w:p>
    <w:p>
      <w:pPr>
        <w:spacing w:after="0"/>
        <w:tabs>
          <w:tab w:leader="none" w:pos="860" w:val="left"/>
          <w:tab w:leader="none" w:pos="1820" w:val="left"/>
          <w:tab w:leader="none" w:pos="4520" w:val="left"/>
          <w:tab w:leader="none" w:pos="49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We will make each interest payment to the holders of record at the close of business on</w:t>
      </w:r>
    </w:p>
    <w:p>
      <w:pPr>
        <w:spacing w:after="0" w:line="9" w:lineRule="exact"/>
        <w:rPr>
          <w:sz w:val="20"/>
          <w:szCs w:val="20"/>
          <w:color w:val="auto"/>
        </w:rPr>
      </w:pPr>
    </w:p>
    <w:p>
      <w:pPr>
        <w:ind w:left="720"/>
        <w:spacing w:after="0"/>
        <w:tabs>
          <w:tab w:leader="none" w:pos="1640" w:val="left"/>
        </w:tabs>
        <w:rPr>
          <w:sz w:val="20"/>
          <w:szCs w:val="20"/>
          <w:color w:val="auto"/>
        </w:rPr>
      </w:pPr>
      <w:r>
        <w:rPr>
          <w:rFonts w:ascii="Arial" w:cs="Arial" w:eastAsia="Arial" w:hAnsi="Arial"/>
          <w:sz w:val="15"/>
          <w:szCs w:val="15"/>
          <w:color w:val="auto"/>
        </w:rPr>
        <w:t>and</w:t>
      </w:r>
      <w:r>
        <w:rPr>
          <w:sz w:val="20"/>
          <w:szCs w:val="20"/>
          <w:color w:val="auto"/>
        </w:rPr>
        <w:tab/>
      </w:r>
      <w:r>
        <w:rPr>
          <w:rFonts w:ascii="Arial" w:cs="Arial" w:eastAsia="Arial" w:hAnsi="Arial"/>
          <w:sz w:val="15"/>
          <w:szCs w:val="15"/>
          <w:color w:val="auto"/>
        </w:rPr>
        <w:t>preceding such interest payment dates. Interest will be computed on the basis of a 360-day year consisting of twelve 30-day months.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will issue the Notes in minimum denominations of $2,000 and integral multiples of $1,000 in excess thereof.</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23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99" w:lineRule="exact"/>
        <w:rPr>
          <w:sz w:val="20"/>
          <w:szCs w:val="20"/>
          <w:color w:val="auto"/>
        </w:rPr>
      </w:pPr>
    </w:p>
    <w:p>
      <w:pPr>
        <w:ind w:left="1080" w:hanging="532"/>
        <w:spacing w:after="0" w:line="33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w:t>
      </w:r>
    </w:p>
    <w:p>
      <w:pPr>
        <w:spacing w:after="0" w:line="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plus</w:t>
      </w:r>
      <w:r>
        <w:rPr>
          <w:sz w:val="20"/>
          <w:szCs w:val="20"/>
          <w:color w:val="auto"/>
        </w:rPr>
        <w:tab/>
      </w:r>
      <w:r>
        <w:rPr>
          <w:rFonts w:ascii="Arial" w:cs="Arial" w:eastAsia="Arial" w:hAnsi="Arial"/>
          <w:sz w:val="18"/>
          <w:szCs w:val="18"/>
          <w:color w:val="auto"/>
        </w:rPr>
        <w:t>basis points, together with accrued and unpaid interest to the date of redemption.</w:t>
      </w:r>
    </w:p>
    <w:p>
      <w:pPr>
        <w:spacing w:after="0" w:line="21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redeem the Notes on or after the Par Call Date, we will pay an amount equal to 100% of the principal amount of the Notes to be redeemed plus accrued and unpaid interest to the redemption date.</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94" w:lineRule="exact"/>
        <w:rPr>
          <w:sz w:val="20"/>
          <w:szCs w:val="20"/>
          <w:color w:val="auto"/>
        </w:rPr>
      </w:pPr>
    </w:p>
    <w:p>
      <w:pPr>
        <w:ind w:left="360"/>
        <w:spacing w:after="0"/>
        <w:tabs>
          <w:tab w:leader="none" w:pos="2680" w:val="left"/>
          <w:tab w:leader="none" w:pos="3240" w:val="left"/>
          <w:tab w:leader="none" w:pos="38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 maturity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J.P. Morgan Securities LLC, Barclays Capital Inc., BofA Securities, Inc. and RBC Capital Markets, LLC or their respective successors and affiliates; provided, however, if any of the foregoing ceases to be a primary U.S. Government securities dealer in the United States (a "Primary Treasury Dealer"), we shall substitute therefor another Primary Treasury Dealer.</w:t>
      </w:r>
    </w:p>
    <w:p>
      <w:pPr>
        <w:spacing w:after="0" w:line="19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 Quotations</w:t>
      </w:r>
      <w:r>
        <w:rPr>
          <w:rFonts w:ascii="Arial" w:cs="Arial" w:eastAsia="Arial" w:hAnsi="Arial"/>
          <w:sz w:val="15"/>
          <w:szCs w:val="15"/>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75"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if the Notes are in the form of Global Notes, by such method as the depositary shall require.</w:t>
      </w:r>
    </w:p>
    <w:p>
      <w:pPr>
        <w:spacing w:after="0" w:line="186"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210" w:lineRule="exact"/>
        <w:rPr>
          <w:rFonts w:ascii="Arial" w:cs="Arial" w:eastAsia="Arial" w:hAnsi="Arial"/>
          <w:sz w:val="18"/>
          <w:szCs w:val="18"/>
          <w:color w:val="auto"/>
        </w:rPr>
      </w:pPr>
    </w:p>
    <w:p>
      <w:pPr>
        <w:ind w:left="1080" w:right="100" w:hanging="532"/>
        <w:spacing w:after="0" w:line="28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93"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6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2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306"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3" w:lineRule="exact"/>
        <w:rPr>
          <w:rFonts w:ascii="Arial" w:cs="Arial" w:eastAsia="Arial" w:hAnsi="Arial"/>
          <w:sz w:val="16"/>
          <w:szCs w:val="16"/>
          <w:color w:val="auto"/>
        </w:rPr>
      </w:pPr>
    </w:p>
    <w:p>
      <w:pPr>
        <w:ind w:left="1620" w:right="440" w:hanging="532"/>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20"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6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9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3"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any Restricted Subsidiary); provided, however, that such lien only encumbers the property or assets so acquired;</w:t>
      </w:r>
    </w:p>
    <w:p>
      <w:pPr>
        <w:spacing w:after="0" w:line="239" w:lineRule="exact"/>
        <w:rPr>
          <w:sz w:val="20"/>
          <w:szCs w:val="20"/>
          <w:color w:val="auto"/>
        </w:rPr>
      </w:pPr>
    </w:p>
    <w:p>
      <w:pPr>
        <w:ind w:left="1080" w:right="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07"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00"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of Plains All American Pipeline to, engage in a Sale-leaseback Transaction, unless:</w:t>
      </w:r>
    </w:p>
    <w:p>
      <w:pPr>
        <w:spacing w:after="0" w:line="239" w:lineRule="exact"/>
        <w:rPr>
          <w:sz w:val="20"/>
          <w:szCs w:val="20"/>
          <w:color w:val="auto"/>
        </w:rPr>
      </w:pPr>
    </w:p>
    <w:p>
      <w:pPr>
        <w:ind w:left="1080" w:right="12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52" w:lineRule="exact"/>
        <w:rPr>
          <w:rFonts w:ascii="Arial" w:cs="Arial" w:eastAsia="Arial" w:hAnsi="Arial"/>
          <w:sz w:val="18"/>
          <w:szCs w:val="18"/>
          <w:color w:val="auto"/>
        </w:rPr>
      </w:pPr>
    </w:p>
    <w:p>
      <w:pPr>
        <w:ind w:left="1080" w:right="120" w:hanging="532"/>
        <w:spacing w:after="0" w:line="369"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6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20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3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94"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opinion of counsel must be based on a ruling of the Internal Revenue Service or other change in applicable federal income tax law.</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defeasance trust for payment of principal of and any premium and interest on their Notes until maturity.</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52"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7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225" w:lineRule="exact"/>
        <w:rPr>
          <w:sz w:val="20"/>
          <w:szCs w:val="20"/>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225" w:lineRule="exact"/>
        <w:rPr>
          <w:rFonts w:ascii="Arial" w:cs="Arial" w:eastAsia="Arial" w:hAnsi="Arial"/>
          <w:sz w:val="18"/>
          <w:szCs w:val="18"/>
          <w:color w:val="auto"/>
        </w:rPr>
      </w:pPr>
    </w:p>
    <w:p>
      <w:pPr>
        <w:ind w:left="1080" w:right="700" w:firstLine="359"/>
        <w:spacing w:after="0" w:line="268" w:lineRule="auto"/>
        <w:tabs>
          <w:tab w:leader="none" w:pos="17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85" w:lineRule="exact"/>
        <w:rPr>
          <w:rFonts w:ascii="Arial" w:cs="Arial" w:eastAsia="Arial" w:hAnsi="Arial"/>
          <w:sz w:val="18"/>
          <w:szCs w:val="18"/>
          <w:color w:val="auto"/>
        </w:rPr>
      </w:pPr>
    </w:p>
    <w:p>
      <w:pPr>
        <w:ind w:left="1780" w:hanging="341"/>
        <w:spacing w:after="0"/>
        <w:tabs>
          <w:tab w:leader="none" w:pos="1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Funded Debt</w:t>
      </w:r>
      <w:r>
        <w:rPr>
          <w:rFonts w:ascii="Arial" w:cs="Arial" w:eastAsia="Arial" w:hAnsi="Arial"/>
          <w:sz w:val="15"/>
          <w:szCs w:val="15"/>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540" w:right="60" w:firstLine="359"/>
        <w:spacing w:after="0" w:line="306" w:lineRule="auto"/>
        <w:tabs>
          <w:tab w:leader="none" w:pos="122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0" w:lineRule="exact"/>
        <w:rPr>
          <w:rFonts w:ascii="Arial" w:cs="Arial" w:eastAsia="Arial" w:hAnsi="Arial"/>
          <w:sz w:val="16"/>
          <w:szCs w:val="16"/>
          <w:color w:val="auto"/>
        </w:rPr>
      </w:pPr>
    </w:p>
    <w:p>
      <w:pPr>
        <w:ind w:left="540" w:firstLine="359"/>
        <w:spacing w:after="0" w:line="268" w:lineRule="auto"/>
        <w:tabs>
          <w:tab w:leader="none" w:pos="12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firstLine="359"/>
        <w:spacing w:after="0" w:line="268"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85" w:lineRule="exact"/>
        <w:rPr>
          <w:rFonts w:ascii="Arial" w:cs="Arial" w:eastAsia="Arial" w:hAnsi="Arial"/>
          <w:sz w:val="18"/>
          <w:szCs w:val="18"/>
          <w:color w:val="auto"/>
        </w:rPr>
      </w:pPr>
    </w:p>
    <w:p>
      <w:pPr>
        <w:ind w:left="540" w:right="300" w:firstLine="359"/>
        <w:spacing w:after="0" w:line="268"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85" w:lineRule="exact"/>
        <w:rPr>
          <w:rFonts w:ascii="Arial" w:cs="Arial" w:eastAsia="Arial" w:hAnsi="Arial"/>
          <w:sz w:val="18"/>
          <w:szCs w:val="18"/>
          <w:color w:val="auto"/>
        </w:rPr>
      </w:pPr>
    </w:p>
    <w:p>
      <w:pPr>
        <w:ind w:left="540" w:firstLine="359"/>
        <w:spacing w:after="0" w:line="331" w:lineRule="auto"/>
        <w:tabs>
          <w:tab w:leader="none" w:pos="12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40" w:lineRule="exact"/>
        <w:rPr>
          <w:rFonts w:ascii="Arial" w:cs="Arial" w:eastAsia="Arial" w:hAnsi="Arial"/>
          <w:sz w:val="16"/>
          <w:szCs w:val="16"/>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225" w:lineRule="exact"/>
        <w:rPr>
          <w:rFonts w:ascii="Arial" w:cs="Arial" w:eastAsia="Arial" w:hAnsi="Arial"/>
          <w:sz w:val="18"/>
          <w:szCs w:val="18"/>
          <w:color w:val="auto"/>
        </w:rPr>
      </w:pPr>
    </w:p>
    <w:p>
      <w:pPr>
        <w:jc w:val="both"/>
        <w:ind w:left="540" w:right="60" w:firstLine="359"/>
        <w:spacing w:after="0" w:line="256"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6" w:lineRule="exact"/>
        <w:rPr>
          <w:rFonts w:ascii="Arial" w:cs="Arial" w:eastAsia="Arial" w:hAnsi="Arial"/>
          <w:sz w:val="18"/>
          <w:szCs w:val="18"/>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securing our debt or debt of any Restricted Subsidiary, all or a portion of the net proceeds of which are used, substantially</w:t>
      </w:r>
    </w:p>
    <w:p>
      <w:pPr>
        <w:spacing w:after="0" w:line="38" w:lineRule="exact"/>
        <w:rPr>
          <w:rFonts w:ascii="Arial" w:cs="Arial" w:eastAsia="Arial" w:hAnsi="Arial"/>
          <w:sz w:val="16"/>
          <w:szCs w:val="16"/>
          <w:color w:val="auto"/>
        </w:rPr>
      </w:pPr>
    </w:p>
    <w:p>
      <w:pPr>
        <w:ind w:left="540" w:right="20"/>
        <w:spacing w:after="0" w:line="292" w:lineRule="auto"/>
        <w:rPr>
          <w:rFonts w:ascii="Arial" w:cs="Arial" w:eastAsia="Arial" w:hAnsi="Arial"/>
          <w:sz w:val="16"/>
          <w:szCs w:val="16"/>
          <w:color w:val="auto"/>
        </w:rPr>
      </w:pPr>
      <w:r>
        <w:rPr>
          <w:rFonts w:ascii="Arial" w:cs="Arial" w:eastAsia="Arial" w:hAnsi="Arial"/>
          <w:sz w:val="16"/>
          <w:szCs w:val="16"/>
          <w:color w:val="auto"/>
        </w:rPr>
        <w:t>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70" w:lineRule="exact"/>
        <w:rPr>
          <w:rFonts w:ascii="Arial" w:cs="Arial" w:eastAsia="Arial" w:hAnsi="Arial"/>
          <w:sz w:val="16"/>
          <w:szCs w:val="16"/>
          <w:color w:val="auto"/>
        </w:rPr>
      </w:pPr>
    </w:p>
    <w:p>
      <w:pPr>
        <w:ind w:left="540" w:right="280" w:firstLine="359"/>
        <w:spacing w:after="0" w:line="268"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ind w:left="540" w:firstLine="359"/>
        <w:spacing w:after="0" w:line="298" w:lineRule="auto"/>
        <w:tabs>
          <w:tab w:leader="none" w:pos="12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66" w:lineRule="exact"/>
        <w:rPr>
          <w:rFonts w:ascii="Arial" w:cs="Arial" w:eastAsia="Arial" w:hAnsi="Arial"/>
          <w:sz w:val="16"/>
          <w:szCs w:val="16"/>
          <w:color w:val="auto"/>
        </w:rPr>
      </w:pPr>
    </w:p>
    <w:p>
      <w:pPr>
        <w:ind w:left="540" w:right="160" w:firstLine="359"/>
        <w:spacing w:after="0" w:line="298" w:lineRule="auto"/>
        <w:tabs>
          <w:tab w:leader="none" w:pos="12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66" w:lineRule="exact"/>
        <w:rPr>
          <w:rFonts w:ascii="Arial" w:cs="Arial" w:eastAsia="Arial" w:hAnsi="Arial"/>
          <w:sz w:val="16"/>
          <w:szCs w:val="16"/>
          <w:color w:val="auto"/>
        </w:rPr>
      </w:pPr>
    </w:p>
    <w:p>
      <w:pPr>
        <w:ind w:left="540" w:right="160" w:firstLine="359"/>
        <w:spacing w:after="0" w:line="331" w:lineRule="auto"/>
        <w:tabs>
          <w:tab w:leader="none" w:pos="12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94" w:lineRule="exact"/>
        <w:rPr>
          <w:sz w:val="20"/>
          <w:szCs w:val="20"/>
          <w:color w:val="auto"/>
        </w:rPr>
      </w:pPr>
    </w:p>
    <w:p>
      <w:pPr>
        <w:ind w:left="540" w:right="660" w:firstLine="359"/>
        <w:spacing w:after="0" w:line="268"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225" w:lineRule="exact"/>
        <w:rPr>
          <w:sz w:val="20"/>
          <w:szCs w:val="20"/>
          <w:color w:val="auto"/>
        </w:rPr>
      </w:pPr>
    </w:p>
    <w:p>
      <w:pPr>
        <w:ind w:left="540" w:right="80" w:firstLine="359"/>
        <w:spacing w:after="0" w:line="259"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93" w:lineRule="exact"/>
        <w:rPr>
          <w:rFonts w:ascii="Arial" w:cs="Arial" w:eastAsia="Arial" w:hAnsi="Arial"/>
          <w:sz w:val="18"/>
          <w:szCs w:val="18"/>
          <w:color w:val="auto"/>
        </w:rPr>
      </w:pPr>
    </w:p>
    <w:p>
      <w:pPr>
        <w:ind w:left="540" w:firstLine="359"/>
        <w:spacing w:after="0" w:line="254"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20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left="540" w:right="640" w:firstLine="359"/>
        <w:spacing w:after="0" w:line="306" w:lineRule="auto"/>
        <w:tabs>
          <w:tab w:leader="none" w:pos="12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60" w:lineRule="exact"/>
        <w:rPr>
          <w:rFonts w:ascii="Arial" w:cs="Arial" w:eastAsia="Arial" w:hAnsi="Arial"/>
          <w:sz w:val="16"/>
          <w:szCs w:val="16"/>
          <w:color w:val="auto"/>
        </w:rPr>
      </w:pPr>
    </w:p>
    <w:p>
      <w:pPr>
        <w:ind w:left="540" w:right="140" w:firstLine="359"/>
        <w:spacing w:after="0" w:line="369" w:lineRule="auto"/>
        <w:tabs>
          <w:tab w:leader="none" w:pos="122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1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73"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20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6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6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92" w:lineRule="exact"/>
        <w:rPr>
          <w:sz w:val="20"/>
          <w:szCs w:val="20"/>
          <w:color w:val="auto"/>
        </w:rPr>
      </w:pPr>
    </w:p>
    <w:p>
      <w:pPr>
        <w:ind w:right="4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2" w:lineRule="exact"/>
        <w:rPr>
          <w:sz w:val="20"/>
          <w:szCs w:val="20"/>
          <w:color w:val="auto"/>
        </w:rPr>
      </w:pPr>
    </w:p>
    <w:p>
      <w:pPr>
        <w:ind w:right="320" w:firstLine="8"/>
        <w:spacing w:after="0" w:line="260"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16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following discussion is a summary of material U.S. federal income tax consequences that may be relevant to the acquisition, ownership and disposition of the Notes. The discussion is based on the Internal Revenue Code of 1986, as amended (the "Code"), applicable U.S. Treasury Regulations promulgated thereunder, judicial decisions and administrative interpretations, all as of the date of this document, and all of which are subject to change, possibly with retroactive effect, or are subject to different interpretations. We cannot assure you that the Internal Revenue Service, or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considerations), or the tax consequences arising under the laws of any foreign, state, local or other jurisdiction or any income tax treaty. In addition, this discussion does not address all tax considerations that may be important to a particular holder in light of the holder's special circumstances, or to certain categories of holders that may be subject to special rules, such as:</w:t>
      </w:r>
    </w:p>
    <w:p>
      <w:pPr>
        <w:spacing w:after="0" w:line="18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holders (as defined below) who hold Notes through non-U.S. brokers or other non-U.S. intermediaries;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conversion or other "synthetic security"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entities that are tax-exempt for U.S. federal income tax purposes;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 Notes as a result of such income being recognized on an "applicable financial statement" (within the meaning of Section 451(b)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made at the partner level. Partnerships considering an investment in the Notes and partners therein should consult their own tax advisors as to the particular U.S. federal income tax consequences of acquiring, owning and disposing of the Notes.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certain circumstances (see "Description of Notes—Optional Redemption"), we may elect to redeem the Notes prior to maturity or to pay amounts on the Notes that are in excess of the stated interest and principal on the Notes. These potential payments may implicate provisions of the U.S. Treasury Regulations relating to "contingent payment debt instruments." We do not intend to treat the possibility of paying such additional amounts as causing the Notes to be treated as contingent payment debt instruments. Our position is binding on a holder unless such holder discloses its contrary position in the manner required by U.S. Treasury Regulations. However, our position is not binding on the IRS, and it is possible that the IRS might take a different position, in which case, if the IRS's position is sustained, a holder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tax advisor regarding the possible application of the contingent payment debt instrument rules to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who is a U.S. citizen or U.S. resident;</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Interest on a Note generally will be taxable to you as ordinary income at the time it is received or accrued in accordance with your regular method of accounting for U.S.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20" w:firstLine="344"/>
        <w:spacing w:after="0" w:line="288" w:lineRule="auto"/>
        <w:rPr>
          <w:sz w:val="20"/>
          <w:szCs w:val="20"/>
          <w:color w:val="auto"/>
        </w:rPr>
      </w:pPr>
      <w:r>
        <w:rPr>
          <w:rFonts w:ascii="Arial" w:cs="Arial" w:eastAsia="Arial" w:hAnsi="Arial"/>
          <w:sz w:val="16"/>
          <w:szCs w:val="16"/>
          <w:color w:val="auto"/>
        </w:rPr>
        <w:t>You generally will recognize capital gain or loss on the sale, redemption, exchange, retirement or other taxable disposition of a Note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received on the sale, redemption, exchange, retirement or other taxable disposition of a Note is attributable to accrued but unpaid interest on a Note, this amount generally will not be included in the "amount realized" but will instead be treated in the same manner as described above in "—Interest on the Notes." Your adjusted tax basis in a Note will generally equal the amount you paid for the Note. Any gain or loss will be long-term capital gain or loss if you held the Note for more than one year at the time of the sale, redemption, exchange, retirement or other taxable disposition. Long-term capital gains of individuals, estates and trusts currently are eligible for reduced rates of U.S. federal income tax. The deductibility of capital losses may be subject to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tax advisor with respect to this additional tax and its applicability in your particular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31" w:lineRule="exact"/>
        <w:rPr>
          <w:sz w:val="20"/>
          <w:szCs w:val="20"/>
          <w:color w:val="auto"/>
        </w:rPr>
      </w:pPr>
    </w:p>
    <w:p>
      <w:pPr>
        <w:ind w:right="180" w:firstLine="348"/>
        <w:spacing w:after="0" w:line="331" w:lineRule="auto"/>
        <w:rPr>
          <w:sz w:val="20"/>
          <w:szCs w:val="20"/>
          <w:color w:val="auto"/>
        </w:rPr>
      </w:pPr>
      <w:r>
        <w:rPr>
          <w:rFonts w:ascii="Arial" w:cs="Arial" w:eastAsia="Arial" w:hAnsi="Arial"/>
          <w:sz w:val="16"/>
          <w:szCs w:val="16"/>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discussion below of backup withholding and FATCA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207"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our capital or profits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(actually or constructively);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 is in connection with an extension of credit made pursuant to a loan agreement entered into in the ordinary course of your trade or business;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the Notes is not effectively connected with your conduct of a U.S. trade or business.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portfolio interest exemption generally applies only if you appropriately certify as to your foreign status. You can generally meet the certification requirement by providing a properly executed IRS Form W-8BEN or IRS Form W-8BEN-E (or other applicable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reduction of) the rate of withholding under the benefits of an applicable income tax treaty, or (ii) the payments of such interest are effectively connected with your conduct of a trade or business in the United States and you meet the certification requirements described below. See "—Income or Gain Effectively Connected with a U.S. Trade or Business."</w:t>
      </w:r>
    </w:p>
    <w:p>
      <w:pPr>
        <w:spacing w:after="0" w:line="169" w:lineRule="exact"/>
        <w:rPr>
          <w:sz w:val="20"/>
          <w:szCs w:val="20"/>
          <w:color w:val="auto"/>
        </w:rPr>
      </w:pPr>
    </w:p>
    <w:p>
      <w:pPr>
        <w:jc w:val="both"/>
        <w:ind w:right="180" w:firstLine="348"/>
        <w:spacing w:after="0" w:line="256" w:lineRule="auto"/>
        <w:rPr>
          <w:sz w:val="20"/>
          <w:szCs w:val="20"/>
          <w:color w:val="auto"/>
        </w:rPr>
      </w:pPr>
      <w:r>
        <w:rPr>
          <w:rFonts w:ascii="Arial" w:cs="Arial" w:eastAsia="Arial" w:hAnsi="Arial"/>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discussion below of backup withholding you generally will not be subject to U.S. federal income tax with respect to gain realized on the sale, redemption, retirement or other taxable disposition of a Note unless:</w:t>
      </w:r>
    </w:p>
    <w:p>
      <w:pPr>
        <w:spacing w:after="0" w:line="213" w:lineRule="exact"/>
        <w:rPr>
          <w:sz w:val="20"/>
          <w:szCs w:val="20"/>
          <w:color w:val="auto"/>
        </w:rPr>
      </w:pPr>
    </w:p>
    <w:p>
      <w:pPr>
        <w:ind w:left="1080" w:right="240" w:hanging="532"/>
        <w:spacing w:after="0" w:line="33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you of a trade or business in the United States (and, if required by an applicable income tax treaty, you maintain a permanent establishment or fixed base in the United States to which such gain is attributable); or</w:t>
      </w:r>
    </w:p>
    <w:p>
      <w:pPr>
        <w:spacing w:after="0" w:line="154"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your gain is described in the first bullet point above, you generally will be subject to U.S. federal income tax in the manner described below under "— Income or Gain Effectively Connected with a U.S. Trade or Business." If you are a non-U.S. Holder described in the second bullet point above, you generally will be subject to a flat 30% rate (or lower rate under an applicable income tax treaty) of U.S. federal income tax on the gain derived from the sale or other disposition, which may be offset by certain U.S. source capital losses. To the extent that any portion of the amount received on a sale, redemption, exchange, retirement or other taxable disposition of the Notes is attributable to accrued but unpaid interest on the Notes, this amount generally will be treated in the same manner as described above in "—Interest on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any interest on the Notes or gain from the sale, redemption, exchange, retirement or other taxable disposition of the Notes is effectively connected with a U.S. trade or business conducted by you</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then, unless an applicable income tax treaty provides otherwise, the interest income or gain will be subject to U.S. federal income tax at regular graduated income tax rates generally in the same manner as if you were a U.S. Holder.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Backup withholding generally will not apply to payments to you of interest on a Note if the certification described in "Tax Consequences to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Holders—Interest on the Notes" is duly provided by you or you otherwise establish an exemption.</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172"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Backup withholding is not an additional tax. Any amount withheld from payments to you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recently proposed Treasury Regulations provide that such payments of gross proceeds (other than amounts treated as interest) do not constitute withholdable payments. Taxpayers may rely generally on these proposed Treasury Regulations until they are revoked or final Treasury Regulations are issued.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with your tax advisor regarding the implications of FATCA on your investment in the Notes.</w:t>
      </w:r>
    </w:p>
    <w:p>
      <w:pPr>
        <w:spacing w:after="0" w:line="173"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dated the date of this prospectus supplement, between us and the underwriters named below, we have agreed to sell to each of the underwriters, for whom J.P. Morgan Securities LLC, Barclays Capital Inc., BofA Securities, Inc. and RBC Capital Markets, LLC are acting as representatives, and the underwriters have agreed, severally and not jointly, to purchase the principal amount of the Notes set forth opposite their respective names below:</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Principal Amount</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228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50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50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350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50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gridSpan w:val="3"/>
          </w:tcPr>
          <w:p>
            <w:pPr>
              <w:spacing w:after="0"/>
              <w:rPr>
                <w:sz w:val="20"/>
                <w:szCs w:val="20"/>
                <w:color w:val="auto"/>
              </w:rPr>
            </w:pPr>
            <w:r>
              <w:rPr>
                <w:rFonts w:ascii="Arial" w:cs="Arial" w:eastAsia="Arial" w:hAnsi="Arial"/>
                <w:sz w:val="18"/>
                <w:szCs w:val="18"/>
                <w:color w:val="auto"/>
                <w:w w:val="89"/>
              </w:rPr>
              <w:t>may offer the Notes to certain dealers at such price less a concession not in excess of</w:t>
            </w:r>
          </w:p>
        </w:tc>
        <w:tc>
          <w:tcPr>
            <w:tcW w:w="5100" w:type="dxa"/>
            <w:vAlign w:val="bottom"/>
            <w:gridSpan w:val="6"/>
          </w:tcPr>
          <w:p>
            <w:pPr>
              <w:ind w:left="180"/>
              <w:spacing w:after="0"/>
              <w:rPr>
                <w:sz w:val="20"/>
                <w:szCs w:val="20"/>
                <w:color w:val="auto"/>
              </w:rPr>
            </w:pPr>
            <w:r>
              <w:rPr>
                <w:rFonts w:ascii="Arial" w:cs="Arial" w:eastAsia="Arial" w:hAnsi="Arial"/>
                <w:sz w:val="18"/>
                <w:szCs w:val="18"/>
                <w:color w:val="auto"/>
                <w:w w:val="89"/>
              </w:rPr>
              <w:t>% of the principal amount of the Notes. The underwriters may allow a</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w w:val="90"/>
              </w:rPr>
              <w:t>discount not in excess of</w:t>
            </w:r>
          </w:p>
        </w:tc>
        <w:tc>
          <w:tcPr>
            <w:tcW w:w="9440" w:type="dxa"/>
            <w:vAlign w:val="bottom"/>
            <w:gridSpan w:val="7"/>
          </w:tcPr>
          <w:p>
            <w:pPr>
              <w:ind w:left="300"/>
              <w:spacing w:after="0"/>
              <w:rPr>
                <w:sz w:val="20"/>
                <w:szCs w:val="20"/>
                <w:color w:val="auto"/>
              </w:rPr>
            </w:pPr>
            <w:r>
              <w:rPr>
                <w:rFonts w:ascii="Arial" w:cs="Arial" w:eastAsia="Arial" w:hAnsi="Arial"/>
                <w:sz w:val="18"/>
                <w:szCs w:val="18"/>
                <w:color w:val="auto"/>
                <w:w w:val="90"/>
              </w:rPr>
              <w:t>% of the principal amount of the Notes, on sales to certain other brokers and dealers. After this initial public offering, the public</w:t>
            </w:r>
          </w:p>
        </w:tc>
      </w:tr>
      <w:tr>
        <w:trPr>
          <w:trHeight w:val="222"/>
        </w:trPr>
        <w:tc>
          <w:tcPr>
            <w:tcW w:w="6140" w:type="dxa"/>
            <w:vAlign w:val="bottom"/>
            <w:gridSpan w:val="3"/>
          </w:tcPr>
          <w:p>
            <w:pPr>
              <w:spacing w:after="0"/>
              <w:rPr>
                <w:sz w:val="20"/>
                <w:szCs w:val="20"/>
                <w:color w:val="auto"/>
              </w:rPr>
            </w:pPr>
            <w:r>
              <w:rPr>
                <w:rFonts w:ascii="Arial" w:cs="Arial" w:eastAsia="Arial" w:hAnsi="Arial"/>
                <w:sz w:val="18"/>
                <w:szCs w:val="18"/>
                <w:color w:val="auto"/>
              </w:rPr>
              <w:t>offering price, concession and discount may be changed.</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2"/>
        </w:trPr>
        <w:tc>
          <w:tcPr>
            <w:tcW w:w="9360" w:type="dxa"/>
            <w:vAlign w:val="bottom"/>
            <w:gridSpan w:val="6"/>
          </w:tcPr>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Underwriting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1"/>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Discount</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Note</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8460" w:type="dxa"/>
            <w:vAlign w:val="bottom"/>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0"/>
        </w:trPr>
        <w:tc>
          <w:tcPr>
            <w:tcW w:w="9360" w:type="dxa"/>
            <w:vAlign w:val="bottom"/>
            <w:gridSpan w:val="6"/>
          </w:tcPr>
          <w:p>
            <w:pPr>
              <w:ind w:left="360"/>
              <w:spacing w:after="0"/>
              <w:rPr>
                <w:sz w:val="20"/>
                <w:szCs w:val="20"/>
                <w:color w:val="auto"/>
              </w:rPr>
            </w:pPr>
            <w:r>
              <w:rPr>
                <w:rFonts w:ascii="Arial" w:cs="Arial" w:eastAsia="Arial" w:hAnsi="Arial"/>
                <w:sz w:val="18"/>
                <w:szCs w:val="18"/>
                <w:color w:val="auto"/>
                <w:w w:val="91"/>
              </w:rPr>
              <w:t>We estimate that our share of the total expenses of the offering, excluding the underwriting discount, will be approximately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million.</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time without notice. No assurance can be given as to whether or not a trading market for the Notes will develop or as to the liquidity of any trading market for the Notes which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June , 2020, which is the third business day following the date of pricing of the Notes (such settlement being referred to as "T+3"). Under Rule 15c6-1 of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80" w:hanging="532"/>
        <w:spacing w:after="0" w:line="25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Financial Services and Markets Act 2000, as amended (the "FSMA") by us;</w:t>
      </w:r>
    </w:p>
    <w:p>
      <w:pPr>
        <w:spacing w:after="0" w:line="224"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(the "UK"). For these purposes,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and the accompanying prospectus have been prepared on the basis that any offer of Notes in any Member State of the EEA or in the UK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a resident of Japan, except pursuant to an exemption from the registration requirements of, and in compliance with, the Financial Instruments and Exchange Law and any other applicable requirements of Japanese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140" w:hanging="532"/>
        <w:spacing w:after="0" w:line="33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10"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2"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SFA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or DFSA. This prospectus supplement is intended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Notes may not be offered for sale, nor may application for the sale or purchase of any Notes be invited in Australia (including an offer or invitation which is received by a person in Australia) and neither this document nor any other offering material or advertisement relating to the Notes may be distributed or published in Australia unless, in each case:</w:t>
      </w:r>
    </w:p>
    <w:p>
      <w:pPr>
        <w:spacing w:after="0" w:line="207" w:lineRule="exact"/>
        <w:rPr>
          <w:sz w:val="20"/>
          <w:szCs w:val="20"/>
          <w:color w:val="auto"/>
        </w:rPr>
      </w:pPr>
    </w:p>
    <w:p>
      <w:pPr>
        <w:ind w:left="108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187"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or invitation does not constitute an offer or invitation to a person in Australia who is a "retail client" as defined for the purposes of Section 761G of the Corporations Act;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action does not require any document to be lodged with ASIC or the Australian Securities Exchange.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2021 senior notes to be repaid with proceeds from this offering and, accordingly, may receive a substantial portion of the net proceeds of this offering.</w:t>
      </w:r>
    </w:p>
    <w:p>
      <w:pPr>
        <w:spacing w:after="0" w:line="18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certain of the underwriters are lenders under our credit facilities.</w:t>
      </w:r>
    </w:p>
    <w:p>
      <w:pPr>
        <w:spacing w:after="0" w:line="1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w:t>
      </w:r>
      <w:hyperlink r:id="rId20">
        <w:r>
          <w:rPr>
            <w:rFonts w:ascii="Arial" w:cs="Arial" w:eastAsia="Arial" w:hAnsi="Arial"/>
            <w:sz w:val="16"/>
            <w:szCs w:val="16"/>
            <w:color w:val="auto"/>
          </w:rPr>
          <w:t xml:space="preserve">Report on Internal Control over Financial Reporting) incorporated in this Prospectus Supplement by reference to the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EE"/>
          </w:rPr>
          <w:t>ended December 31, 2019</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LLP, an independent registered public accounting</w:t>
        </w:r>
      </w:hyperlink>
      <w:r>
        <w:rPr>
          <w:rFonts w:ascii="Arial" w:cs="Arial" w:eastAsia="Arial" w:hAnsi="Arial"/>
          <w:sz w:val="16"/>
          <w:szCs w:val="16"/>
          <w:color w:val="0000EE"/>
        </w:rPr>
        <w:t xml:space="preserve"> </w:t>
      </w:r>
      <w:r>
        <w:rPr>
          <w:rFonts w:ascii="Arial" w:cs="Arial" w:eastAsia="Arial" w:hAnsi="Arial"/>
          <w:sz w:val="16"/>
          <w:szCs w:val="16"/>
          <w:color w:val="000000"/>
        </w:rPr>
        <w:t>firm, given on the authority of said firm as experts in auditing and accounting.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11" w:lineRule="exact"/>
        <w:rPr>
          <w:sz w:val="20"/>
          <w:szCs w:val="20"/>
          <w:color w:val="auto"/>
        </w:rPr>
      </w:pPr>
    </w:p>
    <w:p>
      <w:pPr>
        <w:ind w:left="1080" w:right="200" w:hanging="532"/>
        <w:spacing w:after="0" w:line="268" w:lineRule="auto"/>
        <w:tabs>
          <w:tab w:leader="none" w:pos="1080" w:val="left"/>
        </w:tabs>
        <w:numPr>
          <w:ilvl w:val="0"/>
          <w:numId w:val="38"/>
        </w:numPr>
        <w:rPr>
          <w:rFonts w:ascii="Arial" w:cs="Arial" w:eastAsia="Arial" w:hAnsi="Arial"/>
          <w:sz w:val="18"/>
          <w:szCs w:val="18"/>
          <w:color w:val="000000"/>
        </w:rPr>
      </w:pPr>
      <w:hyperlink r:id="rId20">
        <w:r>
          <w:rPr>
            <w:rFonts w:ascii="Arial" w:cs="Arial" w:eastAsia="Arial" w:hAnsi="Arial"/>
            <w:sz w:val="18"/>
            <w:szCs w:val="18"/>
            <w:u w:val="single" w:color="auto"/>
            <w:color w:val="0000EE"/>
          </w:rPr>
          <w:t>Annual Report on Form 10-K for the fiscal year ended December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w:t>
      </w:r>
      <w:r>
        <w:rPr>
          <w:rFonts w:ascii="Arial" w:cs="Arial" w:eastAsia="Arial" w:hAnsi="Arial"/>
          <w:sz w:val="18"/>
          <w:szCs w:val="18"/>
          <w:color w:val="0000EE"/>
        </w:rPr>
        <w:t xml:space="preserve"> </w:t>
      </w:r>
      <w:r>
        <w:rPr>
          <w:rFonts w:ascii="Arial" w:cs="Arial" w:eastAsia="Arial" w:hAnsi="Arial"/>
          <w:sz w:val="18"/>
          <w:szCs w:val="18"/>
          <w:color w:val="000000"/>
        </w:rPr>
        <w:t xml:space="preserve">our </w:t>
      </w:r>
      <w:hyperlink r:id="rId67">
        <w:r>
          <w:rPr>
            <w:rFonts w:ascii="Arial" w:cs="Arial" w:eastAsia="Arial" w:hAnsi="Arial"/>
            <w:sz w:val="18"/>
            <w:szCs w:val="18"/>
            <w:u w:val="single" w:color="auto"/>
            <w:color w:val="0000EE"/>
          </w:rPr>
          <w:t>Proxy Statement for our 2020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00"/>
        </w:rPr>
      </w:pPr>
    </w:p>
    <w:p>
      <w:pPr>
        <w:ind w:left="1080" w:hanging="532"/>
        <w:spacing w:after="0"/>
        <w:tabs>
          <w:tab w:leader="none" w:pos="1080" w:val="left"/>
        </w:tabs>
        <w:numPr>
          <w:ilvl w:val="0"/>
          <w:numId w:val="38"/>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Quarterly Report on Form 10-Q for the quarterly period ended March 31, 2020; and</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68">
        <w:r>
          <w:rPr>
            <w:rFonts w:ascii="Arial" w:cs="Arial" w:eastAsia="Arial" w:hAnsi="Arial"/>
            <w:sz w:val="18"/>
            <w:szCs w:val="18"/>
            <w:u w:val="single" w:color="auto"/>
            <w:color w:val="0000EE"/>
          </w:rPr>
          <w:t>January 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9">
        <w:r>
          <w:rPr>
            <w:rFonts w:ascii="Arial" w:cs="Arial" w:eastAsia="Arial" w:hAnsi="Arial"/>
            <w:sz w:val="18"/>
            <w:szCs w:val="18"/>
            <w:u w:val="single" w:color="auto"/>
            <w:color w:val="0000EE"/>
          </w:rPr>
          <w:t>May 27,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344"/>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22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82" w:lineRule="exact"/>
        <w:rPr>
          <w:sz w:val="20"/>
          <w:szCs w:val="20"/>
          <w:color w:val="auto"/>
        </w:rPr>
      </w:pPr>
    </w:p>
    <w:p>
      <w:pPr>
        <w:jc w:val="both"/>
        <w:ind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8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916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tc>
        <w:tc>
          <w:tcPr>
            <w:tcW w:w="80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20" w:type="dxa"/>
            <w:vAlign w:val="bottom"/>
            <w:gridSpan w:val="2"/>
          </w:tcPr>
          <w:p>
            <w:pPr>
              <w:ind w:left="24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4"/>
                <w:szCs w:val="24"/>
                <w:color w:val="auto"/>
              </w:rPr>
            </w:pPr>
          </w:p>
        </w:tc>
      </w:tr>
      <w:tr>
        <w:trPr>
          <w:trHeight w:val="42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80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Forward-Looking Statements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iii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About Plains All American Pipeline, L.P.</w:t>
              </w:r>
            </w:hyperlink>
          </w:p>
        </w:tc>
        <w:tc>
          <w:tcPr>
            <w:tcW w:w="80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Risk Factors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r>
      <w:tr>
        <w:trPr>
          <w:trHeight w:val="184"/>
        </w:trPr>
        <w:tc>
          <w:tcPr>
            <w:tcW w:w="9160" w:type="dxa"/>
            <w:vAlign w:val="bottom"/>
            <w:gridSpan w:val="5"/>
          </w:tcPr>
          <w:p>
            <w:pPr>
              <w:ind w:left="1140"/>
              <w:spacing w:after="0" w:line="184"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Ratio of Earnings to Fixed Charges and Ratio of Earnings to Combined Fixed Charges and Preferred Unit</w:t>
              </w:r>
            </w:hyperlink>
          </w:p>
        </w:tc>
        <w:tc>
          <w:tcPr>
            <w:tcW w:w="80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Distributions</w:t>
              </w:r>
            </w:hyperlink>
          </w:p>
        </w:tc>
        <w:tc>
          <w:tcPr>
            <w:tcW w:w="6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line="196"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w:t>
              </w:r>
            </w:hyperlink>
          </w:p>
        </w:tc>
      </w:tr>
      <w:tr>
        <w:trPr>
          <w:trHeight w:val="228"/>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Description of Our Debt Securities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6</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Our Preferred Units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15</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Description of Our Common Units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17</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Cash Distribution Policy</w:t>
              </w:r>
            </w:hyperlink>
          </w:p>
        </w:tc>
        <w:tc>
          <w:tcPr>
            <w:tcW w:w="800" w:type="dxa"/>
            <w:vAlign w:val="bottom"/>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20</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Our Partnership Agreement</w:t>
              </w:r>
            </w:hyperlink>
          </w:p>
        </w:tc>
        <w:tc>
          <w:tcPr>
            <w:tcW w:w="800" w:type="dxa"/>
            <w:vAlign w:val="bottom"/>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22</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Material U.S. Federal Income Tax Consequences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26</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Plan of Distribution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44</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Legal Matters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46</w:t>
              </w:r>
            </w:hyperlink>
          </w:p>
        </w:tc>
      </w:tr>
      <w:tr>
        <w:trPr>
          <w:trHeight w:val="222"/>
        </w:trPr>
        <w:tc>
          <w:tcPr>
            <w:tcW w:w="9160" w:type="dxa"/>
            <w:vAlign w:val="bottom"/>
            <w:gridSpan w:val="5"/>
          </w:tcPr>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Experts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46</w:t>
              </w:r>
            </w:hyperlink>
          </w:p>
        </w:tc>
      </w:tr>
    </w:tbl>
    <w:p>
      <w:pPr>
        <w:spacing w:after="0" w:line="21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7"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0000EE"/>
        </w:rPr>
      </w:pPr>
      <w:hyperlink r:id="rId73">
        <w:r>
          <w:rPr>
            <w:rFonts w:ascii="Arial" w:cs="Arial" w:eastAsia="Arial" w:hAnsi="Arial"/>
            <w:sz w:val="18"/>
            <w:szCs w:val="18"/>
            <w:u w:val="single" w:color="auto"/>
            <w:color w:val="0000EE"/>
          </w:rPr>
          <w:t>Annual Report on Form 10-K for the fiscal year ended December 31, 2017</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74">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5">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76">
        <w:r>
          <w:rPr>
            <w:rFonts w:ascii="Arial" w:cs="Arial" w:eastAsia="Arial" w:hAnsi="Arial"/>
            <w:sz w:val="16"/>
            <w:szCs w:val="16"/>
            <w:u w:val="single" w:color="auto"/>
            <w:color w:val="0000EE"/>
          </w:rPr>
          <w:t>January 8, 2018</w:t>
        </w:r>
      </w:hyperlink>
      <w:r>
        <w:rPr>
          <w:rFonts w:ascii="Arial" w:cs="Arial" w:eastAsia="Arial" w:hAnsi="Arial"/>
          <w:sz w:val="16"/>
          <w:szCs w:val="16"/>
          <w:color w:val="auto"/>
        </w:rPr>
        <w:t xml:space="preserve">, </w:t>
      </w:r>
      <w:hyperlink r:id="rId77">
        <w:r>
          <w:rPr>
            <w:rFonts w:ascii="Arial" w:cs="Arial" w:eastAsia="Arial" w:hAnsi="Arial"/>
            <w:sz w:val="16"/>
            <w:szCs w:val="16"/>
            <w:u w:val="single" w:color="auto"/>
            <w:color w:val="0000EE"/>
          </w:rPr>
          <w:t>March 27, 2018</w:t>
        </w:r>
      </w:hyperlink>
      <w:r>
        <w:rPr>
          <w:rFonts w:ascii="Arial" w:cs="Arial" w:eastAsia="Arial" w:hAnsi="Arial"/>
          <w:sz w:val="16"/>
          <w:szCs w:val="16"/>
          <w:color w:val="auto"/>
        </w:rPr>
        <w:t xml:space="preserve">, </w:t>
      </w:r>
      <w:hyperlink r:id="rId78">
        <w:r>
          <w:rPr>
            <w:rFonts w:ascii="Arial" w:cs="Arial" w:eastAsia="Arial" w:hAnsi="Arial"/>
            <w:sz w:val="16"/>
            <w:szCs w:val="16"/>
            <w:u w:val="single" w:color="auto"/>
            <w:color w:val="0000EE"/>
          </w:rPr>
          <w:t>May 17, 2018</w:t>
        </w:r>
      </w:hyperlink>
      <w:r>
        <w:rPr>
          <w:rFonts w:ascii="Arial" w:cs="Arial" w:eastAsia="Arial" w:hAnsi="Arial"/>
          <w:sz w:val="16"/>
          <w:szCs w:val="16"/>
          <w:color w:val="auto"/>
        </w:rPr>
        <w:t xml:space="preserve">, </w:t>
      </w:r>
      <w:hyperlink r:id="rId79">
        <w:r>
          <w:rPr>
            <w:rFonts w:ascii="Arial" w:cs="Arial" w:eastAsia="Arial" w:hAnsi="Arial"/>
            <w:sz w:val="16"/>
            <w:szCs w:val="16"/>
            <w:u w:val="single" w:color="auto"/>
            <w:color w:val="0000EE"/>
          </w:rPr>
          <w:t>August 20,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80">
        <w:r>
          <w:rPr>
            <w:rFonts w:ascii="Arial" w:cs="Arial" w:eastAsia="Arial" w:hAnsi="Arial"/>
            <w:sz w:val="16"/>
            <w:szCs w:val="16"/>
            <w:u w:val="single" w:color="auto"/>
            <w:color w:val="0000EE"/>
          </w:rPr>
          <w:t>August 21, 2018</w:t>
        </w:r>
      </w:hyperlink>
      <w:r>
        <w:rPr>
          <w:rFonts w:ascii="Arial" w:cs="Arial" w:eastAsia="Arial" w:hAnsi="Arial"/>
          <w:sz w:val="16"/>
          <w:szCs w:val="16"/>
          <w:color w:val="auto"/>
        </w:rPr>
        <w:t>; and</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39"/>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the description of our common units contained in our Form 8-A/A dated November 16, 2016 and any subsequent amendment thereto filed for</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the purpose of updating such description.</w:t>
        </w:r>
      </w:hyperlink>
    </w:p>
    <w:p>
      <w:pPr>
        <w:spacing w:after="0" w:line="186" w:lineRule="exact"/>
        <w:rPr>
          <w:rFonts w:ascii="Arial" w:cs="Arial" w:eastAsia="Arial" w:hAnsi="Arial"/>
          <w:sz w:val="18"/>
          <w:szCs w:val="18"/>
          <w:color w:val="auto"/>
        </w:rPr>
      </w:pPr>
    </w:p>
    <w:p>
      <w:pPr>
        <w:ind w:right="420" w:firstLine="344"/>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6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7" w:lineRule="exact"/>
        <w:rPr>
          <w:sz w:val="20"/>
          <w:szCs w:val="20"/>
          <w:color w:val="auto"/>
        </w:rPr>
      </w:pPr>
    </w:p>
    <w:p>
      <w:pPr>
        <w:ind w:left="1080" w:right="22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24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40"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w:t>
      </w:r>
      <w:hyperlink r:id="rId73">
        <w:r>
          <w:rPr>
            <w:rFonts w:ascii="Arial" w:cs="Arial" w:eastAsia="Arial" w:hAnsi="Arial"/>
            <w:sz w:val="18"/>
            <w:szCs w:val="18"/>
            <w:color w:val="auto"/>
          </w:rPr>
          <w:t xml:space="preserve">on future results. Please read "Risk Factors" beginning on page 3 of this prospectus and discussed in Item 1A. of our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ended December 31, 2017 (File No. 001-14569)</w:t>
        </w:r>
        <w:r>
          <w:rPr>
            <w:rFonts w:ascii="Arial" w:cs="Arial" w:eastAsia="Arial" w:hAnsi="Arial"/>
            <w:sz w:val="18"/>
            <w:szCs w:val="18"/>
            <w:color w:val="000000"/>
          </w:rPr>
          <w:t>, which is incorporated into this prospectus by reference. Except as required by applicable securities laws, we</w:t>
        </w:r>
      </w:hyperlink>
      <w:r>
        <w:rPr>
          <w:rFonts w:ascii="Arial" w:cs="Arial" w:eastAsia="Arial" w:hAnsi="Arial"/>
          <w:sz w:val="18"/>
          <w:szCs w:val="18"/>
          <w:color w:val="0000EE"/>
        </w:rPr>
        <w:t xml:space="preserve"> </w:t>
      </w:r>
      <w:r>
        <w:rPr>
          <w:rFonts w:ascii="Arial" w:cs="Arial" w:eastAsia="Arial" w:hAnsi="Arial"/>
          <w:sz w:val="18"/>
          <w:szCs w:val="18"/>
          <w:color w:val="000000"/>
        </w:rPr>
        <w:t>do not intend to update these forward-looking statements and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w:t>
      </w:r>
    </w:p>
    <w:p>
      <w:pPr>
        <w:spacing w:after="0" w:line="219"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60" w:firstLine="351"/>
        <w:spacing w:after="0" w:line="331" w:lineRule="auto"/>
        <w:rPr>
          <w:rFonts w:ascii="Arial" w:cs="Arial" w:eastAsia="Arial" w:hAnsi="Arial"/>
          <w:sz w:val="16"/>
          <w:szCs w:val="16"/>
          <w:color w:val="auto"/>
        </w:rPr>
      </w:pPr>
      <w:r>
        <w:rPr>
          <w:rFonts w:ascii="Arial" w:cs="Arial" w:eastAsia="Arial" w:hAnsi="Arial"/>
          <w:sz w:val="16"/>
          <w:szCs w:val="16"/>
          <w:color w:val="auto"/>
        </w:rPr>
        <w:t xml:space="preserve">For additional information about us please refer to the documents set forth under "Where You Can Find More Information" in this prospectus, including our </w:t>
      </w:r>
      <w:hyperlink r:id="rId73">
        <w:r>
          <w:rPr>
            <w:rFonts w:ascii="Arial" w:cs="Arial" w:eastAsia="Arial" w:hAnsi="Arial"/>
            <w:sz w:val="16"/>
            <w:szCs w:val="16"/>
            <w:u w:val="single" w:color="auto"/>
            <w:color w:val="0000EE"/>
          </w:rPr>
          <w:t>Annual Report on Form 10-K for the fiscal year ended December 31, 2017 (File No. 001-14569),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which is incorporated by reference herein.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An investment in our securities involves a high degree of risk. Before you invest in our securities, you should carefully consider the risk factors included in Item 1A. "Risk Factors" in our </w:t>
      </w:r>
      <w:hyperlink r:id="rId73">
        <w:r>
          <w:rPr>
            <w:rFonts w:ascii="Arial" w:cs="Arial" w:eastAsia="Arial" w:hAnsi="Arial"/>
            <w:sz w:val="16"/>
            <w:szCs w:val="16"/>
            <w:u w:val="single" w:color="auto"/>
            <w:color w:val="0000EE"/>
          </w:rPr>
          <w:t>Annual Report on Form 10-K for the year ended December 31, 2017 (File No. 001-14569)</w:t>
        </w:r>
      </w:hyperlink>
      <w:r>
        <w:rPr>
          <w:rFonts w:ascii="Arial" w:cs="Arial" w:eastAsia="Arial" w:hAnsi="Arial"/>
          <w:sz w:val="16"/>
          <w:szCs w:val="16"/>
          <w:color w:val="auto"/>
        </w:rPr>
        <w:t>,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80" w:right="18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Six Months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3"/>
              </w:rPr>
              <w:t>Year Ended December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2"/>
                <w:szCs w:val="12"/>
                <w:color w:val="auto"/>
              </w:rPr>
            </w:pPr>
          </w:p>
        </w:tc>
      </w:tr>
      <w:tr>
        <w:trPr>
          <w:trHeight w:val="20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2.76x</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2.45x</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2.25x</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2.80x</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4.30x</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4.41x</w:t>
            </w:r>
          </w:p>
        </w:tc>
      </w:tr>
      <w:tr>
        <w:trPr>
          <w:trHeight w:val="208"/>
        </w:trPr>
        <w:tc>
          <w:tcPr>
            <w:tcW w:w="4620" w:type="dxa"/>
            <w:vAlign w:val="bottom"/>
            <w:gridSpan w:val="2"/>
          </w:tcPr>
          <w:p>
            <w:pPr>
              <w:ind w:left="20"/>
              <w:spacing w:after="0"/>
              <w:rPr>
                <w:sz w:val="20"/>
                <w:szCs w:val="20"/>
                <w:color w:val="auto"/>
              </w:rPr>
            </w:pPr>
            <w:r>
              <w:rPr>
                <w:rFonts w:ascii="Arial" w:cs="Arial" w:eastAsia="Arial" w:hAnsi="Arial"/>
                <w:sz w:val="18"/>
                <w:szCs w:val="18"/>
                <w:color w:val="auto"/>
                <w:w w:val="94"/>
              </w:rPr>
              <w:t>Ratio of Earnings to Combined Fixed Charges and Preferred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Unit Distributions(1)(2)(3)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2.00x</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1.96x</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1.86x</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49"/>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40" w:hanging="549"/>
        <w:spacing w:after="0" w:line="254"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4" w:lineRule="exact"/>
        <w:rPr>
          <w:rFonts w:ascii="Arial" w:cs="Arial" w:eastAsia="Arial" w:hAnsi="Arial"/>
          <w:sz w:val="18"/>
          <w:szCs w:val="18"/>
          <w:color w:val="auto"/>
        </w:rPr>
      </w:pPr>
    </w:p>
    <w:p>
      <w:pPr>
        <w:ind w:left="1680" w:right="780" w:hanging="549"/>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0"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69" w:lineRule="exact"/>
        <w:rPr>
          <w:sz w:val="20"/>
          <w:szCs w:val="20"/>
          <w:color w:val="auto"/>
        </w:rPr>
      </w:pPr>
    </w:p>
    <w:p>
      <w:pPr>
        <w:ind w:right="540" w:firstLine="341"/>
        <w:spacing w:after="0" w:line="259" w:lineRule="auto"/>
        <w:rPr>
          <w:sz w:val="20"/>
          <w:szCs w:val="20"/>
          <w:color w:val="auto"/>
        </w:rPr>
      </w:pPr>
      <w:r>
        <w:rPr>
          <w:rFonts w:ascii="Arial" w:cs="Arial" w:eastAsia="Arial" w:hAnsi="Arial"/>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ind w:left="1080" w:right="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5580" w:right="160" w:hanging="5032"/>
        <w:spacing w:after="0" w:line="518"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580" w:firstLine="188"/>
        <w:spacing w:after="0" w:line="601" w:lineRule="auto"/>
        <w:tabs>
          <w:tab w:leader="none" w:pos="1092"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1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0"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80" w:hanging="532"/>
        <w:spacing w:after="0" w:line="33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3" w:lineRule="exact"/>
        <w:rPr>
          <w:rFonts w:ascii="Arial" w:cs="Arial" w:eastAsia="Arial" w:hAnsi="Arial"/>
          <w:sz w:val="18"/>
          <w:szCs w:val="18"/>
          <w:color w:val="auto"/>
        </w:rPr>
      </w:pPr>
    </w:p>
    <w:p>
      <w:pPr>
        <w:ind w:left="540" w:firstLine="359"/>
        <w:spacing w:after="0" w:line="290" w:lineRule="auto"/>
        <w:tabs>
          <w:tab w:leader="none" w:pos="122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1" w:lineRule="exact"/>
        <w:rPr>
          <w:rFonts w:ascii="Arial" w:cs="Arial" w:eastAsia="Arial" w:hAnsi="Arial"/>
          <w:sz w:val="16"/>
          <w:szCs w:val="16"/>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280" w:firstLine="359"/>
        <w:spacing w:after="0" w:line="268"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right="140" w:firstLine="351"/>
        <w:spacing w:after="0" w:line="285"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8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right="340"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6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6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0"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6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We will distribute to our unitholders, on a quarterly basis, all of our available cash in the manner described below.</w:t>
      </w:r>
    </w:p>
    <w:p>
      <w:pPr>
        <w:spacing w:after="0" w:line="225"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154"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41"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300" w:hanging="532"/>
        <w:spacing w:after="0" w:line="33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41"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440" w:firstLine="351"/>
        <w:spacing w:after="0" w:line="331"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30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firstLine="351"/>
        <w:spacing w:after="0" w:line="304"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spacing w:after="0" w:line="1" w:lineRule="exact"/>
        <w:rPr>
          <w:sz w:val="20"/>
          <w:szCs w:val="20"/>
          <w:color w:val="auto"/>
        </w:rPr>
      </w:pPr>
    </w:p>
    <w:p>
      <w:pPr>
        <w:ind w:right="780" w:firstLine="8"/>
        <w:spacing w:after="0" w:line="260"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0"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4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partner that the liquidator deems necessary or desirable in its good faith judgment, liquidate our assets. The proceeds of the liquidation will be applied as follows:</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320" w:hanging="532"/>
        <w:spacing w:after="0" w:line="33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1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300" w:firstLine="348"/>
        <w:spacing w:after="0" w:line="317" w:lineRule="auto"/>
        <w:rPr>
          <w:sz w:val="20"/>
          <w:szCs w:val="20"/>
          <w:color w:val="auto"/>
        </w:rPr>
      </w:pPr>
      <w:r>
        <w:rPr>
          <w:rFonts w:ascii="Arial" w:cs="Arial" w:eastAsia="Arial" w:hAnsi="Arial"/>
          <w:sz w:val="15"/>
          <w:szCs w:val="15"/>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5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Accordingly, we encourage each prospective unitholder to consult the unitholder's own tax advisor in analyzing the federal, state, local and non-U.S.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consequences particular to that unitholder resulting from ownership or disposition of our units and potential changes in applicable tax laws.</w:t>
      </w:r>
    </w:p>
    <w:p>
      <w:pPr>
        <w:spacing w:after="0" w:line="24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2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22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97" w:lineRule="exact"/>
        <w:rPr>
          <w:sz w:val="20"/>
          <w:szCs w:val="20"/>
          <w:color w:val="auto"/>
        </w:rPr>
      </w:pPr>
    </w:p>
    <w:p>
      <w:pPr>
        <w:ind w:left="540" w:firstLine="359"/>
        <w:spacing w:after="0" w:line="268" w:lineRule="auto"/>
        <w:tabs>
          <w:tab w:leader="none" w:pos="12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60" w:firstLine="359"/>
        <w:spacing w:after="0" w:line="331" w:lineRule="auto"/>
        <w:tabs>
          <w:tab w:leader="none" w:pos="1227"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40" w:lineRule="exact"/>
        <w:rPr>
          <w:rFonts w:ascii="Arial" w:cs="Arial" w:eastAsia="Arial" w:hAnsi="Arial"/>
          <w:sz w:val="16"/>
          <w:szCs w:val="16"/>
          <w:color w:val="auto"/>
        </w:rPr>
      </w:pPr>
    </w:p>
    <w:p>
      <w:pPr>
        <w:jc w:val="both"/>
        <w:ind w:left="540" w:right="20" w:firstLine="359"/>
        <w:spacing w:after="0" w:line="306" w:lineRule="auto"/>
        <w:tabs>
          <w:tab w:leader="none" w:pos="1217"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20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0"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remainder of this discussion is based on the opinion of Vinson &amp; Elkins L.L.P. that we will be treated as a partnership for federal income tax purposes.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0"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69"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 Treatment of Securities Loans."</w:t>
      </w:r>
    </w:p>
    <w:p>
      <w:pPr>
        <w:spacing w:after="0" w:line="186"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320" w:firstLine="341"/>
        <w:spacing w:after="0" w:line="285"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w:t>
      </w:r>
    </w:p>
    <w:p>
      <w:pPr>
        <w:spacing w:after="0" w:line="1" w:lineRule="exact"/>
        <w:rPr>
          <w:sz w:val="20"/>
          <w:szCs w:val="20"/>
          <w:color w:val="auto"/>
        </w:rPr>
      </w:pPr>
    </w:p>
    <w:p>
      <w:pPr>
        <w:ind w:right="100" w:firstLine="8"/>
        <w:spacing w:after="0" w:line="302" w:lineRule="auto"/>
        <w:tabs>
          <w:tab w:leader="none" w:pos="258"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69"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 (2) the unitholder's tax basis (typically zero) in the Section 751 Assets deemed to be relinquished in the exchange.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201"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3"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unitholder's basis in his or her units will generally be increased by the amount of any excess business interest upon a disposition of such units.</w:t>
      </w:r>
    </w:p>
    <w:p>
      <w:pPr>
        <w:spacing w:after="0" w:line="248"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4"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60" w:firstLine="341"/>
        <w:spacing w:after="0" w:line="254"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20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80" w:firstLine="8"/>
        <w:spacing w:after="0" w:line="260" w:lineRule="auto"/>
        <w:tabs>
          <w:tab w:leader="none" w:pos="2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0"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9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calculations involved in the Section 754 election are complex and are made on the basis of assumptions as to the value of our assets and other matters. The IRS could seek to reallocate some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Units—Recognition of Gain or Loss."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jc w:val="both"/>
        <w:ind w:right="2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6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sale or exchange of units purchased in separate transactions is urged to consult its tax advisor as to the possible consequences of this ruling and application of the Treasury Regulations.</w:t>
      </w:r>
    </w:p>
    <w:p>
      <w:pPr>
        <w:spacing w:after="0" w:line="186"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7"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 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69"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6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20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69"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6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540" w:right="440" w:hanging="4452"/>
        <w:spacing w:after="0" w:line="518" w:lineRule="auto"/>
        <w:tabs>
          <w:tab w:leader="none" w:pos="16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jc w:val="both"/>
        <w:ind w:right="2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120" w:firstLine="341"/>
        <w:spacing w:after="0" w:line="331"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 &amp; Elkins L.L.P. has not rendered an opinion on the state, local, alternative minimum tax or non-U.S. tax consequences of an investment in us.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4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73">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160020</wp:posOffset>
            </wp:positionV>
            <wp:extent cx="2237105" cy="694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23"/>
          <w:szCs w:val="23"/>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167640</wp:posOffset>
            </wp:positionV>
            <wp:extent cx="18688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PROSPECTUS SUPPLEMENT</w:t>
      </w:r>
    </w:p>
    <w:p>
      <w:pPr>
        <w:spacing w:after="0" w:line="231"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8"/>
          <w:szCs w:val="18"/>
          <w:b w:val="1"/>
          <w:bCs w:val="1"/>
          <w:color w:val="auto"/>
        </w:rPr>
        <w:t>June</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J.P. Morgan</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30"/>
          <w:szCs w:val="30"/>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361950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lvl w:ilvl="1">
      <w:lvlJc w:val="left"/>
      <w:lvlText w:val="•"/>
      <w:numFmt w:val="bullet"/>
      <w:start w:val="1"/>
    </w:lvl>
  </w:abstractNum>
  <w:abstractNum w:abstractNumId="13">
    <w:nsid w:val="7A6D8D3C"/>
    <w:multiLevelType w:val="hybridMultilevel"/>
    <w:lvl w:ilvl="0">
      <w:lvlJc w:val="left"/>
      <w:lvlText w:val="•"/>
      <w:numFmt w:val="bullet"/>
      <w:start w:val="1"/>
    </w:lvl>
    <w:lvl w:ilvl="1">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decimal"/>
      <w:start w:val="1"/>
    </w:lvl>
    <w:lvl w:ilvl="1">
      <w:lvlJc w:val="left"/>
      <w:lvlText w:val="(%2)"/>
      <w:numFmt w:val="lowerLetter"/>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6"/>
    </w:lvl>
  </w:abstractNum>
  <w:abstractNum w:abstractNumId="25">
    <w:nsid w:val="79A1DEAA"/>
    <w:multiLevelType w:val="hybridMultilevel"/>
    <w:lvl w:ilvl="0">
      <w:lvlJc w:val="left"/>
      <w:lvlText w:val="(%1)"/>
      <w:numFmt w:val="decimal"/>
      <w:start w:val="18"/>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lowerLetter"/>
      <w:start w:val="1"/>
    </w:lvl>
    <w:lvl w:ilvl="1">
      <w:lvlJc w:val="left"/>
      <w:lvlText w:val="(%2)"/>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lowerRoman"/>
      <w:start w:val="2"/>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lowerRoman"/>
      <w:start w:val="2"/>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lowerRoman"/>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lvl w:ilvl="1">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jpe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20" Type="http://schemas.openxmlformats.org/officeDocument/2006/relationships/hyperlink" Target="http://www.sec.gov/Archives/edgar/data/1070423/000107042320000004/paa-20191231.htm" TargetMode="External"/><Relationship Id="rId21" Type="http://schemas.openxmlformats.org/officeDocument/2006/relationships/hyperlink" Target="http://www.sec.gov/Archives/edgar/data/1070423/000107042320000015/paa-20200331.htm" TargetMode="External"/><Relationship Id="rId67" Type="http://schemas.openxmlformats.org/officeDocument/2006/relationships/hyperlink" Target="http://www.sec.gov/Archives/edgar/data/1070423/000110465920046527/tm202088-1_def14a.htm" TargetMode="External"/><Relationship Id="rId68" Type="http://schemas.openxmlformats.org/officeDocument/2006/relationships/hyperlink" Target="http://www.sec.gov/Archives/edgar/data/1070423/000110465920002341/tm201583-1_8k.htm" TargetMode="External"/><Relationship Id="rId69" Type="http://schemas.openxmlformats.org/officeDocument/2006/relationships/hyperlink" Target="http://www.sec.gov/Archives/edgar/data/1070423/000110465920066409/tm2020952-1_8k.htm" TargetMode="External"/><Relationship Id="rId73" Type="http://schemas.openxmlformats.org/officeDocument/2006/relationships/hyperlink" Target="http://www.sec.gov/Archives/edgar/data/1070423/000107042318000006/paa201710-k.htm" TargetMode="External"/><Relationship Id="rId74" Type="http://schemas.openxmlformats.org/officeDocument/2006/relationships/hyperlink" Target="http://www.sec.gov/Archives/edgar/data/1070423/000107042318000009/paaq1201810-q.htm" TargetMode="External"/><Relationship Id="rId75" Type="http://schemas.openxmlformats.org/officeDocument/2006/relationships/hyperlink" Target="http://www.sec.gov/Archives/edgar/data/1070423/000107042318000012/paaq2201810-q.htm" TargetMode="External"/><Relationship Id="rId76" Type="http://schemas.openxmlformats.org/officeDocument/2006/relationships/hyperlink" Target="http://www.sec.gov/Archives/edgar/data/1070423/000110465918001290/a18-2368_18k.htm" TargetMode="External"/><Relationship Id="rId77" Type="http://schemas.openxmlformats.org/officeDocument/2006/relationships/hyperlink" Target="http://www.sec.gov/Archives/edgar/data/1070423/000110465918020144/a18-8931_18k.htm" TargetMode="External"/><Relationship Id="rId78" Type="http://schemas.openxmlformats.org/officeDocument/2006/relationships/hyperlink" Target="http://www.sec.gov/Archives/edgar/data/1070423/000110465918034102/a18-13743_18k.htm" TargetMode="External"/><Relationship Id="rId79" Type="http://schemas.openxmlformats.org/officeDocument/2006/relationships/hyperlink" Target="http://www.sec.gov/Archives/edgar/data/1070423/000110465918052848/a18-18381_38k.htm" TargetMode="External"/><Relationship Id="rId80" Type="http://schemas.openxmlformats.org/officeDocument/2006/relationships/hyperlink" Target="http://www.sec.gov/Archives/edgar/data/1070423/000110465918053057/a18-21030_18k.htm" TargetMode="External"/><Relationship Id="rId81" Type="http://schemas.openxmlformats.org/officeDocument/2006/relationships/hyperlink" Target="http://www.sec.gov/Archives/edgar/data/1070423/000110465916157335/a16-21667_3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2020-06-08T07:46:47Z</dcterms:created>
  <dcterms:modified xsi:type="dcterms:W3CDTF">2020-06-08T07:46:47Z</dcterms:modified>
</cp:coreProperties>
</file>