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149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14909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McGee Richard 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1600</w:t>
      </w:r>
    </w:p>
    <w:p>
      <w:pPr>
        <w:spacing w:after="0" w:line="33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1" w:lineRule="exact"/>
        <w:rPr>
          <w:sz w:val="24"/>
          <w:szCs w:val="24"/>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HOUSTON</w:t>
      </w:r>
      <w:r>
        <w:rPr>
          <w:sz w:val="20"/>
          <w:szCs w:val="20"/>
          <w:color w:val="auto"/>
        </w:rPr>
        <w:tab/>
      </w:r>
      <w:r>
        <w:rPr>
          <w:rFonts w:ascii="Arial" w:cs="Arial" w:eastAsia="Arial" w:hAnsi="Arial"/>
          <w:sz w:val="17"/>
          <w:szCs w:val="17"/>
          <w:color w:val="0000FF"/>
        </w:rPr>
        <w:t>TX</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28"/>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3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84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EVP, General Counsel &amp; Sec.</w:t>
            </w:r>
          </w:p>
        </w:tc>
        <w:tc>
          <w:tcPr>
            <w:tcW w:w="0" w:type="dxa"/>
            <w:vAlign w:val="bottom"/>
          </w:tcPr>
          <w:p>
            <w:pPr>
              <w:spacing w:after="0"/>
              <w:rPr>
                <w:sz w:val="1"/>
                <w:szCs w:val="1"/>
                <w:color w:val="auto"/>
              </w:rPr>
            </w:pPr>
          </w:p>
        </w:tc>
      </w:tr>
      <w:tr>
        <w:trPr>
          <w:trHeight w:val="108"/>
        </w:trPr>
        <w:tc>
          <w:tcPr>
            <w:tcW w:w="3600" w:type="dxa"/>
            <w:vAlign w:val="bottom"/>
            <w:gridSpan w:val="2"/>
            <w:vMerge w:val="restart"/>
          </w:tcPr>
          <w:p>
            <w:pPr>
              <w:ind w:left="80"/>
              <w:spacing w:after="0"/>
              <w:rPr>
                <w:sz w:val="20"/>
                <w:szCs w:val="20"/>
                <w:color w:val="auto"/>
              </w:rPr>
            </w:pPr>
            <w:r>
              <w:rPr>
                <w:rFonts w:ascii="Arial" w:cs="Arial" w:eastAsia="Arial" w:hAnsi="Arial"/>
                <w:sz w:val="17"/>
                <w:szCs w:val="17"/>
                <w:color w:val="0000FF"/>
              </w:rPr>
              <w:t>08/19/2021</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0" w:type="dxa"/>
            <w:vAlign w:val="bottom"/>
            <w:tcBorders>
              <w:bottom w:val="single" w:sz="8" w:color="2C2C2C"/>
            </w:tcBorders>
          </w:tcPr>
          <w:p>
            <w:pPr>
              <w:spacing w:after="0"/>
              <w:rPr>
                <w:sz w:val="10"/>
                <w:szCs w:val="10"/>
                <w:color w:val="auto"/>
              </w:rPr>
            </w:pPr>
          </w:p>
        </w:tc>
        <w:tc>
          <w:tcPr>
            <w:tcW w:w="3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92"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08/19/2021</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120,200</w:t>
            </w:r>
          </w:p>
        </w:tc>
        <w:tc>
          <w:tcPr>
            <w:tcW w:w="22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700" w:type="dxa"/>
            <w:vAlign w:val="bottom"/>
            <w:vMerge w:val="restart"/>
          </w:tcPr>
          <w:p>
            <w:pPr>
              <w:jc w:val="right"/>
              <w:ind w:right="164"/>
              <w:spacing w:after="0"/>
              <w:rPr>
                <w:sz w:val="20"/>
                <w:szCs w:val="20"/>
                <w:color w:val="auto"/>
              </w:rPr>
            </w:pPr>
            <w:r>
              <w:rPr>
                <w:rFonts w:ascii="Arial" w:cs="Arial" w:eastAsia="Arial" w:hAnsi="Arial"/>
                <w:sz w:val="11"/>
                <w:szCs w:val="11"/>
                <w:color w:val="008000"/>
              </w:rPr>
              <w:t>(3)(4)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120,200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120,200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180"/>
        <w:spacing w:after="0" w:line="22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60,100 phantom units, will vest on the August 2024 distribution date assuming continued service through such date; (b) Tranche 2, consisting of 30,050 phantom units (assuming 100% payout at target), will potentially vest on the August 2024 distribution date at a scaled payout range of between 0% to 200% (0 units to 60,100 units) based on PAA's total shareholder return (TSR) over the three-year period ending June 30, 2024 compared to the TSR of a selected peer group; and (c) Tranche 3, consisting of 30,050 phantom units (assuming 100% payout at target), will potentially vest on the August 2024 distribution date at a scaled payout range of between 0% to 200% (0 units to 60,100 units)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32" w:lineRule="exact"/>
        <w:rPr>
          <w:rFonts w:ascii="Arial" w:cs="Arial" w:eastAsia="Arial" w:hAnsi="Arial"/>
          <w:sz w:val="13"/>
          <w:szCs w:val="13"/>
          <w:color w:val="008000"/>
        </w:rPr>
      </w:pPr>
    </w:p>
    <w:p>
      <w:pPr>
        <w:ind w:left="40" w:right="16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2022 distribution date; beginning in November 2022, DERs associated with Tranche 1 will be paid quarterly until the phantom units vest. DERs associated with Tranches 2 and 3 will accrue during the three-year vesting period and be paid in cash in a lump sum on the August 2024 distribution date with respect to each phantom unit that vests on such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Richard K. McGee</w:t>
            </w:r>
          </w:p>
        </w:tc>
        <w:tc>
          <w:tcPr>
            <w:tcW w:w="7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08/23/2021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002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2021-08-23T16:16:26Z</dcterms:created>
  <dcterms:modified xsi:type="dcterms:W3CDTF">2021-08-23T16:16:26Z</dcterms:modified>
</cp:coreProperties>
</file>