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-597535</wp:posOffset>
            </wp:positionV>
            <wp:extent cx="8255" cy="5981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-605790</wp:posOffset>
            </wp:positionV>
            <wp:extent cx="825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-581660</wp:posOffset>
            </wp:positionV>
            <wp:extent cx="1269365" cy="558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58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26670</wp:posOffset>
            </wp:positionV>
            <wp:extent cx="6969760" cy="1722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2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Chandler Chris R.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4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840" w:type="dxa"/>
            <w:vAlign w:val="bottom"/>
          </w:tcPr>
          <w:p>
            <w:pPr>
              <w:ind w:left="80"/>
              <w:spacing w:after="0" w:line="200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PLAINS ALL AMERICAN PIPELINE LP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7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EVP &amp; COO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-2436495</wp:posOffset>
            </wp:positionH>
            <wp:positionV relativeFrom="paragraph">
              <wp:posOffset>204470</wp:posOffset>
            </wp:positionV>
            <wp:extent cx="6969760" cy="8648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6656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665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150,380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150,380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150,380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Phantom Units under Long-Term Incentive Plan (includes distribution equivalent rights payable in cash).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/>
        <w:spacing w:after="0" w:line="230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phantom units will vest as follows: (a) Tranche 1, consisting of 75,190 phantom units, will vest on the August 2023 distribution date assuming continued service through such date; (b) Tranche 2, consisting of 37,595 phantom units (assuming 100% payout at target), will potentially vest on the August 2023 distribution date at a scaled payout range of between 0% to 200% (0 units to 75,190 units) based on PAA's total shareholder return (TSR) over the three-year period ending June 30, 2023 compared to the TSR of a selected peer group; and (c) Tranche 3, consisting of 37,595 phantom units (assuming 100% payout at target), will potentially vest on the August 2023 distribution date at a scaled payout range of between 0% to 200% (0 units to 75,190 units) based on (i) PAA achieving cumulative distributable cash flow per common unit equivalent of $6.00 over the three-year period ending June 30, 2023 and (ii) PAA achieving a leverage ratio as of June 30, 2023 consistent with the leverage ratio assumed in its long term plan as of August 2020.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/>
        <w:spacing w:after="0" w:line="23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DERs associated with Tranche 1 will accrue for the first year and be paid in cash in a lump sum on the August 2021 distribution date; beginning in November 2021, DERs associated with Tranche 1 will be paid quarterly until the phantom units vest. DERs associated with Tranches 2 and 3 will accrue during the three-year vesting period and be paid in cash in a lump sum on the August 2023 distribution date with respect to each phantom unit that vests on such date.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Ann F. Gullion,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Chris R. Chandler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69245" TargetMode="External"/><Relationship Id="rId14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2020-08-17T19:10:15Z</dcterms:created>
  <dcterms:modified xsi:type="dcterms:W3CDTF">2020-08-17T19:10:15Z</dcterms:modified>
</cp:coreProperties>
</file>