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424(b)(2)</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333-184137</w:t>
      </w:r>
    </w:p>
    <w:p>
      <w:pPr>
        <w:spacing w:after="0" w:line="145"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b w:val="1"/>
          <w:bCs w:val="1"/>
          <w:color w:val="CC062A"/>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19"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CC062A"/>
        </w:rPr>
        <w:t>SUBJECT TO COMPLETION, DATED AUGUST 17, 2015</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2783840</wp:posOffset>
            </wp:positionH>
            <wp:positionV relativeFrom="paragraph">
              <wp:posOffset>238760</wp:posOffset>
            </wp:positionV>
            <wp:extent cx="169799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216" w:lineRule="exact"/>
        <w:rPr>
          <w:sz w:val="24"/>
          <w:szCs w:val="24"/>
          <w:color w:val="auto"/>
        </w:rPr>
      </w:pPr>
    </w:p>
    <w:p>
      <w:pPr>
        <w:ind w:left="4980" w:hanging="1147"/>
        <w:spacing w:after="0"/>
        <w:tabs>
          <w:tab w:leader="none" w:pos="4980" w:val="left"/>
        </w:tabs>
        <w:numPr>
          <w:ilvl w:val="0"/>
          <w:numId w:val="1"/>
        </w:numPr>
        <w:rPr>
          <w:rFonts w:ascii="Arial" w:cs="Arial" w:eastAsia="Arial" w:hAnsi="Arial"/>
          <w:sz w:val="24"/>
          <w:szCs w:val="24"/>
          <w:b w:val="1"/>
          <w:bCs w:val="1"/>
          <w:color w:val="auto"/>
        </w:rPr>
      </w:pPr>
      <w:r>
        <w:rPr>
          <w:rFonts w:ascii="Arial" w:cs="Arial" w:eastAsia="Arial" w:hAnsi="Arial"/>
          <w:sz w:val="24"/>
          <w:szCs w:val="24"/>
          <w:b w:val="1"/>
          <w:bCs w:val="1"/>
          <w:color w:val="auto"/>
        </w:rPr>
        <w:t>% Senior Notes due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460"/>
        <w:spacing w:after="0"/>
        <w:tabs>
          <w:tab w:leader="none" w:pos="6140" w:val="left"/>
          <w:tab w:leader="none" w:pos="9020" w:val="left"/>
        </w:tabs>
        <w:rPr>
          <w:sz w:val="20"/>
          <w:szCs w:val="20"/>
          <w:color w:val="auto"/>
        </w:rPr>
      </w:pPr>
      <w:r>
        <w:rPr>
          <w:rFonts w:ascii="Arial" w:cs="Arial" w:eastAsia="Arial" w:hAnsi="Arial"/>
          <w:sz w:val="18"/>
          <w:szCs w:val="18"/>
          <w:color w:val="auto"/>
        </w:rPr>
        <w:t>Plains All American Pipeline, L.P. and PAA Finance Corp. are offering $</w:t>
      </w:r>
      <w:r>
        <w:rPr>
          <w:sz w:val="20"/>
          <w:szCs w:val="20"/>
          <w:color w:val="auto"/>
        </w:rPr>
        <w:tab/>
      </w:r>
      <w:r>
        <w:rPr>
          <w:rFonts w:ascii="Arial" w:cs="Arial" w:eastAsia="Arial" w:hAnsi="Arial"/>
          <w:sz w:val="18"/>
          <w:szCs w:val="18"/>
          <w:color w:val="auto"/>
        </w:rPr>
        <w:t>million aggregate principal amount of</w:t>
      </w:r>
      <w:r>
        <w:rPr>
          <w:sz w:val="20"/>
          <w:szCs w:val="20"/>
          <w:color w:val="auto"/>
        </w:rPr>
        <w:tab/>
      </w:r>
      <w:r>
        <w:rPr>
          <w:rFonts w:ascii="Arial" w:cs="Arial" w:eastAsia="Arial" w:hAnsi="Arial"/>
          <w:sz w:val="15"/>
          <w:szCs w:val="15"/>
          <w:color w:val="auto"/>
        </w:rPr>
        <w:t>% Senior Notes due 2025 (the</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“Notes”).</w:t>
      </w:r>
    </w:p>
    <w:p>
      <w:pPr>
        <w:spacing w:after="0" w:line="165" w:lineRule="exact"/>
        <w:rPr>
          <w:sz w:val="24"/>
          <w:szCs w:val="24"/>
          <w:color w:val="auto"/>
        </w:rPr>
      </w:pPr>
    </w:p>
    <w:p>
      <w:pPr>
        <w:ind w:left="460"/>
        <w:spacing w:after="0"/>
        <w:tabs>
          <w:tab w:leader="none" w:pos="5320" w:val="left"/>
          <w:tab w:leader="none" w:pos="6140" w:val="left"/>
          <w:tab w:leader="none" w:pos="8920" w:val="left"/>
        </w:tabs>
        <w:rPr>
          <w:sz w:val="20"/>
          <w:szCs w:val="20"/>
          <w:color w:val="auto"/>
        </w:rPr>
      </w:pPr>
      <w:r>
        <w:rPr>
          <w:rFonts w:ascii="Arial" w:cs="Arial" w:eastAsia="Arial" w:hAnsi="Arial"/>
          <w:sz w:val="18"/>
          <w:szCs w:val="18"/>
          <w:color w:val="auto"/>
        </w:rPr>
        <w:t>We will pay interest on the Notes semi-annually in arrears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 each year, beginning on</w:t>
      </w:r>
      <w:r>
        <w:rPr>
          <w:sz w:val="20"/>
          <w:szCs w:val="20"/>
          <w:color w:val="auto"/>
        </w:rPr>
        <w:tab/>
      </w:r>
      <w:r>
        <w:rPr>
          <w:rFonts w:ascii="Arial" w:cs="Arial" w:eastAsia="Arial" w:hAnsi="Arial"/>
          <w:sz w:val="16"/>
          <w:szCs w:val="16"/>
          <w:color w:val="auto"/>
        </w:rPr>
        <w:t>, 2016. The Notes will mature on</w:t>
      </w:r>
    </w:p>
    <w:p>
      <w:pPr>
        <w:spacing w:after="0" w:line="15" w:lineRule="exact"/>
        <w:rPr>
          <w:sz w:val="24"/>
          <w:szCs w:val="24"/>
          <w:color w:val="auto"/>
        </w:rPr>
      </w:pPr>
    </w:p>
    <w:p>
      <w:pPr>
        <w:ind w:left="880"/>
        <w:spacing w:after="0"/>
        <w:rPr>
          <w:sz w:val="20"/>
          <w:szCs w:val="20"/>
          <w:color w:val="auto"/>
        </w:rPr>
      </w:pPr>
      <w:r>
        <w:rPr>
          <w:rFonts w:ascii="Arial" w:cs="Arial" w:eastAsia="Arial" w:hAnsi="Arial"/>
          <w:sz w:val="18"/>
          <w:szCs w:val="18"/>
          <w:color w:val="auto"/>
        </w:rPr>
        <w:t>, 2025, unless redeemed prior to the maturity date.</w:t>
      </w:r>
    </w:p>
    <w:p>
      <w:pPr>
        <w:spacing w:after="0" w:line="165" w:lineRule="exact"/>
        <w:rPr>
          <w:sz w:val="24"/>
          <w:szCs w:val="24"/>
          <w:color w:val="auto"/>
        </w:rPr>
      </w:pPr>
    </w:p>
    <w:p>
      <w:pPr>
        <w:ind w:right="240" w:firstLine="456"/>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32"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32" w:lineRule="exact"/>
        <w:rPr>
          <w:sz w:val="24"/>
          <w:szCs w:val="24"/>
          <w:color w:val="auto"/>
        </w:rPr>
      </w:pPr>
    </w:p>
    <w:p>
      <w:pPr>
        <w:ind w:right="320" w:firstLine="456"/>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48" w:lineRule="exact"/>
        <w:rPr>
          <w:sz w:val="24"/>
          <w:szCs w:val="24"/>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See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S-5 of this prospectus supplement.</w:t>
      </w:r>
    </w:p>
    <w:p>
      <w:pPr>
        <w:spacing w:after="0" w:line="177" w:lineRule="exact"/>
        <w:rPr>
          <w:sz w:val="24"/>
          <w:szCs w:val="24"/>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4"/>
                <w:szCs w:val="14"/>
                <w:b w:val="1"/>
                <w:bCs w:val="1"/>
                <w:color w:val="auto"/>
                <w:w w:val="87"/>
              </w:rPr>
              <w:t>Public Offering</w:t>
            </w:r>
          </w:p>
        </w:tc>
        <w:tc>
          <w:tcPr>
            <w:tcW w:w="88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b w:val="1"/>
                <w:bCs w:val="1"/>
                <w:color w:val="auto"/>
              </w:rPr>
              <w:t>Underwriting</w:t>
            </w:r>
          </w:p>
        </w:tc>
        <w:tc>
          <w:tcPr>
            <w:tcW w:w="360" w:type="dxa"/>
            <w:vAlign w:val="bottom"/>
          </w:tcPr>
          <w:p>
            <w:pPr>
              <w:spacing w:after="0"/>
              <w:rPr>
                <w:sz w:val="14"/>
                <w:szCs w:val="14"/>
                <w:color w:val="auto"/>
              </w:rPr>
            </w:pPr>
          </w:p>
        </w:tc>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Proceeds, Before</w:t>
            </w:r>
          </w:p>
        </w:tc>
      </w:tr>
      <w:tr>
        <w:trPr>
          <w:trHeight w:val="161"/>
        </w:trPr>
        <w:tc>
          <w:tcPr>
            <w:tcW w:w="1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Price(1)</w:t>
            </w:r>
          </w:p>
        </w:tc>
        <w:tc>
          <w:tcPr>
            <w:tcW w:w="8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Discount</w:t>
            </w:r>
          </w:p>
        </w:tc>
        <w:tc>
          <w:tcPr>
            <w:tcW w:w="36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Expenses, to Us</w:t>
            </w:r>
          </w:p>
        </w:tc>
      </w:tr>
      <w:tr>
        <w:trPr>
          <w:trHeight w:val="210"/>
        </w:trPr>
        <w:tc>
          <w:tcPr>
            <w:tcW w:w="3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3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jc w:val="right"/>
              <w:ind w:right="632"/>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87"/>
              </w:rPr>
              <w:t>%</w:t>
            </w:r>
          </w:p>
        </w:tc>
        <w:tc>
          <w:tcPr>
            <w:tcW w:w="3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22"/>
        </w:trPr>
        <w:tc>
          <w:tcPr>
            <w:tcW w:w="34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422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4220" w:type="dxa"/>
            <w:vAlign w:val="bottom"/>
            <w:gridSpan w:val="2"/>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35"/>
        </w:trPr>
        <w:tc>
          <w:tcPr>
            <w:tcW w:w="3480" w:type="dxa"/>
            <w:vAlign w:val="bottom"/>
            <w:gridSpan w:val="2"/>
          </w:tcPr>
          <w:p>
            <w:pPr>
              <w:spacing w:after="0"/>
              <w:rPr>
                <w:sz w:val="20"/>
                <w:szCs w:val="20"/>
                <w:color w:val="auto"/>
              </w:rPr>
            </w:pPr>
            <w:r>
              <w:rPr>
                <w:rFonts w:ascii="Arial" w:cs="Arial" w:eastAsia="Arial" w:hAnsi="Arial"/>
                <w:sz w:val="18"/>
                <w:szCs w:val="18"/>
                <w:color w:val="auto"/>
                <w:w w:val="94"/>
              </w:rPr>
              <w:t>(1)   Plus accrued interest, if any, from August</w:t>
            </w:r>
          </w:p>
        </w:tc>
        <w:tc>
          <w:tcPr>
            <w:tcW w:w="4220" w:type="dxa"/>
            <w:vAlign w:val="bottom"/>
            <w:gridSpan w:val="2"/>
          </w:tcPr>
          <w:p>
            <w:pPr>
              <w:ind w:left="100"/>
              <w:spacing w:after="0"/>
              <w:rPr>
                <w:sz w:val="20"/>
                <w:szCs w:val="20"/>
                <w:color w:val="auto"/>
              </w:rPr>
            </w:pPr>
            <w:r>
              <w:rPr>
                <w:rFonts w:ascii="Arial" w:cs="Arial" w:eastAsia="Arial" w:hAnsi="Arial"/>
                <w:sz w:val="18"/>
                <w:szCs w:val="18"/>
                <w:color w:val="auto"/>
              </w:rPr>
              <w:t>, 2015 if settlement occurs after that date.</w:t>
            </w:r>
          </w:p>
        </w:tc>
        <w:tc>
          <w:tcPr>
            <w:tcW w:w="8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77" w:lineRule="exact"/>
        <w:rPr>
          <w:sz w:val="24"/>
          <w:szCs w:val="24"/>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The underwriters expect to deliver the Notes in book-entry form only through facilities of The Depository Trust Company for the account of its participants, including Clearstream Banking, société anonyme, and Euroclear Bank S.A./N.V., as operator of the Euroclear System, against payment in New York,</w:t>
      </w:r>
    </w:p>
    <w:tbl>
      <w:tblPr>
        <w:tblLayout w:type="fixed"/>
        <w:tblInd w:w="0" w:type="dxa"/>
        <w:tblCellMar>
          <w:top w:w="0" w:type="dxa"/>
          <w:left w:w="0" w:type="dxa"/>
          <w:bottom w:w="0" w:type="dxa"/>
          <w:right w:w="0" w:type="dxa"/>
        </w:tblCellMar>
      </w:tblPr>
      <w:tr>
        <w:trPr>
          <w:trHeight w:val="222"/>
        </w:trPr>
        <w:tc>
          <w:tcPr>
            <w:tcW w:w="2240" w:type="dxa"/>
            <w:vAlign w:val="bottom"/>
          </w:tcPr>
          <w:p>
            <w:pPr>
              <w:spacing w:after="0"/>
              <w:rPr>
                <w:sz w:val="20"/>
                <w:szCs w:val="20"/>
                <w:color w:val="auto"/>
              </w:rPr>
            </w:pPr>
            <w:r>
              <w:rPr>
                <w:rFonts w:ascii="Arial" w:cs="Arial" w:eastAsia="Arial" w:hAnsi="Arial"/>
                <w:sz w:val="18"/>
                <w:szCs w:val="18"/>
                <w:color w:val="auto"/>
                <w:w w:val="94"/>
              </w:rPr>
              <w:t>New York on or about August</w:t>
            </w:r>
          </w:p>
        </w:tc>
        <w:tc>
          <w:tcPr>
            <w:tcW w:w="1120" w:type="dxa"/>
            <w:vAlign w:val="bottom"/>
          </w:tcPr>
          <w:p>
            <w:pPr>
              <w:ind w:left="100"/>
              <w:spacing w:after="0"/>
              <w:rPr>
                <w:sz w:val="20"/>
                <w:szCs w:val="20"/>
                <w:color w:val="auto"/>
              </w:rPr>
            </w:pPr>
            <w:r>
              <w:rPr>
                <w:rFonts w:ascii="Arial" w:cs="Arial" w:eastAsia="Arial" w:hAnsi="Arial"/>
                <w:sz w:val="18"/>
                <w:szCs w:val="18"/>
                <w:color w:val="auto"/>
              </w:rPr>
              <w:t>, 2015, the</w:t>
            </w:r>
          </w:p>
        </w:tc>
        <w:tc>
          <w:tcPr>
            <w:tcW w:w="4500" w:type="dxa"/>
            <w:vAlign w:val="bottom"/>
            <w:gridSpan w:val="2"/>
          </w:tcPr>
          <w:p>
            <w:pPr>
              <w:ind w:left="300"/>
              <w:spacing w:after="0"/>
              <w:rPr>
                <w:sz w:val="20"/>
                <w:szCs w:val="20"/>
                <w:color w:val="auto"/>
              </w:rPr>
            </w:pPr>
            <w:r>
              <w:rPr>
                <w:rFonts w:ascii="Arial" w:cs="Arial" w:eastAsia="Arial" w:hAnsi="Arial"/>
                <w:sz w:val="18"/>
                <w:szCs w:val="18"/>
                <w:color w:val="auto"/>
                <w:w w:val="93"/>
              </w:rPr>
              <w:t>trading day after the date of this prospectus supplement.</w:t>
            </w:r>
          </w:p>
        </w:tc>
        <w:tc>
          <w:tcPr>
            <w:tcW w:w="3560" w:type="dxa"/>
            <w:vAlign w:val="bottom"/>
          </w:tcPr>
          <w:p>
            <w:pPr>
              <w:spacing w:after="0"/>
              <w:rPr>
                <w:sz w:val="19"/>
                <w:szCs w:val="19"/>
                <w:color w:val="auto"/>
              </w:rPr>
            </w:pPr>
          </w:p>
        </w:tc>
      </w:tr>
      <w:tr>
        <w:trPr>
          <w:trHeight w:val="198"/>
        </w:trPr>
        <w:tc>
          <w:tcPr>
            <w:tcW w:w="2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gridSpan w:val="2"/>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r>
      <w:tr>
        <w:trPr>
          <w:trHeight w:val="370"/>
        </w:trPr>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00" w:type="dxa"/>
            <w:vAlign w:val="bottom"/>
            <w:gridSpan w:val="2"/>
          </w:tcPr>
          <w:p>
            <w:pPr>
              <w:ind w:left="1280"/>
              <w:spacing w:after="0"/>
              <w:rPr>
                <w:sz w:val="20"/>
                <w:szCs w:val="20"/>
                <w:color w:val="auto"/>
              </w:rPr>
            </w:pPr>
            <w:r>
              <w:rPr>
                <w:rFonts w:ascii="Arial" w:cs="Arial" w:eastAsia="Arial" w:hAnsi="Arial"/>
                <w:sz w:val="18"/>
                <w:szCs w:val="18"/>
                <w:i w:val="1"/>
                <w:iCs w:val="1"/>
                <w:color w:val="auto"/>
              </w:rPr>
              <w:t>Joint Book-Running Managers</w:t>
            </w:r>
          </w:p>
        </w:tc>
        <w:tc>
          <w:tcPr>
            <w:tcW w:w="3560" w:type="dxa"/>
            <w:vAlign w:val="bottom"/>
          </w:tcPr>
          <w:p>
            <w:pPr>
              <w:spacing w:after="0"/>
              <w:rPr>
                <w:sz w:val="24"/>
                <w:szCs w:val="24"/>
                <w:color w:val="auto"/>
              </w:rPr>
            </w:pPr>
          </w:p>
        </w:tc>
      </w:tr>
      <w:tr>
        <w:trPr>
          <w:trHeight w:val="584"/>
        </w:trPr>
        <w:tc>
          <w:tcPr>
            <w:tcW w:w="2240" w:type="dxa"/>
            <w:vAlign w:val="bottom"/>
          </w:tcPr>
          <w:p>
            <w:pPr>
              <w:spacing w:after="0"/>
              <w:rPr>
                <w:sz w:val="20"/>
                <w:szCs w:val="20"/>
                <w:color w:val="auto"/>
              </w:rPr>
            </w:pPr>
            <w:r>
              <w:rPr>
                <w:rFonts w:ascii="Arial" w:cs="Arial" w:eastAsia="Arial" w:hAnsi="Arial"/>
                <w:sz w:val="32"/>
                <w:szCs w:val="32"/>
                <w:b w:val="1"/>
                <w:bCs w:val="1"/>
                <w:color w:val="auto"/>
              </w:rPr>
              <w:t>Citigroup</w:t>
            </w:r>
          </w:p>
        </w:tc>
        <w:tc>
          <w:tcPr>
            <w:tcW w:w="3420" w:type="dxa"/>
            <w:vAlign w:val="bottom"/>
            <w:gridSpan w:val="2"/>
          </w:tcPr>
          <w:p>
            <w:pPr>
              <w:ind w:left="580"/>
              <w:spacing w:after="0"/>
              <w:rPr>
                <w:sz w:val="20"/>
                <w:szCs w:val="20"/>
                <w:color w:val="auto"/>
              </w:rPr>
            </w:pPr>
            <w:r>
              <w:rPr>
                <w:rFonts w:ascii="Arial" w:cs="Arial" w:eastAsia="Arial" w:hAnsi="Arial"/>
                <w:sz w:val="32"/>
                <w:szCs w:val="32"/>
                <w:b w:val="1"/>
                <w:bCs w:val="1"/>
                <w:color w:val="auto"/>
              </w:rPr>
              <w:t>Mizuho Securities</w:t>
            </w:r>
          </w:p>
        </w:tc>
        <w:tc>
          <w:tcPr>
            <w:tcW w:w="2200" w:type="dxa"/>
            <w:vAlign w:val="bottom"/>
          </w:tcPr>
          <w:p>
            <w:pPr>
              <w:ind w:left="360"/>
              <w:spacing w:after="0"/>
              <w:rPr>
                <w:sz w:val="20"/>
                <w:szCs w:val="20"/>
                <w:color w:val="auto"/>
              </w:rPr>
            </w:pPr>
            <w:r>
              <w:rPr>
                <w:rFonts w:ascii="Arial" w:cs="Arial" w:eastAsia="Arial" w:hAnsi="Arial"/>
                <w:sz w:val="32"/>
                <w:szCs w:val="32"/>
                <w:b w:val="1"/>
                <w:bCs w:val="1"/>
                <w:color w:val="auto"/>
              </w:rPr>
              <w:t>MUFG</w:t>
            </w:r>
          </w:p>
        </w:tc>
        <w:tc>
          <w:tcPr>
            <w:tcW w:w="3560" w:type="dxa"/>
            <w:vAlign w:val="bottom"/>
          </w:tcPr>
          <w:p>
            <w:pPr>
              <w:ind w:left="300"/>
              <w:spacing w:after="0"/>
              <w:rPr>
                <w:sz w:val="20"/>
                <w:szCs w:val="20"/>
                <w:color w:val="auto"/>
              </w:rPr>
            </w:pPr>
            <w:r>
              <w:rPr>
                <w:rFonts w:ascii="Arial" w:cs="Arial" w:eastAsia="Arial" w:hAnsi="Arial"/>
                <w:sz w:val="32"/>
                <w:szCs w:val="32"/>
                <w:b w:val="1"/>
                <w:bCs w:val="1"/>
                <w:color w:val="auto"/>
                <w:w w:val="97"/>
              </w:rPr>
              <w:t>UBS Investment Bank</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55"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color w:val="auto"/>
        </w:rPr>
        <w:t>The date of this prospectus supplement is August</w:t>
      </w:r>
      <w:r>
        <w:rPr>
          <w:sz w:val="20"/>
          <w:szCs w:val="20"/>
          <w:color w:val="auto"/>
        </w:rPr>
        <w:tab/>
      </w:r>
      <w:r>
        <w:rPr>
          <w:rFonts w:ascii="Arial" w:cs="Arial" w:eastAsia="Arial" w:hAnsi="Arial"/>
          <w:sz w:val="15"/>
          <w:szCs w:val="15"/>
          <w:color w:val="auto"/>
        </w:rPr>
        <w:t>, 2015.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60" w:type="dxa"/>
            <w:vAlign w:val="bottom"/>
            <w:gridSpan w:val="2"/>
          </w:tcPr>
          <w:p>
            <w:pPr>
              <w:ind w:left="1320"/>
              <w:spacing w:after="0"/>
              <w:rPr>
                <w:sz w:val="20"/>
                <w:szCs w:val="20"/>
                <w:color w:val="auto"/>
              </w:rPr>
            </w:pPr>
            <w:r>
              <w:rPr>
                <w:rFonts w:ascii="Arial" w:cs="Arial" w:eastAsia="Arial" w:hAnsi="Arial"/>
                <w:sz w:val="18"/>
                <w:szCs w:val="18"/>
                <w:b w:val="1"/>
                <w:bCs w:val="1"/>
                <w:color w:val="auto"/>
              </w:rPr>
              <w:t>TABLE OF CONTENTS</w:t>
            </w:r>
          </w:p>
        </w:tc>
        <w:tc>
          <w:tcPr>
            <w:tcW w:w="2000" w:type="dxa"/>
            <w:vAlign w:val="bottom"/>
          </w:tcPr>
          <w:p>
            <w:pPr>
              <w:spacing w:after="0"/>
              <w:rPr>
                <w:sz w:val="19"/>
                <w:szCs w:val="19"/>
                <w:color w:val="auto"/>
              </w:rPr>
            </w:pPr>
          </w:p>
        </w:tc>
      </w:tr>
      <w:tr>
        <w:trPr>
          <w:trHeight w:val="378"/>
        </w:trPr>
        <w:tc>
          <w:tcPr>
            <w:tcW w:w="9320" w:type="dxa"/>
            <w:vAlign w:val="bottom"/>
            <w:gridSpan w:val="24"/>
          </w:tcPr>
          <w:p>
            <w:pPr>
              <w:spacing w:after="0"/>
              <w:rPr>
                <w:sz w:val="20"/>
                <w:szCs w:val="20"/>
                <w:color w:val="auto"/>
              </w:rPr>
            </w:pPr>
            <w:r>
              <w:rPr>
                <w:rFonts w:ascii="Arial" w:cs="Arial" w:eastAsia="Arial" w:hAnsi="Arial"/>
                <w:sz w:val="18"/>
                <w:szCs w:val="18"/>
                <w:b w:val="1"/>
                <w:bCs w:val="1"/>
                <w:color w:val="auto"/>
              </w:rPr>
              <w:t>Prospectus Supplement</w:t>
            </w:r>
          </w:p>
        </w:tc>
        <w:tc>
          <w:tcPr>
            <w:tcW w:w="2000" w:type="dxa"/>
            <w:vAlign w:val="bottom"/>
          </w:tcPr>
          <w:p>
            <w:pPr>
              <w:spacing w:after="0"/>
              <w:rPr>
                <w:sz w:val="24"/>
                <w:szCs w:val="24"/>
                <w:color w:val="auto"/>
              </w:rPr>
            </w:pPr>
          </w:p>
        </w:tc>
      </w:tr>
      <w:tr>
        <w:trPr>
          <w:trHeight w:val="380"/>
        </w:trPr>
        <w:tc>
          <w:tcPr>
            <w:tcW w:w="932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Important Notice About Information in This Prospectus Supplement and the Accompanying Base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S-ii</w:t>
            </w:r>
          </w:p>
        </w:tc>
      </w:tr>
      <w:tr>
        <w:trPr>
          <w:trHeight w:val="196"/>
        </w:trPr>
        <w:tc>
          <w:tcPr>
            <w:tcW w:w="2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Forward-Looking Statements</w:t>
              </w:r>
            </w:hyperlink>
          </w:p>
        </w:tc>
        <w:tc>
          <w:tcPr>
            <w:tcW w:w="5560" w:type="dxa"/>
            <w:vAlign w:val="bottom"/>
            <w:tcBorders>
              <w:top w:val="single" w:sz="8" w:color="0000EE"/>
            </w:tcBorders>
            <w:gridSpan w:val="9"/>
          </w:tcPr>
          <w:p>
            <w:pPr>
              <w:spacing w:after="0"/>
              <w:rPr>
                <w:sz w:val="17"/>
                <w:szCs w:val="17"/>
                <w:color w:val="auto"/>
              </w:rPr>
            </w:pPr>
          </w:p>
        </w:tc>
        <w:tc>
          <w:tcPr>
            <w:tcW w:w="16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S-ii</w:t>
            </w: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6940" w:type="dxa"/>
            <w:vAlign w:val="bottom"/>
            <w:gridSpan w:val="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8420" w:type="dxa"/>
            <w:vAlign w:val="bottom"/>
            <w:gridSpan w:val="2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Ratio of Earnings To Fixed Charges</w:t>
              </w:r>
            </w:hyperlink>
          </w:p>
        </w:tc>
        <w:tc>
          <w:tcPr>
            <w:tcW w:w="678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Capitalization</w:t>
              </w:r>
            </w:hyperlink>
          </w:p>
        </w:tc>
        <w:tc>
          <w:tcPr>
            <w:tcW w:w="8320" w:type="dxa"/>
            <w:vAlign w:val="bottom"/>
            <w:gridSpan w:val="18"/>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Description of Notes</w:t>
              </w:r>
            </w:hyperlink>
          </w:p>
        </w:tc>
        <w:tc>
          <w:tcPr>
            <w:tcW w:w="7840" w:type="dxa"/>
            <w:vAlign w:val="bottom"/>
            <w:gridSpan w:val="1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196"/>
        </w:trPr>
        <w:tc>
          <w:tcPr>
            <w:tcW w:w="224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Book Entry, Delivery and Form</w:t>
              </w:r>
            </w:hyperlink>
          </w:p>
        </w:tc>
        <w:tc>
          <w:tcPr>
            <w:tcW w:w="7080" w:type="dxa"/>
            <w:vAlign w:val="bottom"/>
            <w:gridSpan w:val="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S-23</w:t>
            </w: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31">
              <w:r>
                <w:rPr>
                  <w:rFonts w:ascii="Arial" w:cs="Arial" w:eastAsia="Arial" w:hAnsi="Arial"/>
                  <w:sz w:val="18"/>
                  <w:szCs w:val="18"/>
                  <w:color w:val="0000EE"/>
                  <w:w w:val="8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S-26</w:t>
            </w: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Underwriting</w:t>
              </w:r>
            </w:hyperlink>
          </w:p>
        </w:tc>
        <w:tc>
          <w:tcPr>
            <w:tcW w:w="8360" w:type="dxa"/>
            <w:vAlign w:val="bottom"/>
            <w:gridSpan w:val="2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S-31</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Matters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S-34</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S-34</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S-34</w:t>
            </w:r>
          </w:p>
        </w:tc>
      </w:tr>
      <w:tr>
        <w:trPr>
          <w:trHeight w:val="559"/>
        </w:trPr>
        <w:tc>
          <w:tcPr>
            <w:tcW w:w="2800" w:type="dxa"/>
            <w:vAlign w:val="bottom"/>
            <w:tcBorders>
              <w:top w:val="single" w:sz="8" w:color="0000EE"/>
            </w:tcBorders>
            <w:gridSpan w:val="20"/>
          </w:tcPr>
          <w:p>
            <w:pPr>
              <w:spacing w:after="0"/>
              <w:rPr>
                <w:sz w:val="20"/>
                <w:szCs w:val="20"/>
                <w:color w:val="auto"/>
              </w:rPr>
            </w:pPr>
            <w:r>
              <w:rPr>
                <w:rFonts w:ascii="Arial" w:cs="Arial" w:eastAsia="Arial" w:hAnsi="Arial"/>
                <w:sz w:val="18"/>
                <w:szCs w:val="18"/>
                <w:b w:val="1"/>
                <w:bCs w:val="1"/>
                <w:color w:val="auto"/>
              </w:rPr>
              <w:t>Prospectus</w:t>
            </w:r>
          </w:p>
        </w:tc>
        <w:tc>
          <w:tcPr>
            <w:tcW w:w="6520" w:type="dxa"/>
            <w:vAlign w:val="bottom"/>
            <w:gridSpan w:val="4"/>
          </w:tcPr>
          <w:p>
            <w:pPr>
              <w:spacing w:after="0"/>
              <w:rPr>
                <w:sz w:val="24"/>
                <w:szCs w:val="24"/>
                <w:color w:val="auto"/>
              </w:rPr>
            </w:pPr>
          </w:p>
        </w:tc>
        <w:tc>
          <w:tcPr>
            <w:tcW w:w="2000" w:type="dxa"/>
            <w:vAlign w:val="bottom"/>
          </w:tcPr>
          <w:p>
            <w:pPr>
              <w:spacing w:after="0"/>
              <w:rPr>
                <w:sz w:val="24"/>
                <w:szCs w:val="24"/>
                <w:color w:val="auto"/>
              </w:rPr>
            </w:pPr>
          </w:p>
        </w:tc>
      </w:tr>
      <w:tr>
        <w:trPr>
          <w:trHeight w:val="394"/>
        </w:trPr>
        <w:tc>
          <w:tcPr>
            <w:tcW w:w="9320" w:type="dxa"/>
            <w:vAlign w:val="bottom"/>
            <w:gridSpan w:val="2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7"/>
          </w:tcPr>
          <w:p>
            <w:pPr>
              <w:spacing w:after="0"/>
              <w:rPr>
                <w:sz w:val="17"/>
                <w:szCs w:val="17"/>
                <w:color w:val="auto"/>
              </w:rPr>
            </w:pPr>
          </w:p>
        </w:tc>
        <w:tc>
          <w:tcPr>
            <w:tcW w:w="6520" w:type="dxa"/>
            <w:vAlign w:val="bottom"/>
            <w:gridSpan w:val="4"/>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Who We Are</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8400" w:type="dxa"/>
            <w:vAlign w:val="bottom"/>
            <w:gridSpan w:val="21"/>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Use Of Proceeds</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180" w:type="dxa"/>
            <w:vAlign w:val="bottom"/>
            <w:gridSpan w:val="8"/>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Ratio Of Earnings To Fixed Charges</w:t>
              </w:r>
            </w:hyperlink>
          </w:p>
        </w:tc>
        <w:tc>
          <w:tcPr>
            <w:tcW w:w="6740" w:type="dxa"/>
            <w:vAlign w:val="bottom"/>
            <w:gridSpan w:val="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Description of Our Debt Securities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Description of Our Common Units</w:t>
              </w:r>
            </w:hyperlink>
          </w:p>
        </w:tc>
        <w:tc>
          <w:tcPr>
            <w:tcW w:w="686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Cash Distribution Policy</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9"/>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Description of Our Partnership Agreement</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1400" w:type="dxa"/>
            <w:vAlign w:val="bottom"/>
            <w:gridSpan w:val="9"/>
            <w:shd w:val="clear" w:color="auto" w:fill="0000EE"/>
          </w:tcPr>
          <w:p>
            <w:pPr>
              <w:spacing w:after="0" w:line="20" w:lineRule="exact"/>
              <w:rPr>
                <w:sz w:val="1"/>
                <w:szCs w:val="1"/>
                <w:color w:val="auto"/>
              </w:rPr>
            </w:pPr>
          </w:p>
        </w:tc>
        <w:tc>
          <w:tcPr>
            <w:tcW w:w="1600" w:type="dxa"/>
            <w:vAlign w:val="bottom"/>
            <w:gridSpan w:val="12"/>
            <w:shd w:val="clear" w:color="auto" w:fill="0000EE"/>
          </w:tcPr>
          <w:p>
            <w:pPr>
              <w:spacing w:after="0" w:line="20" w:lineRule="exact"/>
              <w:rPr>
                <w:sz w:val="1"/>
                <w:szCs w:val="1"/>
                <w:color w:val="auto"/>
              </w:rPr>
            </w:pPr>
          </w:p>
        </w:tc>
        <w:tc>
          <w:tcPr>
            <w:tcW w:w="632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Material U.S. Federal Income Tax Consequences</w:t>
              </w:r>
            </w:hyperlink>
          </w:p>
        </w:tc>
        <w:tc>
          <w:tcPr>
            <w:tcW w:w="586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320" w:type="dxa"/>
            <w:vAlign w:val="bottom"/>
            <w:gridSpan w:val="24"/>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7920" w:type="dxa"/>
            <w:vAlign w:val="bottom"/>
            <w:gridSpan w:val="15"/>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8340" w:type="dxa"/>
            <w:vAlign w:val="bottom"/>
            <w:gridSpan w:val="19"/>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ABOUT INFORMATION IN THIS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 AND THE ACCOMPANYING BASE PROSPECTUS</w:t>
      </w:r>
    </w:p>
    <w:p>
      <w:pPr>
        <w:spacing w:after="0" w:line="15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This document is in two parts. The first part is the prospectus supplement, which describes our business and the specific terms of this offering. The second part, the accompanying base prospectus, gives more general information and includes disclosures regarding the Notes and additional disclosures that would pertain if at some time in the future we were to offer other series of our debt securities or our common units. Accordingly, the accompanying base prospectus may contain information that does not apply to this offering. Generally, when we refer only to the “prospectus,” we are referring to both parts combined.</w:t>
      </w:r>
    </w:p>
    <w:p>
      <w:pPr>
        <w:spacing w:after="0" w:line="139" w:lineRule="exact"/>
        <w:rPr>
          <w:sz w:val="20"/>
          <w:szCs w:val="20"/>
          <w:color w:val="auto"/>
        </w:rPr>
      </w:pPr>
    </w:p>
    <w:p>
      <w:pPr>
        <w:ind w:right="620" w:firstLine="456"/>
        <w:spacing w:after="0" w:line="275" w:lineRule="auto"/>
        <w:rPr>
          <w:sz w:val="20"/>
          <w:szCs w:val="20"/>
          <w:color w:val="auto"/>
        </w:rPr>
      </w:pPr>
      <w:r>
        <w:rPr>
          <w:rFonts w:ascii="Arial" w:cs="Arial" w:eastAsia="Arial" w:hAnsi="Arial"/>
          <w:sz w:val="18"/>
          <w:szCs w:val="18"/>
          <w:b w:val="1"/>
          <w:bCs w:val="1"/>
          <w:color w:val="auto"/>
        </w:rPr>
        <w:t>If the description of the offering varies between the prospectus supplement and the accompanying base prospectus, you should rely on the information in the prospectus supplement.</w:t>
      </w:r>
    </w:p>
    <w:p>
      <w:pPr>
        <w:spacing w:after="0" w:line="12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supplement, the accompanying base prospectus or any free writing prospectus relating to this offering of Notes. Neither we nor the underwriters have authorized anyone to provide you with different information. Neither we nor the underwriters are making an offer of the Notes in any jurisdiction where the offer is not permitted. You should not assume that the information contained in or incorporated by reference into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11" w:lineRule="exact"/>
        <w:rPr>
          <w:sz w:val="20"/>
          <w:szCs w:val="20"/>
          <w:color w:val="auto"/>
        </w:rPr>
      </w:pPr>
    </w:p>
    <w:p>
      <w:pPr>
        <w:ind w:right="500" w:firstLine="456"/>
        <w:spacing w:after="0" w:line="262" w:lineRule="auto"/>
        <w:rPr>
          <w:sz w:val="20"/>
          <w:szCs w:val="20"/>
          <w:color w:val="auto"/>
        </w:rPr>
      </w:pPr>
      <w:r>
        <w:rPr>
          <w:rFonts w:ascii="Arial" w:cs="Arial" w:eastAsia="Arial" w:hAnsi="Arial"/>
          <w:sz w:val="18"/>
          <w:szCs w:val="18"/>
          <w:b w:val="1"/>
          <w:bCs w:val="1"/>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38"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We expect delivery of the Notes will be made against payment therefor on or about August , 2015, which is the business day following the date of pricing of the Notes (such settlement being referred to as “T+ ”). Under Rule 15c6-1 of the Securities Exchange Act of 1934, as amended (the “Exchange Act”), trades in the secondary market generally are required to settle in three business days unless the parties to any such trade expressly agree otherwise.</w:t>
      </w:r>
    </w:p>
    <w:p>
      <w:pPr>
        <w:spacing w:after="0" w:line="1"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Accordingly, purchasers who wish to trade the Notes on the date of pricing of the Notes or the next 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All statements included in or incorporated by reference into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66" w:lineRule="exact"/>
        <w:rPr>
          <w:sz w:val="20"/>
          <w:szCs w:val="20"/>
          <w:color w:val="auto"/>
        </w:rPr>
      </w:pPr>
    </w:p>
    <w:p>
      <w:pPr>
        <w:ind w:left="5580" w:right="3100" w:hanging="5005"/>
        <w:spacing w:after="0" w:line="440" w:lineRule="auto"/>
        <w:tabs>
          <w:tab w:leader="none" w:pos="892"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growth projects; S-ii</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right="5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113" w:lineRule="exact"/>
        <w:rPr>
          <w:rFonts w:ascii="Arial" w:cs="Arial" w:eastAsia="Arial" w:hAnsi="Arial"/>
          <w:sz w:val="16"/>
          <w:szCs w:val="16"/>
          <w:color w:val="auto"/>
        </w:rPr>
      </w:pPr>
    </w:p>
    <w:p>
      <w:pPr>
        <w:ind w:left="900" w:right="12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113"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S-5 of this prospectus supplement and in Item 1A. “Risk Factors” in our Annual Report on Form 10-K for the fiscal year ended December 31, 2014 (File No. 001-14569), which is incorporated in this prospectus supplement by reference, for information regarding risks you should consider before making an investment decision. Except as required by applicable securities laws, we do not intend to update these forward-looking statements and information.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00"/>
          </w:cols>
          <w:pgMar w:left="240" w:top="459" w:right="3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78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5878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left="200" w:firstLine="443"/>
        <w:spacing w:after="0" w:line="291" w:lineRule="auto"/>
        <w:rPr>
          <w:sz w:val="20"/>
          <w:szCs w:val="20"/>
          <w:color w:val="auto"/>
        </w:rPr>
      </w:pPr>
      <w:r>
        <w:rPr>
          <w:rFonts w:ascii="Arial" w:cs="Arial" w:eastAsia="Arial" w:hAnsi="Arial"/>
          <w:sz w:val="16"/>
          <w:szCs w:val="16"/>
          <w:i w:val="1"/>
          <w:iCs w:val="1"/>
          <w:color w:val="auto"/>
        </w:rPr>
        <w:t>This summary highlights information included in or incorporated by reference into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Please read “Risk Factors” beginning on page S-5 of this prospectus supplement and in our Annual Report on Form 10-K for the fiscal year ended December 31, 2014, which is incorporated by reference herein, for information regarding risks you should consider before making a decision to purchase any Notes in this offering.</w:t>
      </w:r>
    </w:p>
    <w:p>
      <w:pPr>
        <w:spacing w:after="0" w:line="120" w:lineRule="exact"/>
        <w:rPr>
          <w:sz w:val="20"/>
          <w:szCs w:val="20"/>
          <w:color w:val="auto"/>
        </w:rPr>
      </w:pPr>
    </w:p>
    <w:p>
      <w:pPr>
        <w:ind w:left="200" w:right="280" w:firstLine="443"/>
        <w:spacing w:after="0" w:line="294"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Plains All American Pipeline, L.P.</w:t>
      </w:r>
    </w:p>
    <w:p>
      <w:pPr>
        <w:spacing w:after="0" w:line="177" w:lineRule="exact"/>
        <w:rPr>
          <w:sz w:val="20"/>
          <w:szCs w:val="20"/>
          <w:color w:val="auto"/>
        </w:rPr>
      </w:pPr>
    </w:p>
    <w:p>
      <w:pPr>
        <w:ind w:left="200" w:right="100" w:firstLine="443"/>
        <w:spacing w:after="0" w:line="256"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 The term NGL includes ethane and natural gasoline products as well as products commonly referred to as liquefied petroleum gas, such as propane and butane.</w:t>
      </w:r>
    </w:p>
    <w:p>
      <w:pPr>
        <w:spacing w:after="0" w:line="143" w:lineRule="exact"/>
        <w:rPr>
          <w:sz w:val="20"/>
          <w:szCs w:val="20"/>
          <w:color w:val="auto"/>
        </w:rPr>
      </w:pPr>
    </w:p>
    <w:p>
      <w:pPr>
        <w:jc w:val="both"/>
        <w:ind w:left="200" w:right="140" w:firstLine="443"/>
        <w:spacing w:after="0" w:line="306" w:lineRule="auto"/>
        <w:rPr>
          <w:sz w:val="20"/>
          <w:szCs w:val="20"/>
          <w:color w:val="auto"/>
        </w:rPr>
      </w:pPr>
      <w:r>
        <w:rPr>
          <w:rFonts w:ascii="Arial" w:cs="Arial" w:eastAsia="Arial" w:hAnsi="Arial"/>
          <w:sz w:val="16"/>
          <w:szCs w:val="16"/>
          <w:color w:val="auto"/>
        </w:rPr>
        <w:t>We are one of the largest publicly-traded partnerships with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18"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173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21736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300"/>
        <w:spacing w:after="0" w:line="268" w:lineRule="auto"/>
        <w:rPr>
          <w:sz w:val="20"/>
          <w:szCs w:val="20"/>
          <w:color w:val="auto"/>
        </w:rPr>
      </w:pPr>
      <w:r>
        <w:rPr>
          <w:rFonts w:ascii="Arial" w:cs="Arial" w:eastAsia="Arial" w:hAnsi="Arial"/>
          <w:sz w:val="18"/>
          <w:szCs w:val="18"/>
          <w:color w:val="auto"/>
        </w:rPr>
        <w:t>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Principal Executive Offices</w:t>
      </w:r>
    </w:p>
    <w:p>
      <w:pPr>
        <w:spacing w:after="0" w:line="177" w:lineRule="exact"/>
        <w:rPr>
          <w:sz w:val="20"/>
          <w:szCs w:val="20"/>
          <w:color w:val="auto"/>
        </w:rPr>
      </w:pPr>
    </w:p>
    <w:p>
      <w:pPr>
        <w:jc w:val="both"/>
        <w:ind w:left="200" w:right="420" w:firstLine="443"/>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Information contained on or available through our website is not incorporated into or otherwise a part of this prospectus supplement or the accompanying base prospectus.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left="200" w:firstLine="443"/>
        <w:spacing w:after="0" w:line="306" w:lineRule="auto"/>
        <w:rPr>
          <w:sz w:val="20"/>
          <w:szCs w:val="20"/>
          <w:color w:val="auto"/>
        </w:rPr>
      </w:pPr>
      <w:r>
        <w:rPr>
          <w:rFonts w:ascii="Arial" w:cs="Arial" w:eastAsia="Arial" w:hAnsi="Arial"/>
          <w:sz w:val="16"/>
          <w:szCs w:val="16"/>
          <w:color w:val="auto"/>
        </w:rPr>
        <w:t>For additional information about us, including our partnership structure and management, please refer to the documents set forth under “Where You Can Find More Information” in this prospectus supplement, including our Annual Report on Form 10-K for the fiscal year ended December 31, 2014 and our Quarterly Reports on Form 10-Q for the quarterly periods ended March 31, 2015 and June 30, 2015, each of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12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62128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81"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Issuers</w:t>
      </w:r>
      <w:r>
        <w:rPr>
          <w:sz w:val="20"/>
          <w:szCs w:val="20"/>
          <w:color w:val="auto"/>
        </w:rPr>
        <w:tab/>
      </w:r>
      <w:r>
        <w:rPr>
          <w:rFonts w:ascii="Arial" w:cs="Arial" w:eastAsia="Arial" w:hAnsi="Arial"/>
          <w:sz w:val="18"/>
          <w:szCs w:val="18"/>
          <w:color w:val="auto"/>
        </w:rPr>
        <w:t>Plains All American Pipeline, L.P. and PAA Finance Corp.</w:t>
      </w:r>
    </w:p>
    <w:p>
      <w:pPr>
        <w:spacing w:after="0" w:line="225" w:lineRule="exact"/>
        <w:rPr>
          <w:sz w:val="20"/>
          <w:szCs w:val="20"/>
          <w:color w:val="auto"/>
        </w:rPr>
      </w:pPr>
    </w:p>
    <w:p>
      <w:pPr>
        <w:ind w:left="4400" w:right="80"/>
        <w:spacing w:after="0" w:line="294" w:lineRule="auto"/>
        <w:rPr>
          <w:sz w:val="20"/>
          <w:szCs w:val="20"/>
          <w:color w:val="auto"/>
        </w:rPr>
      </w:pPr>
      <w:r>
        <w:rPr>
          <w:rFonts w:ascii="Arial" w:cs="Arial" w:eastAsia="Arial" w:hAnsi="Arial"/>
          <w:sz w:val="16"/>
          <w:szCs w:val="16"/>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pacing w:after="0" w:line="15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Future guarantees</w:t>
            </w: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96"/>
              </w:rPr>
              <w:t>Initially, the Notes will not be guaranteed by any subsidiaries of the issuers. In the future,</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88"/>
              </w:rPr>
              <w:t>however, if any subsidiaries guarantee any of the issuers’ other debt, then those subsidiaries will,</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89"/>
              </w:rPr>
              <w:t>jointly and severally, fully and unconditionally guarantee the issuers’ payment obligations under</w:t>
            </w:r>
          </w:p>
        </w:tc>
      </w:tr>
      <w:tr>
        <w:trPr>
          <w:trHeight w:val="222"/>
        </w:trPr>
        <w:tc>
          <w:tcPr>
            <w:tcW w:w="2880" w:type="dxa"/>
            <w:vAlign w:val="bottom"/>
          </w:tcPr>
          <w:p>
            <w:pPr>
              <w:spacing w:after="0"/>
              <w:rPr>
                <w:sz w:val="19"/>
                <w:szCs w:val="19"/>
                <w:color w:val="auto"/>
              </w:rPr>
            </w:pPr>
          </w:p>
        </w:tc>
        <w:tc>
          <w:tcPr>
            <w:tcW w:w="6960" w:type="dxa"/>
            <w:vAlign w:val="bottom"/>
            <w:gridSpan w:val="5"/>
          </w:tcPr>
          <w:p>
            <w:pPr>
              <w:ind w:left="1320"/>
              <w:spacing w:after="0"/>
              <w:rPr>
                <w:sz w:val="20"/>
                <w:szCs w:val="20"/>
                <w:color w:val="auto"/>
              </w:rPr>
            </w:pPr>
            <w:r>
              <w:rPr>
                <w:rFonts w:ascii="Arial" w:cs="Arial" w:eastAsia="Arial" w:hAnsi="Arial"/>
                <w:sz w:val="18"/>
                <w:szCs w:val="18"/>
                <w:color w:val="auto"/>
                <w:w w:val="91"/>
              </w:rPr>
              <w:t>the Notes. Please read “Description of Notes— Possible Future Guarantees.”</w:t>
            </w:r>
          </w:p>
        </w:tc>
        <w:tc>
          <w:tcPr>
            <w:tcW w:w="1180" w:type="dxa"/>
            <w:vAlign w:val="bottom"/>
          </w:tcPr>
          <w:p>
            <w:pPr>
              <w:spacing w:after="0"/>
              <w:rPr>
                <w:sz w:val="19"/>
                <w:szCs w:val="19"/>
                <w:color w:val="auto"/>
              </w:rPr>
            </w:pPr>
          </w:p>
        </w:tc>
      </w:tr>
      <w:tr>
        <w:trPr>
          <w:trHeight w:val="419"/>
        </w:trPr>
        <w:tc>
          <w:tcPr>
            <w:tcW w:w="2880" w:type="dxa"/>
            <w:vAlign w:val="bottom"/>
          </w:tcPr>
          <w:p>
            <w:pPr>
              <w:spacing w:after="0"/>
              <w:rPr>
                <w:sz w:val="20"/>
                <w:szCs w:val="20"/>
                <w:color w:val="auto"/>
              </w:rPr>
            </w:pPr>
            <w:r>
              <w:rPr>
                <w:rFonts w:ascii="Arial" w:cs="Arial" w:eastAsia="Arial" w:hAnsi="Arial"/>
                <w:sz w:val="18"/>
                <w:szCs w:val="18"/>
                <w:color w:val="auto"/>
              </w:rPr>
              <w:t>Notes offered</w:t>
            </w:r>
          </w:p>
        </w:tc>
        <w:tc>
          <w:tcPr>
            <w:tcW w:w="1440" w:type="dxa"/>
            <w:vAlign w:val="bottom"/>
          </w:tcPr>
          <w:p>
            <w:pPr>
              <w:ind w:left="1320"/>
              <w:spacing w:after="0"/>
              <w:rPr>
                <w:sz w:val="20"/>
                <w:szCs w:val="20"/>
                <w:color w:val="auto"/>
              </w:rPr>
            </w:pPr>
            <w:r>
              <w:rPr>
                <w:rFonts w:ascii="Arial" w:cs="Arial" w:eastAsia="Arial" w:hAnsi="Arial"/>
                <w:sz w:val="18"/>
                <w:szCs w:val="18"/>
                <w:color w:val="auto"/>
                <w:w w:val="99"/>
              </w:rPr>
              <w:t>$</w:t>
            </w:r>
          </w:p>
        </w:tc>
        <w:tc>
          <w:tcPr>
            <w:tcW w:w="4640" w:type="dxa"/>
            <w:vAlign w:val="bottom"/>
            <w:gridSpan w:val="3"/>
          </w:tcPr>
          <w:p>
            <w:pPr>
              <w:ind w:left="360"/>
              <w:spacing w:after="0"/>
              <w:rPr>
                <w:sz w:val="20"/>
                <w:szCs w:val="20"/>
                <w:color w:val="auto"/>
              </w:rPr>
            </w:pPr>
            <w:r>
              <w:rPr>
                <w:rFonts w:ascii="Arial" w:cs="Arial" w:eastAsia="Arial" w:hAnsi="Arial"/>
                <w:sz w:val="18"/>
                <w:szCs w:val="18"/>
                <w:color w:val="auto"/>
                <w:w w:val="91"/>
              </w:rPr>
              <w:t>aggregate principal amount of   % Senior Notes due 2025.</w:t>
            </w: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Maturity date</w:t>
            </w:r>
          </w:p>
        </w:tc>
        <w:tc>
          <w:tcPr>
            <w:tcW w:w="1440" w:type="dxa"/>
            <w:vAlign w:val="bottom"/>
          </w:tcPr>
          <w:p>
            <w:pPr>
              <w:spacing w:after="0"/>
              <w:rPr>
                <w:sz w:val="24"/>
                <w:szCs w:val="24"/>
                <w:color w:val="auto"/>
              </w:rPr>
            </w:pPr>
          </w:p>
        </w:tc>
        <w:tc>
          <w:tcPr>
            <w:tcW w:w="1600" w:type="dxa"/>
            <w:vAlign w:val="bottom"/>
          </w:tcPr>
          <w:p>
            <w:pPr>
              <w:jc w:val="right"/>
              <w:ind w:right="272"/>
              <w:spacing w:after="0"/>
              <w:rPr>
                <w:sz w:val="20"/>
                <w:szCs w:val="20"/>
                <w:color w:val="auto"/>
              </w:rPr>
            </w:pPr>
            <w:r>
              <w:rPr>
                <w:rFonts w:ascii="Arial" w:cs="Arial" w:eastAsia="Arial" w:hAnsi="Arial"/>
                <w:sz w:val="18"/>
                <w:szCs w:val="18"/>
                <w:color w:val="auto"/>
              </w:rPr>
              <w:t>, 2025.</w:t>
            </w: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32"/>
        </w:trPr>
        <w:tc>
          <w:tcPr>
            <w:tcW w:w="2880" w:type="dxa"/>
            <w:vAlign w:val="bottom"/>
          </w:tcPr>
          <w:p>
            <w:pPr>
              <w:spacing w:after="0"/>
              <w:rPr>
                <w:sz w:val="20"/>
                <w:szCs w:val="20"/>
                <w:color w:val="auto"/>
              </w:rPr>
            </w:pPr>
            <w:r>
              <w:rPr>
                <w:rFonts w:ascii="Arial" w:cs="Arial" w:eastAsia="Arial" w:hAnsi="Arial"/>
                <w:sz w:val="18"/>
                <w:szCs w:val="18"/>
                <w:color w:val="auto"/>
              </w:rPr>
              <w:t>Interest rate</w:t>
            </w:r>
          </w:p>
        </w:tc>
        <w:tc>
          <w:tcPr>
            <w:tcW w:w="1440" w:type="dxa"/>
            <w:vAlign w:val="bottom"/>
          </w:tcPr>
          <w:p>
            <w:pPr>
              <w:spacing w:after="0"/>
              <w:rPr>
                <w:sz w:val="24"/>
                <w:szCs w:val="24"/>
                <w:color w:val="auto"/>
              </w:rPr>
            </w:pPr>
          </w:p>
        </w:tc>
        <w:tc>
          <w:tcPr>
            <w:tcW w:w="1600" w:type="dxa"/>
            <w:vAlign w:val="bottom"/>
          </w:tcPr>
          <w:p>
            <w:pPr>
              <w:jc w:val="right"/>
              <w:ind w:right="1272"/>
              <w:spacing w:after="0"/>
              <w:rPr>
                <w:sz w:val="20"/>
                <w:szCs w:val="20"/>
                <w:color w:val="auto"/>
              </w:rPr>
            </w:pPr>
            <w:r>
              <w:rPr>
                <w:rFonts w:ascii="Arial" w:cs="Arial" w:eastAsia="Arial" w:hAnsi="Arial"/>
                <w:sz w:val="18"/>
                <w:szCs w:val="18"/>
                <w:color w:val="auto"/>
              </w:rPr>
              <w:t>%.</w:t>
            </w: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26"/>
        </w:trPr>
        <w:tc>
          <w:tcPr>
            <w:tcW w:w="28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080" w:type="dxa"/>
            <w:vAlign w:val="bottom"/>
            <w:gridSpan w:val="4"/>
          </w:tcPr>
          <w:p>
            <w:pPr>
              <w:ind w:left="1320"/>
              <w:spacing w:after="0"/>
              <w:rPr>
                <w:sz w:val="20"/>
                <w:szCs w:val="20"/>
                <w:color w:val="auto"/>
              </w:rPr>
            </w:pPr>
            <w:r>
              <w:rPr>
                <w:rFonts w:ascii="Arial" w:cs="Arial" w:eastAsia="Arial" w:hAnsi="Arial"/>
                <w:sz w:val="18"/>
                <w:szCs w:val="18"/>
                <w:color w:val="auto"/>
                <w:w w:val="97"/>
              </w:rPr>
              <w:t>We will pay interest on the Notes semi-annually in arrears on</w:t>
            </w:r>
          </w:p>
        </w:tc>
        <w:tc>
          <w:tcPr>
            <w:tcW w:w="880" w:type="dxa"/>
            <w:vAlign w:val="bottom"/>
          </w:tcPr>
          <w:p>
            <w:pPr>
              <w:ind w:left="100"/>
              <w:spacing w:after="0"/>
              <w:rPr>
                <w:sz w:val="20"/>
                <w:szCs w:val="20"/>
                <w:color w:val="auto"/>
              </w:rPr>
            </w:pPr>
            <w:r>
              <w:rPr>
                <w:rFonts w:ascii="Arial" w:cs="Arial" w:eastAsia="Arial" w:hAnsi="Arial"/>
                <w:sz w:val="18"/>
                <w:szCs w:val="18"/>
                <w:color w:val="auto"/>
              </w:rPr>
              <w:t>and</w:t>
            </w:r>
          </w:p>
        </w:tc>
        <w:tc>
          <w:tcPr>
            <w:tcW w:w="1180" w:type="dxa"/>
            <w:vAlign w:val="bottom"/>
          </w:tcPr>
          <w:p>
            <w:pPr>
              <w:ind w:left="40"/>
              <w:spacing w:after="0"/>
              <w:rPr>
                <w:sz w:val="20"/>
                <w:szCs w:val="20"/>
                <w:color w:val="auto"/>
              </w:rPr>
            </w:pPr>
            <w:r>
              <w:rPr>
                <w:rFonts w:ascii="Arial" w:cs="Arial" w:eastAsia="Arial" w:hAnsi="Arial"/>
                <w:sz w:val="18"/>
                <w:szCs w:val="18"/>
                <w:color w:val="auto"/>
              </w:rPr>
              <w:t>of each year,</w:t>
            </w:r>
          </w:p>
        </w:tc>
      </w:tr>
      <w:tr>
        <w:trPr>
          <w:trHeight w:val="222"/>
        </w:trPr>
        <w:tc>
          <w:tcPr>
            <w:tcW w:w="2880" w:type="dxa"/>
            <w:vAlign w:val="bottom"/>
          </w:tcPr>
          <w:p>
            <w:pPr>
              <w:spacing w:after="0"/>
              <w:rPr>
                <w:sz w:val="19"/>
                <w:szCs w:val="19"/>
                <w:color w:val="auto"/>
              </w:rPr>
            </w:pPr>
          </w:p>
        </w:tc>
        <w:tc>
          <w:tcPr>
            <w:tcW w:w="3040" w:type="dxa"/>
            <w:vAlign w:val="bottom"/>
            <w:gridSpan w:val="2"/>
          </w:tcPr>
          <w:p>
            <w:pPr>
              <w:ind w:left="1320"/>
              <w:spacing w:after="0"/>
              <w:rPr>
                <w:sz w:val="20"/>
                <w:szCs w:val="20"/>
                <w:color w:val="auto"/>
              </w:rPr>
            </w:pPr>
            <w:r>
              <w:rPr>
                <w:rFonts w:ascii="Arial" w:cs="Arial" w:eastAsia="Arial" w:hAnsi="Arial"/>
                <w:sz w:val="18"/>
                <w:szCs w:val="18"/>
                <w:color w:val="auto"/>
              </w:rPr>
              <w:t>beginning on</w:t>
            </w:r>
          </w:p>
        </w:tc>
        <w:tc>
          <w:tcPr>
            <w:tcW w:w="1780" w:type="dxa"/>
            <w:vAlign w:val="bottom"/>
          </w:tcPr>
          <w:p>
            <w:pPr>
              <w:jc w:val="right"/>
              <w:ind w:right="1132"/>
              <w:spacing w:after="0"/>
              <w:rPr>
                <w:sz w:val="20"/>
                <w:szCs w:val="20"/>
                <w:color w:val="auto"/>
              </w:rPr>
            </w:pPr>
            <w:r>
              <w:rPr>
                <w:rFonts w:ascii="Arial" w:cs="Arial" w:eastAsia="Arial" w:hAnsi="Arial"/>
                <w:sz w:val="18"/>
                <w:szCs w:val="18"/>
                <w:color w:val="auto"/>
                <w:w w:val="98"/>
              </w:rPr>
              <w:t>, 2016.</w:t>
            </w: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Optional redemption</w:t>
            </w: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97"/>
              </w:rPr>
              <w:t>We may redeem the Notes, in whole or in part, at any time and from time to time prior to</w:t>
            </w:r>
          </w:p>
        </w:tc>
      </w:tr>
      <w:tr>
        <w:trPr>
          <w:trHeight w:val="216"/>
        </w:trPr>
        <w:tc>
          <w:tcPr>
            <w:tcW w:w="2880" w:type="dxa"/>
            <w:vAlign w:val="bottom"/>
          </w:tcPr>
          <w:p>
            <w:pPr>
              <w:spacing w:after="0"/>
              <w:rPr>
                <w:sz w:val="18"/>
                <w:szCs w:val="18"/>
                <w:color w:val="auto"/>
              </w:rPr>
            </w:pPr>
          </w:p>
        </w:tc>
        <w:tc>
          <w:tcPr>
            <w:tcW w:w="4820" w:type="dxa"/>
            <w:vAlign w:val="bottom"/>
            <w:gridSpan w:val="3"/>
          </w:tcPr>
          <w:p>
            <w:pPr>
              <w:ind w:left="1320"/>
              <w:spacing w:after="0"/>
              <w:rPr>
                <w:sz w:val="20"/>
                <w:szCs w:val="20"/>
                <w:color w:val="auto"/>
              </w:rPr>
            </w:pPr>
            <w:r>
              <w:rPr>
                <w:rFonts w:ascii="Arial" w:cs="Arial" w:eastAsia="Arial" w:hAnsi="Arial"/>
                <w:sz w:val="18"/>
                <w:szCs w:val="18"/>
                <w:color w:val="auto"/>
              </w:rPr>
              <w:t>maturity. If we redeem the Notes before</w:t>
            </w:r>
          </w:p>
        </w:tc>
        <w:tc>
          <w:tcPr>
            <w:tcW w:w="3320" w:type="dxa"/>
            <w:vAlign w:val="bottom"/>
            <w:gridSpan w:val="3"/>
          </w:tcPr>
          <w:p>
            <w:pPr>
              <w:ind w:left="220"/>
              <w:spacing w:after="0"/>
              <w:rPr>
                <w:sz w:val="20"/>
                <w:szCs w:val="20"/>
                <w:color w:val="auto"/>
              </w:rPr>
            </w:pPr>
            <w:r>
              <w:rPr>
                <w:rFonts w:ascii="Arial" w:cs="Arial" w:eastAsia="Arial" w:hAnsi="Arial"/>
                <w:sz w:val="18"/>
                <w:szCs w:val="18"/>
                <w:color w:val="auto"/>
                <w:w w:val="91"/>
              </w:rPr>
              <w:t>, 2025 (three months prior to their maturity</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92"/>
              </w:rPr>
              <w:t>date), the Notes may be redeemed at a price equal to the greater of (i) 100% of the principal</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95"/>
              </w:rPr>
              <w:t>amount of the Notes to be redeemed or (ii) the sum of the present values of the remaining</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87"/>
              </w:rPr>
              <w:t>scheduled payments of principal of and interest on the Notes to be redeemed that would be due if</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92"/>
              </w:rPr>
              <w:t>the Notes matured three months prior to the maturity date (which we refer to as the “Par Call</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89"/>
              </w:rPr>
              <w:t>Date”), discounted to the redemption date on a semiannual basis at the Adjusted Treasury Rate</w:t>
            </w:r>
          </w:p>
        </w:tc>
      </w:tr>
      <w:tr>
        <w:trPr>
          <w:trHeight w:val="216"/>
        </w:trPr>
        <w:tc>
          <w:tcPr>
            <w:tcW w:w="2880" w:type="dxa"/>
            <w:vAlign w:val="bottom"/>
          </w:tcPr>
          <w:p>
            <w:pPr>
              <w:spacing w:after="0"/>
              <w:rPr>
                <w:sz w:val="18"/>
                <w:szCs w:val="18"/>
                <w:color w:val="auto"/>
              </w:rPr>
            </w:pPr>
          </w:p>
        </w:tc>
        <w:tc>
          <w:tcPr>
            <w:tcW w:w="3040" w:type="dxa"/>
            <w:vAlign w:val="bottom"/>
            <w:gridSpan w:val="2"/>
          </w:tcPr>
          <w:p>
            <w:pPr>
              <w:ind w:left="1320"/>
              <w:spacing w:after="0"/>
              <w:rPr>
                <w:sz w:val="20"/>
                <w:szCs w:val="20"/>
                <w:color w:val="auto"/>
              </w:rPr>
            </w:pPr>
            <w:r>
              <w:rPr>
                <w:rFonts w:ascii="Arial" w:cs="Arial" w:eastAsia="Arial" w:hAnsi="Arial"/>
                <w:sz w:val="18"/>
                <w:szCs w:val="18"/>
                <w:color w:val="auto"/>
                <w:w w:val="90"/>
              </w:rPr>
              <w:t>(as defined herein) plus</w:t>
            </w:r>
          </w:p>
        </w:tc>
        <w:tc>
          <w:tcPr>
            <w:tcW w:w="5100" w:type="dxa"/>
            <w:vAlign w:val="bottom"/>
            <w:gridSpan w:val="4"/>
          </w:tcPr>
          <w:p>
            <w:pPr>
              <w:ind w:left="320"/>
              <w:spacing w:after="0"/>
              <w:rPr>
                <w:sz w:val="20"/>
                <w:szCs w:val="20"/>
                <w:color w:val="auto"/>
              </w:rPr>
            </w:pPr>
            <w:r>
              <w:rPr>
                <w:rFonts w:ascii="Arial" w:cs="Arial" w:eastAsia="Arial" w:hAnsi="Arial"/>
                <w:sz w:val="18"/>
                <w:szCs w:val="18"/>
                <w:color w:val="auto"/>
                <w:w w:val="87"/>
              </w:rPr>
              <w:t>basis points, together with accrued and unpaid interest to the date of</w:t>
            </w:r>
          </w:p>
        </w:tc>
      </w:tr>
      <w:tr>
        <w:trPr>
          <w:trHeight w:val="216"/>
        </w:trPr>
        <w:tc>
          <w:tcPr>
            <w:tcW w:w="2880" w:type="dxa"/>
            <w:vAlign w:val="bottom"/>
          </w:tcPr>
          <w:p>
            <w:pPr>
              <w:spacing w:after="0"/>
              <w:rPr>
                <w:sz w:val="18"/>
                <w:szCs w:val="18"/>
                <w:color w:val="auto"/>
              </w:rPr>
            </w:pPr>
          </w:p>
        </w:tc>
        <w:tc>
          <w:tcPr>
            <w:tcW w:w="4820" w:type="dxa"/>
            <w:vAlign w:val="bottom"/>
            <w:gridSpan w:val="3"/>
          </w:tcPr>
          <w:p>
            <w:pPr>
              <w:ind w:left="1320"/>
              <w:spacing w:after="0"/>
              <w:rPr>
                <w:sz w:val="20"/>
                <w:szCs w:val="20"/>
                <w:color w:val="auto"/>
              </w:rPr>
            </w:pPr>
            <w:r>
              <w:rPr>
                <w:rFonts w:ascii="Arial" w:cs="Arial" w:eastAsia="Arial" w:hAnsi="Arial"/>
                <w:sz w:val="18"/>
                <w:szCs w:val="18"/>
                <w:color w:val="auto"/>
                <w:w w:val="93"/>
              </w:rPr>
              <w:t>redemption. If we redeem the Notes on or after</w:t>
            </w:r>
          </w:p>
        </w:tc>
        <w:tc>
          <w:tcPr>
            <w:tcW w:w="3320" w:type="dxa"/>
            <w:vAlign w:val="bottom"/>
            <w:gridSpan w:val="3"/>
          </w:tcPr>
          <w:p>
            <w:pPr>
              <w:ind w:left="720"/>
              <w:spacing w:after="0"/>
              <w:rPr>
                <w:sz w:val="20"/>
                <w:szCs w:val="20"/>
                <w:color w:val="auto"/>
              </w:rPr>
            </w:pPr>
            <w:r>
              <w:rPr>
                <w:rFonts w:ascii="Arial" w:cs="Arial" w:eastAsia="Arial" w:hAnsi="Arial"/>
                <w:sz w:val="18"/>
                <w:szCs w:val="18"/>
                <w:color w:val="auto"/>
                <w:w w:val="96"/>
              </w:rPr>
              <w:t>, 2025 (three months prior to their</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90"/>
              </w:rPr>
              <w:t>maturity date), the redemption price will equal 100% of the principal amount of the Notes to be</w:t>
            </w:r>
          </w:p>
        </w:tc>
      </w:tr>
      <w:tr>
        <w:trPr>
          <w:trHeight w:val="216"/>
        </w:trPr>
        <w:tc>
          <w:tcPr>
            <w:tcW w:w="2880" w:type="dxa"/>
            <w:vAlign w:val="bottom"/>
          </w:tcPr>
          <w:p>
            <w:pPr>
              <w:spacing w:after="0"/>
              <w:rPr>
                <w:sz w:val="18"/>
                <w:szCs w:val="18"/>
                <w:color w:val="auto"/>
              </w:rPr>
            </w:pP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88"/>
              </w:rPr>
              <w:t>redeemed plus accrued and unpaid interest to the redemption date. See “Description of Notes—</w:t>
            </w:r>
          </w:p>
        </w:tc>
      </w:tr>
      <w:tr>
        <w:trPr>
          <w:trHeight w:val="222"/>
        </w:trPr>
        <w:tc>
          <w:tcPr>
            <w:tcW w:w="2880" w:type="dxa"/>
            <w:vAlign w:val="bottom"/>
          </w:tcPr>
          <w:p>
            <w:pPr>
              <w:spacing w:after="0"/>
              <w:rPr>
                <w:sz w:val="19"/>
                <w:szCs w:val="19"/>
                <w:color w:val="auto"/>
              </w:rPr>
            </w:pPr>
          </w:p>
        </w:tc>
        <w:tc>
          <w:tcPr>
            <w:tcW w:w="3040" w:type="dxa"/>
            <w:vAlign w:val="bottom"/>
            <w:gridSpan w:val="2"/>
          </w:tcPr>
          <w:p>
            <w:pPr>
              <w:ind w:left="1320"/>
              <w:spacing w:after="0"/>
              <w:rPr>
                <w:sz w:val="20"/>
                <w:szCs w:val="20"/>
                <w:color w:val="auto"/>
              </w:rPr>
            </w:pPr>
            <w:r>
              <w:rPr>
                <w:rFonts w:ascii="Arial" w:cs="Arial" w:eastAsia="Arial" w:hAnsi="Arial"/>
                <w:sz w:val="18"/>
                <w:szCs w:val="18"/>
                <w:color w:val="auto"/>
                <w:w w:val="94"/>
              </w:rPr>
              <w:t>Optional Redemption.”</w:t>
            </w:r>
          </w:p>
        </w:tc>
        <w:tc>
          <w:tcPr>
            <w:tcW w:w="1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12"/>
        </w:trPr>
        <w:tc>
          <w:tcPr>
            <w:tcW w:w="2880" w:type="dxa"/>
            <w:vAlign w:val="bottom"/>
          </w:tcPr>
          <w:p>
            <w:pPr>
              <w:spacing w:after="0"/>
              <w:rPr>
                <w:sz w:val="20"/>
                <w:szCs w:val="20"/>
                <w:color w:val="auto"/>
              </w:rPr>
            </w:pPr>
            <w:r>
              <w:rPr>
                <w:rFonts w:ascii="Arial" w:cs="Arial" w:eastAsia="Arial" w:hAnsi="Arial"/>
                <w:sz w:val="18"/>
                <w:szCs w:val="18"/>
                <w:color w:val="auto"/>
              </w:rPr>
              <w:t>Ranking</w:t>
            </w:r>
          </w:p>
        </w:tc>
        <w:tc>
          <w:tcPr>
            <w:tcW w:w="8140" w:type="dxa"/>
            <w:vAlign w:val="bottom"/>
            <w:gridSpan w:val="6"/>
          </w:tcPr>
          <w:p>
            <w:pPr>
              <w:ind w:left="1320"/>
              <w:spacing w:after="0"/>
              <w:rPr>
                <w:sz w:val="20"/>
                <w:szCs w:val="20"/>
                <w:color w:val="auto"/>
              </w:rPr>
            </w:pPr>
            <w:r>
              <w:rPr>
                <w:rFonts w:ascii="Arial" w:cs="Arial" w:eastAsia="Arial" w:hAnsi="Arial"/>
                <w:sz w:val="18"/>
                <w:szCs w:val="18"/>
                <w:color w:val="auto"/>
                <w:w w:val="92"/>
              </w:rPr>
              <w:t>The Notes will be general senior unsecured obligations of the issuers and will rank equally in</w:t>
            </w:r>
          </w:p>
        </w:tc>
      </w:tr>
      <w:tr>
        <w:trPr>
          <w:trHeight w:val="222"/>
        </w:trPr>
        <w:tc>
          <w:tcPr>
            <w:tcW w:w="2880" w:type="dxa"/>
            <w:vAlign w:val="bottom"/>
          </w:tcPr>
          <w:p>
            <w:pPr>
              <w:spacing w:after="0"/>
              <w:rPr>
                <w:sz w:val="19"/>
                <w:szCs w:val="19"/>
                <w:color w:val="auto"/>
              </w:rPr>
            </w:pPr>
          </w:p>
        </w:tc>
        <w:tc>
          <w:tcPr>
            <w:tcW w:w="6960" w:type="dxa"/>
            <w:vAlign w:val="bottom"/>
            <w:gridSpan w:val="5"/>
          </w:tcPr>
          <w:p>
            <w:pPr>
              <w:ind w:left="1320"/>
              <w:spacing w:after="0"/>
              <w:rPr>
                <w:sz w:val="20"/>
                <w:szCs w:val="20"/>
                <w:color w:val="auto"/>
              </w:rPr>
            </w:pPr>
            <w:r>
              <w:rPr>
                <w:rFonts w:ascii="Arial" w:cs="Arial" w:eastAsia="Arial" w:hAnsi="Arial"/>
                <w:sz w:val="18"/>
                <w:szCs w:val="18"/>
                <w:color w:val="auto"/>
                <w:w w:val="89"/>
              </w:rPr>
              <w:t>right of payment with the existing and future senior indebtedness of the issuers.</w:t>
            </w:r>
          </w:p>
        </w:tc>
        <w:tc>
          <w:tcPr>
            <w:tcW w:w="11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5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64528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Certain covenants</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96"/>
              </w:rPr>
              <w:t>The Notes will be issued under an indenture containing covenants for your benefit. These</w:t>
            </w:r>
          </w:p>
        </w:tc>
      </w:tr>
      <w:tr>
        <w:trPr>
          <w:trHeight w:val="222"/>
        </w:trPr>
        <w:tc>
          <w:tcPr>
            <w:tcW w:w="3160" w:type="dxa"/>
            <w:vAlign w:val="bottom"/>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w w:val="93"/>
              </w:rPr>
              <w:t>covenants restrict our ability, with certain exceptions, to:</w:t>
            </w:r>
          </w:p>
        </w:tc>
        <w:tc>
          <w:tcPr>
            <w:tcW w:w="2640" w:type="dxa"/>
            <w:vAlign w:val="bottom"/>
          </w:tcPr>
          <w:p>
            <w:pPr>
              <w:spacing w:after="0"/>
              <w:rPr>
                <w:sz w:val="19"/>
                <w:szCs w:val="19"/>
                <w:color w:val="auto"/>
              </w:rPr>
            </w:pPr>
          </w:p>
        </w:tc>
      </w:tr>
      <w:tr>
        <w:trPr>
          <w:trHeight w:val="419"/>
        </w:trPr>
        <w:tc>
          <w:tcPr>
            <w:tcW w:w="3160" w:type="dxa"/>
            <w:vAlign w:val="bottom"/>
          </w:tcPr>
          <w:p>
            <w:pPr>
              <w:spacing w:after="0"/>
              <w:rPr>
                <w:sz w:val="24"/>
                <w:szCs w:val="24"/>
                <w:color w:val="auto"/>
              </w:rPr>
            </w:pPr>
          </w:p>
        </w:tc>
        <w:tc>
          <w:tcPr>
            <w:tcW w:w="5240" w:type="dxa"/>
            <w:vAlign w:val="bottom"/>
          </w:tcPr>
          <w:p>
            <w:pPr>
              <w:ind w:left="1080"/>
              <w:spacing w:after="0"/>
              <w:rPr>
                <w:sz w:val="20"/>
                <w:szCs w:val="20"/>
                <w:color w:val="auto"/>
              </w:rPr>
            </w:pPr>
            <w:r>
              <w:rPr>
                <w:rFonts w:ascii="Arial" w:cs="Arial" w:eastAsia="Arial" w:hAnsi="Arial"/>
                <w:sz w:val="18"/>
                <w:szCs w:val="18"/>
                <w:color w:val="auto"/>
              </w:rPr>
              <w:t>•  incur liens on principal properties to secure debt;</w:t>
            </w:r>
          </w:p>
        </w:tc>
        <w:tc>
          <w:tcPr>
            <w:tcW w:w="2640" w:type="dxa"/>
            <w:vAlign w:val="bottom"/>
          </w:tcPr>
          <w:p>
            <w:pPr>
              <w:spacing w:after="0"/>
              <w:rPr>
                <w:sz w:val="24"/>
                <w:szCs w:val="24"/>
                <w:color w:val="auto"/>
              </w:rPr>
            </w:pPr>
          </w:p>
        </w:tc>
      </w:tr>
      <w:tr>
        <w:trPr>
          <w:trHeight w:val="419"/>
        </w:trPr>
        <w:tc>
          <w:tcPr>
            <w:tcW w:w="3160" w:type="dxa"/>
            <w:vAlign w:val="bottom"/>
          </w:tcPr>
          <w:p>
            <w:pPr>
              <w:spacing w:after="0"/>
              <w:rPr>
                <w:sz w:val="24"/>
                <w:szCs w:val="24"/>
                <w:color w:val="auto"/>
              </w:rPr>
            </w:pPr>
          </w:p>
        </w:tc>
        <w:tc>
          <w:tcPr>
            <w:tcW w:w="5240" w:type="dxa"/>
            <w:vAlign w:val="bottom"/>
          </w:tcPr>
          <w:p>
            <w:pPr>
              <w:ind w:left="1080"/>
              <w:spacing w:after="0"/>
              <w:rPr>
                <w:sz w:val="20"/>
                <w:szCs w:val="20"/>
                <w:color w:val="auto"/>
              </w:rPr>
            </w:pPr>
            <w:r>
              <w:rPr>
                <w:rFonts w:ascii="Arial" w:cs="Arial" w:eastAsia="Arial" w:hAnsi="Arial"/>
                <w:sz w:val="18"/>
                <w:szCs w:val="18"/>
                <w:color w:val="auto"/>
              </w:rPr>
              <w:t>•  engage in sale-leaseback transactions; and</w:t>
            </w:r>
          </w:p>
        </w:tc>
        <w:tc>
          <w:tcPr>
            <w:tcW w:w="2640" w:type="dxa"/>
            <w:vAlign w:val="bottom"/>
          </w:tcPr>
          <w:p>
            <w:pPr>
              <w:spacing w:after="0"/>
              <w:rPr>
                <w:sz w:val="24"/>
                <w:szCs w:val="24"/>
                <w:color w:val="auto"/>
              </w:rPr>
            </w:pPr>
          </w:p>
        </w:tc>
      </w:tr>
      <w:tr>
        <w:trPr>
          <w:trHeight w:val="412"/>
        </w:trPr>
        <w:tc>
          <w:tcPr>
            <w:tcW w:w="3160" w:type="dxa"/>
            <w:vAlign w:val="bottom"/>
          </w:tcPr>
          <w:p>
            <w:pPr>
              <w:spacing w:after="0"/>
              <w:rPr>
                <w:sz w:val="24"/>
                <w:szCs w:val="24"/>
                <w:color w:val="auto"/>
              </w:rPr>
            </w:pPr>
          </w:p>
        </w:tc>
        <w:tc>
          <w:tcPr>
            <w:tcW w:w="7880" w:type="dxa"/>
            <w:vAlign w:val="bottom"/>
            <w:gridSpan w:val="2"/>
          </w:tcPr>
          <w:p>
            <w:pPr>
              <w:ind w:left="1080"/>
              <w:spacing w:after="0"/>
              <w:rPr>
                <w:sz w:val="20"/>
                <w:szCs w:val="20"/>
                <w:color w:val="auto"/>
              </w:rPr>
            </w:pPr>
            <w:r>
              <w:rPr>
                <w:rFonts w:ascii="Arial" w:cs="Arial" w:eastAsia="Arial" w:hAnsi="Arial"/>
                <w:sz w:val="18"/>
                <w:szCs w:val="18"/>
                <w:color w:val="auto"/>
                <w:w w:val="95"/>
              </w:rPr>
              <w:t>•  merge or consolidate with another entity or sell, lease or transfer substantially all of our</w:t>
            </w:r>
          </w:p>
        </w:tc>
      </w:tr>
      <w:tr>
        <w:trPr>
          <w:trHeight w:val="222"/>
        </w:trPr>
        <w:tc>
          <w:tcPr>
            <w:tcW w:w="3160" w:type="dxa"/>
            <w:vAlign w:val="bottom"/>
          </w:tcPr>
          <w:p>
            <w:pPr>
              <w:spacing w:after="0"/>
              <w:rPr>
                <w:sz w:val="19"/>
                <w:szCs w:val="19"/>
                <w:color w:val="auto"/>
              </w:rPr>
            </w:pPr>
          </w:p>
        </w:tc>
        <w:tc>
          <w:tcPr>
            <w:tcW w:w="5240" w:type="dxa"/>
            <w:vAlign w:val="bottom"/>
          </w:tcPr>
          <w:p>
            <w:pPr>
              <w:ind w:left="1260"/>
              <w:spacing w:after="0"/>
              <w:rPr>
                <w:sz w:val="20"/>
                <w:szCs w:val="20"/>
                <w:color w:val="auto"/>
              </w:rPr>
            </w:pPr>
            <w:r>
              <w:rPr>
                <w:rFonts w:ascii="Arial" w:cs="Arial" w:eastAsia="Arial" w:hAnsi="Arial"/>
                <w:sz w:val="18"/>
                <w:szCs w:val="18"/>
                <w:color w:val="auto"/>
              </w:rPr>
              <w:t>properties or assets to another entity.</w:t>
            </w:r>
          </w:p>
        </w:tc>
        <w:tc>
          <w:tcPr>
            <w:tcW w:w="2640" w:type="dxa"/>
            <w:vAlign w:val="bottom"/>
          </w:tcPr>
          <w:p>
            <w:pPr>
              <w:spacing w:after="0"/>
              <w:rPr>
                <w:sz w:val="19"/>
                <w:szCs w:val="19"/>
                <w:color w:val="auto"/>
              </w:rPr>
            </w:pPr>
          </w:p>
        </w:tc>
      </w:tr>
      <w:tr>
        <w:trPr>
          <w:trHeight w:val="378"/>
        </w:trPr>
        <w:tc>
          <w:tcPr>
            <w:tcW w:w="3160" w:type="dxa"/>
            <w:vAlign w:val="bottom"/>
          </w:tcPr>
          <w:p>
            <w:pPr>
              <w:spacing w:after="0"/>
              <w:rPr>
                <w:sz w:val="24"/>
                <w:szCs w:val="24"/>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See “Description of Notes—Covenants.”</w:t>
            </w:r>
          </w:p>
        </w:tc>
        <w:tc>
          <w:tcPr>
            <w:tcW w:w="2640" w:type="dxa"/>
            <w:vAlign w:val="bottom"/>
          </w:tcPr>
          <w:p>
            <w:pPr>
              <w:spacing w:after="0"/>
              <w:rPr>
                <w:sz w:val="24"/>
                <w:szCs w:val="24"/>
                <w:color w:val="auto"/>
              </w:rPr>
            </w:pPr>
          </w:p>
        </w:tc>
      </w:tr>
      <w:tr>
        <w:trPr>
          <w:trHeight w:val="412"/>
        </w:trPr>
        <w:tc>
          <w:tcPr>
            <w:tcW w:w="3160" w:type="dxa"/>
            <w:vAlign w:val="bottom"/>
          </w:tcPr>
          <w:p>
            <w:pPr>
              <w:spacing w:after="0"/>
              <w:rPr>
                <w:sz w:val="20"/>
                <w:szCs w:val="20"/>
                <w:color w:val="auto"/>
              </w:rPr>
            </w:pPr>
            <w:r>
              <w:rPr>
                <w:rFonts w:ascii="Arial" w:cs="Arial" w:eastAsia="Arial" w:hAnsi="Arial"/>
                <w:sz w:val="18"/>
                <w:szCs w:val="18"/>
                <w:color w:val="auto"/>
              </w:rPr>
              <w:t>Use of proceeds</w:t>
            </w:r>
          </w:p>
        </w:tc>
        <w:tc>
          <w:tcPr>
            <w:tcW w:w="5240" w:type="dxa"/>
            <w:vAlign w:val="bottom"/>
          </w:tcPr>
          <w:p>
            <w:pPr>
              <w:ind w:left="1040"/>
              <w:spacing w:after="0"/>
              <w:rPr>
                <w:sz w:val="20"/>
                <w:szCs w:val="20"/>
                <w:color w:val="auto"/>
              </w:rPr>
            </w:pPr>
            <w:r>
              <w:rPr>
                <w:rFonts w:ascii="Arial" w:cs="Arial" w:eastAsia="Arial" w:hAnsi="Arial"/>
                <w:sz w:val="18"/>
                <w:szCs w:val="18"/>
                <w:color w:val="auto"/>
                <w:w w:val="93"/>
              </w:rPr>
              <w:t>The net proceeds of this offering will be approximately $</w:t>
            </w:r>
          </w:p>
        </w:tc>
        <w:tc>
          <w:tcPr>
            <w:tcW w:w="2640" w:type="dxa"/>
            <w:vAlign w:val="bottom"/>
          </w:tcPr>
          <w:p>
            <w:pPr>
              <w:ind w:left="200"/>
              <w:spacing w:after="0"/>
              <w:rPr>
                <w:sz w:val="20"/>
                <w:szCs w:val="20"/>
                <w:color w:val="auto"/>
              </w:rPr>
            </w:pPr>
            <w:r>
              <w:rPr>
                <w:rFonts w:ascii="Arial" w:cs="Arial" w:eastAsia="Arial" w:hAnsi="Arial"/>
                <w:sz w:val="18"/>
                <w:szCs w:val="18"/>
                <w:color w:val="auto"/>
              </w:rPr>
              <w:t>million after deducting the</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90"/>
              </w:rPr>
              <w:t>underwriting discount and our estimated offering expenses. We expect to use the net proceeds</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89"/>
              </w:rPr>
              <w:t>from this offering to repay outstanding borrowings under our commercial paper program and for</w:t>
            </w:r>
          </w:p>
        </w:tc>
      </w:tr>
      <w:tr>
        <w:trPr>
          <w:trHeight w:val="222"/>
        </w:trPr>
        <w:tc>
          <w:tcPr>
            <w:tcW w:w="3160" w:type="dxa"/>
            <w:vAlign w:val="bottom"/>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general partnership purposes.</w:t>
            </w:r>
          </w:p>
        </w:tc>
        <w:tc>
          <w:tcPr>
            <w:tcW w:w="2640" w:type="dxa"/>
            <w:vAlign w:val="bottom"/>
          </w:tcPr>
          <w:p>
            <w:pPr>
              <w:spacing w:after="0"/>
              <w:rPr>
                <w:sz w:val="19"/>
                <w:szCs w:val="19"/>
                <w:color w:val="auto"/>
              </w:rPr>
            </w:pPr>
          </w:p>
        </w:tc>
      </w:tr>
      <w:tr>
        <w:trPr>
          <w:trHeight w:val="412"/>
        </w:trPr>
        <w:tc>
          <w:tcPr>
            <w:tcW w:w="3160" w:type="dxa"/>
            <w:vAlign w:val="bottom"/>
          </w:tcPr>
          <w:p>
            <w:pPr>
              <w:spacing w:after="0"/>
              <w:rPr>
                <w:sz w:val="24"/>
                <w:szCs w:val="24"/>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88"/>
              </w:rPr>
              <w:t>Amounts repaid under our commercial paper program may be reborrowed, as necessary, to fund</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93"/>
              </w:rPr>
              <w:t>our ongoing expansion capital program or future acquisitions and investments or for general</w:t>
            </w:r>
          </w:p>
        </w:tc>
      </w:tr>
      <w:tr>
        <w:trPr>
          <w:trHeight w:val="222"/>
        </w:trPr>
        <w:tc>
          <w:tcPr>
            <w:tcW w:w="3160" w:type="dxa"/>
            <w:vAlign w:val="bottom"/>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partnership purposes.</w:t>
            </w:r>
          </w:p>
        </w:tc>
        <w:tc>
          <w:tcPr>
            <w:tcW w:w="2640" w:type="dxa"/>
            <w:vAlign w:val="bottom"/>
          </w:tcPr>
          <w:p>
            <w:pPr>
              <w:spacing w:after="0"/>
              <w:rPr>
                <w:sz w:val="19"/>
                <w:szCs w:val="19"/>
                <w:color w:val="auto"/>
              </w:rPr>
            </w:pPr>
          </w:p>
        </w:tc>
      </w:tr>
      <w:tr>
        <w:trPr>
          <w:trHeight w:val="412"/>
        </w:trPr>
        <w:tc>
          <w:tcPr>
            <w:tcW w:w="3160" w:type="dxa"/>
            <w:vAlign w:val="bottom"/>
          </w:tcPr>
          <w:p>
            <w:pPr>
              <w:spacing w:after="0"/>
              <w:rPr>
                <w:sz w:val="20"/>
                <w:szCs w:val="20"/>
                <w:color w:val="auto"/>
              </w:rPr>
            </w:pPr>
            <w:r>
              <w:rPr>
                <w:rFonts w:ascii="Arial" w:cs="Arial" w:eastAsia="Arial" w:hAnsi="Arial"/>
                <w:sz w:val="18"/>
                <w:szCs w:val="18"/>
                <w:color w:val="auto"/>
              </w:rPr>
              <w:t>Book entry, delivery and form</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91"/>
              </w:rPr>
              <w:t>The Notes will be represented by one or more permanent global certificates in fully registered</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89"/>
              </w:rPr>
              <w:t>form deposited with a custodian for, and registered in the name of, a nominee of The Depository</w:t>
            </w:r>
          </w:p>
        </w:tc>
      </w:tr>
      <w:tr>
        <w:trPr>
          <w:trHeight w:val="222"/>
        </w:trPr>
        <w:tc>
          <w:tcPr>
            <w:tcW w:w="3160" w:type="dxa"/>
            <w:vAlign w:val="bottom"/>
          </w:tcPr>
          <w:p>
            <w:pPr>
              <w:spacing w:after="0"/>
              <w:rPr>
                <w:sz w:val="19"/>
                <w:szCs w:val="19"/>
                <w:color w:val="auto"/>
              </w:rPr>
            </w:pPr>
          </w:p>
        </w:tc>
        <w:tc>
          <w:tcPr>
            <w:tcW w:w="5240" w:type="dxa"/>
            <w:vAlign w:val="bottom"/>
          </w:tcPr>
          <w:p>
            <w:pPr>
              <w:ind w:left="1040"/>
              <w:spacing w:after="0"/>
              <w:rPr>
                <w:sz w:val="20"/>
                <w:szCs w:val="20"/>
                <w:color w:val="auto"/>
              </w:rPr>
            </w:pPr>
            <w:r>
              <w:rPr>
                <w:rFonts w:ascii="Arial" w:cs="Arial" w:eastAsia="Arial" w:hAnsi="Arial"/>
                <w:sz w:val="18"/>
                <w:szCs w:val="18"/>
                <w:color w:val="auto"/>
              </w:rPr>
              <w:t>Trust Company.</w:t>
            </w:r>
          </w:p>
        </w:tc>
        <w:tc>
          <w:tcPr>
            <w:tcW w:w="2640" w:type="dxa"/>
            <w:vAlign w:val="bottom"/>
          </w:tcPr>
          <w:p>
            <w:pPr>
              <w:spacing w:after="0"/>
              <w:rPr>
                <w:sz w:val="19"/>
                <w:szCs w:val="19"/>
                <w:color w:val="auto"/>
              </w:rPr>
            </w:pPr>
          </w:p>
        </w:tc>
      </w:tr>
      <w:tr>
        <w:trPr>
          <w:trHeight w:val="412"/>
        </w:trPr>
        <w:tc>
          <w:tcPr>
            <w:tcW w:w="3160" w:type="dxa"/>
            <w:vAlign w:val="bottom"/>
          </w:tcPr>
          <w:p>
            <w:pPr>
              <w:spacing w:after="0"/>
              <w:rPr>
                <w:sz w:val="20"/>
                <w:szCs w:val="20"/>
                <w:color w:val="auto"/>
              </w:rPr>
            </w:pPr>
            <w:r>
              <w:rPr>
                <w:rFonts w:ascii="Arial" w:cs="Arial" w:eastAsia="Arial" w:hAnsi="Arial"/>
                <w:sz w:val="18"/>
                <w:szCs w:val="18"/>
                <w:color w:val="auto"/>
              </w:rPr>
              <w:t>Further issuances</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89"/>
              </w:rPr>
              <w:t>We may create and issue additional Notes ranking equally and ratably with the Notes offered by</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88"/>
              </w:rPr>
              <w:t>this prospectus supplement in all respects, so that such additional Notes will be consolidated and</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91"/>
              </w:rPr>
              <w:t>form a single series with such Notes and will have the same terms, as to status, redemption or</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95"/>
              </w:rPr>
              <w:t>otherwise except for the issue date, the initial interest payment date, if applicable, and the</w:t>
            </w:r>
          </w:p>
        </w:tc>
      </w:tr>
      <w:tr>
        <w:trPr>
          <w:trHeight w:val="222"/>
        </w:trPr>
        <w:tc>
          <w:tcPr>
            <w:tcW w:w="3160" w:type="dxa"/>
            <w:vAlign w:val="bottom"/>
          </w:tcPr>
          <w:p>
            <w:pPr>
              <w:spacing w:after="0"/>
              <w:rPr>
                <w:sz w:val="19"/>
                <w:szCs w:val="19"/>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payment of interest accruing prior to the issue date of such additional Notes.</w:t>
            </w:r>
          </w:p>
        </w:tc>
      </w:tr>
      <w:tr>
        <w:trPr>
          <w:trHeight w:val="412"/>
        </w:trPr>
        <w:tc>
          <w:tcPr>
            <w:tcW w:w="3160" w:type="dxa"/>
            <w:vAlign w:val="bottom"/>
          </w:tcPr>
          <w:p>
            <w:pPr>
              <w:spacing w:after="0"/>
              <w:rPr>
                <w:sz w:val="20"/>
                <w:szCs w:val="20"/>
                <w:color w:val="auto"/>
              </w:rPr>
            </w:pPr>
            <w:r>
              <w:rPr>
                <w:rFonts w:ascii="Arial" w:cs="Arial" w:eastAsia="Arial" w:hAnsi="Arial"/>
                <w:sz w:val="18"/>
                <w:szCs w:val="18"/>
                <w:color w:val="auto"/>
              </w:rPr>
              <w:t>No listing</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89"/>
              </w:rPr>
              <w:t>The Notes are a new issue of securities with no established trading market. We do not currently</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90"/>
              </w:rPr>
              <w:t>intend to apply for listing of the Notes on any securities exchange or have the Notes quoted on</w:t>
            </w:r>
          </w:p>
        </w:tc>
      </w:tr>
      <w:tr>
        <w:trPr>
          <w:trHeight w:val="216"/>
        </w:trPr>
        <w:tc>
          <w:tcPr>
            <w:tcW w:w="3160" w:type="dxa"/>
            <w:vAlign w:val="bottom"/>
          </w:tcPr>
          <w:p>
            <w:pPr>
              <w:spacing w:after="0"/>
              <w:rPr>
                <w:sz w:val="18"/>
                <w:szCs w:val="18"/>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88"/>
              </w:rPr>
              <w:t>any automated quotation system. See “Risk Factors—Risks Related to the Notes—Your ability to</w:t>
            </w:r>
          </w:p>
        </w:tc>
      </w:tr>
      <w:tr>
        <w:trPr>
          <w:trHeight w:val="222"/>
        </w:trPr>
        <w:tc>
          <w:tcPr>
            <w:tcW w:w="3160" w:type="dxa"/>
            <w:vAlign w:val="bottom"/>
          </w:tcPr>
          <w:p>
            <w:pPr>
              <w:spacing w:after="0"/>
              <w:rPr>
                <w:sz w:val="19"/>
                <w:szCs w:val="19"/>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rPr>
              <w:t>transfer the Notes may be limited by the absence of an organized trading market.”</w:t>
            </w:r>
          </w:p>
        </w:tc>
      </w:tr>
      <w:tr>
        <w:trPr>
          <w:trHeight w:val="419"/>
        </w:trPr>
        <w:tc>
          <w:tcPr>
            <w:tcW w:w="3160" w:type="dxa"/>
            <w:vAlign w:val="bottom"/>
          </w:tcPr>
          <w:p>
            <w:pPr>
              <w:spacing w:after="0"/>
              <w:rPr>
                <w:sz w:val="20"/>
                <w:szCs w:val="20"/>
                <w:color w:val="auto"/>
              </w:rPr>
            </w:pPr>
            <w:r>
              <w:rPr>
                <w:rFonts w:ascii="Arial" w:cs="Arial" w:eastAsia="Arial" w:hAnsi="Arial"/>
                <w:sz w:val="18"/>
                <w:szCs w:val="18"/>
                <w:color w:val="auto"/>
              </w:rPr>
              <w:t>Governing law</w:t>
            </w:r>
          </w:p>
        </w:tc>
        <w:tc>
          <w:tcPr>
            <w:tcW w:w="5240" w:type="dxa"/>
            <w:vAlign w:val="bottom"/>
          </w:tcPr>
          <w:p>
            <w:pPr>
              <w:ind w:left="1040"/>
              <w:spacing w:after="0"/>
              <w:rPr>
                <w:sz w:val="20"/>
                <w:szCs w:val="20"/>
                <w:color w:val="auto"/>
              </w:rPr>
            </w:pPr>
            <w:r>
              <w:rPr>
                <w:rFonts w:ascii="Arial" w:cs="Arial" w:eastAsia="Arial" w:hAnsi="Arial"/>
                <w:sz w:val="18"/>
                <w:szCs w:val="18"/>
                <w:color w:val="auto"/>
              </w:rPr>
              <w:t>State of New York.</w:t>
            </w:r>
          </w:p>
        </w:tc>
        <w:tc>
          <w:tcPr>
            <w:tcW w:w="2640" w:type="dxa"/>
            <w:vAlign w:val="bottom"/>
          </w:tcPr>
          <w:p>
            <w:pPr>
              <w:spacing w:after="0"/>
              <w:rPr>
                <w:sz w:val="24"/>
                <w:szCs w:val="24"/>
                <w:color w:val="auto"/>
              </w:rPr>
            </w:pPr>
          </w:p>
        </w:tc>
      </w:tr>
      <w:tr>
        <w:trPr>
          <w:trHeight w:val="432"/>
        </w:trPr>
        <w:tc>
          <w:tcPr>
            <w:tcW w:w="3160" w:type="dxa"/>
            <w:vAlign w:val="bottom"/>
          </w:tcPr>
          <w:p>
            <w:pPr>
              <w:spacing w:after="0"/>
              <w:rPr>
                <w:sz w:val="20"/>
                <w:szCs w:val="20"/>
                <w:color w:val="auto"/>
              </w:rPr>
            </w:pPr>
            <w:r>
              <w:rPr>
                <w:rFonts w:ascii="Arial" w:cs="Arial" w:eastAsia="Arial" w:hAnsi="Arial"/>
                <w:sz w:val="18"/>
                <w:szCs w:val="18"/>
                <w:color w:val="auto"/>
              </w:rPr>
              <w:t>Trustee</w:t>
            </w:r>
          </w:p>
        </w:tc>
        <w:tc>
          <w:tcPr>
            <w:tcW w:w="5240" w:type="dxa"/>
            <w:vAlign w:val="bottom"/>
          </w:tcPr>
          <w:p>
            <w:pPr>
              <w:ind w:left="1040"/>
              <w:spacing w:after="0"/>
              <w:rPr>
                <w:sz w:val="20"/>
                <w:szCs w:val="20"/>
                <w:color w:val="auto"/>
              </w:rPr>
            </w:pPr>
            <w:r>
              <w:rPr>
                <w:rFonts w:ascii="Arial" w:cs="Arial" w:eastAsia="Arial" w:hAnsi="Arial"/>
                <w:sz w:val="18"/>
                <w:szCs w:val="18"/>
                <w:color w:val="auto"/>
              </w:rPr>
              <w:t>U.S. Bank National Association.</w:t>
            </w:r>
          </w:p>
        </w:tc>
        <w:tc>
          <w:tcPr>
            <w:tcW w:w="2640" w:type="dxa"/>
            <w:vAlign w:val="bottom"/>
          </w:tcPr>
          <w:p>
            <w:pPr>
              <w:spacing w:after="0"/>
              <w:rPr>
                <w:sz w:val="24"/>
                <w:szCs w:val="24"/>
                <w:color w:val="auto"/>
              </w:rPr>
            </w:pPr>
          </w:p>
        </w:tc>
      </w:tr>
      <w:tr>
        <w:trPr>
          <w:trHeight w:val="426"/>
        </w:trPr>
        <w:tc>
          <w:tcPr>
            <w:tcW w:w="3160" w:type="dxa"/>
            <w:vAlign w:val="bottom"/>
          </w:tcPr>
          <w:p>
            <w:pPr>
              <w:spacing w:after="0"/>
              <w:rPr>
                <w:sz w:val="20"/>
                <w:szCs w:val="20"/>
                <w:color w:val="auto"/>
              </w:rPr>
            </w:pPr>
            <w:r>
              <w:rPr>
                <w:rFonts w:ascii="Arial" w:cs="Arial" w:eastAsia="Arial" w:hAnsi="Arial"/>
                <w:sz w:val="18"/>
                <w:szCs w:val="18"/>
                <w:color w:val="auto"/>
              </w:rPr>
              <w:t>Risk factors</w:t>
            </w: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91"/>
              </w:rPr>
              <w:t>Investing in the Notes involves risks. You should consider carefully all of the information in this</w:t>
            </w:r>
          </w:p>
        </w:tc>
      </w:tr>
      <w:tr>
        <w:trPr>
          <w:trHeight w:val="222"/>
        </w:trPr>
        <w:tc>
          <w:tcPr>
            <w:tcW w:w="3160" w:type="dxa"/>
            <w:vAlign w:val="bottom"/>
          </w:tcPr>
          <w:p>
            <w:pPr>
              <w:spacing w:after="0"/>
              <w:rPr>
                <w:sz w:val="19"/>
                <w:szCs w:val="19"/>
                <w:color w:val="auto"/>
              </w:rPr>
            </w:pPr>
          </w:p>
        </w:tc>
        <w:tc>
          <w:tcPr>
            <w:tcW w:w="7880" w:type="dxa"/>
            <w:vAlign w:val="bottom"/>
            <w:gridSpan w:val="2"/>
          </w:tcPr>
          <w:p>
            <w:pPr>
              <w:ind w:left="1040"/>
              <w:spacing w:after="0"/>
              <w:rPr>
                <w:sz w:val="20"/>
                <w:szCs w:val="20"/>
                <w:color w:val="auto"/>
              </w:rPr>
            </w:pPr>
            <w:r>
              <w:rPr>
                <w:rFonts w:ascii="Arial" w:cs="Arial" w:eastAsia="Arial" w:hAnsi="Arial"/>
                <w:sz w:val="18"/>
                <w:szCs w:val="18"/>
                <w:color w:val="auto"/>
                <w:w w:val="88"/>
              </w:rPr>
              <w:t>prospectus supplement, the accompanying base prospectus, any free writing prospectus relating</w:t>
            </w:r>
          </w:p>
        </w:tc>
      </w:tr>
    </w:tbl>
    <w:p>
      <w:pPr>
        <w:ind w:left="4400"/>
        <w:spacing w:after="0" w:line="255" w:lineRule="auto"/>
        <w:rPr>
          <w:sz w:val="20"/>
          <w:szCs w:val="20"/>
          <w:color w:val="auto"/>
        </w:rPr>
      </w:pPr>
      <w:r>
        <w:rPr>
          <w:rFonts w:ascii="Arial" w:cs="Arial" w:eastAsia="Arial" w:hAnsi="Arial"/>
          <w:sz w:val="18"/>
          <w:szCs w:val="18"/>
          <w:color w:val="auto"/>
        </w:rPr>
        <w:t>to this offering and the documents incorporated by reference herein and therein. In particular, you should consider carefully the specific risks set forth in “Risk Factors” beginning on page S-5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Before making an investment in the Notes offered hereby, you should carefully consider the risk factors included below and those included in Item 1A. “Risk Factors” in our Annual Report on Form 10-K for the fiscal year ended December 31, 2014 (File No. 001-14569), which is incorporated by reference herein, together with all of the other information included in or incorporated by reference into this prospectus supplement. If any of these risks were to occur, our business, financial condition or results of operations could be materially adversely affected. In such case, the value of the Notes could decline, and you could lose all or part of your investment.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Notes are effectively subordinated to claims of our secured creditors and to any existing and future indebtedness and other obligations of our subsidiaries, including trade payables, other than subsidiaries that may guarantee the Notes in the future. As of June 30, 2015, on an as adjusted basis as described under “Capitalization,” the Notes would not have been subordinated to any short-term secured indebtedness and would not have been structurally subordinated to any of our subsidiaries’ indebtedness. In the event of the insolvency, bankruptcy, liquidation, reorganization, dissolution or winding up of the business of a subsidiary, other than a subsidiary that may guarantee the Notes in the future, creditors of that subsidiary would generally have the right to be paid in full before any distribution is made to us or the holders of the Notes.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leverage is significant in relation to our partners’ capital. As of June 30, 2015, on an as adjusted basis as described under “Capitalization,” our total</w:t>
      </w:r>
    </w:p>
    <w:p>
      <w:pPr>
        <w:spacing w:after="0" w:line="3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outstanding long-term debt was approximately $ billion, and our total outstanding short-term debt was approximately $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bank credit facility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industry conditions by limiting our flexibility in planning for, or reacting to, changes in our business and the industry in which we operate and may place us at a competitive disadvantage as compared to our competitors that have less debt.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14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and our general partner.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53" w:lineRule="exact"/>
        <w:rPr>
          <w:sz w:val="20"/>
          <w:szCs w:val="20"/>
          <w:color w:val="auto"/>
        </w:rPr>
      </w:pPr>
    </w:p>
    <w:p>
      <w:pPr>
        <w:ind w:left="900" w:right="1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provide funds for distributions to our unitholders and the general partner for any one or more of the next four calendar quarters; or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comply with applicable law or any of our loan or other agreements.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net proceeds of this offering will be approximately $ million after deducting the underwriting discount and our estimated offering expenses. We expect to use the net proceeds from this offering to repay outstanding borrowings under our commercial paper program and for general partnership purposes. Amounts repaid under our commercial paper program may be reborrowed, as necessary, to fund our ongoing expansion capital program or future acquisitions and investments or for general partnership purposes.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affiliate of Citigroup Global Markets Inc. is a dealer under our commercial paper program and may hold commercial paper notes thereunder.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Accordingly, it may receive a portion of the net proceeds from this offering. Please read “Underwriting” in this prospectus supplement for further information.</w:t>
      </w:r>
    </w:p>
    <w:p>
      <w:pPr>
        <w:spacing w:after="0" w:line="188"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As of August 14, 2015, we had approximately $1.7 billion of borrowings outstanding under our commercial paper program with a weighted average interest rate of approximately 0.46%. The outstanding borrowings under our commercial paper program have maturity dates of two weeks or less. Our commercial paper program is backstopped by our senior secured hedged inventory facility and our senior unsecured revolving credit facility.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Six Months</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vMerge w:val="restart"/>
          </w:tcPr>
          <w:p>
            <w:pPr>
              <w:jc w:val="center"/>
              <w:ind w:right="300"/>
              <w:spacing w:after="0"/>
              <w:rPr>
                <w:sz w:val="20"/>
                <w:szCs w:val="20"/>
                <w:color w:val="auto"/>
              </w:rPr>
            </w:pPr>
            <w:r>
              <w:rPr>
                <w:rFonts w:ascii="Arial" w:cs="Arial" w:eastAsia="Arial" w:hAnsi="Arial"/>
                <w:sz w:val="14"/>
                <w:szCs w:val="14"/>
                <w:b w:val="1"/>
                <w:bCs w:val="1"/>
                <w:color w:val="auto"/>
                <w:w w:val="86"/>
              </w:rPr>
              <w:t>Years Ended December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6680" w:type="dxa"/>
            <w:vAlign w:val="bottom"/>
          </w:tcPr>
          <w:p>
            <w:pPr>
              <w:spacing w:after="0"/>
              <w:rPr>
                <w:sz w:val="5"/>
                <w:szCs w:val="5"/>
                <w:color w:val="auto"/>
              </w:rPr>
            </w:pPr>
          </w:p>
        </w:tc>
        <w:tc>
          <w:tcPr>
            <w:tcW w:w="11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4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gridSpan w:val="6"/>
            <w:vMerge w:val="continue"/>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668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66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June 30, 2015</w:t>
            </w: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460" w:type="dxa"/>
            <w:vAlign w:val="bottom"/>
          </w:tcPr>
          <w:p>
            <w:pPr>
              <w:jc w:val="right"/>
              <w:ind w:right="26"/>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8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86"/>
              </w:rPr>
              <w:t>2.67x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4.41x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4.03x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 w:hanging="452"/>
        <w:spacing w:after="0" w:line="33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June 30, 2015:</w:t>
      </w:r>
    </w:p>
    <w:p>
      <w:pPr>
        <w:spacing w:after="0" w:line="21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211"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June 30, 2015</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Historical</w:t>
            </w:r>
          </w:p>
        </w:tc>
        <w:tc>
          <w:tcPr>
            <w:tcW w:w="6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SHORT-TERM DEBT(1)(2)</w:t>
            </w: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40" w:type="dxa"/>
            <w:vAlign w:val="bottom"/>
            <w:gridSpan w:val="3"/>
            <w:vMerge w:val="continue"/>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PAA senior secured hedged inventory facility</w:t>
            </w:r>
          </w:p>
        </w:tc>
        <w:tc>
          <w:tcPr>
            <w:tcW w:w="2360" w:type="dxa"/>
            <w:vAlign w:val="bottom"/>
            <w:gridSpan w:val="2"/>
            <w:shd w:val="clear" w:color="auto" w:fill="CCEEFF"/>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PAA senior unsecured revolving credit facility</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PAA commercial paper notes</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3.95% senior notes due September 2015</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400</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gridSpan w:val="2"/>
          </w:tcPr>
          <w:p>
            <w:pPr>
              <w:ind w:left="860"/>
              <w:spacing w:after="0"/>
              <w:rPr>
                <w:sz w:val="20"/>
                <w:szCs w:val="20"/>
                <w:color w:val="auto"/>
              </w:rPr>
            </w:pPr>
            <w:r>
              <w:rPr>
                <w:rFonts w:ascii="Arial" w:cs="Arial" w:eastAsia="Arial" w:hAnsi="Arial"/>
                <w:sz w:val="18"/>
                <w:szCs w:val="18"/>
                <w:color w:val="auto"/>
              </w:rPr>
              <w:t>Total short-term debt</w:t>
            </w:r>
          </w:p>
        </w:tc>
        <w:tc>
          <w:tcPr>
            <w:tcW w:w="2360" w:type="dxa"/>
            <w:vAlign w:val="bottom"/>
            <w:gridSpan w:val="2"/>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915</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Senior notes, net of unamortized discounts</w:t>
            </w:r>
          </w:p>
        </w:tc>
        <w:tc>
          <w:tcPr>
            <w:tcW w:w="2360" w:type="dxa"/>
            <w:vAlign w:val="bottom"/>
            <w:gridSpan w:val="2"/>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8,759</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Notes offered hereby, net of unamortized discount</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PAA commercial paper notes (1)(2)</w:t>
            </w: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373</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gridSpan w:val="2"/>
          </w:tcPr>
          <w:p>
            <w:pPr>
              <w:ind w:left="860"/>
              <w:spacing w:after="0"/>
              <w:rPr>
                <w:sz w:val="20"/>
                <w:szCs w:val="20"/>
                <w:color w:val="auto"/>
              </w:rPr>
            </w:pPr>
            <w:r>
              <w:rPr>
                <w:rFonts w:ascii="Arial" w:cs="Arial" w:eastAsia="Arial" w:hAnsi="Arial"/>
                <w:sz w:val="18"/>
                <w:szCs w:val="18"/>
                <w:color w:val="auto"/>
              </w:rPr>
              <w:t>Total long-term debt</w:t>
            </w:r>
          </w:p>
        </w:tc>
        <w:tc>
          <w:tcPr>
            <w:tcW w:w="2360" w:type="dxa"/>
            <w:vAlign w:val="bottom"/>
            <w:gridSpan w:val="2"/>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9,137</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2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ind w:left="420"/>
              <w:spacing w:after="0"/>
              <w:rPr>
                <w:sz w:val="20"/>
                <w:szCs w:val="20"/>
                <w:color w:val="auto"/>
              </w:rPr>
            </w:pPr>
            <w:r>
              <w:rPr>
                <w:rFonts w:ascii="Arial" w:cs="Arial" w:eastAsia="Arial" w:hAnsi="Arial"/>
                <w:sz w:val="18"/>
                <w:szCs w:val="18"/>
                <w:color w:val="auto"/>
              </w:rPr>
              <w:t>Common unitholders</w:t>
            </w:r>
          </w:p>
        </w:tc>
        <w:tc>
          <w:tcPr>
            <w:tcW w:w="2360" w:type="dxa"/>
            <w:vAlign w:val="bottom"/>
            <w:gridSpan w:val="2"/>
          </w:tcPr>
          <w:p>
            <w:pPr>
              <w:ind w:left="226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8,280</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partner</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ind w:left="860"/>
              <w:spacing w:after="0"/>
              <w:rPr>
                <w:sz w:val="20"/>
                <w:szCs w:val="20"/>
                <w:color w:val="auto"/>
              </w:rPr>
            </w:pPr>
            <w:r>
              <w:rPr>
                <w:rFonts w:ascii="Arial" w:cs="Arial" w:eastAsia="Arial" w:hAnsi="Arial"/>
                <w:sz w:val="18"/>
                <w:szCs w:val="18"/>
                <w:color w:val="auto"/>
              </w:rPr>
              <w:t>Total partners’ capital excluding noncontrolling interests</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8,647</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2"/>
          </w:tcPr>
          <w:p>
            <w:pPr>
              <w:ind w:left="860"/>
              <w:spacing w:after="0"/>
              <w:rPr>
                <w:sz w:val="20"/>
                <w:szCs w:val="20"/>
                <w:color w:val="auto"/>
              </w:rPr>
            </w:pPr>
            <w:r>
              <w:rPr>
                <w:rFonts w:ascii="Arial" w:cs="Arial" w:eastAsia="Arial" w:hAnsi="Arial"/>
                <w:sz w:val="18"/>
                <w:szCs w:val="18"/>
                <w:color w:val="auto"/>
              </w:rPr>
              <w:t>Total partners’ capital</w:t>
            </w:r>
          </w:p>
        </w:tc>
        <w:tc>
          <w:tcPr>
            <w:tcW w:w="22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8,705</w:t>
            </w:r>
          </w:p>
        </w:tc>
        <w:tc>
          <w:tcPr>
            <w:tcW w:w="9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capitalization</w:t>
            </w:r>
          </w:p>
        </w:tc>
        <w:tc>
          <w:tcPr>
            <w:tcW w:w="2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17,842</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9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9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PAA commercial paper notes are backstopped by the PAA senior unsecured revolving credit facility and the PAA senior secured hedged inventory facility, which mature in August 2019 and August 2017, respectively; as such, any borrowings under the PAA commercial paper program effectively reduce the available capacity under these facilities. At June 30, 2015, we classified $512 million of the borrowings under the commercial paper program as short-term, because these borrowings were primarily designated as working capital borrowings, were required to be repaid within one year and were primarily for hedged NGL and crude oil inventory and NYMEX and ICE margin deposits. At June 30, 2015, we classified $373 million of the borrowings under the commercial paper program as long-term, because we had the ability and intent to refinance these commercial paper notes on a long-term basis.</w:t>
      </w:r>
    </w:p>
    <w:p>
      <w:pPr>
        <w:spacing w:after="0" w:line="160" w:lineRule="exact"/>
        <w:rPr>
          <w:rFonts w:ascii="Arial" w:cs="Arial" w:eastAsia="Arial" w:hAnsi="Arial"/>
          <w:sz w:val="16"/>
          <w:szCs w:val="16"/>
          <w:color w:val="auto"/>
        </w:rPr>
      </w:pPr>
    </w:p>
    <w:p>
      <w:pPr>
        <w:ind w:left="460" w:right="220" w:hanging="452"/>
        <w:spacing w:after="0" w:line="335"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On a historical and as adjusted basis as of June 30, 2015, our Canadian subsidiary, Plains Midstream Canada ULC, had no outstanding commercial paper notes. As of August 14, 2015, we had approximately $1.7 billion of borrowings outstanding under our commercial paper program. We did not have any borrowings outstanding under our senior secured hedged inventory facility or our senior unsecured revolving credit facility as of August 14, 2015.</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will issue the Notes under an indenture (the “Base Indenture”) dated as of September 25, 2002, among us, the subsidiary guarantors and U.S. Bank National Association, as successor trustee, and a supplemental indenture thereto with respect to the Notes to be dated as of August , 2015 (the Base Indenture, as supplemented by such supplemental indenture, the “Indenture”). The Notes will constitute a new series of debt securities under the Indenture, and multiple other series are now outstanding under the Base Indenture, each issued under a separate supplemental indenture.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 Entry, Delivery and Form.”</w:t>
      </w:r>
    </w:p>
    <w:p>
      <w:pPr>
        <w:spacing w:after="0" w:line="12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0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w:t>
      </w:r>
    </w:p>
    <w:p>
      <w:pPr>
        <w:spacing w:after="0" w:line="21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234"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series of debt securities issued under the Indenture;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211"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junior to existing and future indebtedness and other obligations of our subsidiaries, including trade payables, other than subsidiaries that may guarantee the Notes in the future.</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June 30, 2015, on an as adjusted basis as described under “Capitalization,” the Notes would not have been subordinated to any short-term secured indebtedness and would not have been structurally subordinated to any of our subsidiaries’ outstanding indebtedness.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will issue the Notes in an initial aggregate principal amount of $ million. The Notes will mature on , 2025. The Notes will bear interest at an annual rate of %. Interest on the Notes will accrue from August , 2015 and will be payable semi-annually in arrears on and of each year, beginning , 2016. We will make each interest payment to the holders of record at the close of business on the and preceding such</w:t>
      </w:r>
    </w:p>
    <w:p>
      <w:pPr>
        <w:ind w:right="600"/>
        <w:spacing w:after="0" w:line="261" w:lineRule="auto"/>
        <w:rPr>
          <w:sz w:val="20"/>
          <w:szCs w:val="20"/>
          <w:color w:val="auto"/>
        </w:rPr>
      </w:pPr>
      <w:r>
        <w:rPr>
          <w:rFonts w:ascii="Arial" w:cs="Arial" w:eastAsia="Arial" w:hAnsi="Arial"/>
          <w:sz w:val="18"/>
          <w:szCs w:val="18"/>
          <w:color w:val="auto"/>
        </w:rPr>
        <w:t>interest payment dates. Interest will be computed on the basis of a 360-day year consisting of twelve 30-day months. We will issue the Notes in minimum denominations of $2,000 and integral multiples of $1,000 in excess thereof.</w:t>
      </w:r>
    </w:p>
    <w:p>
      <w:pPr>
        <w:spacing w:after="0" w:line="13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1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172" w:lineRule="exact"/>
        <w:rPr>
          <w:sz w:val="20"/>
          <w:szCs w:val="20"/>
          <w:color w:val="auto"/>
        </w:rPr>
      </w:pPr>
    </w:p>
    <w:p>
      <w:pPr>
        <w:ind w:left="900" w:right="2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25" w:lineRule="exact"/>
        <w:rPr>
          <w:rFonts w:ascii="Arial" w:cs="Arial" w:eastAsia="Arial" w:hAnsi="Arial"/>
          <w:sz w:val="16"/>
          <w:szCs w:val="16"/>
          <w:color w:val="auto"/>
        </w:rPr>
      </w:pPr>
    </w:p>
    <w:p>
      <w:pPr>
        <w:ind w:left="5560" w:right="120" w:hanging="4985"/>
        <w:spacing w:after="0" w:line="440" w:lineRule="auto"/>
        <w:tabs>
          <w:tab w:leader="none" w:pos="9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 S-11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Indenture).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77"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The Notes will be redeemable, in whole or in part, at our option at any time and from time to time prior to maturity. If we redeem the Notes before the Par Call Date, the Notes may be redeemed at a redemption price equal to the greater of (i) 100% of the principal amount of the Notes to be redeemed and (ii) as determined by the Quotation Agent, the sum of the present values of the remaining scheduled payments of principal and interest on the Notes to be redeemed that would have been due if the Notes matured on the Par Call Date (not including any portion of those payments of interest accrued to the date of redemption), discounted to the date of redemption on a semiannual basis (assuming 360-day years, each consisting of twelve 30-day months) at the Adjusted Treasury Rate (as</w:t>
      </w:r>
    </w:p>
    <w:p>
      <w:pPr>
        <w:spacing w:after="0" w:line="2"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defined herein) plus</w:t>
      </w:r>
      <w:r>
        <w:rPr>
          <w:sz w:val="20"/>
          <w:szCs w:val="20"/>
          <w:color w:val="auto"/>
        </w:rPr>
        <w:tab/>
      </w:r>
      <w:r>
        <w:rPr>
          <w:rFonts w:ascii="Arial" w:cs="Arial" w:eastAsia="Arial" w:hAnsi="Arial"/>
          <w:sz w:val="15"/>
          <w:szCs w:val="15"/>
          <w:color w:val="auto"/>
        </w:rPr>
        <w:t>basis points, together with accrued and unpaid interest to the date of redemption.</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we redeem the Notes on or after the Par Call Date, the redemption price will equal 100% of the principal amount of the Notes to be redeemed plus accrued and unpaid interest to the redemption date.</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40" w:lineRule="exact"/>
        <w:rPr>
          <w:sz w:val="20"/>
          <w:szCs w:val="20"/>
          <w:color w:val="auto"/>
        </w:rPr>
      </w:pPr>
    </w:p>
    <w:p>
      <w:pPr>
        <w:ind w:left="460"/>
        <w:spacing w:after="0"/>
        <w:tabs>
          <w:tab w:leader="none" w:pos="266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r>
        <w:rPr>
          <w:sz w:val="20"/>
          <w:szCs w:val="20"/>
          <w:color w:val="auto"/>
        </w:rPr>
        <w:tab/>
      </w:r>
      <w:r>
        <w:rPr>
          <w:rFonts w:ascii="Arial" w:cs="Arial" w:eastAsia="Arial" w:hAnsi="Arial"/>
          <w:sz w:val="16"/>
          <w:szCs w:val="16"/>
          <w:color w:val="auto"/>
        </w:rPr>
        <w:t>, 2025 (three months prior to the maturity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171"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Citigroup Global Markets Inc., Mizuho Securities USA Inc., a primary U.S. Government securities dealer in the United States (a “Primary Treasury Dealer”) selected by Mitsubishi UFJ Securities (USA), Inc., and UBS Securities LLC, or their respective successors; provided, however, if any of the foregoing ceases to be a Primary Treasury Dealer, we shall substitute another Primary Treasury Dealer.</w:t>
      </w:r>
    </w:p>
    <w:p>
      <w:pPr>
        <w:spacing w:after="0" w:line="10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17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234" w:lineRule="exact"/>
        <w:rPr>
          <w:rFonts w:ascii="Arial" w:cs="Arial" w:eastAsia="Arial" w:hAnsi="Arial"/>
          <w:sz w:val="16"/>
          <w:szCs w:val="16"/>
          <w:color w:val="auto"/>
        </w:rPr>
      </w:pPr>
    </w:p>
    <w:p>
      <w:pPr>
        <w:ind w:left="900" w:right="5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by such method as the trustee shall deem fair and appropriate.</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30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is an “Event of Default”:</w:t>
      </w:r>
    </w:p>
    <w:p>
      <w:pPr>
        <w:spacing w:after="0" w:line="21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211"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147" w:lineRule="exact"/>
        <w:rPr>
          <w:rFonts w:ascii="Arial" w:cs="Arial" w:eastAsia="Arial" w:hAnsi="Arial"/>
          <w:sz w:val="16"/>
          <w:szCs w:val="16"/>
          <w:color w:val="auto"/>
        </w:rPr>
      </w:pPr>
    </w:p>
    <w:p>
      <w:pPr>
        <w:ind w:left="900" w:hanging="325"/>
        <w:spacing w:after="0" w:line="287"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debt for money borrowed of us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 principal of or premium, if any, or interest on such debt prior to the expiration of any grace period provided in such debt (a “Payment Default”), or (y)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6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40"/>
          </w:cols>
          <w:pgMar w:left="240" w:top="45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234" w:lineRule="exact"/>
        <w:rPr>
          <w:rFonts w:ascii="Arial" w:cs="Arial" w:eastAsia="Arial" w:hAnsi="Arial"/>
          <w:sz w:val="16"/>
          <w:szCs w:val="16"/>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11"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4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18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211" w:lineRule="exact"/>
        <w:rPr>
          <w:rFonts w:ascii="Arial" w:cs="Arial" w:eastAsia="Arial" w:hAnsi="Arial"/>
          <w:sz w:val="18"/>
          <w:szCs w:val="18"/>
          <w:color w:val="auto"/>
        </w:rPr>
      </w:pPr>
    </w:p>
    <w:p>
      <w:pPr>
        <w:ind w:left="1480" w:right="20" w:hanging="446"/>
        <w:spacing w:after="0" w:line="306" w:lineRule="auto"/>
        <w:tabs>
          <w:tab w:leader="none" w:pos="14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47" w:lineRule="exact"/>
        <w:rPr>
          <w:rFonts w:ascii="Arial" w:cs="Arial" w:eastAsia="Arial" w:hAnsi="Arial"/>
          <w:sz w:val="16"/>
          <w:szCs w:val="16"/>
          <w:color w:val="auto"/>
        </w:rPr>
      </w:pPr>
    </w:p>
    <w:p>
      <w:pPr>
        <w:jc w:val="both"/>
        <w:ind w:left="1480" w:right="160" w:hanging="446"/>
        <w:spacing w:after="0" w:line="259"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18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234"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18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234"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11"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18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211"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211"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19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17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11"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 Possible Future Guarantees”);</w:t>
      </w:r>
    </w:p>
    <w:p>
      <w:pPr>
        <w:spacing w:after="0" w:line="234" w:lineRule="exact"/>
        <w:rPr>
          <w:rFonts w:ascii="Arial" w:cs="Arial" w:eastAsia="Arial" w:hAnsi="Arial"/>
          <w:sz w:val="16"/>
          <w:szCs w:val="16"/>
          <w:color w:val="auto"/>
        </w:rPr>
      </w:pPr>
    </w:p>
    <w:p>
      <w:pPr>
        <w:ind w:left="900" w:right="24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34"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not, nor will we permit any Subsidiary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153"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11" w:lineRule="exact"/>
        <w:rPr>
          <w:rFonts w:ascii="Arial" w:cs="Arial" w:eastAsia="Arial" w:hAnsi="Arial"/>
          <w:sz w:val="18"/>
          <w:szCs w:val="18"/>
          <w:color w:val="auto"/>
        </w:rPr>
      </w:pPr>
    </w:p>
    <w:p>
      <w:pPr>
        <w:ind w:left="90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47" w:lineRule="exact"/>
        <w:rPr>
          <w:rFonts w:ascii="Arial" w:cs="Arial" w:eastAsia="Arial" w:hAnsi="Arial"/>
          <w:sz w:val="16"/>
          <w:szCs w:val="16"/>
          <w:color w:val="auto"/>
        </w:rPr>
      </w:pPr>
    </w:p>
    <w:p>
      <w:pPr>
        <w:ind w:left="900" w:right="180" w:hanging="325"/>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147"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 or any Restricted Subsidiary); provided, however, that such lien only encumbers the property or assets so acquired;</w:t>
      </w:r>
    </w:p>
    <w:p>
      <w:pPr>
        <w:spacing w:after="0" w:line="18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18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180" w:lineRule="exact"/>
        <w:rPr>
          <w:rFonts w:ascii="Arial" w:cs="Arial" w:eastAsia="Arial" w:hAnsi="Arial"/>
          <w:sz w:val="18"/>
          <w:szCs w:val="18"/>
          <w:color w:val="auto"/>
        </w:rPr>
      </w:pPr>
    </w:p>
    <w:p>
      <w:pPr>
        <w:ind w:left="900" w:right="20" w:hanging="325"/>
        <w:spacing w:after="0" w:line="29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160"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and will not permit any Subsidiary to, engage in a Sale-leaseback Transaction, unless:</w:t>
      </w:r>
    </w:p>
    <w:p>
      <w:pPr>
        <w:spacing w:after="0" w:line="212" w:lineRule="exact"/>
        <w:rPr>
          <w:sz w:val="20"/>
          <w:szCs w:val="20"/>
          <w:color w:val="auto"/>
        </w:rPr>
      </w:pPr>
    </w:p>
    <w:p>
      <w:pPr>
        <w:ind w:left="900" w:right="20" w:hanging="325"/>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18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11" w:lineRule="exact"/>
        <w:rPr>
          <w:rFonts w:ascii="Arial" w:cs="Arial" w:eastAsia="Arial" w:hAnsi="Arial"/>
          <w:sz w:val="18"/>
          <w:szCs w:val="18"/>
          <w:color w:val="auto"/>
        </w:rPr>
      </w:pPr>
    </w:p>
    <w:p>
      <w:pPr>
        <w:ind w:left="900" w:right="18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125"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Indenture) secured by liens upon Principal Properties not excepted in the first paragraph under “— Limitations on Liens,” do not exceed 10% of Consolidated Net Tangible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17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32"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 such opinion of counsel must be based on a ruling of the Internal Revenue Service or other change in applicable federal income tax law.</w:t>
      </w:r>
    </w:p>
    <w:p>
      <w:pPr>
        <w:spacing w:after="0" w:line="10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72"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211" w:lineRule="exact"/>
        <w:rPr>
          <w:rFonts w:ascii="Arial" w:cs="Arial" w:eastAsia="Arial" w:hAnsi="Arial"/>
          <w:sz w:val="18"/>
          <w:szCs w:val="18"/>
          <w:color w:val="auto"/>
        </w:rPr>
      </w:pPr>
    </w:p>
    <w:p>
      <w:pPr>
        <w:ind w:left="900" w:right="140" w:hanging="325"/>
        <w:spacing w:after="0" w:line="25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171" w:lineRule="exact"/>
        <w:rPr>
          <w:sz w:val="20"/>
          <w:szCs w:val="20"/>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171" w:lineRule="exact"/>
        <w:rPr>
          <w:rFonts w:ascii="Arial" w:cs="Arial" w:eastAsia="Arial" w:hAnsi="Arial"/>
          <w:sz w:val="18"/>
          <w:szCs w:val="18"/>
          <w:color w:val="auto"/>
        </w:rPr>
      </w:pPr>
    </w:p>
    <w:p>
      <w:pPr>
        <w:ind w:left="920" w:right="320" w:firstLine="421"/>
        <w:spacing w:after="0" w:line="268" w:lineRule="auto"/>
        <w:tabs>
          <w:tab w:leader="none" w:pos="1579"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31" w:lineRule="exact"/>
        <w:rPr>
          <w:rFonts w:ascii="Arial" w:cs="Arial" w:eastAsia="Arial" w:hAnsi="Arial"/>
          <w:sz w:val="18"/>
          <w:szCs w:val="18"/>
          <w:color w:val="auto"/>
        </w:rPr>
      </w:pPr>
    </w:p>
    <w:p>
      <w:pPr>
        <w:ind w:left="1580" w:hanging="239"/>
        <w:spacing w:after="0"/>
        <w:tabs>
          <w:tab w:leader="none" w:pos="15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71" w:lineRule="exact"/>
        <w:rPr>
          <w:sz w:val="20"/>
          <w:szCs w:val="20"/>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171" w:lineRule="exact"/>
        <w:rPr>
          <w:rFonts w:ascii="Arial" w:cs="Arial" w:eastAsia="Arial" w:hAnsi="Arial"/>
          <w:sz w:val="18"/>
          <w:szCs w:val="18"/>
          <w:color w:val="auto"/>
        </w:rPr>
      </w:pPr>
    </w:p>
    <w:p>
      <w:pPr>
        <w:ind w:left="460" w:right="320" w:firstLine="443"/>
        <w:spacing w:after="0" w:line="306" w:lineRule="auto"/>
        <w:tabs>
          <w:tab w:leader="none" w:pos="11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06" w:lineRule="exact"/>
        <w:rPr>
          <w:rFonts w:ascii="Arial" w:cs="Arial" w:eastAsia="Arial" w:hAnsi="Arial"/>
          <w:sz w:val="16"/>
          <w:szCs w:val="16"/>
          <w:color w:val="auto"/>
        </w:rPr>
      </w:pPr>
    </w:p>
    <w:p>
      <w:pPr>
        <w:ind w:left="46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31"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31" w:lineRule="exact"/>
        <w:rPr>
          <w:rFonts w:ascii="Arial" w:cs="Arial" w:eastAsia="Arial" w:hAnsi="Arial"/>
          <w:sz w:val="18"/>
          <w:szCs w:val="18"/>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171"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31"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131" w:lineRule="exact"/>
        <w:rPr>
          <w:rFonts w:ascii="Arial" w:cs="Arial" w:eastAsia="Arial" w:hAnsi="Arial"/>
          <w:sz w:val="18"/>
          <w:szCs w:val="18"/>
          <w:color w:val="auto"/>
        </w:rPr>
      </w:pPr>
    </w:p>
    <w:p>
      <w:pPr>
        <w:ind w:left="460" w:right="220" w:firstLine="443"/>
        <w:spacing w:after="0" w:line="332" w:lineRule="auto"/>
        <w:tabs>
          <w:tab w:leader="none" w:pos="1147"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85" w:lineRule="exact"/>
        <w:rPr>
          <w:rFonts w:ascii="Arial" w:cs="Arial" w:eastAsia="Arial" w:hAnsi="Arial"/>
          <w:sz w:val="16"/>
          <w:szCs w:val="16"/>
          <w:color w:val="auto"/>
        </w:rPr>
      </w:pPr>
    </w:p>
    <w:p>
      <w:pPr>
        <w:ind w:left="1160" w:hanging="257"/>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firstLine="443"/>
        <w:spacing w:after="0" w:line="256" w:lineRule="auto"/>
        <w:tabs>
          <w:tab w:leader="none" w:pos="1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43" w:lineRule="exact"/>
        <w:rPr>
          <w:rFonts w:ascii="Arial" w:cs="Arial" w:eastAsia="Arial" w:hAnsi="Arial"/>
          <w:sz w:val="18"/>
          <w:szCs w:val="18"/>
          <w:color w:val="auto"/>
        </w:rPr>
      </w:pPr>
    </w:p>
    <w:p>
      <w:pPr>
        <w:ind w:left="1240" w:hanging="337"/>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171" w:lineRule="exact"/>
        <w:rPr>
          <w:rFonts w:ascii="Arial" w:cs="Arial" w:eastAsia="Arial" w:hAnsi="Arial"/>
          <w:sz w:val="18"/>
          <w:szCs w:val="18"/>
          <w:color w:val="auto"/>
        </w:rPr>
      </w:pPr>
    </w:p>
    <w:p>
      <w:pPr>
        <w:ind w:left="460" w:firstLine="443"/>
        <w:spacing w:after="0" w:line="254" w:lineRule="auto"/>
        <w:tabs>
          <w:tab w:leader="none" w:pos="1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Indenture (including the Notes) in connection with such refunding, refinancing or repurchase, and the required corresponding durations thereof), to refinance, refund or repurchase all outstanding debt securities under the Indenture (including the Notes), including the amount of all accrued interest thereon and reasonable fees and expenses and premium, if any, incurred by us or any Restricted Subsidiary in connection therewith;</w:t>
      </w:r>
    </w:p>
    <w:p>
      <w:pPr>
        <w:spacing w:after="0" w:line="144" w:lineRule="exact"/>
        <w:rPr>
          <w:rFonts w:ascii="Arial" w:cs="Arial" w:eastAsia="Arial" w:hAnsi="Arial"/>
          <w:sz w:val="18"/>
          <w:szCs w:val="18"/>
          <w:color w:val="auto"/>
        </w:rPr>
      </w:pPr>
    </w:p>
    <w:p>
      <w:pPr>
        <w:ind w:left="460" w:right="460" w:firstLine="443"/>
        <w:spacing w:after="0" w:line="268" w:lineRule="auto"/>
        <w:tabs>
          <w:tab w:leader="none" w:pos="1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31" w:lineRule="exact"/>
        <w:rPr>
          <w:rFonts w:ascii="Arial" w:cs="Arial" w:eastAsia="Arial" w:hAnsi="Arial"/>
          <w:sz w:val="18"/>
          <w:szCs w:val="18"/>
          <w:color w:val="auto"/>
        </w:rPr>
      </w:pPr>
    </w:p>
    <w:p>
      <w:pPr>
        <w:ind w:left="1240" w:hanging="337"/>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171" w:lineRule="exact"/>
        <w:rPr>
          <w:rFonts w:ascii="Arial" w:cs="Arial" w:eastAsia="Arial" w:hAnsi="Arial"/>
          <w:sz w:val="18"/>
          <w:szCs w:val="18"/>
          <w:color w:val="auto"/>
        </w:rPr>
      </w:pPr>
    </w:p>
    <w:p>
      <w:pPr>
        <w:ind w:left="460" w:right="20" w:firstLine="443"/>
        <w:spacing w:after="0" w:line="298" w:lineRule="auto"/>
        <w:tabs>
          <w:tab w:leader="none" w:pos="12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12" w:lineRule="exact"/>
        <w:rPr>
          <w:rFonts w:ascii="Arial" w:cs="Arial" w:eastAsia="Arial" w:hAnsi="Arial"/>
          <w:sz w:val="16"/>
          <w:szCs w:val="16"/>
          <w:color w:val="auto"/>
        </w:rPr>
      </w:pPr>
    </w:p>
    <w:p>
      <w:pPr>
        <w:ind w:left="460" w:right="160" w:firstLine="443"/>
        <w:spacing w:after="0" w:line="256" w:lineRule="auto"/>
        <w:tabs>
          <w:tab w:leader="none" w:pos="1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43" w:lineRule="exact"/>
        <w:rPr>
          <w:rFonts w:ascii="Arial" w:cs="Arial" w:eastAsia="Arial" w:hAnsi="Arial"/>
          <w:sz w:val="18"/>
          <w:szCs w:val="18"/>
          <w:color w:val="auto"/>
        </w:rPr>
      </w:pPr>
    </w:p>
    <w:p>
      <w:pPr>
        <w:jc w:val="both"/>
        <w:ind w:left="460" w:right="340" w:firstLine="443"/>
        <w:spacing w:after="0" w:line="298" w:lineRule="auto"/>
        <w:tabs>
          <w:tab w:leader="none" w:pos="12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 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12" w:lineRule="exact"/>
        <w:rPr>
          <w:rFonts w:ascii="Arial" w:cs="Arial" w:eastAsia="Arial" w:hAnsi="Arial"/>
          <w:sz w:val="16"/>
          <w:szCs w:val="16"/>
          <w:color w:val="auto"/>
        </w:rPr>
      </w:pPr>
    </w:p>
    <w:p>
      <w:pPr>
        <w:ind w:left="460" w:right="160" w:firstLine="443"/>
        <w:spacing w:after="0" w:line="268" w:lineRule="auto"/>
        <w:tabs>
          <w:tab w:leader="none" w:pos="12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171" w:lineRule="exact"/>
        <w:rPr>
          <w:sz w:val="20"/>
          <w:szCs w:val="20"/>
          <w:color w:val="auto"/>
        </w:rPr>
      </w:pPr>
    </w:p>
    <w:p>
      <w:pPr>
        <w:ind w:left="460" w:firstLine="443"/>
        <w:spacing w:after="0" w:line="259"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40" w:lineRule="exact"/>
        <w:rPr>
          <w:rFonts w:ascii="Arial" w:cs="Arial" w:eastAsia="Arial" w:hAnsi="Arial"/>
          <w:sz w:val="18"/>
          <w:szCs w:val="18"/>
          <w:color w:val="auto"/>
        </w:rPr>
      </w:pPr>
    </w:p>
    <w:p>
      <w:pPr>
        <w:ind w:left="460" w:right="220" w:firstLine="443"/>
        <w:spacing w:after="0" w:line="255" w:lineRule="auto"/>
        <w:tabs>
          <w:tab w:leader="none" w:pos="11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171" w:lineRule="exact"/>
        <w:rPr>
          <w:sz w:val="20"/>
          <w:szCs w:val="20"/>
          <w:color w:val="auto"/>
        </w:rPr>
      </w:pPr>
    </w:p>
    <w:p>
      <w:pPr>
        <w:ind w:left="460" w:right="60" w:firstLine="443"/>
        <w:spacing w:after="0" w:line="306" w:lineRule="auto"/>
        <w:tabs>
          <w:tab w:leader="none" w:pos="11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06" w:lineRule="exact"/>
        <w:rPr>
          <w:rFonts w:ascii="Arial" w:cs="Arial" w:eastAsia="Arial" w:hAnsi="Arial"/>
          <w:sz w:val="16"/>
          <w:szCs w:val="16"/>
          <w:color w:val="auto"/>
        </w:rPr>
      </w:pPr>
    </w:p>
    <w:p>
      <w:pPr>
        <w:ind w:left="460" w:right="60" w:firstLine="443"/>
        <w:spacing w:after="0" w:line="332" w:lineRule="auto"/>
        <w:tabs>
          <w:tab w:leader="none" w:pos="11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BOOK ENTRY, DELIVERY AND FORM</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société anonyme,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177"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2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16" w:lineRule="exact"/>
        <w:rPr>
          <w:sz w:val="20"/>
          <w:szCs w:val="20"/>
          <w:color w:val="auto"/>
        </w:rPr>
      </w:pPr>
    </w:p>
    <w:p>
      <w:pPr>
        <w:ind w:right="280" w:firstLine="456"/>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 Entry Notes for Certificated Notes.”</w:t>
      </w:r>
    </w:p>
    <w:p>
      <w:pPr>
        <w:spacing w:after="0" w:line="138" w:lineRule="exact"/>
        <w:rPr>
          <w:sz w:val="20"/>
          <w:szCs w:val="20"/>
          <w:color w:val="auto"/>
        </w:rPr>
      </w:pPr>
    </w:p>
    <w:p>
      <w:pPr>
        <w:ind w:right="120" w:firstLine="456"/>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8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460" w:firstLine="8"/>
        <w:spacing w:after="0" w:line="261"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3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14" w:lineRule="exact"/>
        <w:rPr>
          <w:sz w:val="20"/>
          <w:szCs w:val="20"/>
          <w:color w:val="auto"/>
        </w:rPr>
      </w:pPr>
    </w:p>
    <w:p>
      <w:pPr>
        <w:jc w:val="both"/>
        <w:ind w:right="180" w:firstLine="456"/>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03"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Cross-market transfers between the accountholders in DTC, on the one hand, and directly or indirectly through Euroclear or Clearstream accountholders, on the other hand, will be effected through DTC in accordance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 Entry Notes for Certificated Notes” occurs, DTC reserves the right to exchange the Global Notes for Notes in certificated form and to distribute such Notes to its Participants.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 Entry Notes for Certificated Notes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now in effect, all of which are subject to change, possibly on a retroactive basis, or are subject to different interpretations. There can be no assurance that the Internal Revenue Service (the “IRS”) will take a similar view of such consequences, and we have not obtained, nor do we intend to obtain, a ruling from the IRS with respect to the U.S. federal income tax consequences of the purchase, ownership or disposition of the Notes. This discussion is limited to initial beneficial owners who purchase Notes for cash at their issue price (the first price at which a substantial amount of the Notes is sold to investors, not including bond houses, brokers or similar persons or organizations acting in the capacity of underwriters, placement agents or wholesalers) and who hold the Notes as capital assets (generally property held for investment).</w:t>
      </w:r>
    </w:p>
    <w:p>
      <w:pPr>
        <w:spacing w:after="0" w:line="118"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this discussion, we do not purport to address all tax considerations that may be important to a particular holder in light of the holder’s special circumstances, or to certain categories of holders that may be subject to special rules, such as:</w:t>
      </w:r>
    </w:p>
    <w:p>
      <w:pPr>
        <w:spacing w:after="0" w:line="172"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211"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addition, the discussion does not consider the effect of U.S. federal estate tax laws or gift tax laws or of any applicable foreign, state, local or other tax laws or income tax treaties.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an entity treated as a partnership for U.S. federal income tax purposes is a beneficial owner of Notes, the U.S. federal income tax treatment of a partner in the partnership will generally depend upon the status of the partner and upon the activities of the partnership. Partners in partnerships acquiring Notes are encouraged to consult their tax advisors about the U.S. federal income tax consequences of acquiring, owning and disposing of the Notes.</w:t>
      </w:r>
    </w:p>
    <w:p>
      <w:pPr>
        <w:spacing w:after="0" w:line="10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PROSPECTIVE INVESTORS ARE ENCOURAGED TO CONSULT THEIR OWN TAX ADVISORS WITH REGARD TO THE APPLICATION OF THE TAX CONSEQUENCES DISCUSSED BELOW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THEIR PARTICULAR SITUATIONS, AS WELL AS THE APPLICATION OF U.S. FEDERAL ESTATE OR GIFT TAX LAWS OR OF ANY STATE, LOCAL, FOREIGN OR OTHER TAX LAWS OR INCOME TAX TREATIES.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177" w:lineRule="exact"/>
        <w:rPr>
          <w:sz w:val="20"/>
          <w:szCs w:val="20"/>
          <w:color w:val="auto"/>
        </w:rPr>
      </w:pPr>
    </w:p>
    <w:p>
      <w:pPr>
        <w:ind w:right="200" w:firstLine="456"/>
        <w:spacing w:after="0" w:line="318" w:lineRule="auto"/>
        <w:rPr>
          <w:sz w:val="20"/>
          <w:szCs w:val="20"/>
          <w:color w:val="auto"/>
        </w:rPr>
      </w:pPr>
      <w:r>
        <w:rPr>
          <w:rFonts w:ascii="Arial" w:cs="Arial" w:eastAsia="Arial" w:hAnsi="Arial"/>
          <w:sz w:val="15"/>
          <w:szCs w:val="15"/>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the timing, character and amount of taxable income in respect of the Notes may be different from that described herein. The remainder of this discussion assumes that the Notes are not contingent payment debt instruments. Prospective investors should consult their own tax advisors regarding the possible application of the contingent payment debt instrument rules to the Notes.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a “U.S. Holder” means a beneficial owner of a Note that is:</w:t>
      </w:r>
    </w:p>
    <w:p>
      <w:pPr>
        <w:spacing w:after="0" w:line="21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individual who is a citizen or resident alien of the United States;</w:t>
      </w:r>
    </w:p>
    <w:p>
      <w:pPr>
        <w:spacing w:after="0" w:line="211"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or under the laws of the United States or any political subdivision thereof;</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11"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Upon the sale, exchange, retirement, redemption or other taxable disposition of a Note, a U.S. Holder will generally recognize capital gain or loss equal to the difference, if any, between proceeds received on the disposition (excluding any proceeds attributable to accrued but unpaid interest which is taxable as ordinary interest income to the extent not previously included in income) and such holder’s adjusted tax basis in the Note. The amount realized by a U.S. Holder will include the amount of any cash and the fair market value of any other property received for the Note. A U.S. Holder’s adjusted tax basis in a Note will generally equal the purchase price paid by such holder for the Note.</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general, any gain or loss realized on the sale, exchange, retirement, redemption or other taxable disposition of a Note by a U.S. Holder will be long-term capital gain or loss if, at the time of disposition, the U.S. Holder has held the Note for more than one year. The long-term capital gains of individuals, estates and trusts currently are subject to a reduced rate of U.S. federal income tax. The deductibility of capital losses is subject to certain limitations.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Information reporting will generally apply to payments of interest on, and the proceeds of the sale, exchange, retirement, redemption or other disposition of, Notes held by a U.S. Holder, and backup withholding may apply unless the U.S. Holder provides the applicable withholding agent with a taxpayer identification number, certified under penalties of perjury, as well as certain other information or otherwise establishes an exemption from backup withholding. Any amount withheld under the backup withholding rules is allowable as a credit against the U.S. Holder’s U.S. federal income tax liability, if any, and a refund may be obtained if the amounts withheld exceed the U.S. Holder’s actual U.S. federal income tax liability and the U.S. Holder timely provides the required information or appropriate claim form to the IRS.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a “Non-U.S. Holder” means a beneficial owner of a Note that is an individual, corporation, estate or trust that is not a U.S. Holder.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Subject to the discussion of backup withholding and FATCA withholding, below, the payment to a Non-U.S. Holder of interest on a Note generally will not be subject to U.S. federal income tax and will be exempt from withholding of U.S. federal income tax under the “portfolio interest” exemption provided that interest on the Note is not effectively connected with a U.S. trade or business conducted by the Non-U.S. Holder and the Non-U.S. Holder:</w:t>
      </w:r>
    </w:p>
    <w:p>
      <w:pPr>
        <w:spacing w:after="0" w:line="147"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does not actually or constructively own 10% or more of our capital or profits interests;</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 controlled foreign corporation for U.S. federal income tax purposes that is actually or constructively related to us;</w:t>
      </w:r>
    </w:p>
    <w:p>
      <w:pPr>
        <w:spacing w:after="0" w:line="211"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 not a bank whose receipt of interest on the Note is in connection with an extension of credit made pursuant to a loan agreement entered into in the ordinary course of business; and</w:t>
      </w:r>
    </w:p>
    <w:p>
      <w:pPr>
        <w:spacing w:after="0" w:line="172"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properly certifies as to his foreign status as described below.</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applicable successor form) to the applicable withholding agent.</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foreign status of partners, trust owners or beneficiaries may have to be provided to the applicable withholding agent. In addition, special rules apply to qualified intermediaries that enter into withholding agreements with the IRS.</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If a Non-U.S. Holder cannot satisfy the requirements described above, payments of interest made to the Non-U.S. Holder will be subject to a 30% U.S. federal withholding tax, unless the Non-U.S. Holder provides the applicable withholding agent with a properly executed IRS Form W-8BEN or IRS Form W-8BEN-E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applicable successor form) claiming an exemption from or reduction of the rate of withholding under the benefit of an income tax treaty, or that the interest paid on the Note is 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Notes</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Subject to the discussion of backup withholding and FATCA withholding, below, a Non-U.S. Holder generally will not be subject to U.S. federal income tax with respect to gain realized on the sale, exchange, retirement, redemption or other taxable disposition of a Note unless:</w:t>
      </w:r>
    </w:p>
    <w:p>
      <w:pPr>
        <w:spacing w:after="0" w:line="172" w:lineRule="exact"/>
        <w:rPr>
          <w:sz w:val="20"/>
          <w:szCs w:val="20"/>
          <w:color w:val="auto"/>
        </w:rPr>
      </w:pPr>
    </w:p>
    <w:p>
      <w:pPr>
        <w:ind w:left="90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by the Non-U.S. Holder of a trade or business in the United States (and if required by an applicable income tax treaty, is attributable to a permanent establishment maintained in the United States by the Non-U.S. Holder); or</w:t>
      </w:r>
    </w:p>
    <w:p>
      <w:pPr>
        <w:spacing w:after="0" w:line="125"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conditions are met.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U.S. source capital losses.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 Non-U.S. Holder of a Note is engaged in a trade or business in the United States and interest or gain on a Note is effectively connected with the conduct of such trade or business (and, if required by an applicable income tax treaty, such interest or gain is attributable to a permanent establishment such Non-U.S. Holder maintains in the United States), then the interest income or gain from the Note will generally be subject to U.S. federal income tax at regular graduated rates in the same manner as if that Non-U.S. Holder were a U.S. Holder. Effectively connected interest income will not be subject to U.S. federal withholding tax if the Non-U.S. Holder satisfies certain certification requirements by providing to the applicable withholding agent a properly executed IRS Form W-8ECI (or successor form). In addition, if the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Payments to a Non-U.S. Holder of interest on a Note, and amounts withheld from such payments, if any, generally will be required to be reported to the IRS and to the Non-U.S. Holder. Copies of these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0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Backup withholding generally will not apply to payments of interest and principal on a Note to a Non-U.S. Holder if the certification described in “U.S. Federal Income Taxation of Non-U.S. Holders—Interest on the Notes” is duly provided by the holder or the holder otherwise establishes an exemption, provided that the applicable withholding agent does not have actual knowledge or reason to know that the holder is a United States person.</w:t>
      </w:r>
    </w:p>
    <w:p>
      <w:pPr>
        <w:spacing w:after="0" w:line="10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Payment of the proceeds from a disposition of a Note effected by the U.S. office of a U.S. or foreign broker will be subject to information reporting requirements and backup withholding unless the Non-U.S. 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properly certifies under penalties of perjury as to its foreign status and certain other conditions are met or the Non-U.S. Holder otherwise establishes an exemption. Information reporting requirements and backup withholding generally will not apply to any payment of the proceeds of the sale of a Note effected outside the United States by a foreign office of a broker. However, unless such a broker has documentary evidence in its records that the holder is a Non-U.S. Holder and certain other conditions are met, or the Non-U.S. Holder otherwise establishes an exemption, information reporting will apply to a payment of the proceeds of the sale of a Note effected outside the United States by such a broker if the broker is:</w:t>
      </w:r>
    </w:p>
    <w:p>
      <w:pPr>
        <w:spacing w:after="0" w:line="15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United States person;</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foreign person that derives 50% or more of its gross income for certain periods from the conduct of a trade or business in the United States;</w:t>
      </w:r>
    </w:p>
    <w:p>
      <w:pPr>
        <w:spacing w:after="0" w:line="234"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 or</w:t>
      </w:r>
    </w:p>
    <w:p>
      <w:pPr>
        <w:spacing w:after="0" w:line="211"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foreign partnership that, at any time during its taxable year, has more than 50% of its income or capital interests owned by United States persons or is engaged in the conduct of a U.S. trade or business.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Backup withholding is not an additional tax. Any amount withheld from payments to a Non-U.S. Holder under the backup withholding rules is allowable as a credit against such holder’s U.S. federal income tax liability, if any, and a refund of any excess may be obtained from the IRS if the required information or appropriate claim form is timely provided to the IRS.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177"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color w:val="auto"/>
        </w:rPr>
        <w:t>Sections 1471 through 1474 of the Code and the U.S. Treasury regulations and administrative guidance issued thereunder (referred to as “FATCA”) impose a 30% U.S. federal withholding tax on payments of interest on the Notes and on the gross proceeds from the sale or other disposition of the Notes (if such sale or other disposition occurs after December 31, 2016), if paid to a “foreign financial institution” or a “non-financial foreign entity” (each as defined in the Code)</w:t>
      </w:r>
    </w:p>
    <w:p>
      <w:pPr>
        <w:spacing w:after="0" w:line="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Prospective investors are encouraged to consult with their own tax advisors regarding the implications of FATCA on an investment in the Notes.</w:t>
      </w:r>
    </w:p>
    <w:p>
      <w:pPr>
        <w:spacing w:after="0" w:line="194"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PRECEDING DISCUSSION OF MATERIAL U.S. FEDERAL INCOME TAX CONSEQUENCES IS FOR GENERAL INFORMATION ONLY AND IS NOT TAX ADVICE. EACH PROSPECTIVE INVESTOR IS ENCOURAGED TO CONSULT ITS OWN TAX ADVISOR REGARDING THE PARTICULAR U.S. FEDERAL, STATE, LOCAL AND FOREIGN TAX CONSEQUENCES OF PURCHASING, HOLDING AND DISPOSING OF THE NOTES, INCLUDING THE CONSEQUENCES OF ANY PROPOSED CHANGE IN APPLICABLE LAWS.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Subject to the terms and conditions set forth in an underwriting agreement, dated the date of this prospectus supplement, between us and the underwriters named below, we have agreed to sell to each of the underwriters, for whom Citigroup Global Markets Inc., Mizuho Securities USA Inc., Mitsubishi UFJ Securities (USA), Inc. and UBS Securities LLC are acting as representatives, and the underwriters have agreed, severally and not jointly, to purchase the principal amount of the Notes set forth opposite their respective names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5960" w:type="dxa"/>
            <w:vAlign w:val="bottom"/>
            <w:vMerge w:val="restart"/>
          </w:tcPr>
          <w:p>
            <w:pPr>
              <w:spacing w:after="0"/>
              <w:rPr>
                <w:sz w:val="14"/>
                <w:szCs w:val="14"/>
                <w:color w:val="auto"/>
              </w:rPr>
            </w:pPr>
          </w:p>
        </w:tc>
        <w:tc>
          <w:tcPr>
            <w:tcW w:w="404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4040" w:type="dxa"/>
            <w:vAlign w:val="bottom"/>
          </w:tcPr>
          <w:p>
            <w:pPr>
              <w:spacing w:after="0"/>
              <w:rPr>
                <w:sz w:val="14"/>
                <w:szCs w:val="14"/>
                <w:color w:val="auto"/>
              </w:rPr>
            </w:pPr>
          </w:p>
        </w:tc>
        <w:tc>
          <w:tcPr>
            <w:tcW w:w="6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6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Citigroup Global Markets Inc.</w:t>
            </w:r>
          </w:p>
        </w:tc>
        <w:tc>
          <w:tcPr>
            <w:tcW w:w="40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gridSpan w:val="2"/>
          </w:tcPr>
          <w:p>
            <w:pPr>
              <w:spacing w:after="0"/>
              <w:rPr>
                <w:sz w:val="20"/>
                <w:szCs w:val="20"/>
                <w:color w:val="auto"/>
              </w:rPr>
            </w:pPr>
            <w:r>
              <w:rPr>
                <w:rFonts w:ascii="Arial" w:cs="Arial" w:eastAsia="Arial" w:hAnsi="Arial"/>
                <w:sz w:val="18"/>
                <w:szCs w:val="18"/>
                <w:color w:val="auto"/>
              </w:rPr>
              <w:t>Mizuho Securities USA Inc.</w:t>
            </w:r>
          </w:p>
        </w:tc>
        <w:tc>
          <w:tcPr>
            <w:tcW w:w="4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Mitsubishi UFJ Securities (USA), Inc.</w:t>
            </w:r>
          </w:p>
        </w:tc>
        <w:tc>
          <w:tcPr>
            <w:tcW w:w="4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40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4580" w:type="dxa"/>
            <w:vAlign w:val="bottom"/>
            <w:gridSpan w:val="2"/>
            <w:shd w:val="clear" w:color="auto" w:fill="CCEEFF"/>
          </w:tcPr>
          <w:p>
            <w:pPr>
              <w:ind w:left="40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several underwriters to purchase the Notes included in this offering are subject to approval of legal matters by counsel and to other conditions. Under the terms of the underwriting agreement, the underwriters are committed to purchase all of the Notes if any are purchased.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underwriters propose initially to offer the Notes to the public at the public offering price set forth on the cover page of this prospectus supplement and may offer the Notes to certain dealers at such price less a concession not in excess of % of the principal amount of the Notes. The underwriters may allow a discount not in excess of % of the principal amount of the Notes, on sales to certain other brokers and dealers. After this initial public offering, the public offering price, concession and discount may be changed.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Underwriting</w:t>
            </w:r>
          </w:p>
        </w:tc>
      </w:tr>
      <w:tr>
        <w:trPr>
          <w:trHeight w:val="161"/>
        </w:trPr>
        <w:tc>
          <w:tcPr>
            <w:tcW w:w="9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Discount</w:t>
            </w:r>
          </w:p>
        </w:tc>
      </w:tr>
      <w:tr>
        <w:trPr>
          <w:trHeight w:val="210"/>
        </w:trPr>
        <w:tc>
          <w:tcPr>
            <w:tcW w:w="9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Note</w:t>
            </w:r>
          </w:p>
        </w:tc>
        <w:tc>
          <w:tcPr>
            <w:tcW w:w="8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9540" w:type="dxa"/>
            <w:vAlign w:val="bottom"/>
          </w:tcPr>
          <w:p>
            <w:pPr>
              <w:ind w:left="44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18"/>
                <w:szCs w:val="18"/>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0"/>
        </w:trPr>
        <w:tc>
          <w:tcPr>
            <w:tcW w:w="9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70"/>
        </w:trPr>
        <w:tc>
          <w:tcPr>
            <w:tcW w:w="9540" w:type="dxa"/>
            <w:vAlign w:val="bottom"/>
          </w:tcPr>
          <w:p>
            <w:pPr>
              <w:ind w:left="460"/>
              <w:spacing w:after="0"/>
              <w:rPr>
                <w:sz w:val="20"/>
                <w:szCs w:val="20"/>
                <w:color w:val="auto"/>
              </w:rPr>
            </w:pPr>
            <w:r>
              <w:rPr>
                <w:rFonts w:ascii="Arial" w:cs="Arial" w:eastAsia="Arial" w:hAnsi="Arial"/>
                <w:sz w:val="18"/>
                <w:szCs w:val="18"/>
                <w:color w:val="auto"/>
                <w:w w:val="91"/>
              </w:rPr>
              <w:t>We estimate that our share of the total expenses of the offering, excluding the underwriting discount, will be approximately $</w:t>
            </w:r>
          </w:p>
        </w:tc>
        <w:tc>
          <w:tcPr>
            <w:tcW w:w="1880" w:type="dxa"/>
            <w:vAlign w:val="bottom"/>
            <w:gridSpan w:val="3"/>
          </w:tcPr>
          <w:p>
            <w:pPr>
              <w:jc w:val="right"/>
              <w:ind w:right="952"/>
              <w:spacing w:after="0"/>
              <w:rPr>
                <w:sz w:val="20"/>
                <w:szCs w:val="20"/>
                <w:color w:val="auto"/>
              </w:rPr>
            </w:pPr>
            <w:r>
              <w:rPr>
                <w:rFonts w:ascii="Arial" w:cs="Arial" w:eastAsia="Arial" w:hAnsi="Arial"/>
                <w:sz w:val="18"/>
                <w:szCs w:val="18"/>
                <w:color w:val="auto"/>
              </w:rPr>
              <w:t>million.</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 time without notice. No assurance can be given as to whether or not a trading market for the Notes will develop or as to the liquidity of any trading market for the Notes which may develop.</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17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17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color w:val="auto"/>
        </w:rPr>
        <w:t>We expect delivery of the Notes will be made against payment therefor on or about August , 2015, which is the business day following the date of pricing of the Notes (such settlement being referred to as “T+ ”). Under Rule 15c6-1 of the Exchange Act, trades in the secondary market</w:t>
      </w:r>
    </w:p>
    <w:p>
      <w:pPr>
        <w:spacing w:after="0"/>
        <w:rPr>
          <w:sz w:val="20"/>
          <w:szCs w:val="20"/>
          <w:color w:val="auto"/>
        </w:rPr>
      </w:pPr>
      <w:r>
        <w:rPr>
          <w:rFonts w:ascii="Arial" w:cs="Arial" w:eastAsia="Arial" w:hAnsi="Arial"/>
          <w:sz w:val="15"/>
          <w:szCs w:val="15"/>
          <w:color w:val="auto"/>
        </w:rPr>
        <w:t>generally are required to settle in three business days unless the parties to any such trade expressly agree otherwise. Accordingly, purchasers who wish to trade the</w:t>
      </w:r>
    </w:p>
    <w:p>
      <w:pPr>
        <w:spacing w:after="0" w:line="44" w:lineRule="exact"/>
        <w:rPr>
          <w:sz w:val="20"/>
          <w:szCs w:val="20"/>
          <w:color w:val="auto"/>
        </w:rPr>
      </w:pPr>
    </w:p>
    <w:p>
      <w:pPr>
        <w:ind w:left="540" w:hanging="526"/>
        <w:spacing w:after="0" w:line="261" w:lineRule="auto"/>
        <w:rPr>
          <w:sz w:val="20"/>
          <w:szCs w:val="20"/>
          <w:color w:val="auto"/>
        </w:rPr>
      </w:pPr>
      <w:r>
        <w:rPr>
          <w:rFonts w:ascii="Arial" w:cs="Arial" w:eastAsia="Arial" w:hAnsi="Arial"/>
          <w:sz w:val="18"/>
          <w:szCs w:val="18"/>
          <w:color w:val="auto"/>
        </w:rPr>
        <w:t>Notes on the date of pricing of the Notes or the next</w:t>
      </w:r>
      <w:r>
        <w:rPr>
          <w:sz w:val="20"/>
          <w:szCs w:val="20"/>
          <w:color w:val="auto"/>
        </w:rPr>
        <w:t xml:space="preserve"> </w:t>
      </w:r>
      <w:r>
        <w:rPr>
          <w:rFonts w:ascii="Arial" w:cs="Arial" w:eastAsia="Arial" w:hAnsi="Arial"/>
          <w:sz w:val="18"/>
          <w:szCs w:val="18"/>
          <w:color w:val="auto"/>
        </w:rPr>
        <w:t>succeeding business days will be required, by virtue of the fact that the Notes initially will settle in T+ , to specify an alternate settlement cycle at the time of any such trade to prevent failed settlement and should consult their own advisers.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prospectus supplement and the accompanying base prospectus have not been approved by an authorised person for the purposes of section 21 of the Financial Services and Markets Act 2000 (“FSMA”) and are, accordingly, only being distributed in the United Kingdom to, and are only directed at (i) investment professionals falling within the description of persons in Article 19(5) of the Financial Services and Markets Act 2000 (Financial Promotion) Order 2005, as amended (the “Financial Promotion Order”); or (ii) high net worth companies and other persons falling within Article 49(2)(a) to (d) of the Financial Promotion Order; or (iii) to any other person to whom they may otherwise lawfully be communicated or made in accordance with the Financial Promotion Order (all such persons together being referred to as “relevant persons”).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Notes are only available to, and any invitation, offer or agreement to subscribe, purchase or otherwise acquire such notes will be engaged in only with, relevant persons. Any person who is not a relevant person should not act or rely on this document or any of its contents.</w:t>
      </w:r>
    </w:p>
    <w:p>
      <w:pPr>
        <w:spacing w:after="0" w:line="13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invitation or inducement to engage in investment activity (within the meaning of Section 21 of FSMA) in connection with the issue or sale of any Notes which are the subject of the offering contemplated by this prospectus will only be communicated or caused to be communicated in circumstances in which Section 21(1) of FSMA does not apply to the issuers of the Notes.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securities described in this prospectus supplement may not be made to the public in that relevant member state other than:</w:t>
      </w:r>
    </w:p>
    <w:p>
      <w:pPr>
        <w:spacing w:after="0" w:line="14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jc w:val="both"/>
        <w:ind w:left="900" w:right="140" w:hanging="325"/>
        <w:spacing w:after="0" w:line="30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the issuers of the Notes for any such offer;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securities shall require us or any underwriter to publish a prospectus pursuant to Article 3 of the Prospectus Directive.</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for the securities,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The expression “2010 PD Amending Directive” means Directive 2010/73/EU.</w:t>
      </w:r>
    </w:p>
    <w:p>
      <w:pPr>
        <w:spacing w:after="0" w:line="144"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have not authorized and do not authorize the making of any offer of securities through any financial intermediary on their behalf, other than offers made by the underwriters with a view to the final placement of the securities as contemplated in this prospectus supplement. Accordingly, no purchaser of the securities, other than the underwriters, is authorized to make any further offer of the securities on behalf of us or the underwriters.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 affiliate of Citigroup Global Markets Inc. is a dealer under our commercial paper program and may hold commercial paper notes thereunder.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it may receive a portion of the net proceeds from this offering.</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In particular, affiliates of each of the underwriters are lenders under our credit facilities.</w:t>
      </w:r>
    </w:p>
    <w:p>
      <w:pPr>
        <w:spacing w:after="0" w:line="10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supplement by reference to the Annual Report on Form 10-K for the year ended December 31, 2014, have been incorporated in reliance on the report of PricewaterhouseCoopers LLP, an independent registered public accounting firm, given on the authority of said firm as experts in auditing and accounting.</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185"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2014;</w:t>
      </w:r>
    </w:p>
    <w:p>
      <w:pPr>
        <w:spacing w:after="0" w:line="211"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2015 and June 30, 2015; and</w:t>
      </w:r>
    </w:p>
    <w:p>
      <w:pPr>
        <w:spacing w:after="0" w:line="211" w:lineRule="exact"/>
        <w:rPr>
          <w:rFonts w:ascii="Arial" w:cs="Arial" w:eastAsia="Arial" w:hAnsi="Arial"/>
          <w:sz w:val="18"/>
          <w:szCs w:val="18"/>
          <w:color w:val="auto"/>
        </w:rPr>
      </w:pPr>
    </w:p>
    <w:p>
      <w:pPr>
        <w:ind w:left="900" w:hanging="325"/>
        <w:spacing w:after="0" w:line="335"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Current Reports on Form 8-K filed with the SEC on January 9, 2015 (new member of board of directors), January 20, 2015 (364-day credit agreement), March 2, 2015 (documentation related to equity offering), May 15, 2015 (amendment to partnership agreement), May 26, 2015 (Santa Barbara County crude oil release), June 11, 2015 (Santa Barbara County crude oil release update) and August 14, 2015 (credit facility modifications).</w:t>
      </w:r>
    </w:p>
    <w:p>
      <w:pPr>
        <w:spacing w:after="0" w:line="8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Additionally, you may read and copy any materials that we have filed with the SEC at the SEC’s Public Reference Room at 100 F Street, N.E., Room 1580, Washington, D.C. 20549. You may obtain information on the operation of the Public Reference Room by calling the SEC at 1-800-SEC-0330. The SEC maintains a website that contains reports, proxy and information statements, and other information regarding us. The SEC’s website address is </w:t>
      </w:r>
      <w:r>
        <w:rPr>
          <w:rFonts w:ascii="Arial" w:cs="Arial" w:eastAsia="Arial" w:hAnsi="Arial"/>
          <w:sz w:val="16"/>
          <w:szCs w:val="16"/>
          <w:i w:val="1"/>
          <w:iCs w:val="1"/>
          <w:color w:val="auto"/>
        </w:rPr>
        <w:t>www.sec.gov</w:t>
      </w:r>
      <w:r>
        <w:rPr>
          <w:rFonts w:ascii="Arial" w:cs="Arial" w:eastAsia="Arial" w:hAnsi="Arial"/>
          <w:sz w:val="16"/>
          <w:szCs w:val="16"/>
          <w:color w:val="auto"/>
        </w:rPr>
        <w:t>.</w:t>
      </w:r>
    </w:p>
    <w:p>
      <w:pPr>
        <w:spacing w:after="0" w:line="107"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You should rely only on the information incorporated by reference or provided in this prospectus supplement or the accompanying base prospectus. We have not, and the underwriters have not, authorized anyone else to provide you with any other information. You should not assume that the information incorporated by reference or provided in this prospectus supplement or the accompanying base prospectus is accurate as of any date other than its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Plains All American Pipeline, L.P.</w:t>
      </w:r>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PAA Finance Corp.</w:t>
      </w:r>
    </w:p>
    <w:p>
      <w:pPr>
        <w:spacing w:after="0" w:line="120"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Common Units</w:t>
      </w:r>
    </w:p>
    <w:p>
      <w:pPr>
        <w:spacing w:after="0" w:line="78" w:lineRule="exact"/>
        <w:rPr>
          <w:sz w:val="20"/>
          <w:szCs w:val="20"/>
          <w:color w:val="auto"/>
        </w:rPr>
      </w:pPr>
    </w:p>
    <w:p>
      <w:pPr>
        <w:ind w:left="4660"/>
        <w:spacing w:after="0"/>
        <w:rPr>
          <w:sz w:val="20"/>
          <w:szCs w:val="20"/>
          <w:color w:val="auto"/>
        </w:rPr>
      </w:pPr>
      <w:r>
        <w:rPr>
          <w:rFonts w:ascii="Arial" w:cs="Arial" w:eastAsia="Arial" w:hAnsi="Arial"/>
          <w:sz w:val="32"/>
          <w:szCs w:val="32"/>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and sell the common units representing limited partner interests of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and sell these securities to or through one or more underwriters, dealers and agents, or directly to purchasers, on a continuous or delayed basis. This prospectus describes the general terms of these common units and debt securities and the general manner in which we will offer the common units and debt securities. The specific terms of any common units and debt securities we offer will be included in a supplement to this prospectus. The prospectus supplement will also describe the specific manner in which we will offer the common units and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1" w:lineRule="exact"/>
        <w:rPr>
          <w:sz w:val="20"/>
          <w:szCs w:val="20"/>
          <w:color w:val="auto"/>
        </w:rPr>
      </w:pPr>
    </w:p>
    <w:p>
      <w:pPr>
        <w:ind w:right="40" w:firstLine="456"/>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units and the debt securities involves risks. Limited partnerships are inherently different from corporations. You should carefully consider the risk factors described under “</w:t>
      </w:r>
      <w:hyperlink w:anchor="page4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 of this prospectus before you make an investment in our securities.</w:t>
      </w:r>
    </w:p>
    <w:p>
      <w:pPr>
        <w:spacing w:after="0" w:line="13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debt securities we may offer.</w:t>
      </w:r>
    </w:p>
    <w:p>
      <w:pPr>
        <w:spacing w:after="0" w:line="126"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September 27, 2012.</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0" w:type="dxa"/>
            <w:vAlign w:val="bottom"/>
          </w:tcPr>
          <w:p>
            <w:pPr>
              <w:jc w:val="right"/>
              <w:ind w:right="4572"/>
              <w:spacing w:after="0"/>
              <w:rPr>
                <w:sz w:val="20"/>
                <w:szCs w:val="20"/>
                <w:color w:val="auto"/>
              </w:rPr>
            </w:pPr>
            <w:r>
              <w:rPr>
                <w:rFonts w:ascii="Arial" w:cs="Arial" w:eastAsia="Arial" w:hAnsi="Arial"/>
                <w:sz w:val="18"/>
                <w:szCs w:val="18"/>
                <w:b w:val="1"/>
                <w:bCs w:val="1"/>
                <w:color w:val="auto"/>
              </w:rPr>
              <w:t>TABLE OF CONTENTS</w:t>
            </w:r>
          </w:p>
        </w:tc>
      </w:tr>
      <w:tr>
        <w:trPr>
          <w:trHeight w:val="380"/>
        </w:trPr>
        <w:tc>
          <w:tcPr>
            <w:tcW w:w="4120" w:type="dxa"/>
            <w:vAlign w:val="bottom"/>
            <w:gridSpan w:val="1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About This Prospectus</w:t>
              </w:r>
            </w:hyperlink>
          </w:p>
        </w:tc>
        <w:tc>
          <w:tcPr>
            <w:tcW w:w="72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Where You Can Find More Information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2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3"/>
          </w:tcPr>
          <w:p>
            <w:pPr>
              <w:spacing w:after="0"/>
              <w:rPr>
                <w:sz w:val="17"/>
                <w:szCs w:val="17"/>
                <w:color w:val="auto"/>
              </w:rPr>
            </w:pPr>
          </w:p>
        </w:tc>
        <w:tc>
          <w:tcPr>
            <w:tcW w:w="1320" w:type="dxa"/>
            <w:vAlign w:val="bottom"/>
            <w:gridSpan w:val="3"/>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Who We Are</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Risk Factors</w:t>
              </w:r>
            </w:hyperlink>
          </w:p>
        </w:tc>
        <w:tc>
          <w:tcPr>
            <w:tcW w:w="20" w:type="dxa"/>
            <w:vAlign w:val="bottom"/>
            <w:tcBorders>
              <w:top w:val="single" w:sz="8" w:color="0000EE"/>
            </w:tcBorders>
          </w:tcPr>
          <w:p>
            <w:pPr>
              <w:spacing w:after="0"/>
              <w:rPr>
                <w:sz w:val="17"/>
                <w:szCs w:val="17"/>
                <w:color w:val="auto"/>
              </w:rPr>
            </w:pPr>
          </w:p>
        </w:tc>
        <w:tc>
          <w:tcPr>
            <w:tcW w:w="3200" w:type="dxa"/>
            <w:vAlign w:val="bottom"/>
            <w:gridSpan w:val="12"/>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Use Of Proceeds</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2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Ratio Of Earnings To Fixed Charges</w:t>
              </w:r>
            </w:hyperlink>
          </w:p>
        </w:tc>
        <w:tc>
          <w:tcPr>
            <w:tcW w:w="1540" w:type="dxa"/>
            <w:vAlign w:val="bottom"/>
            <w:gridSpan w:val="4"/>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Description of Our Debt Securities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Description of Our Common Units</w:t>
              </w:r>
            </w:hyperlink>
          </w:p>
        </w:tc>
        <w:tc>
          <w:tcPr>
            <w:tcW w:w="1660" w:type="dxa"/>
            <w:vAlign w:val="bottom"/>
            <w:gridSpan w:val="5"/>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Cash Distribution Policy</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Description of Our Partnership Agreement</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Material U.S. Federal Income Tax Consequences</w:t>
              </w:r>
            </w:hyperlink>
          </w:p>
        </w:tc>
        <w:tc>
          <w:tcPr>
            <w:tcW w:w="660" w:type="dxa"/>
            <w:vAlign w:val="bottom"/>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4120" w:type="dxa"/>
            <w:vAlign w:val="bottom"/>
            <w:gridSpan w:val="15"/>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Plan of Distribution</w:t>
              </w:r>
            </w:hyperlink>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Legal Matters</w:t>
              </w:r>
            </w:hyperlink>
          </w:p>
        </w:tc>
        <w:tc>
          <w:tcPr>
            <w:tcW w:w="2720" w:type="dxa"/>
            <w:vAlign w:val="bottom"/>
            <w:gridSpan w:val="9"/>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Experts</w:t>
              </w:r>
            </w:hyperlink>
          </w:p>
        </w:tc>
        <w:tc>
          <w:tcPr>
            <w:tcW w:w="3140" w:type="dxa"/>
            <w:vAlign w:val="bottom"/>
            <w:gridSpan w:val="11"/>
          </w:tcPr>
          <w:p>
            <w:pPr>
              <w:spacing w:after="0"/>
              <w:rPr>
                <w:sz w:val="17"/>
                <w:szCs w:val="17"/>
                <w:color w:val="auto"/>
              </w:rPr>
            </w:pPr>
          </w:p>
        </w:tc>
        <w:tc>
          <w:tcPr>
            <w:tcW w:w="72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nor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the document incorporated by reference, regardless of the time of delivery of this prospectus or any sale of a security. Our business, financial condition, results of operations and prospects may have changed since those dates.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to, update or change information in this prospectus. Before you invest in our securities, you should carefully read this prospectus and any prospectus supplement and the additional information described under the heading “Where You Can Find More Information.” To the extent information in this prospectus is inconsistent with information contained in a prospectus supplement, you should rely on the information in the prospectus supplement. You should read both this prospectus and any prospectus supplement, together with additional information described under the heading “Where You Can Find More Information,” and any additional information you may need to make your investment decision.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as amended (the “Securities Act”),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4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addition, we file annual, quarterly and other reports and other information with the SEC. You may read and copy any document we file at the SEC’s public reference room at 100 F Street, N.E., Washington, D.C. 20549. Please call the SEC at 1-800-732-0330 for further information on the operation of the SEC’s public reference room. Our SEC filings are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make available free of charge on our website, at </w:t>
      </w:r>
      <w:r>
        <w:rPr>
          <w:rFonts w:ascii="Arial" w:cs="Arial" w:eastAsia="Arial" w:hAnsi="Arial"/>
          <w:sz w:val="18"/>
          <w:szCs w:val="18"/>
          <w:i w:val="1"/>
          <w:iCs w:val="1"/>
          <w:color w:val="auto"/>
        </w:rPr>
        <w:t>www.paalp.com</w:t>
      </w:r>
      <w:r>
        <w:rPr>
          <w:rFonts w:ascii="Arial" w:cs="Arial" w:eastAsia="Arial" w:hAnsi="Arial"/>
          <w:sz w:val="18"/>
          <w:szCs w:val="18"/>
          <w:color w:val="auto"/>
        </w:rPr>
        <w:t>, all materials that we file electronically with the SEC, including our Annual Report on Form 10-K, Quarterly Reports on Form 10-Q,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Reports on Form 8-K, Section 16 reports and amendments to these reports as soon as reasonably practicable after such materials are electronically filed with, or furnished to, the SEC.</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our financial condition and results of operations. The information incorporated by reference is an important part of this prospectus. Information that we file later with the SEC will automatically update and may replace information in this prospectus and information previously filed with the SEC. We incorporate by reference the documents listed below and any future filings made by Plains All American Pipeline, L.P. with the SEC under Sections 13(a), 13(c), 14 or 15(d) of the Securities Exchange Act of 1934, as amended (the “Exchange Act”), (excluding any information furnished and not filed with the SEC) until all offerings under this shelf registration statement are completed:</w:t>
      </w:r>
    </w:p>
    <w:p>
      <w:pPr>
        <w:spacing w:after="0" w:line="37" w:lineRule="exact"/>
        <w:rPr>
          <w:sz w:val="20"/>
          <w:szCs w:val="20"/>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Quarterly Reports on Form 10-Q for the quarterly periods ended March 31, 2012 and June 30,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8, 2012 (documentation related to equity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19, 2012 (documentation related to debt offering);</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26, 2012 (documentation related to debt offering);</w:t>
      </w:r>
    </w:p>
    <w:p>
      <w:pPr>
        <w:spacing w:after="0" w:line="90" w:lineRule="exact"/>
        <w:rPr>
          <w:rFonts w:ascii="Arial" w:cs="Arial" w:eastAsia="Arial" w:hAnsi="Arial"/>
          <w:sz w:val="18"/>
          <w:szCs w:val="18"/>
          <w:color w:val="auto"/>
        </w:rPr>
      </w:pPr>
    </w:p>
    <w:p>
      <w:pPr>
        <w:ind w:left="440" w:right="50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5, 2012 (completion of acquisition of BP Canada Energy Company; amendment of Limited Partnership Agreement of Plains All American Pipeline, L.P.);</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April 17, 2012 (announcement to withdraw offer to acquire SemGroup Corporation);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9, 2012 (documentation related to equity distribution agreement);</w:t>
      </w:r>
    </w:p>
    <w:p>
      <w:pPr>
        <w:spacing w:after="0" w:line="90" w:lineRule="exact"/>
        <w:rPr>
          <w:rFonts w:ascii="Arial" w:cs="Arial" w:eastAsia="Arial" w:hAnsi="Arial"/>
          <w:sz w:val="18"/>
          <w:szCs w:val="18"/>
          <w:color w:val="auto"/>
        </w:rPr>
      </w:pPr>
    </w:p>
    <w:p>
      <w:pPr>
        <w:ind w:left="440" w:right="16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May 23, 2012 (amendment and restatement of Limited Partnership Agreement of Plains All American Pipeline, L.P.);</w:t>
      </w:r>
    </w:p>
    <w:p>
      <w:pPr>
        <w:spacing w:after="0" w:line="50" w:lineRule="exact"/>
        <w:rPr>
          <w:rFonts w:ascii="Arial" w:cs="Arial" w:eastAsia="Arial" w:hAnsi="Arial"/>
          <w:sz w:val="18"/>
          <w:szCs w:val="18"/>
          <w:color w:val="auto"/>
        </w:rPr>
      </w:pPr>
    </w:p>
    <w:p>
      <w:pPr>
        <w:ind w:left="440" w:right="40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8-K/A filed with the SEC on May 29, 2012 (financial statements and unaudited pro forma financial information related to the acquisition of BP Canada Energy Company);</w:t>
      </w:r>
    </w:p>
    <w:p>
      <w:pPr>
        <w:spacing w:after="0" w:line="50" w:lineRule="exact"/>
        <w:rPr>
          <w:rFonts w:ascii="Arial" w:cs="Arial" w:eastAsia="Arial" w:hAnsi="Arial"/>
          <w:sz w:val="18"/>
          <w:szCs w:val="18"/>
          <w:color w:val="auto"/>
        </w:rPr>
      </w:pPr>
    </w:p>
    <w:p>
      <w:pPr>
        <w:ind w:left="440" w:right="660" w:hanging="324"/>
        <w:spacing w:after="0" w:line="268" w:lineRule="auto"/>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 2012 (amendments to the senior secured hedged inventory facility and senior unsecured revolving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13, 2012 (documentation related to equity distribution agreement);</w:t>
      </w:r>
    </w:p>
    <w:p>
      <w:pPr>
        <w:spacing w:after="0" w:line="9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27, 2012 (unaudited pro forma financial information related to the acquisition of BP Canada Energy Company); and</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3, 1998 and any subsequent amendment thereto filed for the purpose of updating such description.</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You may obtain any of the documents incorporated by reference in this prospectus from the SEC through the SEC’s website at the address provided above. You also may request a copy of any document incorporated by reference in this prospectus (including exhibits to those documents specifically incorporated by reference in this document), at no cost, by visiting our internet website at www.paalp.com, or by writing or calling us at the following address:</w:t>
      </w:r>
    </w:p>
    <w:p>
      <w:pPr>
        <w:spacing w:after="0" w:line="107" w:lineRule="exact"/>
        <w:rPr>
          <w:sz w:val="20"/>
          <w:szCs w:val="20"/>
          <w:color w:val="auto"/>
        </w:rPr>
      </w:pPr>
    </w:p>
    <w:p>
      <w:pPr>
        <w:jc w:val="center"/>
        <w:ind w:left="320" w:right="540"/>
        <w:spacing w:after="0" w:line="440" w:lineRule="auto"/>
        <w:rPr>
          <w:sz w:val="20"/>
          <w:szCs w:val="20"/>
          <w:color w:val="auto"/>
        </w:rPr>
      </w:pPr>
      <w:r>
        <w:rPr>
          <w:rFonts w:ascii="Arial" w:cs="Arial" w:eastAsia="Arial" w:hAnsi="Arial"/>
          <w:sz w:val="18"/>
          <w:szCs w:val="18"/>
          <w:color w:val="auto"/>
        </w:rPr>
        <w:t>Plains All American Pipeline, L.P. 333 Clay Street, Suite 1600 Houston, Texas 77002 Attention: Corporate Secretary Telephone: (713) 646-4100 iii</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identified by the words “anticipate,” “believe,” “estimate,” “expect,” “plan,” “intend” and “forecast,” as well as similar expressions and statements regarding our business strategy, plans and objectives for future operations. The absence of these words, however, does not mean that the statements are not forward-looking. These statements reflect our current views with respect to future events, based on what we believe to be reasonable assumptions. Certain factors could cause actual results to differ materially from results anticipated in the forward-looking statements. These factors include, but are not limited to:</w:t>
      </w:r>
    </w:p>
    <w:p>
      <w:pPr>
        <w:spacing w:after="0" w:line="39" w:lineRule="exact"/>
        <w:rPr>
          <w:sz w:val="20"/>
          <w:szCs w:val="20"/>
          <w:color w:val="auto"/>
        </w:rPr>
      </w:pPr>
    </w:p>
    <w:p>
      <w:pPr>
        <w:ind w:left="900" w:right="6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planned internal growth projects;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abrupt or severe declines or interruptions in outer continental shelf production located offshore California and transported on our pipeline systems;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90" w:lineRule="exact"/>
        <w:rPr>
          <w:rFonts w:ascii="Arial" w:cs="Arial" w:eastAsia="Arial" w:hAnsi="Arial"/>
          <w:sz w:val="18"/>
          <w:szCs w:val="18"/>
          <w:color w:val="auto"/>
        </w:rPr>
      </w:pPr>
    </w:p>
    <w:p>
      <w:pPr>
        <w:ind w:left="900" w:right="2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adequate third-party production volumes for transportation and marketing in the areas in which we operate and other factors that could cause declines in volumes shipped on our pipelines by us and third-party shippers, such as declines in production from existing oil and gas reserves or failure to develop additional oil and gas reserves;</w:t>
      </w:r>
    </w:p>
    <w:p>
      <w:pPr>
        <w:spacing w:after="0" w:line="59"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debt or equity financing on satisfactory terms to fund additional acquisitions, expansion projects, working capital requirements and the repayment or refinancing of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interruptions in service on third-party pipelines;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the debt and equity markets, including the price of our units at the time of vesting under our long-term incentive plans;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weather interference with business operations or project construction;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risks related to the development and operation of natural gas storage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factors described herein or incorporated by reference, as well as factors that are unknown or unpredictable, could also have a material adverse effect on future results. Please read “Risk Factors” beginning on page 2 of this prospectus and in Item 1A. “Risk Factors” in our Annual Report on Form 10-K for the fiscal year ended December 31, 2011 (File No. 001-14569). Except as required by applicable securities laws, we do not intend to update these forward-looking statements and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00"/>
          </w:cols>
          <w:pgMar w:left="24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WHO WE ARE</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engage in the transportation, storage, terminalling and marketing of crude oil and refined products, as well as in the processing, transportation, fractionation, storage and marketing of natural gas liquids (“NGL”). The term NGL includes ethane and natural gasoline products as well as propane and butane, products which are also commonly referred to as liquefied petroleum gas. Through our general partner interest and majority equity ownership position in PAA Natural Gas Storage, L.P., we also own and operate natural gas storage facilities.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purposes of this prospectus, unless the context clearly indicates otherwise, “we,” “us,” “our” and the “Partnership” refer to Plains All American Pipeline, L.P. and its subsidiaries. References to our “general partner,” as the context requires, include any or all of PAA GP LLC, Plains AAP, L.P. and Plains All American GP LLC.</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333 Clay Street, Suite 1600, Houston, Texas 77002 and our telephone number is (713) 646-4100.</w:t>
      </w:r>
    </w:p>
    <w:p>
      <w:pPr>
        <w:spacing w:after="0" w:line="17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additional information as to our business, properties and financial condition please refer to the documents cited in “Where You Can Find More Information.”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 factors and all of the other information included in, or incorporated by reference into, this prospectus, including those in Item 1A. “Risk Factors” in our Annual Report on Form 10-K for the fiscal year ended December 31, 2011, in evaluating an investment in our securities. If any of these risks were to occur, our business, financial condition or results of operations could be adversely affected. In that case, the trading price of our common units or value of our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repayment of indebtedness, acquisitions, capital expenditures and additions to working capital.</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240" w:top="459" w:right="3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following table sets forth our ratio of earnings to fixed charges for the periods indicated on a consolidated historical basis. For purposes of computing the ratio of earnings to fixed charges,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5"/>
              </w:rPr>
              <w:t>Six</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Months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00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0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000" w:type="dxa"/>
            <w:vAlign w:val="bottom"/>
          </w:tcPr>
          <w:p>
            <w:pPr>
              <w:spacing w:after="0"/>
              <w:rPr>
                <w:sz w:val="12"/>
                <w:szCs w:val="12"/>
                <w:color w:val="auto"/>
              </w:rPr>
            </w:pPr>
          </w:p>
        </w:tc>
        <w:tc>
          <w:tcPr>
            <w:tcW w:w="4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460" w:type="dxa"/>
            <w:vAlign w:val="bottom"/>
          </w:tcPr>
          <w:p>
            <w:pPr>
              <w:jc w:val="right"/>
              <w:ind w:right="22"/>
              <w:spacing w:after="0" w:line="142" w:lineRule="exact"/>
              <w:rPr>
                <w:sz w:val="20"/>
                <w:szCs w:val="20"/>
                <w:color w:val="auto"/>
              </w:rPr>
            </w:pPr>
            <w:r>
              <w:rPr>
                <w:rFonts w:ascii="Arial" w:cs="Arial" w:eastAsia="Arial" w:hAnsi="Arial"/>
                <w:sz w:val="14"/>
                <w:szCs w:val="14"/>
                <w:b w:val="1"/>
                <w:bCs w:val="1"/>
                <w:color w:val="auto"/>
              </w:rPr>
              <w:t>2011</w:t>
            </w:r>
          </w:p>
        </w:tc>
        <w:tc>
          <w:tcPr>
            <w:tcW w:w="780" w:type="dxa"/>
            <w:vAlign w:val="bottom"/>
            <w:gridSpan w:val="2"/>
          </w:tcPr>
          <w:p>
            <w:pPr>
              <w:jc w:val="right"/>
              <w:ind w:right="22"/>
              <w:spacing w:after="0" w:line="142" w:lineRule="exact"/>
              <w:rPr>
                <w:sz w:val="20"/>
                <w:szCs w:val="20"/>
                <w:color w:val="auto"/>
              </w:rPr>
            </w:pPr>
            <w:r>
              <w:rPr>
                <w:rFonts w:ascii="Arial" w:cs="Arial" w:eastAsia="Arial" w:hAnsi="Arial"/>
                <w:sz w:val="14"/>
                <w:szCs w:val="14"/>
                <w:b w:val="1"/>
                <w:bCs w:val="1"/>
                <w:color w:val="auto"/>
              </w:rPr>
              <w:t>2010</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7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Charges(1)</w:t>
            </w:r>
          </w:p>
        </w:tc>
        <w:tc>
          <w:tcPr>
            <w:tcW w:w="48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4.47x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4.13x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2.57x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1"/>
              </w:rPr>
              <w:t>3.00x</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2.60x</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2.45x</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2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Includes interest costs attributable to borrowings for hedged inventory purchases of $6 million for the six months ended June 30, 2012 and $20 million, $17 million, $11 million, $21 million and $44 million for the years ended December 31, 2011, 2010, 2009, 2008 and 2007, respectively.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debt securities will be:</w:t>
      </w:r>
    </w:p>
    <w:p>
      <w:pPr>
        <w:spacing w:after="0" w:line="90"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90" w:lineRule="exact"/>
        <w:rPr>
          <w:rFonts w:ascii="Arial" w:cs="Arial" w:eastAsia="Arial" w:hAnsi="Arial"/>
          <w:sz w:val="18"/>
          <w:szCs w:val="18"/>
          <w:color w:val="auto"/>
        </w:rPr>
      </w:pPr>
    </w:p>
    <w:p>
      <w:pPr>
        <w:ind w:left="440" w:right="780" w:hanging="324"/>
        <w:spacing w:after="0" w:line="268"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 owned by Plains All American Pipeline, and has no material assets or any liabilities other than as a co-issuer of debt securities. Its activities are limited to co-issuing debt securities and engaging in other activities incidental thereto. When used in this section “Description of the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4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the summary have the meanings specified in the indentures.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51"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90" w:lineRule="exact"/>
        <w:rPr>
          <w:rFonts w:ascii="Arial" w:cs="Arial" w:eastAsia="Arial" w:hAnsi="Arial"/>
          <w:sz w:val="18"/>
          <w:szCs w:val="18"/>
          <w:color w:val="auto"/>
        </w:rPr>
      </w:pPr>
    </w:p>
    <w:p>
      <w:pPr>
        <w:ind w:left="440" w:right="540" w:hanging="324"/>
        <w:spacing w:after="0" w:line="268" w:lineRule="auto"/>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9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43"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51" w:lineRule="exact"/>
        <w:rPr>
          <w:sz w:val="20"/>
          <w:szCs w:val="20"/>
          <w:color w:val="auto"/>
        </w:rPr>
      </w:pPr>
    </w:p>
    <w:p>
      <w:pPr>
        <w:ind w:left="440" w:right="200" w:hanging="324"/>
        <w:spacing w:after="0" w:line="259" w:lineRule="auto"/>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(as defined under “— Events of Default and Remedies” below) may exist.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63" w:lineRule="exact"/>
        <w:rPr>
          <w:sz w:val="20"/>
          <w:szCs w:val="20"/>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90" w:lineRule="exact"/>
        <w:rPr>
          <w:rFonts w:ascii="Arial" w:cs="Arial" w:eastAsia="Arial" w:hAnsi="Arial"/>
          <w:sz w:val="18"/>
          <w:szCs w:val="18"/>
          <w:color w:val="auto"/>
        </w:rPr>
      </w:pPr>
    </w:p>
    <w:p>
      <w:pPr>
        <w:ind w:left="440" w:right="4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90" w:lineRule="exact"/>
        <w:rPr>
          <w:rFonts w:ascii="Arial" w:cs="Arial" w:eastAsia="Arial" w:hAnsi="Arial"/>
          <w:sz w:val="18"/>
          <w:szCs w:val="18"/>
          <w:color w:val="auto"/>
        </w:rPr>
      </w:pPr>
    </w:p>
    <w:p>
      <w:pPr>
        <w:ind w:left="440" w:right="380" w:hanging="324"/>
        <w:spacing w:after="0" w:line="259"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59"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otherwise permitted under the indenture, release any security that may have been granted with respect to the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90" w:lineRule="exact"/>
        <w:rPr>
          <w:rFonts w:ascii="Arial" w:cs="Arial" w:eastAsia="Arial" w:hAnsi="Arial"/>
          <w:sz w:val="18"/>
          <w:szCs w:val="18"/>
          <w:color w:val="auto"/>
        </w:rPr>
      </w:pPr>
    </w:p>
    <w:p>
      <w:pPr>
        <w:ind w:left="440" w:right="22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5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113" w:lineRule="exact"/>
        <w:rPr>
          <w:rFonts w:ascii="Arial" w:cs="Arial" w:eastAsia="Arial" w:hAnsi="Arial"/>
          <w:sz w:val="16"/>
          <w:szCs w:val="16"/>
          <w:color w:val="auto"/>
        </w:rPr>
      </w:pPr>
    </w:p>
    <w:p>
      <w:pPr>
        <w:ind w:left="440" w:right="220" w:hanging="324"/>
        <w:spacing w:after="0" w:line="268" w:lineRule="auto"/>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make any change in the preceding amendment, supplement and waiver provisions (except to increase any percentage set forth therein).</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supplement or amend an indenture without the consent of any holders of the debt securities in certain circumstances, including:</w:t>
      </w:r>
    </w:p>
    <w:p>
      <w:pPr>
        <w:spacing w:after="0" w:line="90" w:lineRule="exact"/>
        <w:rPr>
          <w:sz w:val="20"/>
          <w:szCs w:val="20"/>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certified notes;</w:t>
      </w:r>
    </w:p>
    <w:p>
      <w:pPr>
        <w:spacing w:after="0" w:line="90" w:lineRule="exact"/>
        <w:rPr>
          <w:rFonts w:ascii="Arial" w:cs="Arial" w:eastAsia="Arial" w:hAnsi="Arial"/>
          <w:sz w:val="18"/>
          <w:szCs w:val="18"/>
          <w:color w:val="auto"/>
        </w:rPr>
      </w:pPr>
    </w:p>
    <w:p>
      <w:pPr>
        <w:ind w:left="440" w:right="72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provide for the assumption of an issuer’s or any guarantor’s obligations to holders of debt securities in the case of a merger or consolidation or disposition of all or substantially all of such issuer’s or guarantor’s assets;</w:t>
      </w:r>
    </w:p>
    <w:p>
      <w:pPr>
        <w:spacing w:after="0" w:line="50" w:lineRule="exact"/>
        <w:rPr>
          <w:rFonts w:ascii="Arial" w:cs="Arial" w:eastAsia="Arial" w:hAnsi="Arial"/>
          <w:sz w:val="18"/>
          <w:szCs w:val="18"/>
          <w:color w:val="auto"/>
        </w:rPr>
      </w:pPr>
    </w:p>
    <w:p>
      <w:pPr>
        <w:ind w:left="440" w:right="26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90" w:lineRule="exact"/>
        <w:rPr>
          <w:rFonts w:ascii="Arial" w:cs="Arial" w:eastAsia="Arial" w:hAnsi="Arial"/>
          <w:sz w:val="18"/>
          <w:szCs w:val="18"/>
          <w:color w:val="auto"/>
        </w:rPr>
      </w:pPr>
    </w:p>
    <w:p>
      <w:pPr>
        <w:ind w:left="440" w:right="100" w:hanging="324"/>
        <w:spacing w:after="0" w:line="268" w:lineRule="auto"/>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90" w:lineRule="exact"/>
        <w:rPr>
          <w:sz w:val="20"/>
          <w:szCs w:val="20"/>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 Consolidation, Merger or Asset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 make interest payments by check mailed to the holders at their addresses set forth in the debt security register.</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be required to:</w:t>
      </w:r>
    </w:p>
    <w:p>
      <w:pPr>
        <w:spacing w:after="0" w:line="90" w:lineRule="exact"/>
        <w:rPr>
          <w:sz w:val="20"/>
          <w:szCs w:val="20"/>
          <w:color w:val="auto"/>
        </w:rPr>
      </w:pPr>
    </w:p>
    <w:p>
      <w:pPr>
        <w:ind w:left="440" w:right="360" w:hanging="324"/>
        <w:spacing w:after="0" w:line="259"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59" w:lineRule="exact"/>
        <w:rPr>
          <w:rFonts w:ascii="Arial" w:cs="Arial" w:eastAsia="Arial" w:hAnsi="Arial"/>
          <w:sz w:val="18"/>
          <w:szCs w:val="18"/>
          <w:color w:val="auto"/>
        </w:rPr>
      </w:pPr>
    </w:p>
    <w:p>
      <w:pPr>
        <w:ind w:left="440" w:right="480" w:hanging="324"/>
        <w:spacing w:after="0" w:line="268"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subordinated indenture will provide that no payment of principal, interest and any premium on the subordinated debt securities may be made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84" w:lineRule="exact"/>
        <w:rPr>
          <w:sz w:val="20"/>
          <w:szCs w:val="20"/>
          <w:color w:val="auto"/>
        </w:rPr>
      </w:pPr>
    </w:p>
    <w:p>
      <w:pPr>
        <w:ind w:left="440" w:hanging="324"/>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90" w:lineRule="exact"/>
        <w:rPr>
          <w:rFonts w:ascii="Arial" w:cs="Arial" w:eastAsia="Arial" w:hAnsi="Arial"/>
          <w:sz w:val="18"/>
          <w:szCs w:val="18"/>
          <w:color w:val="auto"/>
        </w:rPr>
      </w:pPr>
    </w:p>
    <w:p>
      <w:pPr>
        <w:ind w:left="440" w:right="60" w:hanging="324"/>
        <w:spacing w:after="0" w:line="259" w:lineRule="auto"/>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59"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1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 securities held for the account of customers registered in “street name.” However, payments will be the responsibility of the participants and not of DTC, the Trustee or us.</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51" w:lineRule="exact"/>
        <w:rPr>
          <w:sz w:val="20"/>
          <w:szCs w:val="20"/>
          <w:color w:val="auto"/>
        </w:rPr>
      </w:pPr>
    </w:p>
    <w:p>
      <w:pPr>
        <w:ind w:left="440" w:right="400" w:hanging="324"/>
        <w:spacing w:after="0" w:line="268" w:lineRule="auto"/>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hanging="236"/>
        <w:spacing w:after="0"/>
        <w:tabs>
          <w:tab w:leader="none" w:pos="7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4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18" w:lineRule="exact"/>
        <w:rPr>
          <w:rFonts w:ascii="Arial" w:cs="Arial" w:eastAsia="Arial" w:hAnsi="Arial"/>
          <w:sz w:val="16"/>
          <w:szCs w:val="16"/>
          <w:color w:val="auto"/>
        </w:rPr>
      </w:pPr>
    </w:p>
    <w:p>
      <w:pPr>
        <w:ind w:left="720" w:hanging="256"/>
        <w:spacing w:after="0"/>
        <w:tabs>
          <w:tab w:leader="none" w:pos="7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171" w:lineRule="exact"/>
        <w:rPr>
          <w:rFonts w:ascii="Arial" w:cs="Arial" w:eastAsia="Arial" w:hAnsi="Arial"/>
          <w:sz w:val="18"/>
          <w:szCs w:val="18"/>
          <w:color w:val="auto"/>
        </w:rPr>
      </w:pPr>
    </w:p>
    <w:p>
      <w:pPr>
        <w:ind w:right="40" w:firstLine="464"/>
        <w:spacing w:after="0" w:line="268" w:lineRule="auto"/>
        <w:tabs>
          <w:tab w:leader="none" w:pos="6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 Any resignation will require the appointment of a successor trustee under the applicable indenture in accordance with the terms and conditions of such indenture.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Meetings/Voting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Except as described below under “— Limited Liability,” the common units will be fully paid, and unitholders will not be required to make additional capital contributions to us.</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Each purchaser of common units offered by this prospectus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and Canadian federal and provincial tax liability and filing his U.S. federal and state and Canadian federal and provincial income tax returns.</w:t>
      </w:r>
    </w:p>
    <w:p>
      <w:pPr>
        <w:spacing w:after="0" w:line="113"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51" w:lineRule="exact"/>
        <w:rPr>
          <w:sz w:val="20"/>
          <w:szCs w:val="20"/>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90" w:lineRule="exact"/>
        <w:rPr>
          <w:rFonts w:ascii="Arial" w:cs="Arial" w:eastAsia="Arial" w:hAnsi="Arial"/>
          <w:sz w:val="18"/>
          <w:szCs w:val="18"/>
          <w:color w:val="auto"/>
        </w:rPr>
      </w:pPr>
    </w:p>
    <w:p>
      <w:pPr>
        <w:ind w:left="440" w:right="120" w:hanging="324"/>
        <w:spacing w:after="0" w:line="26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50"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17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DISTRIBUTION POLICY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We will distribute to our unitholders, on a quarterly basis, all of our available cash in the manner described below.</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Definition of Available Cash</w:t>
      </w:r>
      <w:r>
        <w:rPr>
          <w:rFonts w:ascii="Arial" w:cs="Arial" w:eastAsia="Arial" w:hAnsi="Arial"/>
          <w:sz w:val="18"/>
          <w:szCs w:val="18"/>
          <w:color w:val="auto"/>
        </w:rPr>
        <w:t>. 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51" w:lineRule="exact"/>
        <w:rPr>
          <w:sz w:val="20"/>
          <w:szCs w:val="20"/>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9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 Quarterly Distributions of Available Cash.”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Operating Surplus</w:t>
      </w:r>
      <w:r>
        <w:rPr>
          <w:rFonts w:ascii="Arial" w:cs="Arial" w:eastAsia="Arial" w:hAnsi="Arial"/>
          <w:sz w:val="18"/>
          <w:szCs w:val="18"/>
          <w:color w:val="auto"/>
        </w:rPr>
        <w:t>. Operating surplus refers generally to:</w:t>
      </w:r>
    </w:p>
    <w:p>
      <w:pPr>
        <w:spacing w:after="0" w:line="90" w:lineRule="exact"/>
        <w:rPr>
          <w:sz w:val="20"/>
          <w:szCs w:val="20"/>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90" w:lineRule="exact"/>
        <w:rPr>
          <w:rFonts w:ascii="Arial" w:cs="Arial" w:eastAsia="Arial" w:hAnsi="Arial"/>
          <w:sz w:val="18"/>
          <w:szCs w:val="18"/>
          <w:color w:val="auto"/>
        </w:rPr>
      </w:pPr>
    </w:p>
    <w:p>
      <w:pPr>
        <w:ind w:left="440" w:right="220" w:hanging="324"/>
        <w:spacing w:after="0" w:line="332" w:lineRule="auto"/>
        <w:tabs>
          <w:tab w:leader="none" w:pos="4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Definition of Capital Surplus</w:t>
      </w:r>
      <w:r>
        <w:rPr>
          <w:rFonts w:ascii="Arial" w:cs="Arial" w:eastAsia="Arial" w:hAnsi="Arial"/>
          <w:sz w:val="18"/>
          <w:szCs w:val="18"/>
          <w:color w:val="auto"/>
        </w:rPr>
        <w:t>. Capital surplus will generally be generated only by:</w:t>
      </w:r>
    </w:p>
    <w:p>
      <w:pPr>
        <w:spacing w:after="0" w:line="90" w:lineRule="exact"/>
        <w:rPr>
          <w:sz w:val="20"/>
          <w:szCs w:val="20"/>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since we began equals the operating surplus as of the end of the quarter prior to the distribution. Any available cash in excess of operating surplus, regardless of its source, will be treated as capital surplus.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incentive distribution rights represent the right to receive an increasing percentage of quarterly distributions of available cash from operating surplus after the minimum quarterly distribution and the target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distribution levels have been achieved. The target distribution levels are based on the amounts of available cash from operating surplus distributed above the payments made under the minimum quarterly distribution, if any, and the related 2% distribution to the general partner.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We may fund acquisitions through the issuance of additional common units or other equity securities.</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quarterly distributions to our partners prior to our liquidation in an amount equal to 100% of our available cash for that quarter. We expect to make distributions of all available cash within 45 days after the end of each quarter to holders of record on the applicable record date. The minimum quarterly distribution and the target distribution levels are also subject to certain other adjustments as described below under “— Distributions from Capital Surplus” and “— Adjustment to the Minimum Quarterly Distribution and Target Distribution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make distributions of available cash from operating surplus in the following manner:</w:t>
      </w:r>
    </w:p>
    <w:p>
      <w:pPr>
        <w:spacing w:after="0" w:line="90" w:lineRule="exact"/>
        <w:rPr>
          <w:sz w:val="20"/>
          <w:szCs w:val="20"/>
          <w:color w:val="auto"/>
        </w:rPr>
      </w:pPr>
    </w:p>
    <w:p>
      <w:pPr>
        <w:ind w:left="440" w:right="20" w:hanging="324"/>
        <w:spacing w:after="0" w:line="268" w:lineRule="auto"/>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unit an amount equal to the minimum quarterly distribution for that quarter;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Thereafter, in the manner described in “— Incentive Distribution Rights”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Distribution Rights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For any quarter that we distribute available cash from operating surplus to the common unitholders in an amount equal to the minimum quarterly distribution on all units, then we will distribute any additional available cash from operating surplus in that quarter among the unitholders and the general partner in the following manner:</w:t>
      </w:r>
    </w:p>
    <w:p>
      <w:pPr>
        <w:spacing w:after="0" w:line="59" w:lineRule="exact"/>
        <w:rPr>
          <w:sz w:val="20"/>
          <w:szCs w:val="20"/>
          <w:color w:val="auto"/>
        </w:rPr>
      </w:pPr>
    </w:p>
    <w:p>
      <w:pPr>
        <w:ind w:left="440" w:right="200" w:hanging="324"/>
        <w:spacing w:after="0" w:line="268"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First, 85% to all unitholders, pro rata, and 15% to the general partner, until each unitholder receives a total of $0.495 for that quarter for each outstanding unit (the “first target distribution”);</w:t>
      </w:r>
    </w:p>
    <w:p>
      <w:pPr>
        <w:spacing w:after="0" w:line="50"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Second, 75% to all unitholders, pro rata, and 25% to the general partner, until each unitholder receives a total of $0.675 for that quarter for each outstanding unit (the “second target distribution”);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Thereafter, 50% to all unitholders, pro rata, and 50% to the general partner.</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distributions to the general partner above, other than in its capacity as holders of units, that are in excess of its aggregate 2% general partner interest represent the incentive distribution rights. The right to receive incentive distribution rights is not part of its general partner interest and may be transferred separately from that interest, subject to certain restrictions.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Incentive Distribution Rights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connection with acquisitions or similar transactions, we have and may in the future modify the incentive distribution rights to, among other reasons, accelerate the accretion or other benefits of the transaction to limited partners.</w:t>
      </w:r>
    </w:p>
    <w:p>
      <w:pPr>
        <w:spacing w:after="0" w:line="1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our acquisition of BP Canada Energy Company in April 2012 (the “BP NGL Acquisition”), our general partner agreed to reduce the amounts due it as incentive distributions by $3,750,000 per quarter for eight quarters beginning with the first distribution paid after closing, and $2,500,000 per quarter thereafter.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How Distributions from Capital Surplus Will Be Made. </w:t>
      </w:r>
      <w:r>
        <w:rPr>
          <w:rFonts w:ascii="Arial" w:cs="Arial" w:eastAsia="Arial" w:hAnsi="Arial"/>
          <w:sz w:val="16"/>
          <w:szCs w:val="16"/>
          <w:color w:val="auto"/>
        </w:rPr>
        <w:t>We will make distributions of available cash from capital surplus in the following manner:</w:t>
      </w:r>
    </w:p>
    <w:p>
      <w:pPr>
        <w:spacing w:after="0" w:line="113" w:lineRule="exact"/>
        <w:rPr>
          <w:sz w:val="20"/>
          <w:szCs w:val="20"/>
          <w:color w:val="auto"/>
        </w:rPr>
      </w:pPr>
    </w:p>
    <w:p>
      <w:pPr>
        <w:ind w:left="440" w:right="160" w:hanging="324"/>
        <w:spacing w:after="0" w:line="268" w:lineRule="auto"/>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First, 98% to all unitholders, pro rata, and 2% to the general partner, until we distribute, for each common unit issued in this offering, available cash from capital surplus in an aggregate amount per common unit equal to the initial public offering price;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171"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i w:val="1"/>
          <w:iCs w:val="1"/>
          <w:color w:val="auto"/>
        </w:rPr>
        <w:t>Effect of a Distribution from Capital Surplus</w:t>
      </w:r>
      <w:r>
        <w:rPr>
          <w:rFonts w:ascii="Arial" w:cs="Arial" w:eastAsia="Arial" w:hAnsi="Arial"/>
          <w:sz w:val="18"/>
          <w:szCs w:val="18"/>
          <w:color w:val="auto"/>
        </w:rPr>
        <w:t>. Our partnership agreement treats a distribution of available cash from capital surplus as the repayment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unit price. To show that repayment, the minimum quarterly distribution and the target distribution levels will be reduced by multiplying each amount by a fraction, the numerator of which is the unrecovered capital of the common units immediately after giving effect to that repayment and the denominator of which is the unrecovered capital of the common units immediately prior to that repayment.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When Payback Occurs</w:t>
      </w:r>
      <w:r>
        <w:rPr>
          <w:rFonts w:ascii="Arial" w:cs="Arial" w:eastAsia="Arial" w:hAnsi="Arial"/>
          <w:sz w:val="16"/>
          <w:szCs w:val="16"/>
          <w:color w:val="auto"/>
        </w:rPr>
        <w:t>. When “payback” of the reduced initial unit price has occurred, i.e., when the unrecovered capital of the common units is zero, then</w:t>
      </w:r>
    </w:p>
    <w:p>
      <w:pPr>
        <w:spacing w:after="0" w:line="113" w:lineRule="exact"/>
        <w:rPr>
          <w:sz w:val="20"/>
          <w:szCs w:val="20"/>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minimum quarterly distribution and the target distribution levels will be reduced to zero for subsequent quarters;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distributions of available cash will be treated as operating surplus; and</w:t>
      </w:r>
    </w:p>
    <w:p>
      <w:pPr>
        <w:spacing w:after="0" w:line="9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general partner will be entitled to receive 50% of distributions of available cash in its capacities as general partner and as holder of the incentive distribution rights.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Distributions of available cash from capital surplus will not reduce the minimum quarterly distribution or target distribution levels for the quarter in which they are distributed.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 to the Minimum Quarterly Distribution and Target Distribution Levels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i w:val="1"/>
          <w:iCs w:val="1"/>
          <w:color w:val="auto"/>
        </w:rPr>
        <w:t>How We Adjust the Minimum Quarterly Distribution and Target Distribution Levels</w:t>
      </w:r>
      <w:r>
        <w:rPr>
          <w:rFonts w:ascii="Arial" w:cs="Arial" w:eastAsia="Arial" w:hAnsi="Arial"/>
          <w:sz w:val="18"/>
          <w:szCs w:val="18"/>
          <w:color w:val="auto"/>
        </w:rPr>
        <w:t>. In addition to adjusting the minimum quarterly distribution and target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levels to reflect a distribution of capital surplus, if we combine our units into fewer units or subdivide our units into a greater number of units (but not if we issue additional common units for cash or property), we will proportionately adjust:</w:t>
      </w:r>
    </w:p>
    <w:p>
      <w:pPr>
        <w:spacing w:after="0" w:line="59" w:lineRule="exact"/>
        <w:rPr>
          <w:sz w:val="20"/>
          <w:szCs w:val="20"/>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minimum quarterly distribution;</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target distribution levels;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unrecovered capital;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amounts calculated on a per unit basis.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For example, in the event of a two-for-one split of the common units (assuming no prior adjustments), the minimum quarterly distribution, each of the target distribution levels and the unrecovered capital of the common units would each be reduced to 50% of its initial level.</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If We Became Subject to Taxation</w:t>
      </w:r>
      <w:r>
        <w:rPr>
          <w:rFonts w:ascii="Arial" w:cs="Arial" w:eastAsia="Arial" w:hAnsi="Arial"/>
          <w:sz w:val="16"/>
          <w:szCs w:val="16"/>
          <w:color w:val="auto"/>
        </w:rPr>
        <w:t>. If legislation is enacted or if existing law is modified or interpreted by the relevant governmental authority so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taxable as a corporation or otherwise subject to taxation as an entity for federal, state or local income tax purposes, we will adjust the minimum quarterly distribution and each of the target distribution levels, respectively, to equal the product obtained by multiplying the amount thereof by:</w:t>
      </w:r>
    </w:p>
    <w:p>
      <w:pPr>
        <w:spacing w:after="0" w:line="26" w:lineRule="exact"/>
        <w:rPr>
          <w:sz w:val="20"/>
          <w:szCs w:val="20"/>
          <w:color w:val="auto"/>
        </w:rPr>
      </w:pPr>
    </w:p>
    <w:p>
      <w:pPr>
        <w:ind w:left="440" w:right="140" w:hanging="324"/>
        <w:spacing w:after="0" w:line="259" w:lineRule="auto"/>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one minus the sum of (x) the maximum effective federal income tax rate to which we as an entity were subject plus (y) any increase in state and local income taxes to which we are subject for the taxable year of the event, after adjusting for any allowable deductions for federal income tax purposes for the payment of state and local income taxes.</w:t>
      </w:r>
    </w:p>
    <w:p>
      <w:pPr>
        <w:spacing w:after="0" w:line="14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For example, assuming we were not previously subject to state and local income tax, if we become taxable as an entity for federal income tax purposes and became subject to a maximum marginal federal, and effective state and local, income tax rate of 38%, then the minimum quarterly distribution and the target distribution levels would each be reduced to 62% of the amount immediately prior to that adjustment.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96"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General</w:t>
      </w:r>
      <w:r>
        <w:rPr>
          <w:rFonts w:ascii="Arial" w:cs="Arial" w:eastAsia="Arial" w:hAnsi="Arial"/>
          <w:sz w:val="15"/>
          <w:szCs w:val="15"/>
          <w:color w:val="auto"/>
        </w:rPr>
        <w:t>. If we dissolve and liquidate, we will sell our assets or otherwise dispose of our assets and we will adjust the partners’ capital account balances to</w:t>
      </w:r>
      <w:r>
        <w:rPr>
          <w:rFonts w:ascii="Arial" w:cs="Arial" w:eastAsia="Arial" w:hAnsi="Arial"/>
          <w:sz w:val="15"/>
          <w:szCs w:val="15"/>
          <w:i w:val="1"/>
          <w:iCs w:val="1"/>
          <w:color w:val="auto"/>
        </w:rPr>
        <w:t xml:space="preserve"> </w:t>
      </w:r>
      <w:r>
        <w:rPr>
          <w:rFonts w:ascii="Arial" w:cs="Arial" w:eastAsia="Arial" w:hAnsi="Arial"/>
          <w:sz w:val="15"/>
          <w:szCs w:val="15"/>
          <w:color w:val="auto"/>
        </w:rPr>
        <w:t>show any resulting gain or loss. We will first apply the proceeds of liquidation to the payment of our creditors in the order of priority provided in our partnership agreement and by law and, thereafter, distribute to the unitholders and the general partner in accordance with their adjusted capital account balances.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Manner of Adjustment</w:t>
      </w:r>
      <w:r>
        <w:rPr>
          <w:rFonts w:ascii="Arial" w:cs="Arial" w:eastAsia="Arial" w:hAnsi="Arial"/>
          <w:sz w:val="18"/>
          <w:szCs w:val="18"/>
          <w:color w:val="auto"/>
        </w:rPr>
        <w:t>. If we liquidate, we would allocate any loss to the general partner and each unitholder as follows:</w:t>
      </w:r>
    </w:p>
    <w:p>
      <w:pPr>
        <w:spacing w:after="0" w:line="90" w:lineRule="exact"/>
        <w:rPr>
          <w:sz w:val="20"/>
          <w:szCs w:val="20"/>
          <w:color w:val="auto"/>
        </w:rPr>
      </w:pPr>
    </w:p>
    <w:p>
      <w:pPr>
        <w:ind w:left="440" w:right="500" w:hanging="324"/>
        <w:spacing w:after="0" w:line="268" w:lineRule="auto"/>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First, 98% to the holders of common units who have positive balances in their capital accounts in proportion to those positive balances and 2% to the general partner, until the capital accounts of the common unitholders have been reduced to zero; and</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Thereafter, 100% to the general partner.</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Interim Adjustments to Capital Accounts</w:t>
      </w:r>
      <w:r>
        <w:rPr>
          <w:rFonts w:ascii="Arial" w:cs="Arial" w:eastAsia="Arial" w:hAnsi="Arial"/>
          <w:sz w:val="16"/>
          <w:szCs w:val="16"/>
          <w:color w:val="auto"/>
        </w:rPr>
        <w:t>. If we issued additional security interests or made distributions of property, interim adjustments to capital accounts</w:t>
      </w:r>
      <w:r>
        <w:rPr>
          <w:rFonts w:ascii="Arial" w:cs="Arial" w:eastAsia="Arial" w:hAnsi="Arial"/>
          <w:sz w:val="16"/>
          <w:szCs w:val="16"/>
          <w:i w:val="1"/>
          <w:iCs w:val="1"/>
          <w:color w:val="auto"/>
        </w:rPr>
        <w:t xml:space="preserve"> </w:t>
      </w:r>
      <w:r>
        <w:rPr>
          <w:rFonts w:ascii="Arial" w:cs="Arial" w:eastAsia="Arial" w:hAnsi="Arial"/>
          <w:sz w:val="16"/>
          <w:szCs w:val="16"/>
          <w:color w:val="auto"/>
        </w:rPr>
        <w:t>would also be made. These adjustments would be based on the fair market value of the interests or the property distributed and any gain or loss would be allocated to the unitholders and the general partner in the same way that a gain or loss is allocated upon liquidation. If positive interim adjustments are made to the capital accounts, any subsequent negative adjustments to the capital accounts resulting from our issuance of additional interests, distributions of property, or upon our liquidation, would be allocated in a way that, to the extent possible, in the capital account balances of the general partner equaling the amount which would have been the general partner’s capital account balances if no prior positive adjustments to the capital accounts had been made.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51" w:lineRule="exact"/>
        <w:rPr>
          <w:sz w:val="20"/>
          <w:szCs w:val="20"/>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Income Tax Considerations;”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9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4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0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96"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4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8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59" w:lineRule="exact"/>
        <w:rPr>
          <w:sz w:val="20"/>
          <w:szCs w:val="20"/>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then, to all partners in accordance with the positive balance in the respective capital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Under some circumstances and subject to some limitations, the liquidator may defer liquidation or distribution of our assets for a reasonable period of time.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51" w:lineRule="exact"/>
        <w:rPr>
          <w:sz w:val="20"/>
          <w:szCs w:val="20"/>
          <w:color w:val="auto"/>
        </w:rPr>
      </w:pPr>
    </w:p>
    <w:p>
      <w:pPr>
        <w:ind w:left="440" w:right="220" w:hanging="324"/>
        <w:spacing w:after="0" w:line="268"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50" w:lineRule="exact"/>
        <w:rPr>
          <w:rFonts w:ascii="Arial" w:cs="Arial" w:eastAsia="Arial" w:hAnsi="Arial"/>
          <w:sz w:val="18"/>
          <w:szCs w:val="18"/>
          <w:color w:val="auto"/>
        </w:rPr>
      </w:pPr>
    </w:p>
    <w:p>
      <w:pPr>
        <w:ind w:left="440" w:right="560" w:hanging="324"/>
        <w:spacing w:after="0" w:line="268"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If at any time our general partner and its affiliates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w:t>
      </w:r>
    </w:p>
    <w:p>
      <w:pPr>
        <w:spacing w:after="0" w:line="2" w:lineRule="exact"/>
        <w:rPr>
          <w:sz w:val="20"/>
          <w:szCs w:val="20"/>
          <w:color w:val="auto"/>
        </w:rPr>
      </w:pPr>
    </w:p>
    <w:p>
      <w:pPr>
        <w:ind w:firstLine="8"/>
        <w:spacing w:after="0" w:line="261"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highest cash price paid by our general partner or any of its affiliates for any limited partner interest of the class purchased within the 90 days preceding the date our general partner mails notice of its election to purchase the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Furthermore, this section focuses on unitholders who are individual citizens or residents of the United States (for federal income tax purposes), who have the U.S. dollar as their functional currency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federal, state,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local and non-U.S. tax consequences particular to that unitholder resulting from ownership or disposition of units.</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IRS or a court. Accordingly, the opinions and statements made herein may not be sustained by a court if contested by the IRS. Any such contest of the matters described herein may materially and adversely impact the market for our units and the prices at which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2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 Tax Consequences of Unit Ownership — Treatment of Securities Loans”); (2) whether our monthly convention for allocating taxable income and losses is permitted by existing Treasury Regulations (please read “— Disposition of Units — Allocations Between Transferors and Transferees”); and (3) whether our method for taking into account Section 743 adjustments is sustainable in certain cases (please read “— Tax Consequences of Unit Ownership — Section 754 Election” and “— Uniformity of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the Partnership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expect to be treated as a partnership for U.S. federal income tax purposes and, therefore, generally will not be liable for such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Section 7704 of the Code generally provides that publicly-traded partnerships will be treated as corporations for federal income tax purposes. However, if 90% or more of a partnership’s gross income for every taxable year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publicly-traded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1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43" w:lineRule="exact"/>
        <w:rPr>
          <w:sz w:val="20"/>
          <w:szCs w:val="20"/>
          <w:color w:val="auto"/>
        </w:rPr>
      </w:pPr>
    </w:p>
    <w:p>
      <w:pPr>
        <w:ind w:left="700" w:hanging="236"/>
        <w:spacing w:after="0"/>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164" w:lineRule="exact"/>
        <w:rPr>
          <w:rFonts w:ascii="Arial" w:cs="Arial" w:eastAsia="Arial" w:hAnsi="Arial"/>
          <w:sz w:val="16"/>
          <w:szCs w:val="16"/>
          <w:color w:val="auto"/>
        </w:rPr>
      </w:pPr>
    </w:p>
    <w:p>
      <w:pPr>
        <w:ind w:right="220" w:firstLine="464"/>
        <w:spacing w:after="0" w:line="332" w:lineRule="auto"/>
        <w:tabs>
          <w:tab w:leader="none" w:pos="705"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85" w:lineRule="exact"/>
        <w:rPr>
          <w:rFonts w:ascii="Arial" w:cs="Arial" w:eastAsia="Arial" w:hAnsi="Arial"/>
          <w:sz w:val="16"/>
          <w:szCs w:val="16"/>
          <w:color w:val="auto"/>
        </w:rPr>
      </w:pPr>
    </w:p>
    <w:p>
      <w:pPr>
        <w:ind w:right="120" w:firstLine="464"/>
        <w:spacing w:after="0" w:line="259" w:lineRule="auto"/>
        <w:tabs>
          <w:tab w:leader="none" w:pos="69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stock that was exchanged for units, and thereafter (iii) taxable capital gain.</w:t>
      </w:r>
    </w:p>
    <w:p>
      <w:pPr>
        <w:spacing w:after="0" w:line="116"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The remainder of this discussion is based on Vinson &amp; Elkins L.L.P.’s opinion that we will be treated as a partnership for federal income tax purposes. 24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Unit Ownership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59" w:lineRule="exact"/>
        <w:rPr>
          <w:sz w:val="20"/>
          <w:szCs w:val="20"/>
          <w:color w:val="auto"/>
        </w:rPr>
      </w:pPr>
    </w:p>
    <w:p>
      <w:pPr>
        <w:ind w:left="440" w:hanging="324"/>
        <w:spacing w:after="0"/>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90" w:lineRule="exact"/>
        <w:rPr>
          <w:rFonts w:ascii="Arial" w:cs="Arial" w:eastAsia="Arial" w:hAnsi="Arial"/>
          <w:sz w:val="18"/>
          <w:szCs w:val="18"/>
          <w:color w:val="auto"/>
        </w:rPr>
      </w:pPr>
    </w:p>
    <w:p>
      <w:pPr>
        <w:ind w:left="440" w:right="320" w:hanging="324"/>
        <w:spacing w:after="0" w:line="268" w:lineRule="auto"/>
        <w:tabs>
          <w:tab w:leader="none" w:pos="4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4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 Tax Consequences of Unit Ownership — Treatment of Securities Loans.” Unitholders who are not treated as partners in us as described above are urged to consult their own tax advisors with respect to the tax consequences applicable to them under the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Subject to the discussion below under “—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unitholder’s tax basis in its units initially will be the amount paid for those units plus the unitholder’s share of our liabilities. That basis generally will be</w:t>
      </w:r>
    </w:p>
    <w:p>
      <w:pPr>
        <w:spacing w:after="0" w:line="38" w:lineRule="exact"/>
        <w:rPr>
          <w:sz w:val="20"/>
          <w:szCs w:val="20"/>
          <w:color w:val="auto"/>
        </w:rPr>
      </w:pPr>
    </w:p>
    <w:p>
      <w:pPr>
        <w:ind w:right="140" w:firstLine="8"/>
        <w:spacing w:after="0" w:line="261" w:lineRule="auto"/>
        <w:tabs>
          <w:tab w:leader="none" w:pos="2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increased by the unitholder’s share of our income and any increases in such unitholder’s share of our liabilities, and (ii) decreased, but not below zero, by the amount of all distributions, the unitholder’s share of our losses, and any decreases in its share of our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 Disposition of Units.”</w:t>
      </w:r>
    </w:p>
    <w:p>
      <w:pPr>
        <w:spacing w:after="0" w:line="85"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decrease the unitholder’s share of our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 non-pro rata distribution of money or property (including a deemed distribution as a result of a reallocation of our liabilities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generally will result in the unitholder’s recognition of ordinary income in an amount equal to the excess of (1) the non-pro rata portion of that distribution over (2) the unitholder’s tax basis (generally zero) in the Section 751 Assets deemed to be relinquished in the exchange.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 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publicly-traded partnership. Consequently, any passive losses we generate will be available to offset only passive income generated by us, and will not be available to offset your income from other passive activities or investments, including your investments in other publicly traded partnerships (including PAA Natural Gas Storage, L.P.) or your salary, active business or other income. The application of the passive loss limitations to tiered partnerships is uncertain. However, we will take the position that any passive losses we generate that are reasonably allocable to our investment in any publicly-traded partnership (such as PAA Natural Gas Storage, L.P.) in which we own an interest are separate passive activities and will only be available to offset its separate passive income generated in the future, and will not be available to offset our income from any other passive activities.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deductibility of a non-corporate taxpayer’s “investment interest expense” generally is limited to the amount of that taxpayer’s “net investment income.” Investment interest expense includes:</w:t>
      </w:r>
    </w:p>
    <w:p>
      <w:pPr>
        <w:spacing w:after="0" w:line="51" w:lineRule="exact"/>
        <w:rPr>
          <w:sz w:val="20"/>
          <w:szCs w:val="20"/>
          <w:color w:val="auto"/>
        </w:rPr>
      </w:pPr>
    </w:p>
    <w:p>
      <w:pPr>
        <w:ind w:left="440" w:hanging="32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19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or our general partner, we are authorized to treat the payment as a distribution of cash to the relevant unitholder or general partner. Where the tax is payable on behalf of all the unitholders or we cannot determine the specific unitholder on whose behalf the tax is payable, we are authorized to treat the payment as a distribution to all current unitholders. 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general, if we have a net profit, our items of income, gain, loss and deduction will be allocated among our unitholders in accordance with their percentage interests in us. If we have a net loss, our items of income, gain, loss and deduction will be allocated first among our unitholders in accordance with their percentage interests in us to the extent of their positive capital accounts and thereafter to our general partner. At any time that distributions are made with respect to common units or that incentive distributions are made to the general partner, gross income will be allocated to the recipients to the extent of such distributions.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Specified items of our income, gain, loss and deduction will be allocated under Section 704(c) of the Code to account for any difference between the tax basis and fair market value of our assets at the time such assets are contributed to us and at the time of any subsequent offering of our units (a “Book-Tax Disparity”).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 brokers from borrowing and lending their units. The IRS has announced that it is studying issues relating to the tax treatment of short sales of partnership interests. Please read “— Disposition of Units — Recognition of Gain or Loss.”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Rates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Under current law, the highest marginal federal income tax rates for individuals applicable to ordinary income and long-term capital gains (generally, gains from the sale or exchange of certain investment assets held for more than one year) are 35% and 15%, respectively. However, absent new legislation extending the current rates, beginning January 1, 2013, the highest marginal federal income tax rate applicable to ordinary income and long-term capital gains of individuals will increase to 39.6% and 20%, respectively. These rates are subject to change by new legislation at any time.</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3.8% Medicare tax on certain investment income earned by individuals, estates, and trusts will apply for taxable years beginning after December 31, 2012. For these purposes,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married filing separately) or $200,000 (if the unitholder is unmarried). In the case of an estate or trust, the tax will be imposed on the lesser of (i) undistributed net investment income, or (ii) the excess adjusted gross income over the dollar amount at which the highest income tax bracket applicable to an estate or trust begins.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bases in our assets as to specific purchasers of our units under Section 743(b) of the Code.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 Disposition of Units — Recognition of Gain or Loss.” If a challenge to such treatment were sustained, the gain from the sale of units may be increased without the benefit of additional deductions.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to goodwill or nondepreciable assets. Goodwill, as an intangible asset, is generally nonamortizable or amortizable over a longer period of time or under a less accelerated method than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Treatment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 Disposition of Units — Allocations Between Transferors and Transferees.”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tax basis of our assets will be used for purposes of computing depreciation and cost recovery deductions and, ultimately, gain or loss on the disposition of these assets. The federal income tax burden associated with the difference between the fair market value of our assets and their tax basis immediately prior to an offering generally will be borne by our partners holding interests in us prior to this offering. Please read “— Tax Consequences of Unit Ownership — Allocation of Income, Gain, Loss and Deduction.”</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dispose of depreciable property by sale, foreclosure or otherwise, all or a portion of any gain, determined by reference to the amount of depreciation and depletion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 Tax Consequences of Unit Ownership — Allocation of Income, Gain, Loss and Deduction” and “— Disposition of Units — Recognition of Gain or Loss.”</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initial tax bases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9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2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59" w:lineRule="exact"/>
        <w:rPr>
          <w:sz w:val="20"/>
          <w:szCs w:val="20"/>
          <w:color w:val="auto"/>
        </w:rPr>
      </w:pPr>
    </w:p>
    <w:p>
      <w:pPr>
        <w:ind w:left="440" w:hanging="324"/>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Allocations Between Transferors and Transferee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Although simplifying conventions are contemplated by the Code and most publicly-traded partnerships use similar simplifying conventions, the use of this method may not be permitted under existing Treasury Regulations. Recently, however, the Department of the Treasury and the IRS issued proposed Treasury Regulations that provide a safe harbor pursuant to which a publicly-traded partnership may use a similar monthly simplifying convention to allocate tax items among transferor and transferee unitholders, although such tax items must be prorated on a daily basis. Nonetheless, the proposed regulations do not specifically authorize the use of the proration method we have adopted. Accordingly, Vinson &amp; Elkins L.L.P. is unable to opine on the validity of this method of allocating income and deductions between transferee and transferor unitholders. If this method is not allowed under the final Treasury Regulations, or only applies to transfers of less than all of the unitholder’s interest, our taxable income or losses could be reallocated among our unitholders. We are authorized to revise our method of allocation between transferee and transferor unitholders, as well as among unitholders whose interests vary during a taxable year, to conform to a method permitted under future Treasury Regulations.</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considered to have “constructively” terminated as a partnership for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 year may result in more than twelve months of our taxable income or loss being includable in such unitholder’s taxable income for the year of termination.</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among other things, a constructively terminated partnership to provide a single Schedule K-1 for the calendar year in which a termination occurs. Following a constructive termination we would be required to make new tax elections, including a new election under Section 754 of the Code, and the termination would result in a deferral of our deductions for depreciation. A termination could also result in penalties if we were unable to determine that the termination had occurred. Moreover, a termination may either accelerate the application of, or subject us to, any tax legislation enacted before the termination that would not otherwise have been applied to us as a continuing as opposed to a terminating partnership.</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90" w:lineRule="exact"/>
        <w:rPr>
          <w:sz w:val="20"/>
          <w:szCs w:val="20"/>
          <w:color w:val="auto"/>
        </w:rPr>
      </w:pPr>
    </w:p>
    <w:p>
      <w:pPr>
        <w:jc w:val="both"/>
        <w:ind w:right="160" w:firstLine="456"/>
        <w:spacing w:after="0" w:line="335" w:lineRule="auto"/>
        <w:rPr>
          <w:sz w:val="20"/>
          <w:szCs w:val="20"/>
          <w:color w:val="auto"/>
        </w:rPr>
      </w:pPr>
      <w:r>
        <w:rPr>
          <w:rFonts w:ascii="Arial" w:cs="Arial" w:eastAsia="Arial" w:hAnsi="Arial"/>
          <w:sz w:val="15"/>
          <w:szCs w:val="15"/>
          <w:color w:val="auto"/>
        </w:rPr>
        <w:t>Because we cannot match transferors and transferees of units and related reasons, we must maintain uniformity of the economic and tax characteristics of the units to a purchaser of these units. In the absence of uniformity, we may be unable to completely comply with a number of federal income tax requirements. Any non-uniformity could have a negative impact on the value of the units. Please read “— Tax Consequences of Unit Ownership — Section 754 Election.”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validity of such filing positions.</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 Disposition of Units — Recognition of Gain or Loss” above and “— Tax Consequences of Unit Ownership — 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Tax-Exempt Organizations and Other Investors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Ownership of units by employee benefit plans, other tax-exempt organizations, non-resident aliens, non-U.S. corporations and other non-U.S. persons raises issues unique to those investors and, as described below, may have substantially adverse tax consequences to them. Prospective unitholders that are tax-exempt entities or non-U.S. persons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Non-resident aliens and foreign corporations, trusts or estates that own units will be considered to be engaged in business in the United States because of their ownership of our units. Consequently, they will be required to file federal tax returns to report their share of our income, gain, loss or deduction and pay federal income tax at regular rates on their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applicable substitute form in order to obtain credit for these withholding taxes.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because a foreign corporation that owns units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which is effectively connected with the conduct of a United States trade or business.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part or all of a non-U.S. unitholder’s gain may be treated as effectively connected with that unitholder’s indirect U.S. trade or business constituted by its investment in us. Moreover, under the Foreign Investment in Real Property Tax Act, a non-U.S. unitholder generally will be subject to federal income tax upon the sale or disposition of a unit if (i) it owned (directly or constructively applying certain attribution rules) more than 5% of our units at any time during the five-year period ending on the date of such disposition and (ii) 50% or more of the fair market value of all of our assets consisted of U.S. real property interests at any time during the shorter of the period during which such unitholder held the units or the 5-year period ending on the date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disposition. More than 50% of our assets may consist of U.S. real property interests. Therefore, non-U.S. unitholders may be subject to federal income tax on gain from the sale or disposition of their units.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Matters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may go forward, and each unitholder with an interest in the outcome may participate in that action.</w:t>
      </w:r>
    </w:p>
    <w:p>
      <w:pPr>
        <w:spacing w:after="0" w:line="12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171" w:lineRule="exact"/>
        <w:rPr>
          <w:sz w:val="20"/>
          <w:szCs w:val="20"/>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171" w:lineRule="exact"/>
        <w:rPr>
          <w:rFonts w:ascii="Arial" w:cs="Arial" w:eastAsia="Arial" w:hAnsi="Arial"/>
          <w:sz w:val="18"/>
          <w:szCs w:val="18"/>
          <w:color w:val="auto"/>
        </w:rPr>
      </w:pPr>
    </w:p>
    <w:p>
      <w:pPr>
        <w:ind w:left="1140" w:hanging="237"/>
        <w:spacing w:after="0"/>
        <w:tabs>
          <w:tab w:leader="none" w:pos="11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171" w:lineRule="exact"/>
        <w:rPr>
          <w:rFonts w:ascii="Arial" w:cs="Arial" w:eastAsia="Arial" w:hAnsi="Arial"/>
          <w:sz w:val="18"/>
          <w:szCs w:val="18"/>
          <w:color w:val="auto"/>
        </w:rPr>
      </w:pPr>
    </w:p>
    <w:p>
      <w:pPr>
        <w:ind w:left="1160" w:hanging="257"/>
        <w:spacing w:after="0"/>
        <w:tabs>
          <w:tab w:leader="none" w:pos="11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 owned agency or instrumentality of either of the foregoing; or</w:t>
      </w:r>
    </w:p>
    <w:p>
      <w:pPr>
        <w:spacing w:after="0" w:line="157"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237"/>
        <w:spacing w:after="0"/>
        <w:tabs>
          <w:tab w:leader="none" w:pos="11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171" w:lineRule="exact"/>
        <w:rPr>
          <w:rFonts w:ascii="Arial" w:cs="Arial" w:eastAsia="Arial" w:hAnsi="Arial"/>
          <w:sz w:val="18"/>
          <w:szCs w:val="18"/>
          <w:color w:val="auto"/>
        </w:rPr>
      </w:pPr>
    </w:p>
    <w:p>
      <w:pPr>
        <w:ind w:right="60" w:firstLine="464"/>
        <w:spacing w:after="0" w:line="268" w:lineRule="auto"/>
        <w:tabs>
          <w:tab w:leader="none" w:pos="705" w:val="left"/>
        </w:tabs>
        <w:numPr>
          <w:ilvl w:val="0"/>
          <w:numId w:val="76"/>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$100 per failure, up to a maximum of $1.5 million per calendar year, is imposed by the Code for failure to report that information to us. The nominee is required to supply the beneficial owner of the units with the information furnished to us.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An additional tax equal to 20% of the amount of any portion of an underpayment of tax that is attributable to one or more specified causes, including negligence or disregard of rules or regulations, substantial understatements of income tax and substantial valuation misstatements, is imposed by the Code. No penalty will be imposed, however, for any portion of an underpayment if it is shown that there was a reasonable cause for the underpayment of that portion and that the taxpayer acted in good faith regarding the underpayment of that portion.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Consequences of Ownership of Debt Securities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26"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9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one or more 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underwriters;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directly to investors.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fix a price or prices of our securities at:</w:t>
      </w:r>
    </w:p>
    <w:p>
      <w:pPr>
        <w:spacing w:after="0" w:line="90"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prices related to market prices;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 Broker-dealers may act as agent or may purchase securities as principal and thereafter resell the securities from time to time:</w:t>
      </w:r>
    </w:p>
    <w:p>
      <w:pPr>
        <w:spacing w:after="0" w:line="5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on the New York Stock Exchange;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private transactions.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the material federal income tax considerations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financial statements of Plains All American Pipeline, L.P.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2011, have been incorporated in reliance on the report of PricewaterhouseCoopers LLP, an independent registered public accounting firm, given on the authority of said firm as experts in auditing and accounting.</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audited consolidated financial statements of Project Argyle, a business owned by BP p.l.c. and affiliates, as of December 31, 2011 and for the years ended December 31, 2010 and 2011, incorporated by reference into this prospectus from our Current Report on Form 8-K/A filed with the SEC on May 29, 2012, have been so incorporated by reference in reliance upon the report of Ernst &amp; Young, LLP, independent registered public accountants, given upon the authority of said firm as experts in accounting and auditing in giving said report.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1003300</wp:posOffset>
            </wp:positionV>
            <wp:extent cx="1697990" cy="548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979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3960"/>
        <w:spacing w:after="0"/>
        <w:tabs>
          <w:tab w:leader="none" w:pos="4840" w:val="left"/>
        </w:tabs>
        <w:rPr>
          <w:sz w:val="20"/>
          <w:szCs w:val="20"/>
          <w:color w:val="auto"/>
        </w:rPr>
      </w:pPr>
      <w:r>
        <w:rPr>
          <w:rFonts w:ascii="Arial" w:cs="Arial" w:eastAsia="Arial" w:hAnsi="Arial"/>
          <w:sz w:val="24"/>
          <w:szCs w:val="24"/>
          <w:b w:val="1"/>
          <w:bCs w:val="1"/>
          <w:color w:val="auto"/>
        </w:rPr>
        <w:t>$</w:t>
      </w:r>
      <w:r>
        <w:rPr>
          <w:sz w:val="20"/>
          <w:szCs w:val="20"/>
          <w:color w:val="auto"/>
        </w:rPr>
        <w:tab/>
      </w:r>
      <w:r>
        <w:rPr>
          <w:rFonts w:ascii="Arial" w:cs="Arial" w:eastAsia="Arial" w:hAnsi="Arial"/>
          <w:sz w:val="24"/>
          <w:szCs w:val="24"/>
          <w:b w:val="1"/>
          <w:bCs w:val="1"/>
          <w:color w:val="auto"/>
        </w:rPr>
        <w:t>%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760730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jc w:val="center"/>
        <w:ind w:left="1180"/>
        <w:spacing w:after="0"/>
        <w:tabs>
          <w:tab w:leader="none" w:pos="200" w:val="left"/>
        </w:tabs>
        <w:rPr>
          <w:sz w:val="20"/>
          <w:szCs w:val="20"/>
          <w:color w:val="auto"/>
        </w:rPr>
      </w:pPr>
      <w:r>
        <w:rPr>
          <w:rFonts w:ascii="Arial" w:cs="Arial" w:eastAsia="Arial" w:hAnsi="Arial"/>
          <w:sz w:val="18"/>
          <w:szCs w:val="18"/>
          <w:b w:val="1"/>
          <w:bCs w:val="1"/>
          <w:color w:val="auto"/>
        </w:rPr>
        <w:t>August</w:t>
        <w:tab/>
        <w:t>,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70"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Citigroup</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Mizuho Securities</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MUFG</w:t>
      </w:r>
    </w:p>
    <w:p>
      <w:pPr>
        <w:spacing w:after="0" w:line="89"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UBS Investment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lvl w:ilvl="1">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1)"/>
      <w:numFmt w:val="decimal"/>
      <w:start w:val="1"/>
    </w:lvl>
    <w:lvl w:ilvl="1">
      <w:lvlJc w:val="left"/>
      <w:lvlText w:val="(%2)"/>
      <w:numFmt w:val="lowerLetter"/>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0"/>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1)"/>
      <w:numFmt w:val="decimal"/>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1)"/>
      <w:numFmt w:val="lowerLetter"/>
      <w:start w:val="1"/>
    </w:lvl>
    <w:lvl w:ilvl="1">
      <w:lvlJc w:val="left"/>
      <w:lvlText w:val="(%2)"/>
      <w:numFmt w:val="decimal"/>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1)"/>
      <w:numFmt w:val="decimal"/>
      <w:start w:val="2"/>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1)"/>
      <w:numFmt w:val="lowerRoman"/>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1)"/>
      <w:numFmt w:val="decimal"/>
      <w:start w:val="1"/>
    </w:lvl>
    <w:lvl w:ilvl="1">
      <w:lvlJc w:val="left"/>
      <w:lvlText w:val="(%2)"/>
      <w:numFmt w:val="lowerLetter"/>
      <w:start w:val="1"/>
    </w:lvl>
  </w:abstractNum>
  <w:abstractNum w:abstractNumId="74">
    <w:nsid w:val="11447B73"/>
    <w:multiLevelType w:val="hybridMultilevel"/>
    <w:lvl w:ilvl="0">
      <w:lvlJc w:val="left"/>
      <w:lvlText w:val="%1"/>
      <w:numFmt w:val="decimal"/>
      <w:start w:val="1"/>
    </w:lvl>
    <w:lvl w:ilvl="1">
      <w:lvlJc w:val="left"/>
      <w:lvlText w:val="(%2)"/>
      <w:numFmt w:val="lowerLetter"/>
      <w:start w:val="3"/>
    </w:lvl>
  </w:abstractNum>
  <w:abstractNum w:abstractNumId="75">
    <w:nsid w:val="42963E5A"/>
    <w:multiLevelType w:val="hybridMultilevel"/>
    <w:lvl w:ilvl="0">
      <w:lvlJc w:val="left"/>
      <w:lvlText w:val="(%1)"/>
      <w:numFmt w:val="decimal"/>
      <w:start w:val="3"/>
    </w:lvl>
    <w:lvl w:ilvl="1">
      <w:lvlJc w:val="left"/>
      <w:lvlText w:val="%2"/>
      <w:numFmt w:val="lowerLetter"/>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2020-01-24T09:41:41Z</dcterms:created>
  <dcterms:modified xsi:type="dcterms:W3CDTF">2020-01-24T09:41:41Z</dcterms:modified>
</cp:coreProperties>
</file>