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206"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6"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Plains GP Holdings, L.P.</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72651A108</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December 31, 2013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220" w:lineRule="exact"/>
        <w:rPr>
          <w:sz w:val="24"/>
          <w:szCs w:val="24"/>
          <w:color w:val="auto"/>
        </w:rPr>
      </w:pPr>
    </w:p>
    <w:p>
      <w:pPr>
        <w:ind w:left="5200" w:hanging="241"/>
        <w:spacing w:after="0"/>
        <w:tabs>
          <w:tab w:leader="none" w:pos="52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Rule 13d-1(b)</w:t>
      </w:r>
    </w:p>
    <w:p>
      <w:pPr>
        <w:spacing w:after="0" w:line="27" w:lineRule="exact"/>
        <w:rPr>
          <w:rFonts w:ascii="MS PGothic" w:cs="MS PGothic" w:eastAsia="MS PGothic" w:hAnsi="MS PGothic"/>
          <w:sz w:val="22"/>
          <w:szCs w:val="22"/>
          <w:color w:val="auto"/>
        </w:rPr>
      </w:pPr>
    </w:p>
    <w:p>
      <w:pPr>
        <w:jc w:val="both"/>
        <w:ind w:left="4960" w:right="4960" w:firstLine="11"/>
        <w:spacing w:after="0" w:line="269" w:lineRule="exact"/>
        <w:tabs>
          <w:tab w:leader="none" w:pos="5215" w:val="left"/>
        </w:tabs>
        <w:numPr>
          <w:ilvl w:val="1"/>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 xml:space="preserve">Rule 13d-1(c) </w:t>
      </w: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Rule 13d-1(d)</w:t>
      </w:r>
    </w:p>
    <w:p>
      <w:pPr>
        <w:spacing w:after="0" w:line="161"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CUSIP No. 72651A108</w:t>
            </w:r>
          </w:p>
        </w:tc>
        <w:tc>
          <w:tcPr>
            <w:tcW w:w="640" w:type="dxa"/>
            <w:vAlign w:val="bottom"/>
          </w:tcPr>
          <w:p>
            <w:pPr>
              <w:ind w:left="28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800" w:hanging="572"/>
        <w:spacing w:after="0" w:line="448" w:lineRule="auto"/>
        <w:tabs>
          <w:tab w:leader="none" w:pos="577"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2"/>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2"/>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3000" w:type="dxa"/>
            <w:vAlign w:val="bottom"/>
          </w:tcPr>
          <w:p>
            <w:pPr>
              <w:ind w:left="900"/>
              <w:spacing w:after="0"/>
              <w:rPr>
                <w:sz w:val="20"/>
                <w:szCs w:val="20"/>
                <w:color w:val="auto"/>
              </w:rPr>
            </w:pPr>
            <w:r>
              <w:rPr>
                <w:rFonts w:ascii="Arial" w:cs="Arial" w:eastAsia="Arial" w:hAnsi="Arial"/>
                <w:sz w:val="22"/>
                <w:szCs w:val="22"/>
                <w:color w:val="auto"/>
                <w:w w:val="87"/>
              </w:rPr>
              <w:t>16,203,950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300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3000" w:type="dxa"/>
            <w:vAlign w:val="bottom"/>
          </w:tcPr>
          <w:p>
            <w:pPr>
              <w:ind w:left="900"/>
              <w:spacing w:after="0"/>
              <w:rPr>
                <w:sz w:val="20"/>
                <w:szCs w:val="20"/>
                <w:color w:val="auto"/>
              </w:rPr>
            </w:pPr>
            <w:r>
              <w:rPr>
                <w:rFonts w:ascii="Arial" w:cs="Arial" w:eastAsia="Arial" w:hAnsi="Arial"/>
                <w:sz w:val="22"/>
                <w:szCs w:val="22"/>
                <w:color w:val="auto"/>
                <w:w w:val="87"/>
              </w:rPr>
              <w:t>16,203,950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300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3"/>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16,203,950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12.2</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100"/>
          </w:cols>
          <w:pgMar w:left="240" w:top="267"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CUSIP No. 72651A108</w:t>
            </w:r>
          </w:p>
        </w:tc>
        <w:tc>
          <w:tcPr>
            <w:tcW w:w="640" w:type="dxa"/>
            <w:vAlign w:val="bottom"/>
          </w:tcPr>
          <w:p>
            <w:pPr>
              <w:ind w:left="28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700" w:hanging="572"/>
        <w:spacing w:after="0" w:line="519" w:lineRule="auto"/>
        <w:tabs>
          <w:tab w:leader="none" w:pos="577"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4"/>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4"/>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Kansas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3,320,750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3,320,750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3,320,750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2.5</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1000"/>
          </w:cols>
          <w:pgMar w:left="240" w:top="267"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CUSIP No. 72651A108</w:t>
            </w:r>
          </w:p>
        </w:tc>
        <w:tc>
          <w:tcPr>
            <w:tcW w:w="640" w:type="dxa"/>
            <w:vAlign w:val="bottom"/>
          </w:tcPr>
          <w:p>
            <w:pPr>
              <w:ind w:left="28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700" w:hanging="572"/>
        <w:spacing w:after="0" w:line="448" w:lineRule="auto"/>
        <w:tabs>
          <w:tab w:leader="none" w:pos="577"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ind w:left="580" w:hanging="572"/>
        <w:spacing w:after="0"/>
        <w:tabs>
          <w:tab w:leader="none" w:pos="5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6"/>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6"/>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3,320,750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3,320,750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7"/>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3,320,750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2.5</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BD</w:t>
      </w:r>
    </w:p>
    <w:p>
      <w:pPr>
        <w:sectPr>
          <w:pgSz w:w="11900" w:h="16838" w:orient="portrait"/>
          <w:cols w:equalWidth="0" w:num="1">
            <w:col w:w="11000"/>
          </w:cols>
          <w:pgMar w:left="240" w:top="267"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CUSIP No. 72651A108</w:t>
            </w:r>
          </w:p>
        </w:tc>
        <w:tc>
          <w:tcPr>
            <w:tcW w:w="640" w:type="dxa"/>
            <w:vAlign w:val="bottom"/>
          </w:tcPr>
          <w:p>
            <w:pPr>
              <w:ind w:left="28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700" w:hanging="572"/>
        <w:spacing w:after="0" w:line="448" w:lineRule="auto"/>
        <w:tabs>
          <w:tab w:leader="none" w:pos="577"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ind w:left="580" w:hanging="572"/>
        <w:spacing w:after="0"/>
        <w:tabs>
          <w:tab w:leader="none" w:pos="5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8"/>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8"/>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Missouri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3,320,750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w w:val="87"/>
              </w:rPr>
              <w:t>3,320,750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288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9"/>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3,320,750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2.5</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000"/>
          </w:cols>
          <w:pgMar w:left="240" w:top="267" w:right="6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340" w:type="dxa"/>
            <w:vAlign w:val="bottom"/>
          </w:tcPr>
          <w:p>
            <w:pPr>
              <w:spacing w:after="0"/>
              <w:rPr>
                <w:sz w:val="20"/>
                <w:szCs w:val="20"/>
                <w:color w:val="auto"/>
              </w:rPr>
            </w:pPr>
            <w:r>
              <w:rPr>
                <w:rFonts w:ascii="Arial" w:cs="Arial" w:eastAsia="Arial" w:hAnsi="Arial"/>
                <w:sz w:val="22"/>
                <w:szCs w:val="22"/>
                <w:color w:val="auto"/>
              </w:rPr>
              <w:t>CUSIP No. 72651A108</w:t>
            </w:r>
          </w:p>
        </w:tc>
        <w:tc>
          <w:tcPr>
            <w:tcW w:w="640" w:type="dxa"/>
            <w:vAlign w:val="bottom"/>
          </w:tcPr>
          <w:p>
            <w:pPr>
              <w:ind w:left="280"/>
              <w:spacing w:after="0"/>
              <w:rPr>
                <w:sz w:val="20"/>
                <w:szCs w:val="20"/>
                <w:color w:val="auto"/>
              </w:rPr>
            </w:pPr>
            <w:r>
              <w:rPr>
                <w:rFonts w:ascii="Arial" w:cs="Arial" w:eastAsia="Arial" w:hAnsi="Arial"/>
                <w:sz w:val="22"/>
                <w:szCs w:val="22"/>
                <w:color w:val="auto"/>
                <w:w w:val="81"/>
              </w:rPr>
              <w:t>13G</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2800" w:hanging="572"/>
        <w:spacing w:after="0" w:line="448" w:lineRule="auto"/>
        <w:tabs>
          <w:tab w:leader="none" w:pos="577"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ind w:left="580" w:hanging="572"/>
        <w:spacing w:after="0"/>
        <w:tabs>
          <w:tab w:leader="none" w:pos="5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260" w:hanging="681"/>
        <w:spacing w:after="0" w:line="253" w:lineRule="exact"/>
        <w:tabs>
          <w:tab w:leader="none" w:pos="1260" w:val="left"/>
        </w:tabs>
        <w:numPr>
          <w:ilvl w:val="1"/>
          <w:numId w:val="10"/>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60" w:hanging="681"/>
        <w:spacing w:after="0" w:line="253" w:lineRule="exact"/>
        <w:tabs>
          <w:tab w:leader="none" w:pos="1260" w:val="left"/>
        </w:tabs>
        <w:numPr>
          <w:ilvl w:val="1"/>
          <w:numId w:val="10"/>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09" w:lineRule="exact"/>
        <w:rPr>
          <w:rFonts w:ascii="Arial" w:cs="Arial" w:eastAsia="Arial" w:hAnsi="Arial"/>
          <w:sz w:val="22"/>
          <w:szCs w:val="22"/>
          <w:color w:val="auto"/>
        </w:rPr>
      </w:pPr>
    </w:p>
    <w:p>
      <w:pPr>
        <w:ind w:left="580" w:hanging="572"/>
        <w:spacing w:after="0"/>
        <w:tabs>
          <w:tab w:leader="none" w:pos="5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VOTING POWER</w:t>
            </w:r>
          </w:p>
        </w:tc>
        <w:tc>
          <w:tcPr>
            <w:tcW w:w="3000" w:type="dxa"/>
            <w:vAlign w:val="bottom"/>
          </w:tcPr>
          <w:p>
            <w:pPr>
              <w:ind w:left="900"/>
              <w:spacing w:after="0"/>
              <w:rPr>
                <w:sz w:val="20"/>
                <w:szCs w:val="20"/>
                <w:color w:val="auto"/>
              </w:rPr>
            </w:pPr>
            <w:r>
              <w:rPr>
                <w:rFonts w:ascii="Arial" w:cs="Arial" w:eastAsia="Arial" w:hAnsi="Arial"/>
                <w:sz w:val="22"/>
                <w:szCs w:val="22"/>
                <w:color w:val="auto"/>
                <w:w w:val="87"/>
              </w:rPr>
              <w:t>19,524,700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VOTING POWER</w:t>
            </w:r>
          </w:p>
        </w:tc>
        <w:tc>
          <w:tcPr>
            <w:tcW w:w="3000" w:type="dxa"/>
            <w:vAlign w:val="bottom"/>
          </w:tcPr>
          <w:p>
            <w:pPr>
              <w:ind w:left="900"/>
              <w:spacing w:after="0"/>
              <w:rPr>
                <w:sz w:val="20"/>
                <w:szCs w:val="20"/>
                <w:color w:val="auto"/>
              </w:rPr>
            </w:pPr>
            <w:r>
              <w:rPr>
                <w:rFonts w:ascii="Arial" w:cs="Arial" w:eastAsia="Arial" w:hAnsi="Arial"/>
                <w:sz w:val="22"/>
                <w:szCs w:val="22"/>
                <w:color w:val="auto"/>
              </w:rPr>
              <w:t>0</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7.</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SOLE DISPOSITIVE POWER</w:t>
            </w:r>
          </w:p>
        </w:tc>
        <w:tc>
          <w:tcPr>
            <w:tcW w:w="3000" w:type="dxa"/>
            <w:vAlign w:val="bottom"/>
          </w:tcPr>
          <w:p>
            <w:pPr>
              <w:ind w:left="900"/>
              <w:spacing w:after="0"/>
              <w:rPr>
                <w:sz w:val="20"/>
                <w:szCs w:val="20"/>
                <w:color w:val="auto"/>
              </w:rPr>
            </w:pPr>
            <w:r>
              <w:rPr>
                <w:rFonts w:ascii="Arial" w:cs="Arial" w:eastAsia="Arial" w:hAnsi="Arial"/>
                <w:sz w:val="22"/>
                <w:szCs w:val="22"/>
                <w:color w:val="auto"/>
                <w:w w:val="87"/>
              </w:rPr>
              <w:t>19,524,700 (See Item 4)</w:t>
            </w:r>
          </w:p>
        </w:tc>
      </w:tr>
      <w:tr>
        <w:trPr>
          <w:trHeight w:val="459"/>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8.</w:t>
            </w:r>
          </w:p>
        </w:tc>
        <w:tc>
          <w:tcPr>
            <w:tcW w:w="4420" w:type="dxa"/>
            <w:vAlign w:val="bottom"/>
          </w:tcPr>
          <w:p>
            <w:pPr>
              <w:ind w:left="320"/>
              <w:spacing w:after="0"/>
              <w:rPr>
                <w:sz w:val="20"/>
                <w:szCs w:val="20"/>
                <w:color w:val="auto"/>
              </w:rPr>
            </w:pPr>
            <w:r>
              <w:rPr>
                <w:rFonts w:ascii="Arial" w:cs="Arial" w:eastAsia="Arial" w:hAnsi="Arial"/>
                <w:sz w:val="22"/>
                <w:szCs w:val="22"/>
                <w:b w:val="1"/>
                <w:bCs w:val="1"/>
                <w:color w:val="auto"/>
              </w:rPr>
              <w:t>SHARED DISPOSITIVE POWER</w:t>
            </w:r>
          </w:p>
        </w:tc>
        <w:tc>
          <w:tcPr>
            <w:tcW w:w="3000" w:type="dxa"/>
            <w:vAlign w:val="bottom"/>
          </w:tcPr>
          <w:p>
            <w:pPr>
              <w:ind w:left="90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19,524,700 (See Item 4)</w:t>
      </w:r>
    </w:p>
    <w:p>
      <w:pPr>
        <w:spacing w:after="0" w:line="224" w:lineRule="exact"/>
        <w:rPr>
          <w:rFonts w:ascii="Arial" w:cs="Arial" w:eastAsia="Arial" w:hAnsi="Arial"/>
          <w:sz w:val="21"/>
          <w:szCs w:val="21"/>
          <w:b w:val="1"/>
          <w:bCs w:val="1"/>
          <w:color w:val="auto"/>
        </w:rPr>
      </w:pPr>
    </w:p>
    <w:p>
      <w:pPr>
        <w:ind w:left="580" w:hanging="572"/>
        <w:spacing w:after="0" w:line="253" w:lineRule="exact"/>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MS PGothic" w:cs="MS PGothic" w:eastAsia="MS PGothic" w:hAnsi="MS PGothic"/>
          <w:sz w:val="22"/>
          <w:szCs w:val="22"/>
          <w:color w:val="auto"/>
        </w:rPr>
        <w:t>☐</w:t>
      </w:r>
    </w:p>
    <w:p>
      <w:pPr>
        <w:spacing w:after="0" w:line="267" w:lineRule="exact"/>
        <w:rPr>
          <w:rFonts w:ascii="Arial" w:cs="Arial" w:eastAsia="Arial" w:hAnsi="Arial"/>
          <w:sz w:val="22"/>
          <w:szCs w:val="22"/>
          <w:b w:val="1"/>
          <w:bCs w:val="1"/>
          <w:color w:val="auto"/>
        </w:rPr>
      </w:pPr>
    </w:p>
    <w:p>
      <w:pPr>
        <w:ind w:left="580" w:hanging="572"/>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14.7</w:t>
      </w:r>
    </w:p>
    <w:p>
      <w:pPr>
        <w:spacing w:after="0" w:line="233" w:lineRule="exact"/>
        <w:rPr>
          <w:rFonts w:ascii="Arial" w:cs="Arial" w:eastAsia="Arial" w:hAnsi="Arial"/>
          <w:sz w:val="22"/>
          <w:szCs w:val="22"/>
          <w:b w:val="1"/>
          <w:bCs w:val="1"/>
          <w:color w:val="auto"/>
        </w:rPr>
      </w:pPr>
    </w:p>
    <w:p>
      <w:pPr>
        <w:ind w:left="580" w:hanging="572"/>
        <w:spacing w:after="0"/>
        <w:tabs>
          <w:tab w:leader="none" w:pos="5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1100"/>
          </w:cols>
          <w:pgMar w:left="240" w:top="267" w:right="559" w:bottom="1440" w:gutter="0" w:footer="0" w:header="0"/>
        </w:sectPr>
      </w:pPr>
    </w:p>
    <w:bookmarkStart w:id="6" w:name="page7"/>
    <w:bookmarkEnd w:id="6"/>
    <w:p>
      <w:pPr>
        <w:spacing w:after="0"/>
        <w:tabs>
          <w:tab w:leader="none" w:pos="112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 Plains GP Holdings, L.P.</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Issuer’s Principal Executive Offices</w:t>
      </w:r>
      <w:r>
        <w:rPr>
          <w:rFonts w:ascii="Arial" w:cs="Arial" w:eastAsia="Arial" w:hAnsi="Arial"/>
          <w:sz w:val="19"/>
          <w:szCs w:val="19"/>
          <w:color w:val="auto"/>
        </w:rPr>
        <w: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333 Clay Street, Suite 1600</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Houston, TX 77002</w:t>
      </w: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233" w:lineRule="exact"/>
        <w:rPr>
          <w:sz w:val="20"/>
          <w:szCs w:val="20"/>
          <w:color w:val="auto"/>
        </w:rPr>
      </w:pPr>
    </w:p>
    <w:p>
      <w:pPr>
        <w:ind w:left="1700" w:hanging="558"/>
        <w:spacing w:after="0"/>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w:t>
      </w:r>
    </w:p>
    <w:p>
      <w:pPr>
        <w:spacing w:after="0" w:line="8" w:lineRule="exact"/>
        <w:rPr>
          <w:rFonts w:ascii="Arial" w:cs="Arial" w:eastAsia="Arial" w:hAnsi="Arial"/>
          <w:sz w:val="22"/>
          <w:szCs w:val="22"/>
          <w:color w:val="auto"/>
        </w:rPr>
      </w:pPr>
    </w:p>
    <w:p>
      <w:pPr>
        <w:ind w:left="1700" w:hanging="558"/>
        <w:spacing w:after="0" w:line="230" w:lineRule="auto"/>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w:t>
      </w:r>
    </w:p>
    <w:p>
      <w:pPr>
        <w:ind w:left="1700" w:hanging="558"/>
        <w:spacing w:after="0" w:line="230" w:lineRule="auto"/>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Inc.</w:t>
      </w:r>
    </w:p>
    <w:p>
      <w:pPr>
        <w:ind w:left="1700" w:hanging="558"/>
        <w:spacing w:after="0" w:line="230" w:lineRule="auto"/>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Investment Management Company</w:t>
      </w:r>
    </w:p>
    <w:p>
      <w:pPr>
        <w:ind w:left="1700" w:hanging="558"/>
        <w:spacing w:after="0"/>
        <w:tabs>
          <w:tab w:leader="none" w:pos="17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w:t>
      </w: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2(b):</w:t>
      </w:r>
      <w:r>
        <w:rPr>
          <w:sz w:val="20"/>
          <w:szCs w:val="20"/>
          <w:color w:val="auto"/>
        </w:rPr>
        <w:tab/>
      </w:r>
      <w:r>
        <w:rPr>
          <w:rFonts w:ascii="Arial" w:cs="Arial" w:eastAsia="Arial" w:hAnsi="Arial"/>
          <w:sz w:val="19"/>
          <w:szCs w:val="19"/>
          <w:u w:val="single" w:color="auto"/>
          <w:color w:val="auto"/>
        </w:rPr>
        <w:t>Address of Principal Business Office:</w:t>
      </w:r>
    </w:p>
    <w:p>
      <w:pPr>
        <w:spacing w:after="0" w:line="233"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6300 Lamar Avenue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Overland Park, KS 66202</w:t>
      </w: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2(c)</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Citizenship</w:t>
      </w:r>
      <w:r>
        <w:rPr>
          <w:rFonts w:ascii="Arial" w:cs="Arial" w:eastAsia="Arial" w:hAnsi="Arial"/>
          <w:sz w:val="19"/>
          <w:szCs w:val="19"/>
          <w:color w:val="auto"/>
        </w:rPr>
        <w: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(i), (iii) and (v): Delaware</w:t>
      </w:r>
    </w:p>
    <w:p>
      <w:pPr>
        <w:ind w:left="1140"/>
        <w:spacing w:after="0" w:line="238" w:lineRule="auto"/>
        <w:tabs>
          <w:tab w:leader="none" w:pos="1680" w:val="left"/>
        </w:tabs>
        <w:rPr>
          <w:sz w:val="20"/>
          <w:szCs w:val="20"/>
          <w:color w:val="auto"/>
        </w:rPr>
      </w:pPr>
      <w:r>
        <w:rPr>
          <w:rFonts w:ascii="Arial" w:cs="Arial" w:eastAsia="Arial" w:hAnsi="Arial"/>
          <w:sz w:val="22"/>
          <w:szCs w:val="22"/>
          <w:color w:val="auto"/>
        </w:rPr>
        <w:t>(ii):</w:t>
        <w:tab/>
        <w:t>Missouri</w:t>
      </w:r>
    </w:p>
    <w:p>
      <w:pPr>
        <w:ind w:left="1140"/>
        <w:spacing w:after="0"/>
        <w:tabs>
          <w:tab w:leader="none" w:pos="168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Kansas</w:t>
      </w:r>
    </w:p>
    <w:p>
      <w:pPr>
        <w:spacing w:after="0" w:line="21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2(d)</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Title of Class of Securities</w:t>
      </w:r>
      <w:r>
        <w:rPr>
          <w:rFonts w:ascii="Arial" w:cs="Arial" w:eastAsia="Arial" w:hAnsi="Arial"/>
          <w:sz w:val="19"/>
          <w:szCs w:val="19"/>
          <w:color w:val="auto"/>
        </w:rPr>
        <w:t>: Common Stock</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2(e)</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CUSIP Number</w:t>
      </w:r>
      <w:r>
        <w:rPr>
          <w:rFonts w:ascii="Arial" w:cs="Arial" w:eastAsia="Arial" w:hAnsi="Arial"/>
          <w:sz w:val="19"/>
          <w:szCs w:val="19"/>
          <w:color w:val="auto"/>
        </w:rPr>
        <w:t>: 72651A108</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3</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The reporting person is</w:t>
      </w:r>
      <w:r>
        <w:rPr>
          <w:rFonts w:ascii="Arial" w:cs="Arial" w:eastAsia="Arial" w:hAnsi="Arial"/>
          <w:sz w:val="19"/>
          <w:szCs w:val="19"/>
          <w:color w:val="auto"/>
        </w:rPr>
        <w:t>:</w:t>
      </w:r>
    </w:p>
    <w:p>
      <w:pPr>
        <w:spacing w:after="0" w:line="233" w:lineRule="exact"/>
        <w:rPr>
          <w:sz w:val="20"/>
          <w:szCs w:val="20"/>
          <w:color w:val="auto"/>
        </w:rPr>
      </w:pPr>
    </w:p>
    <w:p>
      <w:pPr>
        <w:ind w:left="1700" w:hanging="558"/>
        <w:spacing w:after="0"/>
        <w:tabs>
          <w:tab w:leader="none" w:pos="17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Waddell &amp; Reed Financial, Inc., a parent holding company in accordance with Reg. 240.13d-1(b)(1)(ii)(G);</w:t>
      </w:r>
    </w:p>
    <w:p>
      <w:pPr>
        <w:spacing w:after="0" w:line="42" w:lineRule="exact"/>
        <w:rPr>
          <w:rFonts w:ascii="Arial" w:cs="Arial" w:eastAsia="Arial" w:hAnsi="Arial"/>
          <w:sz w:val="19"/>
          <w:szCs w:val="19"/>
          <w:color w:val="auto"/>
        </w:rPr>
      </w:pPr>
    </w:p>
    <w:p>
      <w:pPr>
        <w:ind w:left="1700" w:hanging="558"/>
        <w:spacing w:after="0" w:line="230" w:lineRule="auto"/>
        <w:tabs>
          <w:tab w:leader="none" w:pos="17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Financial Services, Inc., a parent holding company in accordance with Reg. 240.13d-1(b)(1) (ii)(G);</w:t>
      </w:r>
    </w:p>
    <w:p>
      <w:pPr>
        <w:spacing w:after="0" w:line="1" w:lineRule="exact"/>
        <w:rPr>
          <w:rFonts w:ascii="Arial" w:cs="Arial" w:eastAsia="Arial" w:hAnsi="Arial"/>
          <w:sz w:val="22"/>
          <w:szCs w:val="22"/>
          <w:color w:val="auto"/>
        </w:rPr>
      </w:pPr>
    </w:p>
    <w:p>
      <w:pPr>
        <w:ind w:left="1700" w:hanging="558"/>
        <w:spacing w:after="0" w:line="230" w:lineRule="auto"/>
        <w:tabs>
          <w:tab w:leader="none" w:pos="17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Inc., a broker-dealer registered under section 15 of the Act (15 U.S.C. 78o); and</w:t>
      </w:r>
    </w:p>
    <w:p>
      <w:pPr>
        <w:ind w:left="1700" w:hanging="558"/>
        <w:spacing w:after="0" w:line="230" w:lineRule="auto"/>
        <w:tabs>
          <w:tab w:leader="none" w:pos="17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Investment Management Company, an investment advisor in accordance with Reg. 240.13d-1(b)(1)(ii)(E).</w:t>
      </w:r>
    </w:p>
    <w:p>
      <w:pPr>
        <w:spacing w:after="0" w:line="1" w:lineRule="exact"/>
        <w:rPr>
          <w:rFonts w:ascii="Arial" w:cs="Arial" w:eastAsia="Arial" w:hAnsi="Arial"/>
          <w:sz w:val="22"/>
          <w:szCs w:val="22"/>
          <w:color w:val="auto"/>
        </w:rPr>
      </w:pPr>
    </w:p>
    <w:p>
      <w:pPr>
        <w:ind w:left="1700" w:hanging="558"/>
        <w:spacing w:after="0"/>
        <w:tabs>
          <w:tab w:leader="none" w:pos="17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Ivy Investment Management Company, an investment advisor in accordance with Reg. 240.13d-1(b)(1)(ii)(E).</w:t>
      </w:r>
    </w:p>
    <w:p>
      <w:pPr>
        <w:sectPr>
          <w:pgSz w:w="11900" w:h="16838" w:orient="portrait"/>
          <w:cols w:equalWidth="0" w:num="1">
            <w:col w:w="11420"/>
          </w:cols>
          <w:pgMar w:left="240" w:top="267" w:right="239" w:bottom="1440"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9"/>
          <w:szCs w:val="19"/>
          <w:u w:val="single" w:color="auto"/>
          <w:color w:val="auto"/>
        </w:rPr>
        <w:t>Ownership</w:t>
      </w:r>
    </w:p>
    <w:p>
      <w:pPr>
        <w:spacing w:after="0" w:line="206" w:lineRule="exact"/>
        <w:rPr>
          <w:sz w:val="20"/>
          <w:szCs w:val="20"/>
          <w:color w:val="auto"/>
        </w:rPr>
      </w:pPr>
    </w:p>
    <w:p>
      <w:pPr>
        <w:jc w:val="both"/>
        <w:ind w:firstLine="1141"/>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90"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213" w:lineRule="exact"/>
        <w:rPr>
          <w:sz w:val="20"/>
          <w:szCs w:val="20"/>
          <w:color w:val="auto"/>
        </w:rPr>
      </w:pPr>
    </w:p>
    <w:p>
      <w:pPr>
        <w:ind w:left="1700" w:hanging="558"/>
        <w:spacing w:after="0"/>
        <w:tabs>
          <w:tab w:leader="none" w:pos="1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Amount beneficially owned: 19,524,700</w:t>
      </w:r>
    </w:p>
    <w:p>
      <w:pPr>
        <w:spacing w:after="0" w:line="233" w:lineRule="exact"/>
        <w:rPr>
          <w:rFonts w:ascii="Arial" w:cs="Arial" w:eastAsia="Arial" w:hAnsi="Arial"/>
          <w:sz w:val="22"/>
          <w:szCs w:val="22"/>
          <w:color w:val="auto"/>
        </w:rPr>
      </w:pPr>
    </w:p>
    <w:p>
      <w:pPr>
        <w:ind w:left="1700" w:hanging="558"/>
        <w:spacing w:after="0"/>
        <w:tabs>
          <w:tab w:leader="none" w:pos="1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Percent of class: 14.7</w:t>
      </w:r>
    </w:p>
    <w:p>
      <w:pPr>
        <w:spacing w:after="0" w:line="233" w:lineRule="exact"/>
        <w:rPr>
          <w:rFonts w:ascii="Arial" w:cs="Arial" w:eastAsia="Arial" w:hAnsi="Arial"/>
          <w:sz w:val="22"/>
          <w:szCs w:val="22"/>
          <w:color w:val="auto"/>
        </w:rPr>
      </w:pPr>
    </w:p>
    <w:p>
      <w:pPr>
        <w:ind w:left="1700" w:hanging="558"/>
        <w:spacing w:after="0"/>
        <w:tabs>
          <w:tab w:leader="none" w:pos="1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33" w:lineRule="exact"/>
        <w:rPr>
          <w:rFonts w:ascii="Arial" w:cs="Arial" w:eastAsia="Arial" w:hAnsi="Arial"/>
          <w:sz w:val="22"/>
          <w:szCs w:val="22"/>
          <w:color w:val="auto"/>
        </w:rPr>
      </w:pPr>
    </w:p>
    <w:p>
      <w:pPr>
        <w:ind w:left="2380" w:hanging="670"/>
        <w:spacing w:after="0"/>
        <w:tabs>
          <w:tab w:leader="none" w:pos="23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206" w:lineRule="exact"/>
        <w:rPr>
          <w:rFonts w:ascii="Arial" w:cs="Arial" w:eastAsia="Arial" w:hAnsi="Arial"/>
          <w:sz w:val="22"/>
          <w:szCs w:val="22"/>
          <w:color w:val="auto"/>
        </w:rPr>
      </w:pPr>
    </w:p>
    <w:p>
      <w:pPr>
        <w:ind w:left="2400"/>
        <w:spacing w:after="0"/>
        <w:rPr>
          <w:rFonts w:ascii="Arial" w:cs="Arial" w:eastAsia="Arial" w:hAnsi="Arial"/>
          <w:sz w:val="22"/>
          <w:szCs w:val="22"/>
          <w:color w:val="auto"/>
        </w:rPr>
      </w:pPr>
      <w:r>
        <w:rPr>
          <w:rFonts w:ascii="Arial" w:cs="Arial" w:eastAsia="Arial" w:hAnsi="Arial"/>
          <w:sz w:val="22"/>
          <w:szCs w:val="22"/>
          <w:color w:val="auto"/>
        </w:rPr>
        <w:t>WDR: 19,524,700 (indirect)</w:t>
      </w:r>
    </w:p>
    <w:p>
      <w:pPr>
        <w:spacing w:after="0" w:line="8" w:lineRule="exact"/>
        <w:rPr>
          <w:rFonts w:ascii="Arial" w:cs="Arial" w:eastAsia="Arial" w:hAnsi="Arial"/>
          <w:sz w:val="22"/>
          <w:szCs w:val="22"/>
          <w:color w:val="auto"/>
        </w:rPr>
      </w:pP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WRFSI: 3,320,750 (indirect)</w:t>
      </w: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WRI: 3,320,750 (indirect)</w:t>
      </w: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WRIMCO: 3,320,750 (direct)</w:t>
      </w:r>
    </w:p>
    <w:p>
      <w:pPr>
        <w:ind w:left="2400"/>
        <w:spacing w:after="0"/>
        <w:rPr>
          <w:rFonts w:ascii="Arial" w:cs="Arial" w:eastAsia="Arial" w:hAnsi="Arial"/>
          <w:sz w:val="22"/>
          <w:szCs w:val="22"/>
          <w:color w:val="auto"/>
        </w:rPr>
      </w:pPr>
      <w:r>
        <w:rPr>
          <w:rFonts w:ascii="Arial" w:cs="Arial" w:eastAsia="Arial" w:hAnsi="Arial"/>
          <w:sz w:val="22"/>
          <w:szCs w:val="22"/>
          <w:color w:val="auto"/>
        </w:rPr>
        <w:t>IICO: 16,203,950 (direct)</w:t>
      </w:r>
    </w:p>
    <w:p>
      <w:pPr>
        <w:spacing w:after="0" w:line="215" w:lineRule="exact"/>
        <w:rPr>
          <w:rFonts w:ascii="Arial" w:cs="Arial" w:eastAsia="Arial" w:hAnsi="Arial"/>
          <w:sz w:val="22"/>
          <w:szCs w:val="22"/>
          <w:color w:val="auto"/>
        </w:rPr>
      </w:pPr>
    </w:p>
    <w:p>
      <w:pPr>
        <w:ind w:left="2380" w:hanging="670"/>
        <w:spacing w:after="0"/>
        <w:tabs>
          <w:tab w:leader="none" w:pos="23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233" w:lineRule="exact"/>
        <w:rPr>
          <w:rFonts w:ascii="Arial" w:cs="Arial" w:eastAsia="Arial" w:hAnsi="Arial"/>
          <w:sz w:val="22"/>
          <w:szCs w:val="22"/>
          <w:color w:val="auto"/>
        </w:rPr>
      </w:pPr>
    </w:p>
    <w:p>
      <w:pPr>
        <w:ind w:left="2380" w:hanging="670"/>
        <w:spacing w:after="0"/>
        <w:tabs>
          <w:tab w:leader="none" w:pos="23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206" w:lineRule="exact"/>
        <w:rPr>
          <w:rFonts w:ascii="Arial" w:cs="Arial" w:eastAsia="Arial" w:hAnsi="Arial"/>
          <w:sz w:val="22"/>
          <w:szCs w:val="22"/>
          <w:color w:val="auto"/>
        </w:rPr>
      </w:pPr>
    </w:p>
    <w:p>
      <w:pPr>
        <w:ind w:left="2400"/>
        <w:spacing w:after="0"/>
        <w:rPr>
          <w:rFonts w:ascii="Arial" w:cs="Arial" w:eastAsia="Arial" w:hAnsi="Arial"/>
          <w:sz w:val="22"/>
          <w:szCs w:val="22"/>
          <w:color w:val="auto"/>
        </w:rPr>
      </w:pPr>
      <w:r>
        <w:rPr>
          <w:rFonts w:ascii="Arial" w:cs="Arial" w:eastAsia="Arial" w:hAnsi="Arial"/>
          <w:sz w:val="22"/>
          <w:szCs w:val="22"/>
          <w:color w:val="auto"/>
        </w:rPr>
        <w:t>WDR: 19,524,700 (indirect)</w:t>
      </w:r>
    </w:p>
    <w:p>
      <w:pPr>
        <w:spacing w:after="0" w:line="8" w:lineRule="exact"/>
        <w:rPr>
          <w:rFonts w:ascii="Arial" w:cs="Arial" w:eastAsia="Arial" w:hAnsi="Arial"/>
          <w:sz w:val="22"/>
          <w:szCs w:val="22"/>
          <w:color w:val="auto"/>
        </w:rPr>
      </w:pP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WRFSI: 3,320,750 (indirect)</w:t>
      </w: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WRI: 3,320,750 (indirect)</w:t>
      </w:r>
    </w:p>
    <w:p>
      <w:pPr>
        <w:ind w:left="2400"/>
        <w:spacing w:after="0" w:line="230" w:lineRule="auto"/>
        <w:rPr>
          <w:rFonts w:ascii="Arial" w:cs="Arial" w:eastAsia="Arial" w:hAnsi="Arial"/>
          <w:sz w:val="22"/>
          <w:szCs w:val="22"/>
          <w:color w:val="auto"/>
        </w:rPr>
      </w:pPr>
      <w:r>
        <w:rPr>
          <w:rFonts w:ascii="Arial" w:cs="Arial" w:eastAsia="Arial" w:hAnsi="Arial"/>
          <w:sz w:val="22"/>
          <w:szCs w:val="22"/>
          <w:color w:val="auto"/>
        </w:rPr>
        <w:t>WRIMCO: 3,320,750 (direct)</w:t>
      </w:r>
    </w:p>
    <w:p>
      <w:pPr>
        <w:ind w:left="2400"/>
        <w:spacing w:after="0"/>
        <w:rPr>
          <w:rFonts w:ascii="Arial" w:cs="Arial" w:eastAsia="Arial" w:hAnsi="Arial"/>
          <w:sz w:val="22"/>
          <w:szCs w:val="22"/>
          <w:color w:val="auto"/>
        </w:rPr>
      </w:pPr>
      <w:r>
        <w:rPr>
          <w:rFonts w:ascii="Arial" w:cs="Arial" w:eastAsia="Arial" w:hAnsi="Arial"/>
          <w:sz w:val="22"/>
          <w:szCs w:val="22"/>
          <w:color w:val="auto"/>
        </w:rPr>
        <w:t>IICO: 16,203,950 (direct)</w:t>
      </w:r>
    </w:p>
    <w:p>
      <w:pPr>
        <w:spacing w:after="0" w:line="215" w:lineRule="exact"/>
        <w:rPr>
          <w:rFonts w:ascii="Arial" w:cs="Arial" w:eastAsia="Arial" w:hAnsi="Arial"/>
          <w:sz w:val="22"/>
          <w:szCs w:val="22"/>
          <w:color w:val="auto"/>
        </w:rPr>
      </w:pPr>
    </w:p>
    <w:p>
      <w:pPr>
        <w:ind w:left="2380" w:hanging="670"/>
        <w:spacing w:after="0"/>
        <w:tabs>
          <w:tab w:leader="none" w:pos="23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ectPr>
          <w:pgSz w:w="11900" w:h="16838" w:orient="portrait"/>
          <w:cols w:equalWidth="0" w:num="1">
            <w:col w:w="11420"/>
          </w:cols>
          <w:pgMar w:left="240" w:top="267" w:right="23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 Ivy Asset Strategy Fund, a company registered under the Investment Company Act of 1940, has an interest in more than 5% of the class of securities reported herein.</w:t>
      </w:r>
    </w:p>
    <w:p>
      <w:pPr>
        <w:spacing w:after="0" w:line="212" w:lineRule="exact"/>
        <w:rPr>
          <w:sz w:val="20"/>
          <w:szCs w:val="20"/>
          <w:color w:val="auto"/>
        </w:rPr>
      </w:pPr>
    </w:p>
    <w:p>
      <w:pPr>
        <w:ind w:left="1140" w:right="480" w:hanging="1133"/>
        <w:spacing w:after="0" w:line="251" w:lineRule="auto"/>
        <w:tabs>
          <w:tab w:leader="none" w:pos="112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w:t>
      </w:r>
      <w:r>
        <w:rPr>
          <w:rFonts w:ascii="Arial" w:cs="Arial" w:eastAsia="Arial" w:hAnsi="Arial"/>
          <w:sz w:val="22"/>
          <w:szCs w:val="22"/>
          <w:color w:val="auto"/>
        </w:rPr>
        <w:t>:</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See Attached Exhibit 2.</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267" w:right="239" w:bottom="1440" w:gutter="0" w:footer="0" w:header="0"/>
        </w:sectPr>
      </w:pPr>
    </w:p>
    <w:bookmarkStart w:id="9" w:name="page10"/>
    <w:bookmarkEnd w:id="9"/>
    <w:p>
      <w:pPr>
        <w:spacing w:after="0"/>
        <w:tabs>
          <w:tab w:leader="none" w:pos="112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9"/>
          <w:szCs w:val="19"/>
          <w:u w:val="single" w:color="auto"/>
          <w:color w:val="auto"/>
        </w:rPr>
        <w:t>Certification:</w:t>
      </w:r>
    </w:p>
    <w:p>
      <w:pPr>
        <w:spacing w:after="0" w:line="206"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Dated: February 7, 2014</w:t>
            </w:r>
          </w:p>
        </w:tc>
        <w:tc>
          <w:tcPr>
            <w:tcW w:w="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486"/>
        </w:trPr>
        <w:tc>
          <w:tcPr>
            <w:tcW w:w="388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Waddell &amp; Reed Financial Services, Inc.</w:t>
            </w:r>
          </w:p>
        </w:tc>
      </w:tr>
      <w:tr>
        <w:trPr>
          <w:trHeight w:val="409"/>
        </w:trPr>
        <w:tc>
          <w:tcPr>
            <w:tcW w:w="388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88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000" w:type="dxa"/>
            <w:vAlign w:val="bottom"/>
            <w:gridSpan w:val="3"/>
          </w:tcPr>
          <w:p>
            <w:pPr>
              <w:ind w:left="48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Title: Attorney-In-Fact</w:t>
            </w:r>
          </w:p>
        </w:tc>
      </w:tr>
      <w:tr>
        <w:trPr>
          <w:trHeight w:val="567"/>
        </w:trPr>
        <w:tc>
          <w:tcPr>
            <w:tcW w:w="388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517"/>
        </w:trPr>
        <w:tc>
          <w:tcPr>
            <w:tcW w:w="388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88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000" w:type="dxa"/>
            <w:vAlign w:val="bottom"/>
            <w:gridSpan w:val="3"/>
          </w:tcPr>
          <w:p>
            <w:pPr>
              <w:ind w:left="48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000" w:type="dxa"/>
            <w:vAlign w:val="bottom"/>
            <w:gridSpan w:val="3"/>
          </w:tcPr>
          <w:p>
            <w:pPr>
              <w:ind w:left="480"/>
              <w:spacing w:after="0"/>
              <w:rPr>
                <w:sz w:val="20"/>
                <w:szCs w:val="20"/>
                <w:color w:val="auto"/>
              </w:rPr>
            </w:pPr>
            <w:r>
              <w:rPr>
                <w:rFonts w:ascii="Arial" w:cs="Arial" w:eastAsia="Arial" w:hAnsi="Arial"/>
                <w:sz w:val="22"/>
                <w:szCs w:val="22"/>
                <w:color w:val="auto"/>
              </w:rPr>
              <w:t>Title: Attorney-In-Fact</w:t>
            </w:r>
          </w:p>
        </w:tc>
      </w:tr>
      <w:tr>
        <w:trPr>
          <w:trHeight w:val="567"/>
        </w:trPr>
        <w:tc>
          <w:tcPr>
            <w:tcW w:w="388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517"/>
        </w:trPr>
        <w:tc>
          <w:tcPr>
            <w:tcW w:w="388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388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8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5"/>
        </w:trPr>
        <w:tc>
          <w:tcPr>
            <w:tcW w:w="388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8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ectPr>
          <w:pgSz w:w="11900" w:h="16838" w:orient="portrait"/>
          <w:cols w:equalWidth="0" w:num="1">
            <w:col w:w="11420"/>
          </w:cols>
          <w:pgMar w:left="240" w:top="267"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10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188" w:lineRule="exact"/>
        <w:rPr>
          <w:sz w:val="20"/>
          <w:szCs w:val="20"/>
          <w:color w:val="auto"/>
        </w:rPr>
      </w:pPr>
    </w:p>
    <w:p>
      <w:pPr>
        <w:ind w:left="1120" w:hanging="855"/>
        <w:spacing w:after="0"/>
        <w:tabs>
          <w:tab w:leader="none" w:pos="11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ind w:left="1120" w:hanging="855"/>
        <w:spacing w:after="0" w:line="251" w:lineRule="auto"/>
        <w:tabs>
          <w:tab w:leader="none" w:pos="11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120" w:hanging="855"/>
        <w:spacing w:after="0"/>
        <w:tabs>
          <w:tab w:leader="none" w:pos="11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Power of Attorney</w:t>
      </w:r>
    </w:p>
    <w:p>
      <w:pPr>
        <w:sectPr>
          <w:pgSz w:w="11900" w:h="16838" w:orient="portrait"/>
          <w:cols w:equalWidth="0" w:num="1">
            <w:col w:w="11380"/>
          </w:cols>
          <w:pgMar w:left="280" w:top="26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u w:val="single" w:color="auto"/>
          <w:color w:val="auto"/>
        </w:rPr>
        <w:t>EXHIBIT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18"/>
          <w:szCs w:val="18"/>
          <w:color w:val="auto"/>
        </w:rPr>
        <w:t>nd</w:t>
      </w:r>
      <w:r>
        <w:rPr>
          <w:rFonts w:ascii="Arial" w:cs="Arial" w:eastAsia="Arial" w:hAnsi="Arial"/>
          <w:sz w:val="22"/>
          <w:szCs w:val="22"/>
          <w:color w:val="auto"/>
        </w:rPr>
        <w:t xml:space="preserve"> day of February, 2007.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4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Waddell &amp; Reed Financial Services, Inc.</w:t>
            </w:r>
          </w:p>
        </w:tc>
      </w:tr>
      <w:tr>
        <w:trPr>
          <w:trHeight w:val="409"/>
        </w:trPr>
        <w:tc>
          <w:tcPr>
            <w:tcW w:w="364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364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4780" w:type="dxa"/>
            <w:vAlign w:val="bottom"/>
            <w:gridSpan w:val="3"/>
          </w:tcPr>
          <w:p>
            <w:pPr>
              <w:ind w:left="26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364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Title: Attorney-In-Fact</w:t>
            </w:r>
          </w:p>
        </w:tc>
      </w:tr>
      <w:tr>
        <w:trPr>
          <w:trHeight w:val="567"/>
        </w:trPr>
        <w:tc>
          <w:tcPr>
            <w:tcW w:w="364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517"/>
        </w:trPr>
        <w:tc>
          <w:tcPr>
            <w:tcW w:w="364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364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4780" w:type="dxa"/>
            <w:vAlign w:val="bottom"/>
            <w:gridSpan w:val="3"/>
          </w:tcPr>
          <w:p>
            <w:pPr>
              <w:ind w:left="26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364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4780" w:type="dxa"/>
            <w:vAlign w:val="bottom"/>
            <w:gridSpan w:val="3"/>
          </w:tcPr>
          <w:p>
            <w:pPr>
              <w:ind w:left="260"/>
              <w:spacing w:after="0"/>
              <w:rPr>
                <w:sz w:val="20"/>
                <w:szCs w:val="20"/>
                <w:color w:val="auto"/>
              </w:rPr>
            </w:pPr>
            <w:r>
              <w:rPr>
                <w:rFonts w:ascii="Arial" w:cs="Arial" w:eastAsia="Arial" w:hAnsi="Arial"/>
                <w:sz w:val="22"/>
                <w:szCs w:val="22"/>
                <w:color w:val="auto"/>
              </w:rPr>
              <w:t>Title: Attorney-In-Fact</w:t>
            </w:r>
          </w:p>
        </w:tc>
      </w:tr>
      <w:tr>
        <w:trPr>
          <w:trHeight w:val="567"/>
        </w:trPr>
        <w:tc>
          <w:tcPr>
            <w:tcW w:w="3640" w:type="dxa"/>
            <w:vAlign w:val="bottom"/>
            <w:gridSpan w:val="3"/>
          </w:tcPr>
          <w:p>
            <w:pPr>
              <w:spacing w:after="0"/>
              <w:rPr>
                <w:sz w:val="20"/>
                <w:szCs w:val="20"/>
                <w:color w:val="auto"/>
              </w:rPr>
            </w:pPr>
            <w:r>
              <w:rPr>
                <w:rFonts w:ascii="Arial" w:cs="Arial" w:eastAsia="Arial" w:hAnsi="Arial"/>
                <w:sz w:val="22"/>
                <w:szCs w:val="22"/>
                <w:color w:val="auto"/>
                <w:w w:val="96"/>
              </w:rPr>
              <w:t>Ivy Investment Management Company</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517"/>
        </w:trPr>
        <w:tc>
          <w:tcPr>
            <w:tcW w:w="364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364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5"/>
        </w:trPr>
        <w:tc>
          <w:tcPr>
            <w:tcW w:w="364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6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620" w:type="dxa"/>
            <w:vAlign w:val="bottom"/>
          </w:tcPr>
          <w:p>
            <w:pPr>
              <w:spacing w:after="0"/>
              <w:rPr>
                <w:sz w:val="23"/>
                <w:szCs w:val="23"/>
                <w:color w:val="auto"/>
              </w:rPr>
            </w:pPr>
          </w:p>
        </w:tc>
      </w:tr>
    </w:tbl>
    <w:p>
      <w:pPr>
        <w:sectPr>
          <w:pgSz w:w="11900" w:h="16838" w:orient="portrait"/>
          <w:cols w:equalWidth="0" w:num="1">
            <w:col w:w="11420"/>
          </w:cols>
          <w:pgMar w:left="240" w:top="118" w:right="239" w:bottom="1440" w:gutter="0" w:footer="0" w:header="0"/>
        </w:sectPr>
      </w:pPr>
    </w:p>
    <w:bookmarkStart w:id="12" w:name="page13"/>
    <w:bookmarkEnd w:id="12"/>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206" w:lineRule="exact"/>
        <w:rPr>
          <w:sz w:val="20"/>
          <w:szCs w:val="20"/>
          <w:color w:val="auto"/>
        </w:rPr>
      </w:pPr>
    </w:p>
    <w:p>
      <w:pPr>
        <w:ind w:right="1919" w:firstLine="571"/>
        <w:spacing w:after="0" w:line="435"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ectPr>
          <w:pgSz w:w="11900" w:h="16838" w:orient="portrait"/>
          <w:cols w:equalWidth="0" w:num="1">
            <w:col w:w="10219"/>
          </w:cols>
          <w:pgMar w:left="240" w:top="118" w:right="1440" w:bottom="1440" w:gutter="0" w:footer="0" w:header="0"/>
        </w:sectPr>
      </w:pPr>
    </w:p>
    <w:bookmarkStart w:id="13" w:name="page14"/>
    <w:bookmarkEnd w:id="13"/>
    <w:p>
      <w:pPr>
        <w:ind w:left="5200"/>
        <w:spacing w:after="0"/>
        <w:rPr>
          <w:sz w:val="20"/>
          <w:szCs w:val="20"/>
          <w:color w:val="auto"/>
        </w:rPr>
      </w:pPr>
      <w:r>
        <w:rPr>
          <w:rFonts w:ascii="Arial" w:cs="Arial" w:eastAsia="Arial" w:hAnsi="Arial"/>
          <w:sz w:val="22"/>
          <w:szCs w:val="22"/>
          <w:u w:val="single" w:color="auto"/>
          <w:color w:val="auto"/>
        </w:rPr>
        <w:t>EXHIBIT 3</w:t>
      </w:r>
    </w:p>
    <w:p>
      <w:pPr>
        <w:spacing w:after="0" w:line="201"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Financial,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317"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Waddell &amp; Reed Financial, Inc.</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5720"/>
        <w:spacing w:after="0" w:line="238" w:lineRule="auto"/>
        <w:rPr>
          <w:sz w:val="20"/>
          <w:szCs w:val="20"/>
          <w:color w:val="auto"/>
        </w:rPr>
      </w:pPr>
      <w:r>
        <w:rPr>
          <w:rFonts w:ascii="Arial" w:cs="Arial" w:eastAsia="Arial" w:hAnsi="Arial"/>
          <w:sz w:val="22"/>
          <w:szCs w:val="22"/>
          <w:color w:val="auto"/>
        </w:rPr>
        <w:t>Henry J. Herrmann</w:t>
      </w:r>
    </w:p>
    <w:p>
      <w:pPr>
        <w:ind w:left="5720"/>
        <w:spacing w:after="0"/>
        <w:rPr>
          <w:sz w:val="20"/>
          <w:szCs w:val="20"/>
          <w:color w:val="auto"/>
        </w:rPr>
      </w:pPr>
      <w:r>
        <w:rPr>
          <w:rFonts w:ascii="Arial" w:cs="Arial" w:eastAsia="Arial" w:hAnsi="Arial"/>
          <w:sz w:val="22"/>
          <w:szCs w:val="22"/>
          <w:color w:val="auto"/>
        </w:rPr>
        <w:t>Chief Executive Officer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118" w:right="239" w:bottom="1440" w:gutter="0" w:footer="0" w:header="0"/>
        </w:sectPr>
      </w:pPr>
    </w:p>
    <w:bookmarkStart w:id="14" w:name="page15"/>
    <w:bookmarkEnd w:id="14"/>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Waddell &amp; Reed Financial Services, Inc.</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5720"/>
        <w:spacing w:after="0" w:line="238" w:lineRule="auto"/>
        <w:rPr>
          <w:sz w:val="20"/>
          <w:szCs w:val="20"/>
          <w:color w:val="auto"/>
        </w:rPr>
      </w:pPr>
      <w:r>
        <w:rPr>
          <w:rFonts w:ascii="Arial" w:cs="Arial" w:eastAsia="Arial" w:hAnsi="Arial"/>
          <w:sz w:val="22"/>
          <w:szCs w:val="22"/>
          <w:color w:val="auto"/>
        </w:rPr>
        <w:t>Henry J. Herrmann</w:t>
      </w:r>
    </w:p>
    <w:p>
      <w:pPr>
        <w:ind w:left="5720"/>
        <w:spacing w:after="0"/>
        <w:rPr>
          <w:sz w:val="20"/>
          <w:szCs w:val="20"/>
          <w:color w:val="auto"/>
        </w:rPr>
      </w:pPr>
      <w:r>
        <w:rPr>
          <w:rFonts w:ascii="Arial" w:cs="Arial" w:eastAsia="Arial" w:hAnsi="Arial"/>
          <w:sz w:val="22"/>
          <w:szCs w:val="22"/>
          <w:color w:val="auto"/>
        </w:rPr>
        <w:t>Chief Executive Officer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5" w:name="page16"/>
    <w:bookmarkEnd w:id="15"/>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Waddell &amp; Reed, Inc.</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W. Butch</w:t>
      </w:r>
    </w:p>
    <w:p>
      <w:pPr>
        <w:ind w:left="5720"/>
        <w:spacing w:after="0" w:line="238" w:lineRule="auto"/>
        <w:rPr>
          <w:sz w:val="20"/>
          <w:szCs w:val="20"/>
          <w:color w:val="auto"/>
        </w:rPr>
      </w:pPr>
      <w:r>
        <w:rPr>
          <w:rFonts w:ascii="Arial" w:cs="Arial" w:eastAsia="Arial" w:hAnsi="Arial"/>
          <w:sz w:val="22"/>
          <w:szCs w:val="22"/>
          <w:color w:val="auto"/>
        </w:rPr>
        <w:t>Thomas W. Butch</w:t>
      </w:r>
    </w:p>
    <w:p>
      <w:pPr>
        <w:ind w:left="5720"/>
        <w:spacing w:after="0"/>
        <w:rPr>
          <w:sz w:val="20"/>
          <w:szCs w:val="20"/>
          <w:color w:val="auto"/>
        </w:rPr>
      </w:pPr>
      <w:r>
        <w:rPr>
          <w:rFonts w:ascii="Arial" w:cs="Arial" w:eastAsia="Arial" w:hAnsi="Arial"/>
          <w:sz w:val="22"/>
          <w:szCs w:val="22"/>
          <w:color w:val="auto"/>
        </w:rPr>
        <w:t>President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6" w:name="page17"/>
    <w:bookmarkEnd w:id="16"/>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color w:val="auto"/>
        </w:rPr>
        <w:t>The undersigned, Waddell &amp; Reed Investment Management Company, a corporation organized and existing under the laws of the State of Kansas,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5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8"/>
          <w:szCs w:val="18"/>
          <w:color w:val="auto"/>
        </w:rPr>
        <w:t>th</w:t>
      </w:r>
      <w:r>
        <w:rPr>
          <w:rFonts w:ascii="Arial" w:cs="Arial" w:eastAsia="Arial" w:hAnsi="Arial"/>
          <w:sz w:val="22"/>
          <w:szCs w:val="22"/>
          <w:color w:val="auto"/>
        </w:rPr>
        <w:t xml:space="preserve"> day of November, 2010.</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Waddell &amp; Reed Investment Management Company</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5720"/>
        <w:spacing w:after="0" w:line="238" w:lineRule="auto"/>
        <w:rPr>
          <w:sz w:val="20"/>
          <w:szCs w:val="20"/>
          <w:color w:val="auto"/>
        </w:rPr>
      </w:pPr>
      <w:r>
        <w:rPr>
          <w:rFonts w:ascii="Arial" w:cs="Arial" w:eastAsia="Arial" w:hAnsi="Arial"/>
          <w:sz w:val="22"/>
          <w:szCs w:val="22"/>
          <w:color w:val="auto"/>
        </w:rPr>
        <w:t>Henry J. Herrmann</w:t>
      </w:r>
    </w:p>
    <w:p>
      <w:pPr>
        <w:ind w:left="5720"/>
        <w:spacing w:after="0"/>
        <w:rPr>
          <w:sz w:val="20"/>
          <w:szCs w:val="20"/>
          <w:color w:val="auto"/>
        </w:rPr>
      </w:pPr>
      <w:r>
        <w:rPr>
          <w:rFonts w:ascii="Arial" w:cs="Arial" w:eastAsia="Arial" w:hAnsi="Arial"/>
          <w:sz w:val="22"/>
          <w:szCs w:val="22"/>
          <w:color w:val="auto"/>
        </w:rPr>
        <w:t>Chief Executive Officer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20"/>
          </w:cols>
          <w:pgMar w:left="240" w:top="261" w:right="239" w:bottom="1440" w:gutter="0" w:footer="0" w:header="0"/>
        </w:sectPr>
      </w:pPr>
    </w:p>
    <w:bookmarkStart w:id="17" w:name="page18"/>
    <w:bookmarkEnd w:id="17"/>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212" w:lineRule="exact"/>
        <w:rPr>
          <w:sz w:val="20"/>
          <w:szCs w:val="20"/>
          <w:color w:val="auto"/>
        </w:rPr>
      </w:pPr>
    </w:p>
    <w:p>
      <w:pPr>
        <w:jc w:val="both"/>
        <w:ind w:firstLine="571"/>
        <w:spacing w:after="0" w:line="245" w:lineRule="auto"/>
        <w:rPr>
          <w:sz w:val="20"/>
          <w:szCs w:val="20"/>
          <w:color w:val="auto"/>
        </w:rPr>
      </w:pPr>
      <w:r>
        <w:rPr>
          <w:rFonts w:ascii="Arial" w:cs="Arial" w:eastAsia="Arial" w:hAnsi="Arial"/>
          <w:sz w:val="21"/>
          <w:szCs w:val="21"/>
          <w:color w:val="auto"/>
        </w:rPr>
        <w:t>The undersigned, Ivy Investment Management Company,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76"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with its corporate seal to be affixed hereto on this 11</w:t>
      </w:r>
      <w:r>
        <w:rPr>
          <w:rFonts w:ascii="Arial" w:cs="Arial" w:eastAsia="Arial" w:hAnsi="Arial"/>
          <w:sz w:val="17"/>
          <w:szCs w:val="17"/>
          <w:color w:val="auto"/>
        </w:rPr>
        <w:t>th</w:t>
      </w:r>
      <w:r>
        <w:rPr>
          <w:rFonts w:ascii="Arial" w:cs="Arial" w:eastAsia="Arial" w:hAnsi="Arial"/>
          <w:sz w:val="21"/>
          <w:szCs w:val="21"/>
          <w:color w:val="auto"/>
        </w:rPr>
        <w:t xml:space="preserve"> day of November, 2010.</w:t>
      </w:r>
    </w:p>
    <w:p>
      <w:pPr>
        <w:spacing w:after="0" w:line="17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Ivy Investment Management Company</w:t>
      </w:r>
    </w:p>
    <w:p>
      <w:pPr>
        <w:spacing w:after="0" w:line="31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5720"/>
        <w:spacing w:after="0" w:line="238" w:lineRule="auto"/>
        <w:rPr>
          <w:sz w:val="20"/>
          <w:szCs w:val="20"/>
          <w:color w:val="auto"/>
        </w:rPr>
      </w:pPr>
      <w:r>
        <w:rPr>
          <w:rFonts w:ascii="Arial" w:cs="Arial" w:eastAsia="Arial" w:hAnsi="Arial"/>
          <w:sz w:val="22"/>
          <w:szCs w:val="22"/>
          <w:color w:val="auto"/>
        </w:rPr>
        <w:t>Henry J. Herrmann</w:t>
      </w:r>
    </w:p>
    <w:p>
      <w:pPr>
        <w:ind w:left="5720"/>
        <w:spacing w:after="0"/>
        <w:rPr>
          <w:sz w:val="20"/>
          <w:szCs w:val="20"/>
          <w:color w:val="auto"/>
        </w:rPr>
      </w:pPr>
      <w:r>
        <w:rPr>
          <w:rFonts w:ascii="Arial" w:cs="Arial" w:eastAsia="Arial" w:hAnsi="Arial"/>
          <w:sz w:val="22"/>
          <w:szCs w:val="22"/>
          <w:color w:val="auto"/>
        </w:rPr>
        <w:t>Chief Executive Officer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600"/>
        <w:spacing w:after="0" w:line="238" w:lineRule="auto"/>
        <w:rPr>
          <w:sz w:val="20"/>
          <w:szCs w:val="20"/>
          <w:color w:val="auto"/>
        </w:rPr>
      </w:pPr>
      <w:r>
        <w:rPr>
          <w:rFonts w:ascii="Arial" w:cs="Arial" w:eastAsia="Arial" w:hAnsi="Arial"/>
          <w:sz w:val="22"/>
          <w:szCs w:val="22"/>
          <w:color w:val="auto"/>
        </w:rPr>
        <w:t>Wendy J. Hills</w:t>
      </w:r>
    </w:p>
    <w:p>
      <w:pPr>
        <w:ind w:left="60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420"/>
      </w:cols>
      <w:pgMar w:left="240" w:top="2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1)"/>
      <w:numFmt w:val="lowerLetter"/>
      <w:start w:val="1"/>
    </w:lvl>
    <w:lvl w:ilvl="1">
      <w:lvlJc w:val="left"/>
      <w:lvlText w:val="(%2)"/>
      <w:numFmt w:val="lowerRoman"/>
      <w:start w:val="1"/>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2020-01-25T23:47:52Z</dcterms:created>
  <dcterms:modified xsi:type="dcterms:W3CDTF">2020-01-25T23:47:52Z</dcterms:modified>
</cp:coreProperties>
</file>