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November 23, 2016</w:t>
      </w:r>
    </w:p>
    <w:p>
      <w:pPr>
        <w:spacing w:after="0" w:line="204" w:lineRule="exact"/>
        <w:rPr>
          <w:sz w:val="24"/>
          <w:szCs w:val="24"/>
          <w:color w:val="auto"/>
        </w:rPr>
      </w:pPr>
    </w:p>
    <w:p>
      <w:pPr>
        <w:ind w:left="97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S-3</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REGISTRATION STATEMENT</w:t>
      </w:r>
    </w:p>
    <w:p>
      <w:pPr>
        <w:jc w:val="center"/>
        <w:ind w:right="-19"/>
        <w:spacing w:after="0" w:line="221" w:lineRule="auto"/>
        <w:rPr>
          <w:sz w:val="20"/>
          <w:szCs w:val="20"/>
          <w:color w:val="auto"/>
        </w:rPr>
      </w:pPr>
      <w:r>
        <w:rPr>
          <w:rFonts w:ascii="Arial" w:cs="Arial" w:eastAsia="Arial" w:hAnsi="Arial"/>
          <w:sz w:val="14"/>
          <w:szCs w:val="14"/>
          <w:b w:val="1"/>
          <w:bCs w:val="1"/>
          <w:color w:val="auto"/>
        </w:rPr>
        <w:t>UNDER</w:t>
      </w:r>
    </w:p>
    <w:p>
      <w:pPr>
        <w:jc w:val="center"/>
        <w:ind w:right="-19"/>
        <w:spacing w:after="0"/>
        <w:rPr>
          <w:sz w:val="20"/>
          <w:szCs w:val="20"/>
          <w:color w:val="auto"/>
        </w:rPr>
      </w:pPr>
      <w:r>
        <w:rPr>
          <w:rFonts w:ascii="Arial" w:cs="Arial" w:eastAsia="Arial" w:hAnsi="Arial"/>
          <w:sz w:val="14"/>
          <w:szCs w:val="14"/>
          <w:b w:val="1"/>
          <w:bCs w:val="1"/>
          <w:color w:val="auto"/>
        </w:rPr>
        <w:t>THE SECURITIES ACT OF 1933</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PLAINS ALL AMERICAN PIPELINE, L.P.</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3820" w:type="dxa"/>
        <w:tblCellMar>
          <w:top w:w="0" w:type="dxa"/>
          <w:left w:w="0" w:type="dxa"/>
          <w:bottom w:w="0" w:type="dxa"/>
          <w:right w:w="0" w:type="dxa"/>
        </w:tblCellMar>
      </w:tblPr>
      <w:tr>
        <w:trPr>
          <w:trHeight w:val="161"/>
        </w:trPr>
        <w:tc>
          <w:tcPr>
            <w:tcW w:w="2060" w:type="dxa"/>
            <w:vAlign w:val="bottom"/>
          </w:tcPr>
          <w:p>
            <w:pPr>
              <w:jc w:val="center"/>
              <w:ind w:right="312"/>
              <w:spacing w:after="0"/>
              <w:rPr>
                <w:sz w:val="20"/>
                <w:szCs w:val="20"/>
                <w:color w:val="auto"/>
              </w:rPr>
            </w:pPr>
            <w:r>
              <w:rPr>
                <w:rFonts w:ascii="Arial" w:cs="Arial" w:eastAsia="Arial" w:hAnsi="Arial"/>
                <w:sz w:val="14"/>
                <w:szCs w:val="14"/>
                <w:b w:val="1"/>
                <w:bCs w:val="1"/>
                <w:color w:val="auto"/>
                <w:w w:val="91"/>
              </w:rPr>
              <w:t>Delaware</w:t>
            </w:r>
          </w:p>
        </w:tc>
        <w:tc>
          <w:tcPr>
            <w:tcW w:w="1400" w:type="dxa"/>
            <w:vAlign w:val="bottom"/>
          </w:tcPr>
          <w:p>
            <w:pPr>
              <w:jc w:val="center"/>
              <w:ind w:left="312"/>
              <w:spacing w:after="0"/>
              <w:rPr>
                <w:sz w:val="20"/>
                <w:szCs w:val="20"/>
                <w:color w:val="auto"/>
              </w:rPr>
            </w:pPr>
            <w:r>
              <w:rPr>
                <w:rFonts w:ascii="Arial" w:cs="Arial" w:eastAsia="Arial" w:hAnsi="Arial"/>
                <w:sz w:val="14"/>
                <w:szCs w:val="14"/>
                <w:b w:val="1"/>
                <w:bCs w:val="1"/>
                <w:color w:val="auto"/>
                <w:w w:val="88"/>
              </w:rPr>
              <w:t>76-0582150</w:t>
            </w:r>
          </w:p>
        </w:tc>
      </w:tr>
      <w:tr>
        <w:trPr>
          <w:trHeight w:val="149"/>
        </w:trPr>
        <w:tc>
          <w:tcPr>
            <w:tcW w:w="2060" w:type="dxa"/>
            <w:vAlign w:val="bottom"/>
          </w:tcPr>
          <w:p>
            <w:pPr>
              <w:jc w:val="center"/>
              <w:ind w:right="312"/>
              <w:spacing w:after="0" w:line="149" w:lineRule="exact"/>
              <w:rPr>
                <w:sz w:val="20"/>
                <w:szCs w:val="20"/>
                <w:color w:val="auto"/>
              </w:rPr>
            </w:pPr>
            <w:r>
              <w:rPr>
                <w:rFonts w:ascii="Arial" w:cs="Arial" w:eastAsia="Arial" w:hAnsi="Arial"/>
                <w:sz w:val="14"/>
                <w:szCs w:val="14"/>
                <w:color w:val="auto"/>
                <w:w w:val="87"/>
              </w:rPr>
              <w:t>(State or Other Jurisdiction of</w:t>
            </w:r>
          </w:p>
        </w:tc>
        <w:tc>
          <w:tcPr>
            <w:tcW w:w="1400" w:type="dxa"/>
            <w:vAlign w:val="bottom"/>
          </w:tcPr>
          <w:p>
            <w:pPr>
              <w:jc w:val="center"/>
              <w:ind w:left="29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060" w:type="dxa"/>
            <w:vAlign w:val="bottom"/>
          </w:tcPr>
          <w:p>
            <w:pPr>
              <w:jc w:val="center"/>
              <w:ind w:right="312"/>
              <w:spacing w:after="0"/>
              <w:rPr>
                <w:sz w:val="20"/>
                <w:szCs w:val="20"/>
                <w:color w:val="auto"/>
              </w:rPr>
            </w:pPr>
            <w:r>
              <w:rPr>
                <w:rFonts w:ascii="Arial" w:cs="Arial" w:eastAsia="Arial" w:hAnsi="Arial"/>
                <w:sz w:val="14"/>
                <w:szCs w:val="14"/>
                <w:color w:val="auto"/>
                <w:w w:val="90"/>
              </w:rPr>
              <w:t>Incorporation or Organization)</w:t>
            </w:r>
          </w:p>
        </w:tc>
        <w:tc>
          <w:tcPr>
            <w:tcW w:w="1400" w:type="dxa"/>
            <w:vAlign w:val="bottom"/>
          </w:tcPr>
          <w:p>
            <w:pPr>
              <w:jc w:val="center"/>
              <w:ind w:left="312"/>
              <w:spacing w:after="0"/>
              <w:rPr>
                <w:sz w:val="20"/>
                <w:szCs w:val="20"/>
                <w:color w:val="auto"/>
              </w:rPr>
            </w:pPr>
            <w:r>
              <w:rPr>
                <w:rFonts w:ascii="Arial" w:cs="Arial" w:eastAsia="Arial" w:hAnsi="Arial"/>
                <w:sz w:val="14"/>
                <w:szCs w:val="14"/>
                <w:color w:val="auto"/>
                <w:w w:val="93"/>
              </w:rPr>
              <w:t>Identification No.)</w:t>
            </w:r>
          </w:p>
        </w:tc>
      </w:tr>
    </w:tbl>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333 Clay Street, Suite 1600</w:t>
      </w:r>
    </w:p>
    <w:p>
      <w:pPr>
        <w:jc w:val="center"/>
        <w:ind w:right="-19"/>
        <w:spacing w:after="0" w:line="223" w:lineRule="auto"/>
        <w:rPr>
          <w:sz w:val="20"/>
          <w:szCs w:val="20"/>
          <w:color w:val="auto"/>
        </w:rPr>
      </w:pPr>
      <w:r>
        <w:rPr>
          <w:rFonts w:ascii="Arial" w:cs="Arial" w:eastAsia="Arial" w:hAnsi="Arial"/>
          <w:sz w:val="14"/>
          <w:szCs w:val="14"/>
          <w:b w:val="1"/>
          <w:bCs w:val="1"/>
          <w:color w:val="auto"/>
        </w:rPr>
        <w:t>Houston, Texas 77002</w:t>
      </w:r>
    </w:p>
    <w:p>
      <w:pPr>
        <w:jc w:val="center"/>
        <w:ind w:right="-19"/>
        <w:spacing w:after="0" w:line="222" w:lineRule="auto"/>
        <w:rPr>
          <w:sz w:val="20"/>
          <w:szCs w:val="20"/>
          <w:color w:val="auto"/>
        </w:rPr>
      </w:pPr>
      <w:r>
        <w:rPr>
          <w:rFonts w:ascii="Arial" w:cs="Arial" w:eastAsia="Arial" w:hAnsi="Arial"/>
          <w:sz w:val="14"/>
          <w:szCs w:val="14"/>
          <w:b w:val="1"/>
          <w:bCs w:val="1"/>
          <w:color w:val="auto"/>
        </w:rPr>
        <w:t>(713) 646-4100</w:t>
      </w:r>
    </w:p>
    <w:p>
      <w:pPr>
        <w:jc w:val="center"/>
        <w:ind w:right="-1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Richard McGee</w:t>
      </w:r>
    </w:p>
    <w:p>
      <w:pPr>
        <w:jc w:val="center"/>
        <w:ind w:right="-19"/>
        <w:spacing w:after="0" w:line="223" w:lineRule="auto"/>
        <w:rPr>
          <w:sz w:val="20"/>
          <w:szCs w:val="20"/>
          <w:color w:val="auto"/>
        </w:rPr>
      </w:pPr>
      <w:r>
        <w:rPr>
          <w:rFonts w:ascii="Arial" w:cs="Arial" w:eastAsia="Arial" w:hAnsi="Arial"/>
          <w:sz w:val="14"/>
          <w:szCs w:val="14"/>
          <w:b w:val="1"/>
          <w:bCs w:val="1"/>
          <w:color w:val="auto"/>
        </w:rPr>
        <w:t>Executive Vice President, General Counsel and Secretary</w:t>
      </w:r>
    </w:p>
    <w:p>
      <w:pPr>
        <w:jc w:val="center"/>
        <w:ind w:right="-19"/>
        <w:spacing w:after="0" w:line="222" w:lineRule="auto"/>
        <w:rPr>
          <w:sz w:val="20"/>
          <w:szCs w:val="20"/>
          <w:color w:val="auto"/>
        </w:rPr>
      </w:pPr>
      <w:r>
        <w:rPr>
          <w:rFonts w:ascii="Arial" w:cs="Arial" w:eastAsia="Arial" w:hAnsi="Arial"/>
          <w:sz w:val="14"/>
          <w:szCs w:val="14"/>
          <w:b w:val="1"/>
          <w:bCs w:val="1"/>
          <w:color w:val="auto"/>
        </w:rPr>
        <w:t>333 Clay Street, Suite 1600</w:t>
      </w:r>
    </w:p>
    <w:p>
      <w:pPr>
        <w:jc w:val="center"/>
        <w:ind w:right="-19"/>
        <w:spacing w:after="0" w:line="221" w:lineRule="auto"/>
        <w:rPr>
          <w:sz w:val="20"/>
          <w:szCs w:val="20"/>
          <w:color w:val="auto"/>
        </w:rPr>
      </w:pPr>
      <w:r>
        <w:rPr>
          <w:rFonts w:ascii="Arial" w:cs="Arial" w:eastAsia="Arial" w:hAnsi="Arial"/>
          <w:sz w:val="14"/>
          <w:szCs w:val="14"/>
          <w:b w:val="1"/>
          <w:bCs w:val="1"/>
          <w:color w:val="auto"/>
        </w:rPr>
        <w:t>Houston, Texas 77002</w:t>
      </w:r>
    </w:p>
    <w:p>
      <w:pPr>
        <w:jc w:val="center"/>
        <w:ind w:right="-19"/>
        <w:spacing w:after="0" w:line="222" w:lineRule="auto"/>
        <w:rPr>
          <w:sz w:val="20"/>
          <w:szCs w:val="20"/>
          <w:color w:val="auto"/>
        </w:rPr>
      </w:pPr>
      <w:r>
        <w:rPr>
          <w:rFonts w:ascii="Arial" w:cs="Arial" w:eastAsia="Arial" w:hAnsi="Arial"/>
          <w:sz w:val="14"/>
          <w:szCs w:val="14"/>
          <w:b w:val="1"/>
          <w:bCs w:val="1"/>
          <w:color w:val="auto"/>
        </w:rPr>
        <w:t>(713) 646-4100</w:t>
      </w:r>
    </w:p>
    <w:p>
      <w:pPr>
        <w:jc w:val="center"/>
        <w:ind w:right="-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Copy to:</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David P. Oelman</w:t>
      </w:r>
    </w:p>
    <w:p>
      <w:pPr>
        <w:jc w:val="center"/>
        <w:ind w:right="-19"/>
        <w:spacing w:after="0" w:line="223" w:lineRule="auto"/>
        <w:rPr>
          <w:sz w:val="20"/>
          <w:szCs w:val="20"/>
          <w:color w:val="auto"/>
        </w:rPr>
      </w:pPr>
      <w:r>
        <w:rPr>
          <w:rFonts w:ascii="Arial" w:cs="Arial" w:eastAsia="Arial" w:hAnsi="Arial"/>
          <w:sz w:val="14"/>
          <w:szCs w:val="14"/>
          <w:b w:val="1"/>
          <w:bCs w:val="1"/>
          <w:color w:val="auto"/>
        </w:rPr>
        <w:t>Alan Beck</w:t>
      </w:r>
    </w:p>
    <w:p>
      <w:pPr>
        <w:jc w:val="center"/>
        <w:ind w:right="-19"/>
        <w:spacing w:after="0" w:line="222" w:lineRule="auto"/>
        <w:rPr>
          <w:sz w:val="20"/>
          <w:szCs w:val="20"/>
          <w:color w:val="auto"/>
        </w:rPr>
      </w:pPr>
      <w:r>
        <w:rPr>
          <w:rFonts w:ascii="Arial" w:cs="Arial" w:eastAsia="Arial" w:hAnsi="Arial"/>
          <w:sz w:val="14"/>
          <w:szCs w:val="14"/>
          <w:b w:val="1"/>
          <w:bCs w:val="1"/>
          <w:color w:val="auto"/>
        </w:rPr>
        <w:t>Vinson &amp; Elkins L.L.P.</w:t>
      </w:r>
    </w:p>
    <w:p>
      <w:pPr>
        <w:jc w:val="center"/>
        <w:ind w:right="-19"/>
        <w:spacing w:after="0" w:line="221" w:lineRule="auto"/>
        <w:rPr>
          <w:sz w:val="20"/>
          <w:szCs w:val="20"/>
          <w:color w:val="auto"/>
        </w:rPr>
      </w:pPr>
      <w:r>
        <w:rPr>
          <w:rFonts w:ascii="Arial" w:cs="Arial" w:eastAsia="Arial" w:hAnsi="Arial"/>
          <w:sz w:val="14"/>
          <w:szCs w:val="14"/>
          <w:b w:val="1"/>
          <w:bCs w:val="1"/>
          <w:color w:val="auto"/>
        </w:rPr>
        <w:t>First City Tower</w:t>
      </w:r>
    </w:p>
    <w:p>
      <w:pPr>
        <w:jc w:val="center"/>
        <w:ind w:right="-19"/>
        <w:spacing w:after="0" w:line="222" w:lineRule="auto"/>
        <w:rPr>
          <w:sz w:val="20"/>
          <w:szCs w:val="20"/>
          <w:color w:val="auto"/>
        </w:rPr>
      </w:pPr>
      <w:r>
        <w:rPr>
          <w:rFonts w:ascii="Arial" w:cs="Arial" w:eastAsia="Arial" w:hAnsi="Arial"/>
          <w:sz w:val="14"/>
          <w:szCs w:val="14"/>
          <w:b w:val="1"/>
          <w:bCs w:val="1"/>
          <w:color w:val="auto"/>
        </w:rPr>
        <w:t>1001 Fannin Street, Suite 2500</w:t>
      </w:r>
    </w:p>
    <w:p>
      <w:pPr>
        <w:jc w:val="center"/>
        <w:ind w:right="-19"/>
        <w:spacing w:after="0" w:line="221" w:lineRule="auto"/>
        <w:rPr>
          <w:sz w:val="20"/>
          <w:szCs w:val="20"/>
          <w:color w:val="auto"/>
        </w:rPr>
      </w:pPr>
      <w:r>
        <w:rPr>
          <w:rFonts w:ascii="Arial" w:cs="Arial" w:eastAsia="Arial" w:hAnsi="Arial"/>
          <w:sz w:val="14"/>
          <w:szCs w:val="14"/>
          <w:b w:val="1"/>
          <w:bCs w:val="1"/>
          <w:color w:val="auto"/>
        </w:rPr>
        <w:t>Houston, Texas 77002</w:t>
      </w:r>
    </w:p>
    <w:p>
      <w:pPr>
        <w:jc w:val="center"/>
        <w:ind w:right="-19"/>
        <w:spacing w:after="0"/>
        <w:rPr>
          <w:sz w:val="20"/>
          <w:szCs w:val="20"/>
          <w:color w:val="auto"/>
        </w:rPr>
      </w:pPr>
      <w:r>
        <w:rPr>
          <w:rFonts w:ascii="Arial" w:cs="Arial" w:eastAsia="Arial" w:hAnsi="Arial"/>
          <w:sz w:val="14"/>
          <w:szCs w:val="14"/>
          <w:b w:val="1"/>
          <w:bCs w:val="1"/>
          <w:color w:val="auto"/>
        </w:rPr>
        <w:t>(713) 758-2222</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From time to time after the effective date of this registration statement.</w:t>
      </w:r>
    </w:p>
    <w:p>
      <w:pPr>
        <w:spacing w:after="0" w:line="192" w:lineRule="exact"/>
        <w:rPr>
          <w:sz w:val="24"/>
          <w:szCs w:val="24"/>
          <w:color w:val="auto"/>
        </w:rPr>
      </w:pPr>
    </w:p>
    <w:p>
      <w:pPr>
        <w:ind w:left="380"/>
        <w:spacing w:after="0"/>
        <w:tabs>
          <w:tab w:leader="none" w:pos="8740" w:val="left"/>
        </w:tabs>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right="560" w:firstLine="371"/>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firstLine="371"/>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40" w:firstLine="371"/>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320" w:firstLine="371"/>
        <w:spacing w:after="0" w:line="239"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193" w:lineRule="exact"/>
        <w:rPr>
          <w:sz w:val="24"/>
          <w:szCs w:val="24"/>
          <w:color w:val="auto"/>
        </w:rPr>
      </w:pPr>
    </w:p>
    <w:p>
      <w:pPr>
        <w:ind w:right="640" w:firstLine="371"/>
        <w:spacing w:after="0" w:line="239"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93" w:lineRule="exact"/>
        <w:rPr>
          <w:sz w:val="24"/>
          <w:szCs w:val="24"/>
          <w:color w:val="auto"/>
        </w:rPr>
      </w:pPr>
    </w:p>
    <w:p>
      <w:pPr>
        <w:ind w:right="520" w:firstLine="371"/>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8" w:lineRule="exact"/>
        <w:rPr>
          <w:sz w:val="24"/>
          <w:szCs w:val="24"/>
          <w:color w:val="auto"/>
        </w:rPr>
      </w:pPr>
    </w:p>
    <w:tbl>
      <w:tblPr>
        <w:tblLayout w:type="fixed"/>
        <w:tblInd w:w="320" w:type="dxa"/>
        <w:tblCellMar>
          <w:top w:w="0" w:type="dxa"/>
          <w:left w:w="0" w:type="dxa"/>
          <w:bottom w:w="0" w:type="dxa"/>
          <w:right w:w="0" w:type="dxa"/>
        </w:tblCellMar>
      </w:tblPr>
      <w:tr>
        <w:trPr>
          <w:trHeight w:val="174"/>
        </w:trPr>
        <w:tc>
          <w:tcPr>
            <w:tcW w:w="306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080" w:type="dxa"/>
            <w:vAlign w:val="bottom"/>
          </w:tcPr>
          <w:p>
            <w:pPr>
              <w:ind w:left="20"/>
              <w:spacing w:after="0"/>
              <w:rPr>
                <w:sz w:val="20"/>
                <w:szCs w:val="20"/>
                <w:color w:val="auto"/>
              </w:rPr>
            </w:pPr>
            <w:r>
              <w:rPr>
                <w:rFonts w:ascii="Arial" w:cs="Arial" w:eastAsia="Arial" w:hAnsi="Arial"/>
                <w:sz w:val="14"/>
                <w:szCs w:val="14"/>
                <w:color w:val="auto"/>
              </w:rPr>
              <w:t>Accelerated filer o</w:t>
            </w:r>
          </w:p>
        </w:tc>
        <w:tc>
          <w:tcPr>
            <w:tcW w:w="3420" w:type="dxa"/>
            <w:vAlign w:val="bottom"/>
            <w:gridSpan w:val="2"/>
          </w:tcPr>
          <w:p>
            <w:pPr>
              <w:jc w:val="center"/>
              <w:ind w:right="514"/>
              <w:spacing w:after="0"/>
              <w:rPr>
                <w:sz w:val="20"/>
                <w:szCs w:val="20"/>
                <w:color w:val="auto"/>
              </w:rPr>
            </w:pPr>
            <w:r>
              <w:rPr>
                <w:rFonts w:ascii="Arial" w:cs="Arial" w:eastAsia="Arial" w:hAnsi="Arial"/>
                <w:sz w:val="14"/>
                <w:szCs w:val="14"/>
                <w:color w:val="auto"/>
                <w:w w:val="88"/>
              </w:rPr>
              <w:t>Non-accelerated filer o</w:t>
            </w:r>
          </w:p>
        </w:tc>
        <w:tc>
          <w:tcPr>
            <w:tcW w:w="2160" w:type="dxa"/>
            <w:vAlign w:val="bottom"/>
            <w:gridSpan w:val="2"/>
          </w:tcPr>
          <w:p>
            <w:pPr>
              <w:ind w:left="580"/>
              <w:spacing w:after="0"/>
              <w:rPr>
                <w:sz w:val="20"/>
                <w:szCs w:val="20"/>
                <w:color w:val="auto"/>
              </w:rPr>
            </w:pPr>
            <w:r>
              <w:rPr>
                <w:rFonts w:ascii="Arial" w:cs="Arial" w:eastAsia="Arial" w:hAnsi="Arial"/>
                <w:sz w:val="14"/>
                <w:szCs w:val="14"/>
                <w:color w:val="auto"/>
                <w:w w:val="87"/>
              </w:rPr>
              <w:t>Smaller reporting company o</w:t>
            </w:r>
          </w:p>
        </w:tc>
      </w:tr>
      <w:tr>
        <w:trPr>
          <w:trHeight w:val="149"/>
        </w:trPr>
        <w:tc>
          <w:tcPr>
            <w:tcW w:w="7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940" w:type="dxa"/>
            <w:vAlign w:val="bottom"/>
          </w:tcPr>
          <w:p>
            <w:pPr>
              <w:jc w:val="center"/>
              <w:ind w:left="833"/>
              <w:spacing w:after="0" w:line="149" w:lineRule="exact"/>
              <w:rPr>
                <w:sz w:val="20"/>
                <w:szCs w:val="20"/>
                <w:color w:val="auto"/>
              </w:rPr>
            </w:pPr>
            <w:r>
              <w:rPr>
                <w:rFonts w:ascii="Arial" w:cs="Arial" w:eastAsia="Arial" w:hAnsi="Arial"/>
                <w:sz w:val="14"/>
                <w:szCs w:val="14"/>
                <w:color w:val="auto"/>
                <w:w w:val="88"/>
              </w:rPr>
              <w:t>(Do not check if a</w:t>
            </w:r>
          </w:p>
        </w:tc>
        <w:tc>
          <w:tcPr>
            <w:tcW w:w="1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2"/>
        </w:trPr>
        <w:tc>
          <w:tcPr>
            <w:tcW w:w="7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420" w:type="dxa"/>
            <w:vAlign w:val="bottom"/>
            <w:gridSpan w:val="2"/>
          </w:tcPr>
          <w:p>
            <w:pPr>
              <w:jc w:val="center"/>
              <w:ind w:right="494"/>
              <w:spacing w:after="0"/>
              <w:rPr>
                <w:sz w:val="20"/>
                <w:szCs w:val="20"/>
                <w:color w:val="auto"/>
              </w:rPr>
            </w:pPr>
            <w:r>
              <w:rPr>
                <w:rFonts w:ascii="Arial" w:cs="Arial" w:eastAsia="Arial" w:hAnsi="Arial"/>
                <w:sz w:val="14"/>
                <w:szCs w:val="14"/>
                <w:color w:val="auto"/>
                <w:w w:val="88"/>
              </w:rPr>
              <w:t>smaller reporting company)</w:t>
            </w: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65"/>
        </w:trPr>
        <w:tc>
          <w:tcPr>
            <w:tcW w:w="7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gridSpan w:val="2"/>
          </w:tcPr>
          <w:p>
            <w:pPr>
              <w:ind w:left="1040"/>
              <w:spacing w:after="0"/>
              <w:rPr>
                <w:sz w:val="20"/>
                <w:szCs w:val="20"/>
                <w:color w:val="auto"/>
              </w:rPr>
            </w:pPr>
            <w:r>
              <w:rPr>
                <w:rFonts w:ascii="Arial" w:cs="Arial" w:eastAsia="Arial" w:hAnsi="Arial"/>
                <w:sz w:val="14"/>
                <w:szCs w:val="14"/>
                <w:b w:val="1"/>
                <w:bCs w:val="1"/>
                <w:color w:val="auto"/>
              </w:rPr>
              <w:t>CALCULATION OF REGISTRATION FEE</w:t>
            </w: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46"/>
        </w:trPr>
        <w:tc>
          <w:tcPr>
            <w:tcW w:w="70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16"/>
        </w:trPr>
        <w:tc>
          <w:tcPr>
            <w:tcW w:w="7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940" w:type="dxa"/>
            <w:vAlign w:val="bottom"/>
          </w:tcPr>
          <w:p>
            <w:pPr>
              <w:jc w:val="center"/>
              <w:ind w:right="73"/>
              <w:spacing w:after="0" w:line="117" w:lineRule="exact"/>
              <w:rPr>
                <w:sz w:val="20"/>
                <w:szCs w:val="20"/>
                <w:color w:val="auto"/>
              </w:rPr>
            </w:pPr>
            <w:r>
              <w:rPr>
                <w:rFonts w:ascii="Arial" w:cs="Arial" w:eastAsia="Arial" w:hAnsi="Arial"/>
                <w:sz w:val="12"/>
                <w:szCs w:val="12"/>
                <w:b w:val="1"/>
                <w:bCs w:val="1"/>
                <w:color w:val="auto"/>
              </w:rPr>
              <w:t>Proposed Maximum</w:t>
            </w:r>
          </w:p>
        </w:tc>
        <w:tc>
          <w:tcPr>
            <w:tcW w:w="1480" w:type="dxa"/>
            <w:vAlign w:val="bottom"/>
          </w:tcPr>
          <w:p>
            <w:pPr>
              <w:jc w:val="center"/>
              <w:ind w:right="214"/>
              <w:spacing w:after="0" w:line="117" w:lineRule="exact"/>
              <w:rPr>
                <w:sz w:val="20"/>
                <w:szCs w:val="20"/>
                <w:color w:val="auto"/>
              </w:rPr>
            </w:pPr>
            <w:r>
              <w:rPr>
                <w:rFonts w:ascii="Arial" w:cs="Arial" w:eastAsia="Arial" w:hAnsi="Arial"/>
                <w:sz w:val="12"/>
                <w:szCs w:val="12"/>
                <w:b w:val="1"/>
                <w:bCs w:val="1"/>
                <w:color w:val="auto"/>
              </w:rPr>
              <w:t>Proposed Maximum</w:t>
            </w:r>
          </w:p>
        </w:tc>
        <w:tc>
          <w:tcPr>
            <w:tcW w:w="15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49"/>
        </w:trPr>
        <w:tc>
          <w:tcPr>
            <w:tcW w:w="700" w:type="dxa"/>
            <w:vAlign w:val="bottom"/>
          </w:tcPr>
          <w:p>
            <w:pPr>
              <w:spacing w:after="0"/>
              <w:rPr>
                <w:sz w:val="12"/>
                <w:szCs w:val="12"/>
                <w:color w:val="auto"/>
              </w:rPr>
            </w:pPr>
          </w:p>
        </w:tc>
        <w:tc>
          <w:tcPr>
            <w:tcW w:w="2360" w:type="dxa"/>
            <w:vAlign w:val="bottom"/>
          </w:tcPr>
          <w:p>
            <w:pPr>
              <w:jc w:val="center"/>
              <w:ind w:left="372"/>
              <w:spacing w:after="0" w:line="149" w:lineRule="exact"/>
              <w:rPr>
                <w:sz w:val="20"/>
                <w:szCs w:val="20"/>
                <w:color w:val="auto"/>
              </w:rPr>
            </w:pPr>
            <w:r>
              <w:rPr>
                <w:rFonts w:ascii="Arial" w:cs="Arial" w:eastAsia="Arial" w:hAnsi="Arial"/>
                <w:sz w:val="14"/>
                <w:szCs w:val="14"/>
                <w:b w:val="1"/>
                <w:bCs w:val="1"/>
                <w:color w:val="auto"/>
                <w:w w:val="85"/>
              </w:rPr>
              <w:t>Title of Securities</w:t>
            </w:r>
          </w:p>
        </w:tc>
        <w:tc>
          <w:tcPr>
            <w:tcW w:w="2080" w:type="dxa"/>
            <w:vAlign w:val="bottom"/>
          </w:tcPr>
          <w:p>
            <w:pPr>
              <w:jc w:val="center"/>
              <w:ind w:left="552"/>
              <w:spacing w:after="0" w:line="149" w:lineRule="exact"/>
              <w:rPr>
                <w:sz w:val="20"/>
                <w:szCs w:val="20"/>
                <w:color w:val="auto"/>
              </w:rPr>
            </w:pPr>
            <w:r>
              <w:rPr>
                <w:rFonts w:ascii="Arial" w:cs="Arial" w:eastAsia="Arial" w:hAnsi="Arial"/>
                <w:sz w:val="14"/>
                <w:szCs w:val="14"/>
                <w:b w:val="1"/>
                <w:bCs w:val="1"/>
                <w:color w:val="auto"/>
                <w:w w:val="86"/>
              </w:rPr>
              <w:t>Amount to be</w:t>
            </w:r>
          </w:p>
        </w:tc>
        <w:tc>
          <w:tcPr>
            <w:tcW w:w="194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0"/>
              </w:rPr>
              <w:t>Offering Price Per</w:t>
            </w:r>
          </w:p>
        </w:tc>
        <w:tc>
          <w:tcPr>
            <w:tcW w:w="1480" w:type="dxa"/>
            <w:vAlign w:val="bottom"/>
          </w:tcPr>
          <w:p>
            <w:pPr>
              <w:jc w:val="center"/>
              <w:ind w:right="214"/>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21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82"/>
        </w:trPr>
        <w:tc>
          <w:tcPr>
            <w:tcW w:w="700" w:type="dxa"/>
            <w:vAlign w:val="bottom"/>
          </w:tcPr>
          <w:p>
            <w:pPr>
              <w:spacing w:after="0"/>
              <w:rPr>
                <w:sz w:val="15"/>
                <w:szCs w:val="15"/>
                <w:color w:val="auto"/>
              </w:rPr>
            </w:pPr>
          </w:p>
        </w:tc>
        <w:tc>
          <w:tcPr>
            <w:tcW w:w="2360" w:type="dxa"/>
            <w:vAlign w:val="bottom"/>
          </w:tcPr>
          <w:p>
            <w:pPr>
              <w:jc w:val="center"/>
              <w:ind w:left="372"/>
              <w:spacing w:after="0"/>
              <w:rPr>
                <w:sz w:val="20"/>
                <w:szCs w:val="20"/>
                <w:color w:val="auto"/>
              </w:rPr>
            </w:pPr>
            <w:r>
              <w:rPr>
                <w:rFonts w:ascii="Arial" w:cs="Arial" w:eastAsia="Arial" w:hAnsi="Arial"/>
                <w:sz w:val="14"/>
                <w:szCs w:val="14"/>
                <w:b w:val="1"/>
                <w:bCs w:val="1"/>
                <w:color w:val="auto"/>
                <w:w w:val="83"/>
              </w:rPr>
              <w:t>to be Registered</w:t>
            </w:r>
          </w:p>
        </w:tc>
        <w:tc>
          <w:tcPr>
            <w:tcW w:w="2080" w:type="dxa"/>
            <w:vAlign w:val="bottom"/>
          </w:tcPr>
          <w:p>
            <w:pPr>
              <w:jc w:val="center"/>
              <w:ind w:left="552"/>
              <w:spacing w:after="0"/>
              <w:rPr>
                <w:sz w:val="20"/>
                <w:szCs w:val="20"/>
                <w:color w:val="auto"/>
              </w:rPr>
            </w:pPr>
            <w:r>
              <w:rPr>
                <w:rFonts w:ascii="Arial" w:cs="Arial" w:eastAsia="Arial" w:hAnsi="Arial"/>
                <w:sz w:val="14"/>
                <w:szCs w:val="14"/>
                <w:b w:val="1"/>
                <w:bCs w:val="1"/>
                <w:color w:val="auto"/>
                <w:w w:val="85"/>
              </w:rPr>
              <w:t>Registered</w:t>
            </w:r>
          </w:p>
        </w:tc>
        <w:tc>
          <w:tcPr>
            <w:tcW w:w="1940" w:type="dxa"/>
            <w:vAlign w:val="bottom"/>
          </w:tcPr>
          <w:p>
            <w:pPr>
              <w:jc w:val="center"/>
              <w:ind w:right="53"/>
              <w:spacing w:after="0"/>
              <w:rPr>
                <w:sz w:val="20"/>
                <w:szCs w:val="20"/>
                <w:color w:val="auto"/>
              </w:rPr>
            </w:pPr>
            <w:r>
              <w:rPr>
                <w:rFonts w:ascii="Arial" w:cs="Arial" w:eastAsia="Arial" w:hAnsi="Arial"/>
                <w:sz w:val="14"/>
                <w:szCs w:val="14"/>
                <w:b w:val="1"/>
                <w:bCs w:val="1"/>
                <w:color w:val="auto"/>
                <w:w w:val="87"/>
              </w:rPr>
              <w:t>Share</w:t>
            </w:r>
          </w:p>
        </w:tc>
        <w:tc>
          <w:tcPr>
            <w:tcW w:w="1480" w:type="dxa"/>
            <w:vAlign w:val="bottom"/>
          </w:tcPr>
          <w:p>
            <w:pPr>
              <w:jc w:val="center"/>
              <w:ind w:right="194"/>
              <w:spacing w:after="0"/>
              <w:rPr>
                <w:sz w:val="20"/>
                <w:szCs w:val="20"/>
                <w:color w:val="auto"/>
              </w:rPr>
            </w:pPr>
            <w:r>
              <w:rPr>
                <w:rFonts w:ascii="Arial" w:cs="Arial" w:eastAsia="Arial" w:hAnsi="Arial"/>
                <w:sz w:val="14"/>
                <w:szCs w:val="14"/>
                <w:b w:val="1"/>
                <w:bCs w:val="1"/>
                <w:color w:val="auto"/>
                <w:w w:val="87"/>
              </w:rPr>
              <w:t>Price</w:t>
            </w:r>
          </w:p>
        </w:tc>
        <w:tc>
          <w:tcPr>
            <w:tcW w:w="2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Registration Fee</w:t>
            </w:r>
          </w:p>
        </w:tc>
      </w:tr>
      <w:tr>
        <w:trPr>
          <w:trHeight w:val="138"/>
        </w:trPr>
        <w:tc>
          <w:tcPr>
            <w:tcW w:w="700" w:type="dxa"/>
            <w:vAlign w:val="bottom"/>
          </w:tcPr>
          <w:p>
            <w:pPr>
              <w:spacing w:after="0"/>
              <w:rPr>
                <w:sz w:val="11"/>
                <w:szCs w:val="11"/>
                <w:color w:val="auto"/>
              </w:rPr>
            </w:pPr>
          </w:p>
        </w:tc>
        <w:tc>
          <w:tcPr>
            <w:tcW w:w="2360" w:type="dxa"/>
            <w:vAlign w:val="bottom"/>
            <w:tcBorders>
              <w:top w:val="single" w:sz="8" w:color="auto"/>
            </w:tcBorders>
          </w:tcPr>
          <w:p>
            <w:pPr>
              <w:spacing w:after="0" w:line="138" w:lineRule="exact"/>
              <w:rPr>
                <w:sz w:val="20"/>
                <w:szCs w:val="20"/>
                <w:color w:val="auto"/>
              </w:rPr>
            </w:pPr>
            <w:r>
              <w:rPr>
                <w:rFonts w:ascii="Arial" w:cs="Arial" w:eastAsia="Arial" w:hAnsi="Arial"/>
                <w:sz w:val="14"/>
                <w:szCs w:val="14"/>
                <w:color w:val="auto"/>
                <w:w w:val="88"/>
              </w:rPr>
              <w:t>Common units representing limited partner</w:t>
            </w:r>
          </w:p>
        </w:tc>
        <w:tc>
          <w:tcPr>
            <w:tcW w:w="2080" w:type="dxa"/>
            <w:vAlign w:val="bottom"/>
            <w:tcBorders>
              <w:top w:val="single" w:sz="8" w:color="auto"/>
            </w:tcBorders>
          </w:tcPr>
          <w:p>
            <w:pPr>
              <w:spacing w:after="0"/>
              <w:rPr>
                <w:sz w:val="11"/>
                <w:szCs w:val="11"/>
                <w:color w:val="auto"/>
              </w:rPr>
            </w:pPr>
          </w:p>
        </w:tc>
        <w:tc>
          <w:tcPr>
            <w:tcW w:w="194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r>
      <w:tr>
        <w:trPr>
          <w:trHeight w:val="180"/>
        </w:trPr>
        <w:tc>
          <w:tcPr>
            <w:tcW w:w="700" w:type="dxa"/>
            <w:vAlign w:val="bottom"/>
          </w:tcPr>
          <w:p>
            <w:pPr>
              <w:spacing w:after="0"/>
              <w:rPr>
                <w:sz w:val="15"/>
                <w:szCs w:val="15"/>
                <w:color w:val="auto"/>
              </w:rPr>
            </w:pPr>
          </w:p>
        </w:tc>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interests</w:t>
            </w:r>
          </w:p>
        </w:tc>
        <w:tc>
          <w:tcPr>
            <w:tcW w:w="2080" w:type="dxa"/>
            <w:vAlign w:val="bottom"/>
            <w:tcBorders>
              <w:bottom w:val="single" w:sz="8" w:color="auto"/>
            </w:tcBorders>
          </w:tcPr>
          <w:p>
            <w:pPr>
              <w:jc w:val="center"/>
              <w:ind w:left="552"/>
              <w:spacing w:after="0"/>
              <w:rPr>
                <w:sz w:val="20"/>
                <w:szCs w:val="20"/>
                <w:color w:val="auto"/>
              </w:rPr>
            </w:pPr>
            <w:r>
              <w:rPr>
                <w:rFonts w:ascii="Arial" w:cs="Arial" w:eastAsia="Arial" w:hAnsi="Arial"/>
                <w:sz w:val="14"/>
                <w:szCs w:val="14"/>
                <w:color w:val="auto"/>
                <w:w w:val="86"/>
              </w:rPr>
              <w:t>143,936,001(1)</w:t>
            </w:r>
          </w:p>
        </w:tc>
        <w:tc>
          <w:tcPr>
            <w:tcW w:w="19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86"/>
              </w:rPr>
              <w:t>$30.94(2)</w:t>
            </w:r>
          </w:p>
        </w:tc>
        <w:tc>
          <w:tcPr>
            <w:tcW w:w="148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color w:val="auto"/>
                <w:w w:val="87"/>
              </w:rPr>
              <w:t>$4,453,379,871(2)</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$516,146.73(2)</w:t>
            </w:r>
          </w:p>
        </w:tc>
        <w:tc>
          <w:tcPr>
            <w:tcW w:w="620" w:type="dxa"/>
            <w:vAlign w:val="bottom"/>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192" w:lineRule="exact"/>
        <w:rPr>
          <w:sz w:val="24"/>
          <w:szCs w:val="24"/>
          <w:color w:val="auto"/>
        </w:rPr>
      </w:pPr>
    </w:p>
    <w:p>
      <w:pPr>
        <w:ind w:left="540" w:right="180" w:hanging="532"/>
        <w:spacing w:after="0" w:line="239"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416(a) under the Securities Act, the number of common units being registered on behalf of the selling unitholders shall be adjusted to include any additional common units that may become issuable as a result of any share distribution, split, combination or similar transaction.</w:t>
      </w:r>
    </w:p>
    <w:p>
      <w:pPr>
        <w:sectPr>
          <w:pgSz w:w="11900" w:h="16838" w:orient="portrait"/>
          <w:cols w:equalWidth="0" w:num="1">
            <w:col w:w="11420"/>
          </w:cols>
          <w:pgMar w:left="240" w:top="685" w:right="239" w:bottom="0" w:gutter="0" w:footer="0" w:header="0"/>
        </w:sectPr>
      </w:pPr>
    </w:p>
    <w:bookmarkStart w:id="1" w:name="page2"/>
    <w:bookmarkEnd w:id="1"/>
    <w:p>
      <w:pPr>
        <w:ind w:left="540" w:hanging="532"/>
        <w:spacing w:after="0" w:line="239" w:lineRule="auto"/>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Pursuant to Rule 457(c) of the Securities Act, the registration fee is calculated on the basis of the average of the high and low sale prices of our common units on November 16, 2016, as reported on the New York Stock Exchange.</w:t>
      </w:r>
    </w:p>
    <w:p>
      <w:pPr>
        <w:spacing w:after="0" w:line="191" w:lineRule="exact"/>
        <w:rPr>
          <w:sz w:val="20"/>
          <w:szCs w:val="20"/>
          <w:color w:val="auto"/>
        </w:rPr>
      </w:pPr>
    </w:p>
    <w:p>
      <w:pPr>
        <w:ind w:right="80" w:firstLine="371"/>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478790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4" w:right="2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FF4040"/>
        </w:rPr>
        <w:t>The information in this prospectus is not complete and may be changed. Securities may not be sold pursuant to this prospectus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November 23,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143,936,001 Common Units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244"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This prospectus relates to up to 143,936,001 common units representing limited partner interests of Plains All American Pipeline, L.P. that the selling unitholders named in this prospectus may from time to time, in one or more offerings, offer and sell. For a detailed discussion of the selling unitholders, please read "Selling Unitholders."</w:t>
      </w:r>
    </w:p>
    <w:p>
      <w:pPr>
        <w:spacing w:after="0" w:line="194"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selling unitholders may offer and sell these common units to or through one or more underwriters, dealers or agents, or directly to investors, in amounts, at prices and on terms to be determined by market conditions and other factors at the time of the offering. This prospectus describes only the general terms of these common units and the general manner of offering these common units by the selling unitholders. We may file one or more prospectus supplements that may describe the specific manner in which the selling unitholders will offer the common units and also may add, update or change information contained in this prospectus.</w:t>
      </w:r>
    </w:p>
    <w:p>
      <w:pPr>
        <w:spacing w:after="0" w:line="197" w:lineRule="exact"/>
        <w:rPr>
          <w:sz w:val="20"/>
          <w:szCs w:val="20"/>
          <w:color w:val="auto"/>
        </w:rPr>
      </w:pPr>
    </w:p>
    <w:p>
      <w:pPr>
        <w:jc w:val="both"/>
        <w:ind w:right="220" w:firstLine="345"/>
        <w:spacing w:after="0" w:line="259" w:lineRule="auto"/>
        <w:rPr>
          <w:sz w:val="20"/>
          <w:szCs w:val="20"/>
          <w:color w:val="auto"/>
        </w:rPr>
      </w:pPr>
      <w:r>
        <w:rPr>
          <w:rFonts w:ascii="Arial" w:cs="Arial" w:eastAsia="Arial" w:hAnsi="Arial"/>
          <w:sz w:val="18"/>
          <w:szCs w:val="18"/>
          <w:color w:val="auto"/>
        </w:rPr>
        <w:t>You should read this prospectus and any applicable prospectus supplement and the documents incorporated by reference herein or therein carefully before you invest in any of our common units. You should also read the documents we have referred you to in the "Where You Can Find More Information" section of this prospectus for information about us, including our financial statements.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units are listed on the New York Stock Exchange ("NYSE") under the symbol "PAA."</w:t>
      </w:r>
    </w:p>
    <w:p>
      <w:pPr>
        <w:spacing w:after="0" w:line="206" w:lineRule="exact"/>
        <w:rPr>
          <w:sz w:val="20"/>
          <w:szCs w:val="20"/>
          <w:color w:val="auto"/>
        </w:rPr>
      </w:pPr>
    </w:p>
    <w:p>
      <w:pPr>
        <w:ind w:right="200" w:firstLine="351"/>
        <w:spacing w:after="0" w:line="301" w:lineRule="auto"/>
        <w:rPr>
          <w:sz w:val="20"/>
          <w:szCs w:val="20"/>
          <w:color w:val="auto"/>
        </w:rPr>
      </w:pPr>
      <w:r>
        <w:rPr>
          <w:rFonts w:ascii="Arial" w:cs="Arial" w:eastAsia="Arial" w:hAnsi="Arial"/>
          <w:sz w:val="19"/>
          <w:szCs w:val="19"/>
          <w:b w:val="1"/>
          <w:bCs w:val="1"/>
          <w:color w:val="auto"/>
        </w:rPr>
        <w:t>Limited partnerships are inherently different than corporations, and investing in our common units involves a high degree of risk. You should carefully consider the risks relating to investing in our common units and each of the other risk factors described under "Risk Factors" on page 8 of this prospectus before you make an investment in our common units.</w:t>
      </w:r>
    </w:p>
    <w:p>
      <w:pPr>
        <w:spacing w:after="0" w:line="136" w:lineRule="exact"/>
        <w:rPr>
          <w:sz w:val="20"/>
          <w:szCs w:val="20"/>
          <w:color w:val="auto"/>
        </w:rPr>
      </w:pPr>
    </w:p>
    <w:p>
      <w:pPr>
        <w:ind w:right="32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 common units or determined if this prospectus is truthful or complete. Any representation to the contrary is a criminal offense.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20" w:type="dxa"/>
            <w:vAlign w:val="bottom"/>
          </w:tcPr>
          <w:p>
            <w:pPr>
              <w:ind w:left="4020"/>
              <w:spacing w:after="0"/>
              <w:rPr>
                <w:sz w:val="20"/>
                <w:szCs w:val="20"/>
                <w:color w:val="auto"/>
              </w:rPr>
            </w:pPr>
            <w:r>
              <w:rPr>
                <w:rFonts w:ascii="Arial" w:cs="Arial" w:eastAsia="Arial" w:hAnsi="Arial"/>
                <w:sz w:val="18"/>
                <w:szCs w:val="18"/>
                <w:color w:val="auto"/>
              </w:rPr>
              <w:t>The date of this prospectus is</w:t>
            </w:r>
          </w:p>
        </w:tc>
        <w:tc>
          <w:tcPr>
            <w:tcW w:w="4900" w:type="dxa"/>
            <w:vAlign w:val="bottom"/>
          </w:tcPr>
          <w:p>
            <w:pPr>
              <w:jc w:val="right"/>
              <w:ind w:right="3932"/>
              <w:spacing w:after="0"/>
              <w:rPr>
                <w:sz w:val="20"/>
                <w:szCs w:val="20"/>
                <w:color w:val="auto"/>
              </w:rPr>
            </w:pPr>
            <w:r>
              <w:rPr>
                <w:rFonts w:ascii="Arial" w:cs="Arial" w:eastAsia="Arial" w:hAnsi="Arial"/>
                <w:sz w:val="18"/>
                <w:szCs w:val="18"/>
                <w:color w:val="auto"/>
              </w:rPr>
              <w:t>, 2016</w:t>
            </w:r>
          </w:p>
        </w:tc>
      </w:tr>
      <w:tr>
        <w:trPr>
          <w:trHeight w:val="228"/>
        </w:trPr>
        <w:tc>
          <w:tcPr>
            <w:tcW w:w="652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68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5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40" w:type="dxa"/>
            <w:vAlign w:val="bottom"/>
            <w:gridSpan w:val="3"/>
          </w:tcPr>
          <w:p>
            <w:pPr>
              <w:jc w:val="right"/>
              <w:ind w:right="3392"/>
              <w:spacing w:after="0"/>
              <w:rPr>
                <w:sz w:val="20"/>
                <w:szCs w:val="20"/>
                <w:color w:val="auto"/>
              </w:rPr>
            </w:pPr>
            <w:r>
              <w:rPr>
                <w:rFonts w:ascii="Arial" w:cs="Arial" w:eastAsia="Arial" w:hAnsi="Arial"/>
                <w:sz w:val="18"/>
                <w:szCs w:val="18"/>
                <w:b w:val="1"/>
                <w:bCs w:val="1"/>
                <w:color w:val="auto"/>
                <w:w w:val="99"/>
              </w:rPr>
              <w:t>TABLE OF CONTENTS</w:t>
            </w:r>
          </w:p>
        </w:tc>
      </w:tr>
      <w:tr>
        <w:trPr>
          <w:trHeight w:val="394"/>
        </w:trPr>
        <w:tc>
          <w:tcPr>
            <w:tcW w:w="1140" w:type="dxa"/>
            <w:vAlign w:val="bottom"/>
          </w:tcPr>
          <w:p>
            <w:pPr>
              <w:spacing w:after="0"/>
              <w:rPr>
                <w:sz w:val="24"/>
                <w:szCs w:val="24"/>
                <w:color w:val="auto"/>
              </w:rPr>
            </w:pPr>
          </w:p>
        </w:tc>
        <w:tc>
          <w:tcPr>
            <w:tcW w:w="354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544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196"/>
        </w:trPr>
        <w:tc>
          <w:tcPr>
            <w:tcW w:w="114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2"/>
          </w:tcPr>
          <w:p>
            <w:pPr>
              <w:spacing w:after="0"/>
              <w:rPr>
                <w:sz w:val="17"/>
                <w:szCs w:val="17"/>
                <w:color w:val="auto"/>
              </w:rPr>
            </w:pPr>
          </w:p>
        </w:tc>
        <w:tc>
          <w:tcPr>
            <w:tcW w:w="740" w:type="dxa"/>
            <w:vAlign w:val="bottom"/>
            <w:gridSpan w:val="4"/>
          </w:tcPr>
          <w:p>
            <w:pPr>
              <w:spacing w:after="0"/>
              <w:rPr>
                <w:sz w:val="17"/>
                <w:szCs w:val="17"/>
                <w:color w:val="auto"/>
              </w:rPr>
            </w:pPr>
          </w:p>
        </w:tc>
        <w:tc>
          <w:tcPr>
            <w:tcW w:w="5340" w:type="dxa"/>
            <w:vAlign w:val="bottom"/>
            <w:gridSpan w:val="2"/>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r>
      <w:tr>
        <w:trPr>
          <w:trHeight w:val="196"/>
        </w:trPr>
        <w:tc>
          <w:tcPr>
            <w:tcW w:w="1140" w:type="dxa"/>
            <w:vAlign w:val="bottom"/>
          </w:tcPr>
          <w:p>
            <w:pPr>
              <w:spacing w:after="0"/>
              <w:rPr>
                <w:sz w:val="17"/>
                <w:szCs w:val="17"/>
                <w:color w:val="auto"/>
              </w:rPr>
            </w:pPr>
          </w:p>
        </w:tc>
        <w:tc>
          <w:tcPr>
            <w:tcW w:w="29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About Plains All American Pipeline, L.P.</w:t>
              </w:r>
            </w:hyperlink>
          </w:p>
        </w:tc>
        <w:tc>
          <w:tcPr>
            <w:tcW w:w="600" w:type="dxa"/>
            <w:vAlign w:val="bottom"/>
            <w:gridSpan w:val="3"/>
          </w:tcPr>
          <w:p>
            <w:pPr>
              <w:spacing w:after="0"/>
              <w:rPr>
                <w:sz w:val="17"/>
                <w:szCs w:val="17"/>
                <w:color w:val="auto"/>
              </w:rPr>
            </w:pPr>
          </w:p>
        </w:tc>
        <w:tc>
          <w:tcPr>
            <w:tcW w:w="53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r>
      <w:tr>
        <w:trPr>
          <w:trHeight w:val="196"/>
        </w:trPr>
        <w:tc>
          <w:tcPr>
            <w:tcW w:w="114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2640" w:type="dxa"/>
            <w:vAlign w:val="bottom"/>
            <w:gridSpan w:val="13"/>
          </w:tcPr>
          <w:p>
            <w:pPr>
              <w:spacing w:after="0"/>
              <w:rPr>
                <w:sz w:val="17"/>
                <w:szCs w:val="17"/>
                <w:color w:val="auto"/>
              </w:rPr>
            </w:pPr>
          </w:p>
        </w:tc>
        <w:tc>
          <w:tcPr>
            <w:tcW w:w="53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8</w:t>
              </w:r>
            </w:hyperlink>
          </w:p>
        </w:tc>
      </w:tr>
      <w:tr>
        <w:trPr>
          <w:trHeight w:val="196"/>
        </w:trPr>
        <w:tc>
          <w:tcPr>
            <w:tcW w:w="1140" w:type="dxa"/>
            <w:vAlign w:val="bottom"/>
          </w:tcPr>
          <w:p>
            <w:pPr>
              <w:spacing w:after="0"/>
              <w:rPr>
                <w:sz w:val="17"/>
                <w:szCs w:val="17"/>
                <w:color w:val="auto"/>
              </w:rPr>
            </w:pPr>
          </w:p>
        </w:tc>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2">
              <w:r>
                <w:rPr>
                  <w:rFonts w:ascii="Arial" w:cs="Arial" w:eastAsia="Arial" w:hAnsi="Arial"/>
                  <w:sz w:val="18"/>
                  <w:szCs w:val="18"/>
                  <w:color w:val="0000EE"/>
                  <w:w w:val="85"/>
                </w:rPr>
                <w:t>Use of Proceeds</w:t>
              </w:r>
            </w:hyperlink>
          </w:p>
        </w:tc>
        <w:tc>
          <w:tcPr>
            <w:tcW w:w="2380" w:type="dxa"/>
            <w:vAlign w:val="bottom"/>
            <w:gridSpan w:val="11"/>
          </w:tcPr>
          <w:p>
            <w:pPr>
              <w:spacing w:after="0"/>
              <w:rPr>
                <w:sz w:val="17"/>
                <w:szCs w:val="17"/>
                <w:color w:val="auto"/>
              </w:rPr>
            </w:pPr>
          </w:p>
        </w:tc>
        <w:tc>
          <w:tcPr>
            <w:tcW w:w="53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9</w:t>
              </w:r>
            </w:hyperlink>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Description of Our Common Units</w:t>
              </w:r>
            </w:hyperlink>
          </w:p>
        </w:tc>
        <w:tc>
          <w:tcPr>
            <w:tcW w:w="1080" w:type="dxa"/>
            <w:vAlign w:val="bottom"/>
            <w:gridSpan w:val="5"/>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10</w:t>
              </w:r>
            </w:hyperlink>
          </w:p>
        </w:tc>
      </w:tr>
      <w:tr>
        <w:trPr>
          <w:trHeight w:val="196"/>
        </w:trPr>
        <w:tc>
          <w:tcPr>
            <w:tcW w:w="1140" w:type="dxa"/>
            <w:vAlign w:val="bottom"/>
          </w:tcPr>
          <w:p>
            <w:pPr>
              <w:spacing w:after="0"/>
              <w:rPr>
                <w:sz w:val="17"/>
                <w:szCs w:val="17"/>
                <w:color w:val="auto"/>
              </w:rPr>
            </w:pPr>
          </w:p>
        </w:tc>
        <w:tc>
          <w:tcPr>
            <w:tcW w:w="3540" w:type="dxa"/>
            <w:vAlign w:val="bottom"/>
            <w:gridSpan w:val="1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Cash Distribution Policy</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Description of Our Partnership Agreement</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Material U.S. Federal Income Tax Consequences</w:t>
              </w:r>
            </w:hyperlink>
          </w:p>
        </w:tc>
        <w:tc>
          <w:tcPr>
            <w:tcW w:w="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19</w:t>
              </w:r>
            </w:hyperlink>
          </w:p>
        </w:tc>
      </w:tr>
      <w:tr>
        <w:trPr>
          <w:trHeight w:val="196"/>
        </w:trPr>
        <w:tc>
          <w:tcPr>
            <w:tcW w:w="1140" w:type="dxa"/>
            <w:vAlign w:val="bottom"/>
          </w:tcPr>
          <w:p>
            <w:pPr>
              <w:spacing w:after="0"/>
              <w:rPr>
                <w:sz w:val="17"/>
                <w:szCs w:val="17"/>
                <w:color w:val="auto"/>
              </w:rPr>
            </w:pPr>
          </w:p>
        </w:tc>
        <w:tc>
          <w:tcPr>
            <w:tcW w:w="13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Selling Unitholders</w:t>
              </w:r>
            </w:hyperlink>
          </w:p>
        </w:tc>
        <w:tc>
          <w:tcPr>
            <w:tcW w:w="2160" w:type="dxa"/>
            <w:vAlign w:val="bottom"/>
            <w:gridSpan w:val="10"/>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34</w:t>
              </w:r>
            </w:hyperlink>
          </w:p>
        </w:tc>
      </w:tr>
      <w:tr>
        <w:trPr>
          <w:trHeight w:val="196"/>
        </w:trPr>
        <w:tc>
          <w:tcPr>
            <w:tcW w:w="1140" w:type="dxa"/>
            <w:vAlign w:val="bottom"/>
          </w:tcPr>
          <w:p>
            <w:pPr>
              <w:spacing w:after="0"/>
              <w:rPr>
                <w:sz w:val="17"/>
                <w:szCs w:val="17"/>
                <w:color w:val="auto"/>
              </w:rPr>
            </w:pPr>
          </w:p>
        </w:tc>
        <w:tc>
          <w:tcPr>
            <w:tcW w:w="3540" w:type="dxa"/>
            <w:vAlign w:val="bottom"/>
            <w:gridSpan w:val="1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Plan of Distribution</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Legal Matters</w:t>
              </w:r>
            </w:hyperlink>
          </w:p>
        </w:tc>
        <w:tc>
          <w:tcPr>
            <w:tcW w:w="2140" w:type="dxa"/>
            <w:vAlign w:val="bottom"/>
            <w:gridSpan w:val="9"/>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39</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Experts</w:t>
              </w:r>
            </w:hyperlink>
          </w:p>
        </w:tc>
        <w:tc>
          <w:tcPr>
            <w:tcW w:w="2560" w:type="dxa"/>
            <w:vAlign w:val="bottom"/>
            <w:gridSpan w:val="12"/>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39</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29"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w:t>
      </w:r>
    </w:p>
    <w:p>
      <w:pPr>
        <w:spacing w:after="0" w:line="186" w:lineRule="exact"/>
        <w:rPr>
          <w:sz w:val="20"/>
          <w:szCs w:val="20"/>
          <w:color w:val="auto"/>
        </w:rPr>
      </w:pPr>
    </w:p>
    <w:p>
      <w:pPr>
        <w:ind w:right="140" w:firstLine="351"/>
        <w:spacing w:after="0" w:line="258" w:lineRule="auto"/>
        <w:rPr>
          <w:sz w:val="20"/>
          <w:szCs w:val="20"/>
          <w:color w:val="auto"/>
        </w:rPr>
      </w:pPr>
      <w:r>
        <w:rPr>
          <w:rFonts w:ascii="Arial" w:cs="Arial" w:eastAsia="Arial" w:hAnsi="Arial"/>
          <w:sz w:val="18"/>
          <w:szCs w:val="18"/>
          <w:b w:val="1"/>
          <w:bCs w:val="1"/>
          <w:color w:val="auto"/>
        </w:rPr>
        <w:t>You should not assume that the information contained in this prospectus is accurate as of any date other than the date on the front cover of this prospectus. You should not assume that the information contained in the documents incorporated by reference in this prospectus is accurate as of any date other than the respective dates of those documents. Our business, financial condition, results of operations and prospects may have changed since those dates.</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8" w:right="2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This prospectus is part of a registration statement on Form S-3 that we filed with the SEC utilizing a "shelf" registration process. Under this shelf registration process, the selling unitholders may over time, in one or more offerings, offer and sell up to 143,936,001 of our common units.</w:t>
      </w:r>
    </w:p>
    <w:p>
      <w:pPr>
        <w:spacing w:after="0" w:line="186"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We may file one or more prospectus supplements that may describe the specific manner in which the selling unitholders will offer the common units and may also add, update or change information in this prospectus. If there is any inconsistency between the information in this prospectus and any prospectus supplement, you should rely on the information in such prospectus supplement.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70"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8-K), including all such documents we may file with the SEC after the date of the initial registration statement and prior to the effectiveness of the registration statement, until all offerings under this registration statement are completed:</w:t>
      </w:r>
    </w:p>
    <w:p>
      <w:pPr>
        <w:spacing w:after="0" w:line="211"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2015, filed on February 25, 2016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2016, filed on May 10, 2016;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June 30, 2016, filed on August 8, 2016;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September 30, 2016, filed on November 8, 2016;</w:t>
      </w:r>
    </w:p>
    <w:p>
      <w:pPr>
        <w:spacing w:after="0" w:line="25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Reports on Form 8-K, filed on January 19, 2016, February 2, 2016, May 18, 2016, July 14, 2016, August 9, 2016, August 17, 2016, August 31, 2016, November 18, 2016 and November 21, 2016; and</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16, 2016 and any subsequent amendment thereto filed for the purpose of updating such description.</w:t>
      </w:r>
    </w:p>
    <w:p>
      <w:pPr>
        <w:spacing w:after="0" w:line="186" w:lineRule="exact"/>
        <w:rPr>
          <w:sz w:val="20"/>
          <w:szCs w:val="20"/>
          <w:color w:val="auto"/>
        </w:rPr>
      </w:pPr>
    </w:p>
    <w:p>
      <w:pPr>
        <w:ind w:right="62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219"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p>
    <w:p>
      <w:pPr>
        <w:spacing w:after="0" w:line="194"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 xml:space="preserve">We also make available free of charge on our website at </w:t>
      </w:r>
      <w:r>
        <w:rPr>
          <w:rFonts w:ascii="Arial" w:cs="Arial" w:eastAsia="Arial" w:hAnsi="Arial"/>
          <w:sz w:val="18"/>
          <w:szCs w:val="18"/>
          <w:i w:val="1"/>
          <w:iCs w:val="1"/>
          <w:color w:val="auto"/>
        </w:rPr>
        <w:t>ir.paalp.com</w:t>
      </w:r>
      <w:r>
        <w:rPr>
          <w:rFonts w:ascii="Arial" w:cs="Arial" w:eastAsia="Arial" w:hAnsi="Arial"/>
          <w:sz w:val="18"/>
          <w:szCs w:val="18"/>
          <w:color w:val="auto"/>
        </w:rPr>
        <w:t xml:space="preserve">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1080" w:hanging="532"/>
        <w:spacing w:after="0" w:line="306"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occurrence of a natural disaster, catastrophe, terrorist attack or other event, including attacks on our electronic and computer systems;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38"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Other factors described herein or incorporated by reference, or factors that are unknown or unpredictable, could also have a material adverse effect on future results. Please read "Risk Factors" beginning on page 8 of this prospectus and in Item 1A. "Risk Factors" in our Annual Report on Form 10-K for the year ended December 31, 2015 (File No. 001-14569), which is incorporated into this prospectus by reference. Except as required by applicable securities laws, we do not intend to update these forward-looking statements and information.</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are a Delaware limited partnership formed in 1998. Our operations are conducted directly and indirectly through our primary operating subsidiaries. We own and operate midstream energy infrastructure and provide logistics services for crude oil, natural gas liquids ("NGL"), natural gas and refined products.</w:t>
      </w:r>
    </w:p>
    <w:p>
      <w:pPr>
        <w:spacing w:after="0" w:line="139"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94"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Acquisition and Investment Activities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72"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From time to time, we may also sell assets that we regard as non-core or that we believe might be a better fit with the business or assets of a third-party buyer.</w:t>
      </w:r>
    </w:p>
    <w:p>
      <w:pPr>
        <w:spacing w:after="0" w:line="186"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Although we expect the acquisitions and investments we make to be accretive in the long term, we can provide no assurance that our expectations will ultimately be realized.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Texas 77002 and our telephone number is (713) 646-4100. We maintain a website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xml:space="preserve"> that provides information about our business and operations. We make our periodic and current reports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On November 15, 2016, the transactions contemplated by the Simplification Agreement dated July 11, 2016 (the "Simplification Agreement"), by and among us, PAGP, PAGP GP, AAP, GP LLC and PAA GP (collectively, the "Plains Entities"), closed. The transactions included the following:</w:t>
      </w:r>
    </w:p>
    <w:p>
      <w:pPr>
        <w:spacing w:after="0" w:line="153"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conversion of PAA GP's 2% general partner interest in us into a non-economic general partner interest (the "GP Conversion");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redemption by us (the "IDR Redemption") of all of the incentive distribution rights in PAA held by AAP (the "IDRs");</w:t>
      </w:r>
    </w:p>
    <w:p>
      <w:pPr>
        <w:spacing w:after="0" w:line="238" w:lineRule="exact"/>
        <w:rPr>
          <w:rFonts w:ascii="Arial" w:cs="Arial" w:eastAsia="Arial" w:hAnsi="Arial"/>
          <w:sz w:val="18"/>
          <w:szCs w:val="18"/>
          <w:color w:val="auto"/>
        </w:rPr>
      </w:pPr>
    </w:p>
    <w:p>
      <w:pPr>
        <w:ind w:left="1080" w:right="26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consideration for the GP Conversion and IDR Redemption, (i) the assumption by us of all outstanding indebtedness and obligations under AAP's Second Amended and Restated Credit Agreement (approximately $642 million) and (ii) issuance by us to AAP of 244,707,926 common units;</w:t>
      </w:r>
    </w:p>
    <w:p>
      <w:pPr>
        <w:spacing w:after="0" w:line="207"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implementation of a unified governance structure for the Plains Entities that eliminated the board of directors of GP LLC and resulted in a single board, the board of directors of PAGP GP, being responsible for the management of PAGP, AAP and PAA;</w:t>
      </w:r>
    </w:p>
    <w:p>
      <w:pPr>
        <w:spacing w:after="0" w:line="166" w:lineRule="exact"/>
        <w:rPr>
          <w:rFonts w:ascii="Arial" w:cs="Arial" w:eastAsia="Arial" w:hAnsi="Arial"/>
          <w:sz w:val="16"/>
          <w:szCs w:val="16"/>
          <w:color w:val="auto"/>
        </w:rPr>
      </w:pPr>
    </w:p>
    <w:p>
      <w:pPr>
        <w:ind w:left="1080" w:right="20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division of the board of directors of PAGP GP into three classes and the acceleration of the date on which our preferred and common unitholders (other than AAP), together with PAGP's Class A and Class B shareholders, will begin to participate in the election of directors on an annual basis, with the first such election expected to occur in 2018;</w:t>
      </w:r>
    </w:p>
    <w:p>
      <w:pPr>
        <w:spacing w:after="0" w:line="207"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creation of a right, subject to certain limitations for the holders (excluding PAGP and GP LLC) of the Class A units of AAP ("AAP Units") to cause AAP to redeem such AAP Units in exchange for an equal number of our common units held by AAP, and the granting of resale registration rights with respect to such common units;</w:t>
      </w:r>
    </w:p>
    <w:p>
      <w:pPr>
        <w:spacing w:after="0" w:line="207"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effectuation of certain reverse stock splits to adjust the outstanding equity of PAGP, PAGP GP and AAP so that the number of outstanding PAGP Class A shares (the "Class A shares") equals the number of outstanding AAP Class A Units held by PAGP and the number of our outstanding common units held by AAP that are attributable to PAGP; accordingly, each split-adjusted Class A share represents indirect ownership of one PAA Common Unit;</w:t>
      </w:r>
    </w:p>
    <w:p>
      <w:pPr>
        <w:spacing w:after="0" w:line="224" w:lineRule="exact"/>
        <w:rPr>
          <w:rFonts w:ascii="Arial" w:cs="Arial" w:eastAsia="Arial" w:hAnsi="Arial"/>
          <w:sz w:val="18"/>
          <w:szCs w:val="18"/>
          <w:color w:val="auto"/>
        </w:rPr>
      </w:pPr>
    </w:p>
    <w:p>
      <w:pPr>
        <w:ind w:left="1080" w:right="60" w:hanging="532"/>
        <w:spacing w:after="0" w:line="323" w:lineRule="auto"/>
        <w:tabs>
          <w:tab w:leader="none" w:pos="10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entry into an omnibus agreement (the "Omnibus Agreement") designed to promote economic alignment between PAGP's Class A shareholders and our common unitholders through, among other measures, maintenance of a one-to-one relationship between the number of outstanding Class A shares and the number of our common units that PAGP indirectly owns through AAP. The Omnibus Agreement also requires PAA to bear the costs and expenses of the Plains Entities, other than income tax expenses of PAGP and its subsidiaries (excluding us and our subsidiaries);</w:t>
      </w:r>
    </w:p>
    <w:p>
      <w:pPr>
        <w:spacing w:after="0" w:line="165" w:lineRule="exact"/>
        <w:rPr>
          <w:rFonts w:ascii="Arial" w:cs="Arial" w:eastAsia="Arial" w:hAnsi="Arial"/>
          <w:sz w:val="15"/>
          <w:szCs w:val="15"/>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amendment and restatement of the governing documents of the Plains Entities, to give effect to the foregoing;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several other miscellaneous matters.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For additional information about us please refer to the documents set forth under "Where You Can Find More Information" in this prospectus, including our Annual Report on Form 10-K for the fiscal year ended December 31, 2015 and our Quarterly Report on Form 10-Q for the quarter ended September 30, 2016, each of which is incorporated by reference herein.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314" w:lineRule="auto"/>
        <w:rPr>
          <w:sz w:val="20"/>
          <w:szCs w:val="20"/>
          <w:color w:val="auto"/>
        </w:rPr>
      </w:pPr>
      <w:r>
        <w:rPr>
          <w:rFonts w:ascii="Arial" w:cs="Arial" w:eastAsia="Arial" w:hAnsi="Arial"/>
          <w:sz w:val="15"/>
          <w:szCs w:val="15"/>
          <w:color w:val="auto"/>
        </w:rPr>
        <w:t>An investment in our common units involves a high degree of risk. Before you invest in our common units, you should carefully consider the risk factors included in Item 1A. "Risk Factors" in our Annual Report on Form 10-K for the year ended December 31, 2015 (File No. 001-14569), which is incorporated into this prospectus by reference, together with all of the other information included in this prospectus, any prospectus supplement and the documents we incorporate by reference, in evaluating an investment in our common units. If any of these risks were to occur, our business, financial condition or results of operations could be materially adversely affected. In such case, the trading price of our common units could decline and you could lose all or part of your investment. When we offer and sell any securities pursuant to a prospectus supplement, we may include additional risk factors relevant to such securities in the prospectus supplement.</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will not receive any of the proceeds from the sale of common units by the selling unitholders in any offering. We will cause the selling unitholders to pay certain expenses, pro rata, including underwriting discounts and commissions, associated with the sale of common units by the selling unitholder.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COMMON UNITS</w:t>
      </w:r>
    </w:p>
    <w:p>
      <w:pPr>
        <w:spacing w:after="0" w:line="231"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holder of common units is entitled to one vote for each common unit on all matters submitted to a vote of the unitholders.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Beginning in 2018, PAGP will hold an annual meeting of shareholders for the election of "eligible PAGP GP directors," which will include all directors of PAGP GP's board with expiring terms other than (i) any director subject to designation, (ii) PAGP GP's chief executive officer and (iii) any director subject to appointment by the holders of PAA's Series A Preferred Units. In connection with the closing of the transactions contemplated by the Simplification Agreement, PAGP created a new class of non-economic limited partner interests, designated as Class C shares, and issued 477,648,826 Class C shares to us. The number of Class C shares issued to us equals the sum of the number of (i) our outstanding common units, excluding common units held by AAP, and (ii) common units that would be issued to holders of Series A Preferred Units assuming conversion, in each case, as of November 15, 2016. The Class C shares are non-economic shares that will provide us, as the sole holder, the right to vote in elections of eligible PAGP GP directors together with the holders of PAGP's Class A and Class B shares. Voting at any such shareholder meetings will be non-cumulative.</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PAGP GP's board of directors is divided into three classes of directors such that each class is comprised of one designated director and two independent directors. As provided in PAGP GP's limited liability company agreement, the CEO of PAGP GP is an automatic member (and Chairman) of PAGP GP's board of directors and therefore will not be included in a class. In addition, any director subject to appointment by the holders of PAA's Series A Convertible Preferred Units (as described below under "—Cash Distribution Policy—Series A Convertible Preferred Units") will not be included in a class. Each class of directors will serve a three-year term.</w:t>
      </w:r>
    </w:p>
    <w:p>
      <w:pPr>
        <w:spacing w:after="0" w:line="19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Beginning in 2018, we will hold an annual meeting of our limited partners in advance of PAGP's annual meeting of its limited partners. The purpose of our annual meeting will be to allow our limited partners (other than AAP) to cast a "pass-through vote," instructing us how to vote the Class C shares that we own in such election of eligible PAGP directors. We will vote (or refrain from voting) our Class C shares for the election of eligible PAGP GP directors in the same proportion as the votes received from or withheld by our limited partners. At our annual meeting, common units held by AAP will not be voted and will not be counted for purposes of determining whether a quorum exists.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Except as described below under "—Limited Liability," the common units will be fully paid, and unitholders will not be required to make additional capital contributions to us.</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Each purchaser of common units must execute a transfer application whereby the purchaser requests admission as a substituted limited partner and makes representations and agrees to provisions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86"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Subject to certain limitations, each holder of AAP's Class A units (other than PAGP and GP LLC) has the right (a "Redemption Right") to cause AAP to redeem any or all of such holder's AAP Units in exchange for the distribution of an equivalent number of our common units held by AAP. In connection with any such redemption, the redeeming holder will transfer Class A units to AAP and a corresponding number of Class B shares and PAGP's company units (if any), in each case, to PAGP. The Class A units transferred to AAP will be cancelled, the Class B shares transferred to PAGP will be cancelled and the company units transferred to PAGP will remain outstanding and increase PAGP's ownership percentage in PAGP GP.</w:t>
      </w:r>
    </w:p>
    <w:p>
      <w:pPr>
        <w:spacing w:after="0" w:line="170"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As long as PAGP's Class A shares are publicly traded, a holder of vested AAP management units will be entitled to convert his or her AAP management units into AAP Class A units and a like number of Class B shares based on a conversion ratio of approximately 0.941 AAP Class A units and Class B shares for each AAP management unit. Following any such conversion, the holder will have Redemption Rights as a holder of AAP's Class A units. Holders of AAP management units who convert such units into AAP Class A units and Class B shares will not receive general partner units and thus will not need to include any general partner units in a transfer or the exercise of their Redemption Right.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distribution was in violation of the Delaware Act is liable to the limited partnership for the amount of the distribution for three years from the date of the distribution.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70"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tax liability and filing his U.S. federal and state income tax returns.</w:t>
      </w:r>
    </w:p>
    <w:p>
      <w:pPr>
        <w:spacing w:after="0" w:line="197"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i w:val="1"/>
          <w:iCs w:val="1"/>
          <w:color w:val="auto"/>
        </w:rPr>
        <w:t>General.</w:t>
      </w:r>
      <w:r>
        <w:rPr>
          <w:sz w:val="20"/>
          <w:szCs w:val="20"/>
          <w:color w:val="auto"/>
        </w:rPr>
        <w:tab/>
      </w:r>
      <w:r>
        <w:rPr>
          <w:rFonts w:ascii="Arial" w:cs="Arial" w:eastAsia="Arial" w:hAnsi="Arial"/>
          <w:sz w:val="18"/>
          <w:szCs w:val="18"/>
          <w:color w:val="auto"/>
        </w:rPr>
        <w:t>We will distribute to our unitholders, on a quarterly basis, all of our available cash in the manner described below.</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Definition of Available Cash. </w:t>
      </w:r>
      <w:r>
        <w:rPr>
          <w:rFonts w:ascii="Arial" w:cs="Arial" w:eastAsia="Arial" w:hAnsi="Arial"/>
          <w:sz w:val="18"/>
          <w:szCs w:val="18"/>
          <w:color w:val="auto"/>
        </w:rPr>
        <w:t>Available cash generally means, for any quarter ending prior to liquidation, all cash on hand at the end of that quarter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reserves that are necessary or appropriate in the reasonable discretion of the general partner to:</w:t>
      </w:r>
    </w:p>
    <w:p>
      <w:pPr>
        <w:spacing w:after="0" w:line="19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31"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Cash distributions to our unitholders will be characterized as either operating surplus or capital surplus. We distribute available cash from</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surplus differently than available cash from capital surplus. See "—Quarterly Distributions of Available Cash."</w:t>
      </w:r>
    </w:p>
    <w:p>
      <w:pPr>
        <w:spacing w:after="0" w:line="139" w:lineRule="exact"/>
        <w:rPr>
          <w:sz w:val="20"/>
          <w:szCs w:val="20"/>
          <w:color w:val="auto"/>
        </w:rPr>
      </w:pPr>
    </w:p>
    <w:p>
      <w:pPr>
        <w:ind w:left="360"/>
        <w:spacing w:after="0"/>
        <w:tabs>
          <w:tab w:leader="none" w:pos="2800" w:val="left"/>
        </w:tabs>
        <w:rPr>
          <w:sz w:val="20"/>
          <w:szCs w:val="20"/>
          <w:color w:val="auto"/>
        </w:rPr>
      </w:pPr>
      <w:r>
        <w:rPr>
          <w:rFonts w:ascii="Arial" w:cs="Arial" w:eastAsia="Arial" w:hAnsi="Arial"/>
          <w:sz w:val="18"/>
          <w:szCs w:val="18"/>
          <w:i w:val="1"/>
          <w:iCs w:val="1"/>
          <w:color w:val="auto"/>
        </w:rPr>
        <w:t>Definition of Operating Surplus.</w:t>
      </w:r>
      <w:r>
        <w:rPr>
          <w:sz w:val="20"/>
          <w:szCs w:val="20"/>
          <w:color w:val="auto"/>
        </w:rPr>
        <w:tab/>
      </w:r>
      <w:r>
        <w:rPr>
          <w:rFonts w:ascii="Arial" w:cs="Arial" w:eastAsia="Arial" w:hAnsi="Arial"/>
          <w:sz w:val="15"/>
          <w:szCs w:val="15"/>
          <w:color w:val="auto"/>
        </w:rPr>
        <w:t>Operating surplus refers generally to:</w:t>
      </w:r>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238" w:lineRule="exact"/>
        <w:rPr>
          <w:rFonts w:ascii="Arial" w:cs="Arial" w:eastAsia="Arial" w:hAnsi="Arial"/>
          <w:sz w:val="18"/>
          <w:szCs w:val="18"/>
          <w:color w:val="auto"/>
        </w:rPr>
      </w:pPr>
    </w:p>
    <w:p>
      <w:pPr>
        <w:ind w:left="1080" w:right="480" w:hanging="532"/>
        <w:spacing w:after="0" w:line="33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39"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Definition of Capital Surplus.</w:t>
      </w:r>
      <w:r>
        <w:rPr>
          <w:sz w:val="20"/>
          <w:szCs w:val="20"/>
          <w:color w:val="auto"/>
        </w:rPr>
        <w:tab/>
      </w:r>
      <w:r>
        <w:rPr>
          <w:rFonts w:ascii="Arial" w:cs="Arial" w:eastAsia="Arial" w:hAnsi="Arial"/>
          <w:sz w:val="16"/>
          <w:szCs w:val="16"/>
          <w:color w:val="auto"/>
        </w:rPr>
        <w:t>Capital surplus will generally be generated only by:</w:t>
      </w:r>
    </w:p>
    <w:p>
      <w:pPr>
        <w:spacing w:after="0" w:line="252"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248"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can issue additional common units or other equity securities for consideration and under terms and conditions approved by our general partner in its sole discretion and without the approval of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unitholders. We may fund acquisitions through the issuance of additional common units or other equity securities.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Convertible Preferred Units</w:t>
      </w:r>
    </w:p>
    <w:p>
      <w:pPr>
        <w:spacing w:after="0" w:line="231" w:lineRule="exact"/>
        <w:rPr>
          <w:sz w:val="20"/>
          <w:szCs w:val="20"/>
          <w:color w:val="auto"/>
        </w:rPr>
      </w:pPr>
    </w:p>
    <w:p>
      <w:pPr>
        <w:ind w:right="80" w:firstLine="351"/>
        <w:spacing w:after="0" w:line="302" w:lineRule="auto"/>
        <w:rPr>
          <w:sz w:val="20"/>
          <w:szCs w:val="20"/>
          <w:color w:val="auto"/>
        </w:rPr>
      </w:pPr>
      <w:r>
        <w:rPr>
          <w:rFonts w:ascii="Arial" w:cs="Arial" w:eastAsia="Arial" w:hAnsi="Arial"/>
          <w:sz w:val="15"/>
          <w:szCs w:val="15"/>
          <w:color w:val="auto"/>
        </w:rPr>
        <w:t>On January 28, 2016, we completed a private placement of 61,030,127 Series A Convertible Preferred Units representing limited partner interests in us (the "preferred units") for a cash purchase price of $26.25 per unit (the "Issue Price"). The preferred units rank senior to all classes or series of equity securities in us with respect to distribution rights and rights upon liquidation. The holders of the preferred units will receive quarterly distributions, subject to customary anti-dilution adjustments, equal to an annual rate of 8% of the Issue Price ($2.10 per unit annualized). With respect to any quarter ending on or prior to December 31, 2017 (the "Initial Distribution Period"), we may elect to pay distributions on the preferred units in additional preferred units, in cash or a combination of both. With respect to any quarter ending after the Initial Distribution Period, we must pay distributions on preferred units in cash. For a period of 30 days following</w:t>
      </w:r>
    </w:p>
    <w:p>
      <w:pPr>
        <w:spacing w:after="0" w:line="1" w:lineRule="exact"/>
        <w:rPr>
          <w:sz w:val="20"/>
          <w:szCs w:val="20"/>
          <w:color w:val="auto"/>
        </w:rPr>
      </w:pPr>
    </w:p>
    <w:p>
      <w:pPr>
        <w:ind w:right="40" w:firstLine="8"/>
        <w:spacing w:after="0" w:line="252" w:lineRule="auto"/>
        <w:tabs>
          <w:tab w:leader="none" w:pos="23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fifth anniversary of the issue date of the preferred units and (b) each subsequent anniversary of the issue date, the holders of preferred units, acting by majority vote, may make a one-time election to reset the preferred unit distribution rate to equal the then applicable rate of ten-year U.S. Treasury Securities plus 5.85% (the "Distribution Rate Reset"). If the holders of preferred units have exercised the Distribution Rate Reset, then, at any time following 30 days after the sixth anniversary of the issue date of the preferred units, we may redeem all or any portion of the outstanding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w:t>
      </w:r>
    </w:p>
    <w:p>
      <w:pPr>
        <w:spacing w:after="0" w:line="201" w:lineRule="exact"/>
        <w:rPr>
          <w:sz w:val="20"/>
          <w:szCs w:val="20"/>
          <w:color w:val="auto"/>
        </w:rPr>
      </w:pPr>
    </w:p>
    <w:p>
      <w:pPr>
        <w:ind w:right="120" w:firstLine="348"/>
        <w:spacing w:after="0" w:line="286" w:lineRule="auto"/>
        <w:rPr>
          <w:sz w:val="20"/>
          <w:szCs w:val="20"/>
          <w:color w:val="auto"/>
        </w:rPr>
      </w:pPr>
      <w:r>
        <w:rPr>
          <w:rFonts w:ascii="Arial" w:cs="Arial" w:eastAsia="Arial" w:hAnsi="Arial"/>
          <w:sz w:val="16"/>
          <w:szCs w:val="16"/>
          <w:color w:val="auto"/>
        </w:rPr>
        <w:t>The holders of preferred units may convert their preferred units, generally on a one-for-one basis and subject to customary anti-dilution adjustments, at any time after the second anniversary of the issuance date (or prior to a liquidation), in whole or in part, so long as any partial conversion is not for less than</w:t>
      </w:r>
    </w:p>
    <w:p>
      <w:pPr>
        <w:ind w:right="60"/>
        <w:spacing w:after="0" w:line="288" w:lineRule="auto"/>
        <w:rPr>
          <w:sz w:val="20"/>
          <w:szCs w:val="20"/>
          <w:color w:val="auto"/>
        </w:rPr>
      </w:pPr>
      <w:r>
        <w:rPr>
          <w:rFonts w:ascii="Arial" w:cs="Arial" w:eastAsia="Arial" w:hAnsi="Arial"/>
          <w:sz w:val="16"/>
          <w:szCs w:val="16"/>
          <w:color w:val="auto"/>
        </w:rPr>
        <w:t>$100 million (calculated based on the closing price of our common units on the trading day immediately prior to the notice of conversion) or such lesser amount, if such conversion relates to all of a holder's remaining preferred units. We may convert the preferred units at any time (but not more often than once per quarter) after the third anniversary of the issuance date,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preferred units. The preferred units will vote on an as-converted basis with our common units and will have certain other class voting rights with respect to any amendment to our partnership agreement that would adversely affect any rights, preferences or privileges of the preferred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23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After making distributions to holders of outstanding preferred units, we will make quarterly distributions to our common unitholders prior to our liquidation in an amount equal to 100% of our available cash for that quarter. We expect to make distributions of all available cash within 45 days after the end of each quarter to holders of record on the applicable record date.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231" w:lineRule="exact"/>
        <w:rPr>
          <w:sz w:val="20"/>
          <w:szCs w:val="20"/>
          <w:color w:val="auto"/>
        </w:rPr>
      </w:pPr>
    </w:p>
    <w:p>
      <w:pPr>
        <w:ind w:right="380" w:firstLine="348"/>
        <w:spacing w:after="0" w:line="370" w:lineRule="auto"/>
        <w:rPr>
          <w:sz w:val="20"/>
          <w:szCs w:val="20"/>
          <w:color w:val="auto"/>
        </w:rPr>
      </w:pPr>
      <w:r>
        <w:rPr>
          <w:rFonts w:ascii="Arial" w:cs="Arial" w:eastAsia="Arial" w:hAnsi="Arial"/>
          <w:sz w:val="15"/>
          <w:szCs w:val="15"/>
          <w:color w:val="auto"/>
        </w:rPr>
        <w:t>We will make distributions of available cash from operating surplus to all unitholders, pro rata until we distribute an aggregate amount of available cash equal to the aggregate operating surplus generated by the Partnership from the time of our IPO through the end of the quarter in respect of such distribution.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31" w:lineRule="exact"/>
        <w:rPr>
          <w:sz w:val="20"/>
          <w:szCs w:val="20"/>
          <w:color w:val="auto"/>
        </w:rPr>
      </w:pPr>
    </w:p>
    <w:p>
      <w:pPr>
        <w:ind w:left="360"/>
        <w:spacing w:after="0"/>
        <w:tabs>
          <w:tab w:leader="none" w:pos="4380" w:val="left"/>
        </w:tabs>
        <w:rPr>
          <w:sz w:val="20"/>
          <w:szCs w:val="20"/>
          <w:color w:val="auto"/>
        </w:rPr>
      </w:pPr>
      <w:r>
        <w:rPr>
          <w:rFonts w:ascii="Arial" w:cs="Arial" w:eastAsia="Arial" w:hAnsi="Arial"/>
          <w:sz w:val="18"/>
          <w:szCs w:val="18"/>
          <w:i w:val="1"/>
          <w:iCs w:val="1"/>
          <w:color w:val="auto"/>
        </w:rPr>
        <w:t>How Distributions from Capital Surplus Will Be Made.</w:t>
      </w:r>
      <w:r>
        <w:rPr>
          <w:sz w:val="20"/>
          <w:szCs w:val="20"/>
          <w:color w:val="auto"/>
        </w:rPr>
        <w:tab/>
      </w:r>
      <w:r>
        <w:rPr>
          <w:rFonts w:ascii="Arial" w:cs="Arial" w:eastAsia="Arial" w:hAnsi="Arial"/>
          <w:sz w:val="16"/>
          <w:szCs w:val="16"/>
          <w:color w:val="auto"/>
        </w:rPr>
        <w:t>We will make distributions of available cash from capital surplus in the following manner:</w:t>
      </w:r>
    </w:p>
    <w:p>
      <w:pPr>
        <w:spacing w:after="0" w:line="239" w:lineRule="exact"/>
        <w:rPr>
          <w:sz w:val="20"/>
          <w:szCs w:val="20"/>
          <w:color w:val="auto"/>
        </w:rPr>
      </w:pPr>
    </w:p>
    <w:p>
      <w:pPr>
        <w:ind w:left="10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First, 100% to all unitholders, pro rata, until we distribute available cash from capital surplus in an aggregate amount per common unit equal to the initial public offering price;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Thereafter, we will make all distributions of available cash from capital surplus as if they were from operating surplus.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231"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If we dissolve and liquidate, we will sell our assets or otherwise dispose of our assets and we will adjust the partners' capital account balances to show any resulting gain or loss. We will apply the proceeds of liquidation (i) first to the payment of our creditors in the order of priority provided in our partnership agreement and by law (ii) second to the holders of outstanding preferred units in accordance with the adjusted capital account balances, and, (iii) thereafter, distribute to the unitholders and the general partner in accordance with their adjusted capital account balances.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19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U.S. Federal Income Tax Consequences;"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1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6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common units will not have preemptive rights to acquire additional common units or other partnership interests in 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97"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97"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13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208"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and</w:t>
      </w:r>
    </w:p>
    <w:p>
      <w:pPr>
        <w:spacing w:after="0" w:line="252" w:lineRule="exact"/>
        <w:rPr>
          <w:rFonts w:ascii="Arial" w:cs="Arial" w:eastAsia="Arial" w:hAnsi="Arial"/>
          <w:sz w:val="18"/>
          <w:szCs w:val="18"/>
          <w:color w:val="auto"/>
        </w:rPr>
      </w:pPr>
    </w:p>
    <w:p>
      <w:pPr>
        <w:ind w:left="5620" w:right="2140" w:hanging="5072"/>
        <w:spacing w:after="0" w:line="519" w:lineRule="auto"/>
        <w:tabs>
          <w:tab w:leader="none" w:pos="10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next, to all holders of preferred units in accordance with the positive balance in their respective capital accounts; and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finally to all partners in accordance with the positive balance in their respective capital accounts.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some circumstances and subject to some limitations, the liquidator may defer liquidation or distribution of our assets for a reasonable period of time.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213" w:lineRule="exact"/>
        <w:rPr>
          <w:sz w:val="20"/>
          <w:szCs w:val="20"/>
          <w:color w:val="auto"/>
        </w:rPr>
      </w:pPr>
    </w:p>
    <w:p>
      <w:pPr>
        <w:ind w:left="1080" w:right="3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If at any time our general partner and its affiliates (other than, with respect to the of preferred units, such affiliates that originally purchased the preferred units)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70"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260" w:firstLine="348"/>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w:t>
      </w:r>
    </w:p>
    <w:p>
      <w:pPr>
        <w:spacing w:after="0" w:line="170" w:lineRule="exact"/>
        <w:rPr>
          <w:sz w:val="20"/>
          <w:szCs w:val="20"/>
          <w:color w:val="auto"/>
        </w:rPr>
      </w:pPr>
    </w:p>
    <w:p>
      <w:pPr>
        <w:ind w:right="100" w:firstLine="351"/>
        <w:spacing w:after="0" w:line="287" w:lineRule="auto"/>
        <w:rPr>
          <w:sz w:val="20"/>
          <w:szCs w:val="20"/>
          <w:color w:val="auto"/>
        </w:rPr>
      </w:pPr>
      <w:r>
        <w:rPr>
          <w:rFonts w:ascii="Arial" w:cs="Arial" w:eastAsia="Arial" w:hAnsi="Arial"/>
          <w:sz w:val="16"/>
          <w:szCs w:val="16"/>
          <w:color w:val="auto"/>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and does not describe the application of the alternative minimum tax that may be applicable to certain unitholders. Furthermore, this section focuses on unitholders who are individual citizens or residents of the United States (for federal income tax purposes), who have the U.S. dollar as their functional currency, who use the calendar year as their taxable year,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Arial" w:cs="Arial" w:eastAsia="Arial" w:hAnsi="Arial"/>
          <w:sz w:val="16"/>
          <w:szCs w:val="16"/>
          <w:b w:val="1"/>
          <w:bCs w:val="1"/>
          <w:i w:val="1"/>
          <w:iCs w:val="1"/>
          <w:color w:val="auto"/>
        </w:rPr>
        <w:t>Accordingly, we encourage each unitholder to consult the unitholder's own tax advisor in analyzing the U.S. federal,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 local and non-U.S. tax consequences particular to that unitholder resulting from ownership or disposition of units and potential changes in applicable tax laws</w:t>
      </w:r>
      <w:r>
        <w:rPr>
          <w:rFonts w:ascii="Arial" w:cs="Arial" w:eastAsia="Arial" w:hAnsi="Arial"/>
          <w:sz w:val="16"/>
          <w:szCs w:val="16"/>
          <w:color w:val="auto"/>
        </w:rPr>
        <w:t>.</w:t>
      </w:r>
    </w:p>
    <w:p>
      <w:pPr>
        <w:spacing w:after="0" w:line="17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relying on opinions and advice of Vinson &amp; Elkins L.L.P. with respect to the matters described herein. An opinion of counsel represents only that counsel's best legal judgment and does not bind the Internal Revenue Service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7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"—Tax Consequences of Unit Ownership—Treatment of Securities Loans"); (2) whether our monthly convention for allocating taxable income and losses is permitted by existing Treasury Regulations (please read "—Disposition of Units—Allocations Between Transferors and Transferees"); and (3) whether our method for taking into account Section 743 adjustments is sustainable in certain cases (please read "—Tax Consequences of Unit Ownership—Section 754 Election" and "— Uniformity of Units").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225"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We expect to be treated as a partnership for U.S. federal income tax purposes and, therefore, generally will not be liable for entity-level federal income taxes. Instead, as described below, each of our unitholders will take into account its respective share of our items of income, gain, loss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deduction in computing its federal income tax liability as if the unitholder had earned such income directly, even if we make no cash distributions to the unitholder. Distributions we make to a unitholder generally will not give rise to income or gain taxable to such unitholder, unless the amount of cash distributed exceeds the unitholder's adjusted tax basis in its units.</w:t>
      </w:r>
    </w:p>
    <w:p>
      <w:pPr>
        <w:spacing w:after="0" w:line="194" w:lineRule="exact"/>
        <w:rPr>
          <w:sz w:val="20"/>
          <w:szCs w:val="20"/>
          <w:color w:val="auto"/>
        </w:rPr>
      </w:pPr>
    </w:p>
    <w:p>
      <w:pPr>
        <w:ind w:right="160" w:firstLine="351"/>
        <w:spacing w:after="0" w:line="253" w:lineRule="auto"/>
        <w:rPr>
          <w:sz w:val="20"/>
          <w:szCs w:val="20"/>
          <w:color w:val="auto"/>
        </w:rPr>
      </w:pPr>
      <w:r>
        <w:rPr>
          <w:rFonts w:ascii="Arial" w:cs="Arial" w:eastAsia="Arial" w:hAnsi="Arial"/>
          <w:sz w:val="18"/>
          <w:szCs w:val="18"/>
          <w:color w:val="auto"/>
        </w:rPr>
        <w:t>Section 7704 of the Code generally provides that publicly traded partnerships will be treated as corporations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w:t>
      </w:r>
    </w:p>
    <w:p>
      <w:pPr>
        <w:spacing w:after="0" w:line="201" w:lineRule="exact"/>
        <w:rPr>
          <w:sz w:val="20"/>
          <w:szCs w:val="20"/>
          <w:color w:val="auto"/>
        </w:rPr>
      </w:pPr>
    </w:p>
    <w:p>
      <w:pPr>
        <w:jc w:val="both"/>
        <w:ind w:right="460" w:firstLine="351"/>
        <w:spacing w:after="0" w:line="256" w:lineRule="auto"/>
        <w:rPr>
          <w:sz w:val="20"/>
          <w:szCs w:val="20"/>
          <w:color w:val="auto"/>
        </w:rPr>
      </w:pPr>
      <w:r>
        <w:rPr>
          <w:rFonts w:ascii="Arial" w:cs="Arial" w:eastAsia="Arial" w:hAnsi="Arial"/>
          <w:sz w:val="18"/>
          <w:szCs w:val="18"/>
          <w:color w:val="auto"/>
        </w:rPr>
        <w:t>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w:t>
      </w:r>
    </w:p>
    <w:p>
      <w:pPr>
        <w:spacing w:after="0" w:line="197" w:lineRule="exact"/>
        <w:rPr>
          <w:sz w:val="20"/>
          <w:szCs w:val="20"/>
          <w:color w:val="auto"/>
        </w:rPr>
      </w:pPr>
    </w:p>
    <w:p>
      <w:pPr>
        <w:ind w:left="1220" w:hanging="321"/>
        <w:spacing w:after="0"/>
        <w:tabs>
          <w:tab w:leader="none" w:pos="12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Neither we nor any of our partnership or limited liability company subsidiaries has elected to be treated as a corporation for federal income tax</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purposes;</w:t>
      </w:r>
    </w:p>
    <w:p>
      <w:pPr>
        <w:spacing w:after="0" w:line="218" w:lineRule="exact"/>
        <w:rPr>
          <w:rFonts w:ascii="Arial" w:cs="Arial" w:eastAsia="Arial" w:hAnsi="Arial"/>
          <w:sz w:val="16"/>
          <w:szCs w:val="16"/>
          <w:color w:val="auto"/>
        </w:rPr>
      </w:pPr>
    </w:p>
    <w:p>
      <w:pPr>
        <w:ind w:left="540" w:firstLine="359"/>
        <w:spacing w:after="0" w:line="332" w:lineRule="auto"/>
        <w:tabs>
          <w:tab w:leader="none" w:pos="1228"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39" w:lineRule="exact"/>
        <w:rPr>
          <w:rFonts w:ascii="Arial" w:cs="Arial" w:eastAsia="Arial" w:hAnsi="Arial"/>
          <w:sz w:val="16"/>
          <w:szCs w:val="16"/>
          <w:color w:val="auto"/>
        </w:rPr>
      </w:pPr>
    </w:p>
    <w:p>
      <w:pPr>
        <w:ind w:left="540" w:right="220" w:firstLine="359"/>
        <w:spacing w:after="0" w:line="259" w:lineRule="auto"/>
        <w:tabs>
          <w:tab w:leader="none" w:pos="121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w:t>
      </w:r>
    </w:p>
    <w:p>
      <w:pPr>
        <w:spacing w:after="0" w:line="174"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present U.S. federal income tax treatment of publicly traded partnerships, including us, or an investment in our common units may be modified by administrative, legislative or judicial interpretation at any time. For example, from time to time, members of the U.S. Congress and the President propose and consider substantive changes to the existing federal income tax laws that affect publicly traded partnerships, including the elimination of the Qualifying Income Exception upon which we rely for our treatment as a partnership for federal income tax purposes.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the IRS has issued proposed regulations regarding qualifying income under Section 7704(d)(1)(E) of the Code (the "Proposed Regulations"). We do not believe the Proposed Regulations affect our ability to qualify as a publicly traded partnership. However, there are no assurances that final regulations will not include changes that interpret Section 7704(d)(1)(E) in a manner that is contrary to the Proposed Regulations, which could modify the amount of our gross income that we are able to treat as qualifying income for the purposes of the Qualifying Income Exception. We are unable to predict whether any such changes will ultimately be enacted. However, it is possible that a change in law could affect us and may be applied retroactively. Any such changes could negatively impact the value of an investment in our common units.</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units, and thereafter (iii) taxable capital gain.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remainder of this discussion is based on the opinion of Vinson &amp; Elkins L.L.P. that we will be treated as a partnership for federal income tax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w:t>
      </w:r>
    </w:p>
    <w:p>
      <w:pPr>
        <w:spacing w:after="0" w:line="208"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assignees who have executed and delivered transfer applications, and are awaiting admission as limited partners, and</w:t>
      </w:r>
    </w:p>
    <w:p>
      <w:pPr>
        <w:spacing w:after="0" w:line="25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8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198"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"—Tax Consequences of Unit Ownership—Treatment of Securities Loans." Unitholders who are not treated as partners in us as described above are urged to consult their own tax advisors with respect to the tax consequences applicable to them under the circumstances.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Subject to the discussion below under "—Entity-Level Collections of Unitholder Taxes" with respect to payments we may be required to make on behalf of our unitholders, and aside from any taxes paid by a corporate subsidiary, we will not pay any federal income tax. However, a portion of our 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without regard to whether we make cash distributions to such unitholder. Consequently, we may allocate income to a unitholder even if that unitholder has not received a cash distribution.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225" w:lineRule="exact"/>
        <w:rPr>
          <w:sz w:val="20"/>
          <w:szCs w:val="20"/>
          <w:color w:val="auto"/>
        </w:rPr>
      </w:pPr>
    </w:p>
    <w:p>
      <w:pPr>
        <w:ind w:right="180" w:firstLine="341"/>
        <w:spacing w:after="0" w:line="255" w:lineRule="auto"/>
        <w:rPr>
          <w:sz w:val="20"/>
          <w:szCs w:val="20"/>
          <w:color w:val="auto"/>
        </w:rPr>
      </w:pPr>
      <w:r>
        <w:rPr>
          <w:rFonts w:ascii="Arial" w:cs="Arial" w:eastAsia="Arial" w:hAnsi="Arial"/>
          <w:sz w:val="18"/>
          <w:szCs w:val="18"/>
          <w:color w:val="auto"/>
        </w:rPr>
        <w:t>A unitholder's tax basis in its units initially will be the amount paid for those units increased by the unitholder's initial share of our liabilities. That basis generally will be (i) increased by the unitholder's share of our income and any increases in such unitholder's share of our liabilities, and (ii) decreased, but not below zero, by the amount of all distributions to the unitholder, the unitholder's share of our losses, and any decreases in the unitholder's share of our liabilities. The IRS has ruled that a partner who acquires interests in a partnership in separate transactions must combine those interests and maintain a single adjusted tax basis for all of those interests.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Distributions made by us to a unitholder generally will not be taxable to the unitholder, unless such distributions exceed the unitholder's tax basis in its units, in which case the unitholder generally will recognize gain taxable in the manner described below under "—Disposition of Units."</w:t>
      </w:r>
    </w:p>
    <w:p>
      <w:pPr>
        <w:spacing w:after="0" w:line="139"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Any reduction in a unitholder's share of our liabilities will be treated as a distribution by us of cash to that unitholder. A decrease in a unitholder's percentage interest in us because of our issuance of additional units may decrease the unitholder's share of our nonrecourse liabilities. For purposes of the foregoing, a unitholder's share of our nonrecourse liabilities (liabilities for which no partner bears the economic risk of loss) generally will be based upon that unitholder's share of the unrealized appreciation (or depreciation) in our assets, to the extent thereof, with any excess liabilities allocated based on the unitholder's share of our profits. Please read "Disposition of Units."</w:t>
      </w:r>
    </w:p>
    <w:p>
      <w:pPr>
        <w:spacing w:after="0" w:line="197"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 non-pro rata distribution of money or property (including a deemed distribution as a result of the reduction in a unitholder's share of our liabilities as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an allocable portion of the non-pro rata distribution. This latter deemed exchange generally will result in the unitholder's realization of ordinary income in an amount equal to the excess of (1) the non-pro rata portion of that distribution over (2) the unitholder's tax basis (generally zero) in the Section 751 Assets deemed to be relinquished in the exchange.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97" w:lineRule="exact"/>
        <w:rPr>
          <w:sz w:val="20"/>
          <w:szCs w:val="20"/>
          <w:color w:val="auto"/>
        </w:rPr>
      </w:pPr>
    </w:p>
    <w:p>
      <w:pPr>
        <w:jc w:val="both"/>
        <w:ind w:right="280" w:firstLine="351"/>
        <w:spacing w:after="0" w:line="306" w:lineRule="auto"/>
        <w:rPr>
          <w:sz w:val="20"/>
          <w:szCs w:val="20"/>
          <w:color w:val="auto"/>
        </w:rPr>
      </w:pPr>
      <w:r>
        <w:rPr>
          <w:rFonts w:ascii="Arial" w:cs="Arial" w:eastAsia="Arial" w:hAnsi="Arial"/>
          <w:sz w:val="16"/>
          <w:szCs w:val="16"/>
          <w:color w:val="auto"/>
        </w:rPr>
        <w:t>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 traded partnership.</w:t>
      </w:r>
    </w:p>
    <w:p>
      <w:pPr>
        <w:spacing w:after="0" w:line="16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Consequently, any passive losses we generate will be available to offset only passive income generated by us.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deductibility of a non-corporate taxpayer's "investment interest expense" generally is limited to the amount of that taxpayer's "net investment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Investment interest expense includes:</w:t>
      </w:r>
    </w:p>
    <w:p>
      <w:pPr>
        <w:spacing w:after="0" w:line="232"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248"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(if applicable) or gains attributable to the disposition of property held for investment. A unitholder's share of a publicly traded partnership's portfolio income and, according to the IRS, net passive income will be treated as investment income for purposes of the investment interest expense limitation.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225"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If we are required or elect under applicable law to pay any federal, state, local or non-U.S. tax on behalf of any current or former unitholder, we are authorized to pay those taxes and treat the payment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a distribution of cash to the relevant unitholder. If the payment is made on behalf of a unitholder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w:t>
      </w:r>
    </w:p>
    <w:p>
      <w:pPr>
        <w:spacing w:after="0" w:line="16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items of income, gain, loss and deduction will be allocated among our unitholders in accordance with their percentage interests in us.</w:t>
      </w:r>
    </w:p>
    <w:p>
      <w:pPr>
        <w:spacing w:after="0" w:line="225"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Specified items of our income, gain, loss and deduction will be allocated under Section 704(c) of the Code (or the principles of Section 704(c) of the Code) to account for any difference between the tax basis and fair market value of our assets at the time such assets are contributed to us and at the time of any subsequent offering of our units (a "Book-Tax Disparity"). As a result, the U.S. federal income tax burden associated with any Book-Tax Disparity immediately prior to an offering generally will be borne by our partners holding interests in us prior to such offering. In addition, items of recapture income will be specially allocated to the extent possible to the unitholder who was allocated the deduction giving rise to that recapture income in order to minimize the recognition of ordinary income by other unitholders.</w:t>
      </w:r>
    </w:p>
    <w:p>
      <w:pPr>
        <w:spacing w:after="0" w:line="198"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An allocation of items of our income, gain, loss or deduction, other than an allocation required by the Code to eliminate a Book-Tax Disparity, will generally be given effect for U.S. federal income tax purposes in determining a partner's share of an item of income, gain, loss or deduction only if the allocation has "substantial economic effect." In any other case, a partner's share of an item will be determined on the basis of the partner's interest in us, which will be determined by taking into account all the facts and circumstances, including (i) his relative contributions to us, (ii) the interests of all the partners in profits and losses, (iii) the interest of all the partners in cash flow and (iv) the rights of all the partners to distributions of capital upon liquidation. Vinson &amp; Elkins L.L.P. is of the opinion that, with the exception of the issues described in "—Section 754 Election" and "—Disposition of Units—Allocations Between Transferors and Transferees," allocations under our partnership agreement will be given effect for U.S. federal income tax purposes in determining a partner's share of an item of income, gain, loss, or deduction.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225" w:lineRule="exact"/>
        <w:rPr>
          <w:sz w:val="20"/>
          <w:szCs w:val="20"/>
          <w:color w:val="auto"/>
        </w:rPr>
      </w:pPr>
    </w:p>
    <w:p>
      <w:pPr>
        <w:jc w:val="both"/>
        <w:ind w:right="120" w:firstLine="341"/>
        <w:spacing w:after="0" w:line="298" w:lineRule="auto"/>
        <w:rPr>
          <w:sz w:val="20"/>
          <w:szCs w:val="20"/>
          <w:color w:val="auto"/>
        </w:rPr>
      </w:pPr>
      <w:r>
        <w:rPr>
          <w:rFonts w:ascii="Arial" w:cs="Arial" w:eastAsia="Arial" w:hAnsi="Arial"/>
          <w:sz w:val="16"/>
          <w:szCs w:val="16"/>
          <w:color w:val="auto"/>
        </w:rPr>
        <w:t>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income.</w:t>
      </w:r>
    </w:p>
    <w:p>
      <w:pPr>
        <w:spacing w:after="0" w:line="167"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brokers from borrowing and lending their units. The IRS has announced that it is studying issues relating to the tax treatment of short sales of partnership interests. Please read "—Disposition of Units—Recognition of Gain or Loss."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Rates</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39.6% and 20%, respectively. These rates are subject to change by new legislation at any time.</w:t>
      </w:r>
    </w:p>
    <w:p>
      <w:pPr>
        <w:spacing w:after="0" w:line="19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addition, a 3.8% net investment income tax applies to certain net investment income earned by individuals, estates and trusts. For these purposes, net investment income generally includes a common unitholder's allocable share of our income and gain realized by a common unitholder from a sale of units. In the case of an individual, the tax will be imposed on the lesser of (i) the common unitholder's net investment income from all investments and (ii) the amount by which the common unitholder's modified adjusted gross income exceeds $250,000 (if the unitholder is married and filing jointly or a surviving spouse), $125,000 (if married filing separately) or $200,000 (if the unitholder is unmarried or in any other case). In the case of an estate or trust, the tax will be imposed on the lesser of (i) undistributed net investment income and (ii) the excess adjusted gross income over the dollar amount at which the highest income tax bracket applicable to an estate or trust begins.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25" w:lineRule="exact"/>
        <w:rPr>
          <w:sz w:val="20"/>
          <w:szCs w:val="20"/>
          <w:color w:val="auto"/>
        </w:rPr>
      </w:pPr>
    </w:p>
    <w:p>
      <w:pPr>
        <w:jc w:val="both"/>
        <w:ind w:right="140" w:firstLine="348"/>
        <w:spacing w:after="0" w:line="298" w:lineRule="auto"/>
        <w:rPr>
          <w:sz w:val="20"/>
          <w:szCs w:val="20"/>
          <w:color w:val="auto"/>
        </w:rPr>
      </w:pPr>
      <w:r>
        <w:rPr>
          <w:rFonts w:ascii="Arial" w:cs="Arial" w:eastAsia="Arial" w:hAnsi="Arial"/>
          <w:sz w:val="16"/>
          <w:szCs w:val="16"/>
          <w:color w:val="auto"/>
        </w:rPr>
        <w:t>We have made the election permitted by Section 754 of the Code ("Section 754 Election") that permits us to adjust the tax bases in our assets as to specific purchasers of our units under Section 743(b) of the Code ("Section 743(b) Adjustment"). The Section 743(b) Adjustment separately applies to each purchaser of units based upon the values and bases of our assets at the time of the relevant purchase, and the adjustment will reflect the purchase price paid. The Section 743(b) Adjustment does not apply to a person who purchases units directly from us.</w:t>
      </w:r>
    </w:p>
    <w:p>
      <w:pPr>
        <w:spacing w:after="0" w:line="167"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Under our partnership agreement, we are authorized to take a position to preserve the uniformity of units even if that position is not consistent with applicable Treasury Regulations. A literal application of Treasury Regulations governing a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"—Uniformity of Units."</w:t>
      </w:r>
    </w:p>
    <w:p>
      <w:pPr>
        <w:spacing w:after="0" w:line="17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IRS may challenge the positions we adopt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"—Disposition of Units—Recognition of Gain or Loss." If a challenge to such treatment were sustained, the gain from the sale of units may be increased without the benefit of additional deductions.</w:t>
      </w:r>
    </w:p>
    <w:p>
      <w:pPr>
        <w:spacing w:after="0" w:line="197" w:lineRule="exact"/>
        <w:rPr>
          <w:sz w:val="20"/>
          <w:szCs w:val="20"/>
          <w:color w:val="auto"/>
        </w:rPr>
      </w:pPr>
    </w:p>
    <w:p>
      <w:pPr>
        <w:ind w:right="340" w:firstLine="348"/>
        <w:spacing w:after="0" w:line="298" w:lineRule="auto"/>
        <w:rPr>
          <w:sz w:val="20"/>
          <w:szCs w:val="20"/>
          <w:color w:val="auto"/>
        </w:rPr>
      </w:pPr>
      <w:r>
        <w:rPr>
          <w:rFonts w:ascii="Arial" w:cs="Arial" w:eastAsia="Arial" w:hAnsi="Arial"/>
          <w:sz w:val="16"/>
          <w:szCs w:val="16"/>
          <w:color w:val="auto"/>
        </w:rPr>
        <w:t>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goodwill or nondepreciable assets. Goodwill, as an intangible asset, is generally nonamortizable; however, if amortizable, it is amortizable over a longer period of time or under a less accelerated method than our tangible assets. We cannot assure any unitholder that the determinations we make will not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Section 754 Election not been revoked.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225"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"—Disposition of Units—Allocations Between Transferors and Transferees."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tax basis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"—Tax Consequences of Unit Ownership—Allocation of Income, Gain, Loss and Deduction" and "— Disposition of Units—Recognition of Gain or Loss."</w:t>
      </w:r>
    </w:p>
    <w:p>
      <w:pPr>
        <w:spacing w:after="0" w:line="17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Tax Basis of Our Properties</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federal income tax consequences of the ownership and disposition of units will depend in part on our estimates of the relative fair market values and the initial tax basis of our assets. Although we may from time to time consult with professional appraisers regarding valuation matters, we will make many of the relative fair market value and tax basis estimates and determinations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Units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w:t>
      </w:r>
    </w:p>
    <w:p>
      <w:pPr>
        <w:spacing w:after="0" w:line="17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For purposes of calculating gain or loss on the sale of units, the unitholder's adjusted tax basis will be adjusted by its allocable share of our income or loss in respect of its units for the year of the sale. Furthermore, as described above, the IRS has ruled that a partner who acquires interests in a partnership in separate transactions must combine those interests and maintain a single adjusted tax basis for all of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w:t>
      </w:r>
    </w:p>
    <w:p>
      <w:pPr>
        <w:spacing w:after="0" w:line="174"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208"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238" w:lineRule="exact"/>
        <w:rPr>
          <w:rFonts w:ascii="Arial" w:cs="Arial" w:eastAsia="Arial" w:hAnsi="Arial"/>
          <w:sz w:val="18"/>
          <w:szCs w:val="18"/>
          <w:color w:val="auto"/>
        </w:rPr>
      </w:pPr>
    </w:p>
    <w:p>
      <w:pPr>
        <w:ind w:left="5620" w:right="3140" w:hanging="5072"/>
        <w:spacing w:after="0" w:line="519" w:lineRule="auto"/>
        <w:tabs>
          <w:tab w:leader="none" w:pos="10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Between Transferors and Transferees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However,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Although simplifying conventions are contemplated by the Code and most publicly traded partnerships use similar simplifying conventions, the use of this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method may not be permitted under existing Treasury Regulations. Recently, however, the Department of the Treasury and the IRS issued final Treasury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Regulations pursuant to which a publicly traded partnership may use a similar monthly simplifying convention to allocate tax items among transferor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transferee unitholders. Nonetheless, the regulations do not specifically authorize the use of the proration method we have adopted. Accordingly, Vinson &amp;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Elkins L.L.P. is unable to opine on the validity of this method of allocating income and deductions between transferee and transferor unitholders. If this method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allowed under the final Treasury Regulations, or only applies to transfers of less than all of the unitholder's interest, our taxable income or losses could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reallocated among our unitholders. We are authorized to revise our method of allocation between transferee and transferor unitholders, as well as among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unitholders whose interests vary during a taxable year, to conform to a method permitted under the Treasury Regulations.</w:t>
      </w:r>
    </w:p>
    <w:p>
      <w:pPr>
        <w:spacing w:after="0" w:line="219" w:lineRule="exact"/>
        <w:rPr>
          <w:sz w:val="20"/>
          <w:szCs w:val="20"/>
          <w:color w:val="auto"/>
        </w:rPr>
      </w:pPr>
    </w:p>
    <w:p>
      <w:pPr>
        <w:ind w:right="340" w:firstLine="341"/>
        <w:spacing w:after="0" w:line="268" w:lineRule="auto"/>
        <w:rPr>
          <w:sz w:val="20"/>
          <w:szCs w:val="20"/>
          <w:color w:val="auto"/>
        </w:rPr>
      </w:pPr>
      <w:r>
        <w:rPr>
          <w:rFonts w:ascii="Arial" w:cs="Arial" w:eastAsia="Arial" w:hAnsi="Arial"/>
          <w:sz w:val="18"/>
          <w:szCs w:val="18"/>
          <w:color w:val="auto"/>
        </w:rPr>
        <w:t>A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225"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Constructive Termination</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will be considered to have "constructively" terminated as a partnership for U.S.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the calendar year, the closing of our taxable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year may result in more than twelve months of our taxable income or loss being includable in such unitholder's taxable income for the year of termination.</w:t>
      </w:r>
    </w:p>
    <w:p>
      <w:pPr>
        <w:spacing w:after="0" w:line="248"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A constructive termination occurring on a date other than December 31 generally would require that we file two tax returns for one fiscal year, and the cost of the preparation of these returns will be borne by all unitholders. However, pursuant to an IRS relief procedure the IRS may allow a constructively terminated partnership to provide a single Schedule K-1 for the calendar year in which a termination occurs. Following a constructive termination, we would be required to make new tax elections, including a new Section 754 Election, and the termination would result in a deferral of our deductions for depreciation. A termination could also result in penalties if we were unable to determine that the termination had occurred.</w:t>
      </w:r>
    </w:p>
    <w:p>
      <w:pPr>
        <w:spacing w:after="0" w:line="170"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Moreover, a termination may either accelerate the application of, or subject us to, any tax legislation enacted before the termination that would not otherwise have been applied to us as a continuing, as opposed to a terminating, partnership.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Because we cannot match transferors and transferees of units and for other reasons, we must maintain uniformity of the economic and tax characteristics of the units to a purchaser of these units. In the absence of uniformity, we may be unable to completely comply with a number of U.S. federal income tax requirements. Any non-uniformity could have a negative impact on the value of the units. Please read "—Tax Consequences of Unit Ownership—Allocation of Income, Gain, Loss and Deduction—Section 754 Election."</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197"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"—Disposition of Units—Recognition of Gain or Loss" above and "—Tax Consequences of Unit Ownership —Allocation of Income, Gain, Loss and Deduction—Section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Ownership of units by employee benefit plans and other tax-exempt organizations as well as by non-resident alien individuals, non-U.S. corporations and other non-U.S. persons (collectively, "Non-U.S. Unitholders") raises issues unique to those investors and, as described below, may have substantially adverse tax consequences to them. Prospective unitholders that are tax-exempt entities or Non-U.S. Unitholders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Non-U.S. Unitholders are taxed by the United States on income effectively connected with the conduct of a U.S. trade or business ("effectively connected income") and on certain types of U.S.-source non-effectively connected income (such as dividends), and unless exempted or further limited by an income tax treaty, will be considered to be engaged in business in the United States because of their ownership of our units. Furthermore, is it probable that they will be deemed to conduct such activities through permanent establishments in the United States within the meaning of applicable tax treaties. Consequently, they will be required to file federal tax returns to report their share of our income, gain, loss or deduction and pay federal income tax on their share of our net income or gain. Moreover, under rules applicable to publicly traded partnerships, distributions to Non-U.S. Unitholders are subject to withholding at the highest applicable effective tax rate. Each Non-U.S. Unitholder must obtain a taxpayer identification number from the IRS and submit that number to our transfer agent on a Form W-8BEN, W-8BEN-E, or applicable substitute form in order to obtain credit for these withholding taxes.</w:t>
      </w:r>
    </w:p>
    <w:p>
      <w:pPr>
        <w:spacing w:after="0" w:line="172"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addition, because a Non-U.S. Unitholder classified as a corporation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to the extent reflected in the corporation's effectively connected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70"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gain recognized by a non-U.S. person from the sale of its interest in a partnership that is engaged in a trade or business in the United States will be considered to be effectively connected with a U.S. trade or business. Thus, part or all of a Non-U.S. Unitholder's gain from the sale or other disposition of its units may be treated as effectively connected with a unitholder's indirect U.S. trade or business constituted by its investment in us. Moreover, under the Foreign Investment in Real Property Tax Act, a Non-U.S. Unitholder generally will be subject to federal income tax upon the sale or disposition of a unit if (i) it owned (directly or indirectly constructively applying certain attribution rules) more than 5% of our units at any time during the five-year period ending on the date of such disposition and (ii) 50% or more of the fair market value of our worldwide real property interests and our other assets used or held for use in a trade or business consisted of U.S. real property interests (which include U.S. real estate, including land, improvements, certain associated personal property, and interests in certain entities holding U.S. real estate) at any time during the shorter of the period during which such unitholder held the units or the 5-year period ending on the date of disposition. More than 50% of our assets may consist of U.S. real property interests. Therefore, Non-U.S. Unitholders may be subject to federal income tax on gain from the sale or disposition of their units.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assure our unitholders that those positions will yield a result that conforms to all of the requirements of the Code, Treasury Regulations or administrative interpretations of the IRS.</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IRS may audit our U.S.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Tax Matters Partner has made and will make elections on our behalf and on behalf of common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in that action.</w:t>
      </w:r>
    </w:p>
    <w:p>
      <w:pPr>
        <w:spacing w:after="0" w:line="172"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Audit Rules for Tax Years Beginning After December 31, 2017</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Recently enacted legislation, for taxable years beginning after December 31, 2017, changes the audit procedures for large partnerships and in certain circumstances would permit the IRS to assess and collect taxes (including any applicable penalties and interest) resulting from partnership-level federal income tax audits directly from us in the year in which the audit is completed. If we are required to make payments of taxes, penalties and interest resulting from audit adjustments, our cash available for distribution to our unitholders might be substantially reduced. Pursuant to this new legislation, we are required to designate an eligible person to act as the "Partnership Representative" with exclusive authority to act on our behalf in connection with federal income tax audits, requests by us for administrative adjustments, and any judicial proceedings arising in connection with those matters. Actions taken by the Partnership Representative will be binding on us and all of our unitholders. We anticipate that our general partner or its designee will act as the Partnership Representative.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225" w:lineRule="exact"/>
        <w:rPr>
          <w:sz w:val="20"/>
          <w:szCs w:val="20"/>
          <w:color w:val="auto"/>
        </w:rPr>
      </w:pPr>
    </w:p>
    <w:p>
      <w:pPr>
        <w:ind w:left="5620" w:right="3480" w:hanging="4721"/>
        <w:spacing w:after="0" w:line="519" w:lineRule="auto"/>
        <w:tabs>
          <w:tab w:leader="none" w:pos="12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40" w:hanging="341"/>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225" w:lineRule="exact"/>
        <w:rPr>
          <w:rFonts w:ascii="Arial" w:cs="Arial" w:eastAsia="Arial" w:hAnsi="Arial"/>
          <w:sz w:val="18"/>
          <w:szCs w:val="18"/>
          <w:color w:val="auto"/>
        </w:rPr>
      </w:pPr>
    </w:p>
    <w:p>
      <w:pPr>
        <w:ind w:left="1760" w:hanging="320"/>
        <w:spacing w:after="0"/>
        <w:tabs>
          <w:tab w:leader="none" w:pos="1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 non-U.S. government, an international organization or any wholly owned agency or instrumentality of either of the foregoing; or</w:t>
      </w:r>
    </w:p>
    <w:p>
      <w:pPr>
        <w:spacing w:after="0" w:line="248" w:lineRule="exact"/>
        <w:rPr>
          <w:rFonts w:ascii="Arial" w:cs="Arial" w:eastAsia="Arial" w:hAnsi="Arial"/>
          <w:sz w:val="16"/>
          <w:szCs w:val="16"/>
          <w:color w:val="auto"/>
        </w:rPr>
      </w:pPr>
    </w:p>
    <w:p>
      <w:pPr>
        <w:ind w:left="1760" w:hanging="320"/>
        <w:spacing w:after="0"/>
        <w:tabs>
          <w:tab w:leader="none" w:pos="1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225" w:lineRule="exact"/>
        <w:rPr>
          <w:rFonts w:ascii="Arial" w:cs="Arial" w:eastAsia="Arial" w:hAnsi="Arial"/>
          <w:sz w:val="18"/>
          <w:szCs w:val="18"/>
          <w:color w:val="auto"/>
        </w:rPr>
      </w:pPr>
    </w:p>
    <w:p>
      <w:pPr>
        <w:ind w:left="540" w:right="80" w:firstLine="359"/>
        <w:spacing w:after="0" w:line="268" w:lineRule="auto"/>
        <w:tabs>
          <w:tab w:leader="none" w:pos="12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Brokers and financial institutions are required to furnish additional information, including whether they are U.S. persons and specific information on units they acquire, hold or transfer for their own account. A penalty of $250 per failure, up to a maximum of $3 million per calendar year, is imposed by the Code for failure to report that information to us. The nominee is required to supply the beneficial owner of the units with the information furnished to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w:t>
      </w:r>
    </w:p>
    <w:p>
      <w:pPr>
        <w:spacing w:after="0" w:line="174" w:lineRule="exact"/>
        <w:rPr>
          <w:sz w:val="20"/>
          <w:szCs w:val="20"/>
          <w:color w:val="auto"/>
        </w:rPr>
      </w:pPr>
    </w:p>
    <w:p>
      <w:pPr>
        <w:ind w:right="200" w:firstLine="341"/>
        <w:spacing w:after="0" w:line="289" w:lineRule="auto"/>
        <w:rPr>
          <w:sz w:val="20"/>
          <w:szCs w:val="20"/>
          <w:color w:val="auto"/>
        </w:rPr>
      </w:pPr>
      <w:r>
        <w:rPr>
          <w:rFonts w:ascii="Arial" w:cs="Arial" w:eastAsia="Arial" w:hAnsi="Arial"/>
          <w:sz w:val="16"/>
          <w:szCs w:val="16"/>
          <w:color w:val="auto"/>
        </w:rPr>
        <w:t>Although you may not be required to file a return and pay taxes in some jurisdictions because your income from that jurisdiction falls below the filing and payment requirement, you will be required to file income tax returns and to pay income taxes in many of these jurisdictions in which we do business or own property and may be subject to penalties for failure to comply with those requirements, even if you do not live in those jurisdictions. In some jurisdictions, tax losses may not produce a tax benefit in the year incurred and also may not be available to offset income in subsequent taxable years.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Amounts withheld will be treated as if distributed to unitholders for purposes of determining the amounts distributed by us. Please read "—Tax Consequences of Unit Ownership—Entity-Level</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Collections." Based on current law and our estimate of our future operations, our general partner anticipates that any amounts required to be withheld will not be material.</w:t>
      </w:r>
    </w:p>
    <w:p>
      <w:pPr>
        <w:spacing w:after="0" w:line="180" w:lineRule="exact"/>
        <w:rPr>
          <w:sz w:val="20"/>
          <w:szCs w:val="20"/>
          <w:color w:val="auto"/>
        </w:rPr>
      </w:pPr>
    </w:p>
    <w:p>
      <w:pPr>
        <w:ind w:firstLine="351"/>
        <w:spacing w:after="0" w:line="301" w:lineRule="auto"/>
        <w:rPr>
          <w:sz w:val="20"/>
          <w:szCs w:val="20"/>
          <w:color w:val="auto"/>
        </w:rPr>
      </w:pPr>
      <w:r>
        <w:rPr>
          <w:rFonts w:ascii="Arial" w:cs="Arial" w:eastAsia="Arial" w:hAnsi="Arial"/>
          <w:sz w:val="16"/>
          <w:szCs w:val="16"/>
          <w:b w:val="1"/>
          <w:bCs w:val="1"/>
          <w:color w:val="auto"/>
        </w:rPr>
        <w:t>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SELLING UNITHOLDERS</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are registering the offering of 143,936,001 common units that were issued to AAP pursuant to the Simplification Agreement. Pursuant to the Eighth Amended and Restated Limited Partnership of AAP (the "AAP Partnership Agreement"), the beneficial owners of Class A units of AAP ("AAP Units") listed in the table below have the right, subject to certain limitations, to cause AAP to redeem any or all of their Class A units and distribute to such beneficial owner, for each Class A unit redeemed, one common unit (a "Redemption Right").</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AAP Partnership Agreement generally restricts, subject to certain exceptions, each holder of AAP Units (other than PAGP and GP LLC, which have not been granted Redemption Rights) from exercising its Redemption Rights with respect to approximately 22% of its AAP Units until November 15, 2017. Greg Armstrong and Harry Pefanis, our general partner's Chief Executive Officer and Chief Operating Officer, respectively, will be restricted from directly or indirectly (through PAA Management, L.P.) exercising their respective Redemption Rights with respect to 100% of their AAP Units during the same period. These restrictions are designed to reduce, but not eliminate, the risk that any redemptions during the first twelve months following the closing of the transactions contemplated by the Simplification Agreement, combined with public trading of our common units, will cause a technical tax termination of us.</w:t>
      </w:r>
    </w:p>
    <w:p>
      <w:pPr>
        <w:spacing w:after="0" w:line="174"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No offer or sale may occur unless the registration statement that includes this prospectus has been declared effective by the SEC and remains effective at the time such selling unitholder offers or sells common units. We are required, under certain circumstances, to update, supplement or amend this prospectus to reflect material developments in our business, financial position and results of operations and may do so by an amendment to this prospectus, a prospectus supplement or a future filing with the SEC incorporated by reference in this prospectus.</w:t>
      </w:r>
    </w:p>
    <w:p>
      <w:pPr>
        <w:spacing w:after="0" w:line="19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Each of Oxy Holding Company (Pipeline), Inc., EMG Investment, LLC ("EMG") and KAFU Holdings, L.P. ("KAFU") are entitled to appoint one member of the board of directors of PAGP GP pursuant to PAGP GP's limited liability company agreement.</w:t>
      </w:r>
    </w:p>
    <w:p>
      <w:pPr>
        <w:spacing w:after="0" w:line="186" w:lineRule="exact"/>
        <w:rPr>
          <w:sz w:val="20"/>
          <w:szCs w:val="20"/>
          <w:color w:val="auto"/>
        </w:rPr>
      </w:pPr>
    </w:p>
    <w:p>
      <w:pPr>
        <w:ind w:right="180" w:firstLine="348"/>
        <w:spacing w:after="0" w:line="310" w:lineRule="auto"/>
        <w:rPr>
          <w:sz w:val="20"/>
          <w:szCs w:val="20"/>
          <w:color w:val="auto"/>
        </w:rPr>
      </w:pPr>
      <w:r>
        <w:rPr>
          <w:rFonts w:ascii="Arial" w:cs="Arial" w:eastAsia="Arial" w:hAnsi="Arial"/>
          <w:sz w:val="15"/>
          <w:szCs w:val="15"/>
          <w:color w:val="auto"/>
        </w:rPr>
        <w:t>The following table sets forth information relating to the selling unitholders as of November 15, 2016 based on information supplied to us by the selling unitholders on or prior to that date. We have not sought to verify such information. Information concerning the selling unitholders may change over time and selling unitholders may be added; if necessary, we will supplement this prospectus accordingly. Except as set forth below, none of the selling unitholders is a broker-dealer registered under Section 15 of the Exchange Act or an affiliate of a broker-dealer registered under Section 15 of the Exchange Act. The selling unitholders may hold or acquire at any time common units in addition to those offered by this prospectus and may have acquired additional common units since the date on which the information reflected herein was provided to us. In addition, the selling unitholders may have sold, transferred or otherwise disposed of some or all of their common units since the date on which the information reflected herein was provided to us and may in the future sell, transfer or otherwise dispose of some or all of their common units in private placement transactions exempt from or not subject to the registration requirements of the Securities Act.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November 15, 2016, there were an aggregate of 657,967,899 common units outstanding.</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 of</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Common</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Units</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Units</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Units to be</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Units 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Owned Prior</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Owned Prior</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 the</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to the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Units Offered</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Owned After</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Owned After</w:t>
            </w:r>
          </w:p>
        </w:tc>
        <w:tc>
          <w:tcPr>
            <w:tcW w:w="0" w:type="dxa"/>
            <w:vAlign w:val="bottom"/>
          </w:tcPr>
          <w:p>
            <w:pPr>
              <w:spacing w:after="0"/>
              <w:rPr>
                <w:sz w:val="1"/>
                <w:szCs w:val="1"/>
                <w:color w:val="auto"/>
              </w:rPr>
            </w:pPr>
          </w:p>
        </w:tc>
      </w:tr>
      <w:tr>
        <w:trPr>
          <w:trHeight w:val="161"/>
        </w:trPr>
        <w:tc>
          <w:tcPr>
            <w:tcW w:w="3520" w:type="dxa"/>
            <w:vAlign w:val="bottom"/>
            <w:gridSpan w:val="4"/>
          </w:tcPr>
          <w:p>
            <w:pPr>
              <w:spacing w:after="0"/>
              <w:rPr>
                <w:sz w:val="20"/>
                <w:szCs w:val="20"/>
                <w:color w:val="auto"/>
              </w:rPr>
            </w:pPr>
            <w:r>
              <w:rPr>
                <w:rFonts w:ascii="Arial" w:cs="Arial" w:eastAsia="Arial" w:hAnsi="Arial"/>
                <w:sz w:val="14"/>
                <w:szCs w:val="14"/>
                <w:b w:val="1"/>
                <w:bCs w:val="1"/>
                <w:color w:val="auto"/>
              </w:rPr>
              <w:t>Selling Unitholders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1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Offering</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Hereby</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1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Offering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Plains AAP, L.P</w:t>
            </w: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244,707,926</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3,409,371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241,298,555</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AAP Class A Unitholders</w:t>
            </w: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Oxy Holding Company (Pipeline), Inc.(1)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29,977,890</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29,977,890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EMG Investment, LLC(2)</w:t>
            </w:r>
          </w:p>
        </w:tc>
        <w:tc>
          <w:tcPr>
            <w:tcW w:w="1000" w:type="dxa"/>
            <w:vAlign w:val="bottom"/>
          </w:tcPr>
          <w:p>
            <w:pPr>
              <w:jc w:val="right"/>
              <w:spacing w:after="0"/>
              <w:rPr>
                <w:sz w:val="20"/>
                <w:szCs w:val="20"/>
                <w:color w:val="auto"/>
              </w:rPr>
            </w:pPr>
            <w:r>
              <w:rPr>
                <w:rFonts w:ascii="Arial" w:cs="Arial" w:eastAsia="Arial" w:hAnsi="Arial"/>
                <w:sz w:val="18"/>
                <w:szCs w:val="18"/>
                <w:color w:val="auto"/>
              </w:rPr>
              <w:t>45,632,121</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6.9%</w:t>
            </w:r>
          </w:p>
        </w:tc>
        <w:tc>
          <w:tcPr>
            <w:tcW w:w="960" w:type="dxa"/>
            <w:vAlign w:val="bottom"/>
          </w:tcPr>
          <w:p>
            <w:pPr>
              <w:jc w:val="right"/>
              <w:spacing w:after="0"/>
              <w:rPr>
                <w:sz w:val="20"/>
                <w:szCs w:val="20"/>
                <w:color w:val="auto"/>
              </w:rPr>
            </w:pPr>
            <w:r>
              <w:rPr>
                <w:rFonts w:ascii="Arial" w:cs="Arial" w:eastAsia="Arial" w:hAnsi="Arial"/>
                <w:sz w:val="18"/>
                <w:szCs w:val="18"/>
                <w:color w:val="auto"/>
              </w:rPr>
              <w:t>45,632,121</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KAFU Holdings, L.P.(3)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1,241,167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1,241,167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KAFU Holdings (QP), L.P.(3)</w:t>
            </w:r>
          </w:p>
        </w:tc>
        <w:tc>
          <w:tcPr>
            <w:tcW w:w="1000" w:type="dxa"/>
            <w:vAlign w:val="bottom"/>
          </w:tcPr>
          <w:p>
            <w:pPr>
              <w:jc w:val="right"/>
              <w:spacing w:after="0"/>
              <w:rPr>
                <w:sz w:val="20"/>
                <w:szCs w:val="20"/>
                <w:color w:val="auto"/>
              </w:rPr>
            </w:pPr>
            <w:r>
              <w:rPr>
                <w:rFonts w:ascii="Arial" w:cs="Arial" w:eastAsia="Arial" w:hAnsi="Arial"/>
                <w:sz w:val="18"/>
                <w:szCs w:val="18"/>
                <w:color w:val="auto"/>
              </w:rPr>
              <w:t>24,334,917</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c>
          <w:tcPr>
            <w:tcW w:w="960" w:type="dxa"/>
            <w:vAlign w:val="bottom"/>
          </w:tcPr>
          <w:p>
            <w:pPr>
              <w:jc w:val="right"/>
              <w:spacing w:after="0"/>
              <w:rPr>
                <w:sz w:val="20"/>
                <w:szCs w:val="20"/>
                <w:color w:val="auto"/>
              </w:rPr>
            </w:pPr>
            <w:r>
              <w:rPr>
                <w:rFonts w:ascii="Arial" w:cs="Arial" w:eastAsia="Arial" w:hAnsi="Arial"/>
                <w:sz w:val="18"/>
                <w:szCs w:val="18"/>
                <w:color w:val="auto"/>
              </w:rPr>
              <w:t>24,334,917</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KAFU Holdings II, L.P.(3)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2,551,869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2,551,869</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Kayne Anderson MLP Investment</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gridSpan w:val="3"/>
          </w:tcPr>
          <w:p>
            <w:pPr>
              <w:ind w:left="340"/>
              <w:spacing w:after="0"/>
              <w:rPr>
                <w:sz w:val="20"/>
                <w:szCs w:val="20"/>
                <w:color w:val="auto"/>
              </w:rPr>
            </w:pPr>
            <w:r>
              <w:rPr>
                <w:rFonts w:ascii="Arial" w:cs="Arial" w:eastAsia="Arial" w:hAnsi="Arial"/>
                <w:sz w:val="18"/>
                <w:szCs w:val="18"/>
                <w:color w:val="auto"/>
              </w:rPr>
              <w:t>Company(4)</w:t>
            </w:r>
          </w:p>
        </w:tc>
        <w:tc>
          <w:tcPr>
            <w:tcW w:w="1000" w:type="dxa"/>
            <w:vAlign w:val="bottom"/>
          </w:tcPr>
          <w:p>
            <w:pPr>
              <w:jc w:val="right"/>
              <w:spacing w:after="0"/>
              <w:rPr>
                <w:sz w:val="20"/>
                <w:szCs w:val="20"/>
                <w:color w:val="auto"/>
              </w:rPr>
            </w:pPr>
            <w:r>
              <w:rPr>
                <w:rFonts w:ascii="Arial" w:cs="Arial" w:eastAsia="Arial" w:hAnsi="Arial"/>
                <w:sz w:val="18"/>
                <w:szCs w:val="18"/>
                <w:color w:val="auto"/>
              </w:rPr>
              <w:t>10,034,775</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960" w:type="dxa"/>
            <w:vAlign w:val="bottom"/>
          </w:tcPr>
          <w:p>
            <w:pPr>
              <w:jc w:val="right"/>
              <w:spacing w:after="0"/>
              <w:rPr>
                <w:sz w:val="20"/>
                <w:szCs w:val="20"/>
                <w:color w:val="auto"/>
              </w:rPr>
            </w:pPr>
            <w:r>
              <w:rPr>
                <w:rFonts w:ascii="Arial" w:cs="Arial" w:eastAsia="Arial" w:hAnsi="Arial"/>
                <w:sz w:val="18"/>
                <w:szCs w:val="18"/>
                <w:color w:val="auto"/>
              </w:rPr>
              <w:t>1,277,539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8,757,236</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Kayne Anderson Energy Development</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Company(4)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700,261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344,729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355,532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Kayne Anderson Midstream/Energy</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gridSpan w:val="3"/>
          </w:tcPr>
          <w:p>
            <w:pPr>
              <w:ind w:left="340"/>
              <w:spacing w:after="0"/>
              <w:rPr>
                <w:sz w:val="20"/>
                <w:szCs w:val="20"/>
                <w:color w:val="auto"/>
              </w:rPr>
            </w:pPr>
            <w:r>
              <w:rPr>
                <w:rFonts w:ascii="Arial" w:cs="Arial" w:eastAsia="Arial" w:hAnsi="Arial"/>
                <w:sz w:val="18"/>
                <w:szCs w:val="18"/>
                <w:color w:val="auto"/>
              </w:rPr>
              <w:t>Fund, Inc.(4)</w:t>
            </w:r>
          </w:p>
        </w:tc>
        <w:tc>
          <w:tcPr>
            <w:tcW w:w="1000" w:type="dxa"/>
            <w:vAlign w:val="bottom"/>
          </w:tcPr>
          <w:p>
            <w:pPr>
              <w:jc w:val="right"/>
              <w:spacing w:after="0"/>
              <w:rPr>
                <w:sz w:val="20"/>
                <w:szCs w:val="20"/>
                <w:color w:val="auto"/>
              </w:rPr>
            </w:pPr>
            <w:r>
              <w:rPr>
                <w:rFonts w:ascii="Arial" w:cs="Arial" w:eastAsia="Arial" w:hAnsi="Arial"/>
                <w:sz w:val="18"/>
                <w:szCs w:val="18"/>
                <w:color w:val="auto"/>
              </w:rPr>
              <w:t>689,558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689,558</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PAA Management, L.P.(5)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8,199,844</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8,199,844</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Mark E. Strome Living Trust</w:t>
            </w:r>
          </w:p>
        </w:tc>
        <w:tc>
          <w:tcPr>
            <w:tcW w:w="1000" w:type="dxa"/>
            <w:vAlign w:val="bottom"/>
          </w:tcPr>
          <w:p>
            <w:pPr>
              <w:jc w:val="right"/>
              <w:spacing w:after="0"/>
              <w:rPr>
                <w:sz w:val="20"/>
                <w:szCs w:val="20"/>
                <w:color w:val="auto"/>
              </w:rPr>
            </w:pPr>
            <w:r>
              <w:rPr>
                <w:rFonts w:ascii="Arial" w:cs="Arial" w:eastAsia="Arial" w:hAnsi="Arial"/>
                <w:sz w:val="18"/>
                <w:szCs w:val="18"/>
                <w:color w:val="auto"/>
              </w:rPr>
              <w:t>4,469,717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4,469,717</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Strome PAA, L.P.</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2,369,290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2,369,290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Lynx Holdings I, LLC(6)</w:t>
            </w:r>
          </w:p>
        </w:tc>
        <w:tc>
          <w:tcPr>
            <w:tcW w:w="1000" w:type="dxa"/>
            <w:vAlign w:val="bottom"/>
          </w:tcPr>
          <w:p>
            <w:pPr>
              <w:jc w:val="right"/>
              <w:spacing w:after="0"/>
              <w:rPr>
                <w:sz w:val="20"/>
                <w:szCs w:val="20"/>
                <w:color w:val="auto"/>
              </w:rPr>
            </w:pPr>
            <w:r>
              <w:rPr>
                <w:rFonts w:ascii="Arial" w:cs="Arial" w:eastAsia="Arial" w:hAnsi="Arial"/>
                <w:sz w:val="18"/>
                <w:szCs w:val="18"/>
                <w:color w:val="auto"/>
              </w:rPr>
              <w:t>3,714,140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3,183,216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530,924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Windy, L.L.C.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6,723,860</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6,723,860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Greg Armstrong(7)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5,193,280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3,685,409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1,507,871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Harry Pefanis(8)</w:t>
            </w:r>
          </w:p>
        </w:tc>
        <w:tc>
          <w:tcPr>
            <w:tcW w:w="1000" w:type="dxa"/>
            <w:vAlign w:val="bottom"/>
          </w:tcPr>
          <w:p>
            <w:pPr>
              <w:jc w:val="right"/>
              <w:spacing w:after="0"/>
              <w:rPr>
                <w:sz w:val="20"/>
                <w:szCs w:val="20"/>
                <w:color w:val="auto"/>
              </w:rPr>
            </w:pPr>
            <w:r>
              <w:rPr>
                <w:rFonts w:ascii="Arial" w:cs="Arial" w:eastAsia="Arial" w:hAnsi="Arial"/>
                <w:sz w:val="18"/>
                <w:szCs w:val="18"/>
                <w:color w:val="auto"/>
              </w:rPr>
              <w:t>3,434,844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2,587,312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847,532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Other Current and Former Officers as a</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Group</w:t>
            </w:r>
            <w:r>
              <w:rPr>
                <w:rFonts w:ascii="Arial" w:cs="Arial" w:eastAsia="Arial" w:hAnsi="Arial"/>
                <w:sz w:val="18"/>
                <w:szCs w:val="18"/>
                <w:color w:val="auto"/>
              </w:rPr>
              <w:t>(9)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2,593,649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2,142,734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450,915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Miscellaneous Investors</w:t>
            </w:r>
            <w:r>
              <w:rPr>
                <w:rFonts w:ascii="Arial" w:cs="Arial" w:eastAsia="Arial" w:hAnsi="Arial"/>
                <w:sz w:val="18"/>
                <w:szCs w:val="18"/>
                <w:color w:val="auto"/>
              </w:rPr>
              <w:t>(10)</w:t>
            </w:r>
          </w:p>
        </w:tc>
        <w:tc>
          <w:tcPr>
            <w:tcW w:w="1000" w:type="dxa"/>
            <w:vAlign w:val="bottom"/>
          </w:tcPr>
          <w:p>
            <w:pPr>
              <w:jc w:val="right"/>
              <w:spacing w:after="0"/>
              <w:rPr>
                <w:sz w:val="20"/>
                <w:szCs w:val="20"/>
                <w:color w:val="auto"/>
              </w:rPr>
            </w:pPr>
            <w:r>
              <w:rPr>
                <w:rFonts w:ascii="Arial" w:cs="Arial" w:eastAsia="Arial" w:hAnsi="Arial"/>
                <w:sz w:val="18"/>
                <w:szCs w:val="18"/>
                <w:color w:val="auto"/>
              </w:rPr>
              <w:t>1,126,192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1,115,458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10,734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52" w:lineRule="exact"/>
        <w:rPr>
          <w:sz w:val="20"/>
          <w:szCs w:val="20"/>
          <w:color w:val="auto"/>
        </w:rPr>
      </w:pPr>
    </w:p>
    <w:p>
      <w:pPr>
        <w:ind w:left="1680" w:right="360" w:hanging="531"/>
        <w:spacing w:after="0" w:line="318" w:lineRule="auto"/>
        <w:tabs>
          <w:tab w:leader="none" w:pos="16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selling unitholder is an indirect wholly owned subsidiary of Occidental Petroleum Corporation ("Occidental"). The voting and disposition of any common units held by the selling unitholder is controlled by the board of directors of Occidental. The board of directors of Occidental, which acts by majority approval, consists of twelve members. Each of the members of Occidental's board of directors disclaims beneficial ownership of any of our common units held by the selling unitholder. In addition, Mr. Bernard (Ben) Figlock, Occidental's Vice President and Treasurer, currently serves on the board of directors of PAGP GP as Occidental's designee.</w:t>
      </w:r>
    </w:p>
    <w:p>
      <w:pPr>
        <w:spacing w:after="0" w:line="167" w:lineRule="exact"/>
        <w:rPr>
          <w:rFonts w:ascii="Arial" w:cs="Arial" w:eastAsia="Arial" w:hAnsi="Arial"/>
          <w:sz w:val="15"/>
          <w:szCs w:val="15"/>
          <w:color w:val="auto"/>
        </w:rPr>
      </w:pPr>
    </w:p>
    <w:p>
      <w:pPr>
        <w:ind w:left="1680" w:right="460" w:hanging="531"/>
        <w:spacing w:after="0" w:line="268" w:lineRule="auto"/>
        <w:tabs>
          <w:tab w:leader="none" w:pos="1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John T. Raymond is the Chief Executive Officer of the manager of the selling unitholder. Mr. Raymond also serves on the board of directors of PAA GP Holdings LLC as EMG's designee.</w:t>
      </w:r>
    </w:p>
    <w:p>
      <w:pPr>
        <w:spacing w:after="0" w:line="199" w:lineRule="exact"/>
        <w:rPr>
          <w:rFonts w:ascii="Arial" w:cs="Arial" w:eastAsia="Arial" w:hAnsi="Arial"/>
          <w:sz w:val="18"/>
          <w:szCs w:val="18"/>
          <w:color w:val="auto"/>
        </w:rPr>
      </w:pPr>
    </w:p>
    <w:p>
      <w:pPr>
        <w:ind w:left="1680" w:hanging="531"/>
        <w:spacing w:after="0" w:line="255" w:lineRule="auto"/>
        <w:tabs>
          <w:tab w:leader="none" w:pos="1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Representatives of the selling unitholder have advised us that the selling unitholder is an affiliate of a U.S. registered broker-dealer; however, the selling unitholder acquired the common units in the ordinary course of business and, at the time of the acquisition, had no agreements or understandings, directly or indirectly, with any party to distribute the common units held by the selling unitholder. Richard A. Kayne is the controlling owner of the manager of the selling unitholder, and Robert Sinnott is the co-chair of the managing member of the manager of, and the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portfolio manager of, the selling unitholder. In addition, Mr. Sinnott serves on the board of directors of PAGP GP as KAFU's designee.</w:t>
      </w:r>
    </w:p>
    <w:p>
      <w:pPr>
        <w:spacing w:after="0" w:line="262" w:lineRule="exact"/>
        <w:rPr>
          <w:sz w:val="20"/>
          <w:szCs w:val="20"/>
          <w:color w:val="auto"/>
        </w:rPr>
      </w:pPr>
    </w:p>
    <w:p>
      <w:pPr>
        <w:ind w:left="1680" w:hanging="531"/>
        <w:spacing w:after="0" w:line="291" w:lineRule="auto"/>
        <w:tabs>
          <w:tab w:leader="none" w:pos="1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Representatives of the selling unitholder have advised us that the selling unitholder is an affiliate of a U.S. registered broker-dealer; however, the selling unitholder acquired the common units in the ordinary course of business and, at the time of the acquisition, had no agreements or understandings, directly or indirectly, with any party to distribute the common units held by the selling unitholder. Kevin McCarthy is the chairman and chief executive officer of the selling unitholder, Jim Baker is president of the selling unitholder and John C. Frey is the portfolio manager of the selling unitholder. Robert Sinnott is the co-chair of the managing member of the manager the selling unitholder. In addition, Mr. Sinnott serves on the board of directors of PAGP GP as KAFU's designee.</w:t>
      </w:r>
    </w:p>
    <w:p>
      <w:pPr>
        <w:spacing w:after="0" w:line="201" w:lineRule="exact"/>
        <w:rPr>
          <w:rFonts w:ascii="Arial" w:cs="Arial" w:eastAsia="Arial" w:hAnsi="Arial"/>
          <w:sz w:val="16"/>
          <w:szCs w:val="16"/>
          <w:color w:val="auto"/>
        </w:rPr>
      </w:pPr>
    </w:p>
    <w:p>
      <w:pPr>
        <w:ind w:left="1680" w:hanging="531"/>
        <w:spacing w:after="0" w:line="294" w:lineRule="auto"/>
        <w:tabs>
          <w:tab w:leader="none" w:pos="1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board of directors of the general partner of the selling unitholder, which acts by majority approval, controls the selling unitholder, with the exception of certain decisions (including the exercise of voting and dispositive power over the common units held by the selling unitholder), which decisions are subject to approval by a majority in interest of the members of the selling unitholder's general partner. The members of the board of directors are Greg L. Armstrong, Harry N. Pefanis and Phil D. Kramer; these individuals own or have voting rights with respect to over 50% of the member interest in selling unitholder's general partner.</w:t>
      </w:r>
    </w:p>
    <w:p>
      <w:pPr>
        <w:spacing w:after="0" w:line="183" w:lineRule="exact"/>
        <w:rPr>
          <w:rFonts w:ascii="Arial" w:cs="Arial" w:eastAsia="Arial" w:hAnsi="Arial"/>
          <w:sz w:val="16"/>
          <w:szCs w:val="16"/>
          <w:color w:val="auto"/>
        </w:rPr>
      </w:pPr>
    </w:p>
    <w:p>
      <w:pPr>
        <w:ind w:left="1680" w:right="940" w:hanging="531"/>
        <w:spacing w:after="0" w:line="268" w:lineRule="auto"/>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John T. Raymond is the sole member of the selling unitholder. Mr. Raymond also serves on the board of directors of PAA GP Holdings LLC as EMG's designee.</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Armstrong is the Chairman of the board of directors of PAGP GP and Chief Executive Officer of GP LLC.</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Pefanis is the President and Chief Operating Officer of GP LLC.</w:t>
      </w:r>
    </w:p>
    <w:p>
      <w:pPr>
        <w:spacing w:after="0" w:line="238" w:lineRule="exact"/>
        <w:rPr>
          <w:rFonts w:ascii="Arial" w:cs="Arial" w:eastAsia="Arial" w:hAnsi="Arial"/>
          <w:sz w:val="18"/>
          <w:szCs w:val="18"/>
          <w:color w:val="auto"/>
        </w:rPr>
      </w:pPr>
    </w:p>
    <w:p>
      <w:pPr>
        <w:ind w:left="1680" w:right="20" w:hanging="531"/>
        <w:spacing w:after="0" w:line="259" w:lineRule="auto"/>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seven persons not otherwise listed above that collectively own approximately 0.39% of the common units. All of the selling unitholders in this group are current or former officers and employees of GP LLC or of Plains Midstream Canada ULC, our wholly owned subsidiary.</w:t>
      </w:r>
    </w:p>
    <w:p>
      <w:pPr>
        <w:spacing w:after="0" w:line="207" w:lineRule="exact"/>
        <w:rPr>
          <w:rFonts w:ascii="Arial" w:cs="Arial" w:eastAsia="Arial" w:hAnsi="Arial"/>
          <w:sz w:val="18"/>
          <w:szCs w:val="18"/>
          <w:color w:val="auto"/>
        </w:rPr>
      </w:pPr>
    </w:p>
    <w:p>
      <w:pPr>
        <w:ind w:left="1680" w:right="160" w:hanging="531"/>
        <w:spacing w:after="0" w:line="268" w:lineRule="auto"/>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five selling unitholders not otherwise listed above that collectively own approximately 0.17% of the common units. The selling unitholders consist of long-term legacy investors, none of whom are our employees.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event a prospectus supplement is used to reflect the sale of common units hereunder, it will set forth, with respect to the selling unitholders:</w:t>
      </w:r>
    </w:p>
    <w:p>
      <w:pPr>
        <w:spacing w:after="0" w:line="275"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name of the selling unitholders;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nature of the position, office or other material relationship which the selling unitholders will have had within the prior three years with us or any of our affiliates;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common units owned by the selling unitholders prior to the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of common units to be offered for the selling unitholders' account; and</w:t>
      </w:r>
    </w:p>
    <w:p>
      <w:pPr>
        <w:spacing w:after="0" w:line="238"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and (if one percent or more) the percentage of common units to be owned by the selling unitholders after the completion of the offering.</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expenses incurred with the registration of the common units owned by the selling unitholders will be borne by 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registering the common units offered by this prospectus on behalf of the selling unitholders. As used in this prospectus, "selling unitholders" includes partners, pledgees, donees (including charitable organizations), transferees or other successors-in-interest selling common units received from any selling shareholder identified in this prospectus after the date of this prospectus.</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Subject to certain restrictions on transfer that may be applicable to the selling unitholders, the selling unitholders intend to offer and sell the common units offered by this prospectus by one or more of, or a combination of, the following methods:</w:t>
      </w:r>
    </w:p>
    <w:p>
      <w:pPr>
        <w:spacing w:after="0" w:line="19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common units as principal and thereafter resell the common units from time to time: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on the NYSE;</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offering price per common unit will be determined from time to time by the selling unitholders in connection with, and at the time of, the sale by such selling unitholders. The selling unitholders may price the common units at:</w:t>
      </w:r>
    </w:p>
    <w:p>
      <w:pPr>
        <w:spacing w:after="0" w:line="213"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prices related to the then-current market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In addition, the selling unitholders may from time to time sell common units in compliance with Rule 144 under the Securities Act, if available, or pursuant to other available exemptions from the registration requirements under the Securities Act, rather than pursuant to this prospectus. The selling unitholders may be required by the securities laws of certain states to offer and sell the common units only through registered or licensed brokers or dealers.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selling unitholders may act independently of us in making decisions with respect to the timing, manner and size of each of their sales.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selling unitholders may authorize underwriters acting as their agent to offer and sell common units upon the terms and conditions as are set forth in an applicable prospectus supplement. In connection with the sale of these common units, underwriters may be deemed to have received compensation from the selling unitholders in the form of underwriting discounts or commissions and may also receive commissions from purchasers of common units for whom they may act as agent or to whom they sell as principals, or both. Underwriters may sell common units to or through dealers. Dealers may receive compensation in the form of discounts, concessions or commissions from the underwriters and/or commissions from the purchasers for whom they may act as agent or to whom they sell as principals, or both. A member firm of the NYSE may be engaged to act as the agent of the selling unitholders in the sale of common units.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firstLine="341"/>
        <w:spacing w:after="0" w:line="294" w:lineRule="auto"/>
        <w:rPr>
          <w:sz w:val="20"/>
          <w:szCs w:val="20"/>
          <w:color w:val="auto"/>
        </w:rPr>
      </w:pPr>
      <w:r>
        <w:rPr>
          <w:rFonts w:ascii="Arial" w:cs="Arial" w:eastAsia="Arial" w:hAnsi="Arial"/>
          <w:sz w:val="16"/>
          <w:szCs w:val="16"/>
          <w:color w:val="auto"/>
        </w:rPr>
        <w:t>As of the date of this prospectus, the selling unitholders have not engaged any underwriter, broker, dealer or agent in connection with the offer and sale of common units pursuant to this prospectus by the selling unitholders. To the extent required, the names of the specific managing underwriter or underwriters, if any, as well as other important information, will be set forth in an applicable prospectus supplement. In that event, any underwriting compensation paid by the selling unitholders to underwriters or agents in connection with the offering of these common units, and any discounts, concessions or commissions allowed by underwriters to participating dealers, will be set forth in the applicable prospectus supplement.</w:t>
      </w:r>
    </w:p>
    <w:p>
      <w:pPr>
        <w:spacing w:after="0" w:line="170"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Broker-dealers may also receive compensation in the form of underwriting discounts or commissions and may receive commissions from purchasers of the common units for whom they may act as agents. If any broker-dealer purchases the common units as principal, it may effect resales of the common units from time to time to or through other broker-dealers, and other broker-dealers may receive compensation in the form of concessions or commissions from the purchasers of common units for whom they may act as agents.</w:t>
      </w:r>
    </w:p>
    <w:p>
      <w:pPr>
        <w:spacing w:after="0" w:line="197"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We will pay the costs and expenses related to the registration and offering of the common units offered hereby. We will not pay any underwriting fees, discounts and selling commissions (and similar fees or arrangements associated therewith) allocable to each selling unitholder's sale of its respective common units; these expenses will be paid by the selling unitholders.</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agreed to indemnify the selling unitholders against certain liabilities to which they may become subject in connection with the sale of the common units owned by the selling unitholders and registered under this prospectus, including liabilities arising under the Securities Act. We may indemnify underwriters, brokers, dealers and agents against specific liabilities to which they may become subject in connection with the sale of the common units owned by the selling unitholders and registered under this prospectus, including liabilities under the Securities Act.</w:t>
      </w:r>
    </w:p>
    <w:p>
      <w:pPr>
        <w:spacing w:after="0" w:line="16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Any underwriters, brokers, dealers and agents who participate in any sale of the common units may also engage in transactions with, or perform services for, us or our affiliates in the ordinary course of their businesses.</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offerings under this shelf registration statement and in compliance with applicable law, underwriters, brokers or dealers may engage in transactions which stabilize or maintain the market price of the common units at levels above those that might otherwise prevail in the open market. Specifically, underwriters, brokers or dealers may overallot in connection with offerings, creating a short position in the common units for their own accounts. For the purpose of covering a syndicate short position or stabilizing the price of the common units, the underwriters, brokers or dealers may place bids for the common units or effect purchases of the common units in the open market. Finally, the underwriters may impose a penalty whereby selling concessions allowed to syndicate members or other brokers or dealers for distribution of the common units in offerings may be reclaimed by the syndicate if the syndicate repurchases the previously distributed common units in transactions to cover short positions, in stabilization transactions or otherwise. These activities may stabilize, maintain or otherwise affect the market price of the common units, which may be higher than the price that might otherwise prevail in the open market, and, if commenced, may be discontinued at any time.</w:t>
      </w:r>
    </w:p>
    <w:p>
      <w:pPr>
        <w:spacing w:after="0" w:line="174"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common units in respect of which this prospectus is delivered will be set forth in the accompanying prospectus supplement.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validity of the common units will be passed upon for us by Vinson &amp; Elkins L.L.P., Houston, Texas. If certain legal matters in connection with an offering of the common units made by this prospectus and a related prospectus supplement are passed on by counsel for the underwriters of such offering, that counsel will be named in the applicable prospectus supplement related to that offering.</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2015 have been so incorporated in reliance on the report of PricewaterhouseCoopers LLP, an independent registered public accounting firm, given on the authority of said firm as experts in auditing and accounting.</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231"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Set forth below are the expenses (other than underwriting discounts and commissions) expected to be incurred in connection with the issuance and distribution of the securities registered hereby. With the exception of the SEC registration fee, the amounts set forth below are estimates.</w:t>
      </w:r>
    </w:p>
    <w:p>
      <w:pPr>
        <w:spacing w:after="0" w:line="14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516,147</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100,000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Printing expenses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20,000</w:t>
            </w:r>
          </w:p>
        </w:tc>
      </w:tr>
      <w:tr>
        <w:trPr>
          <w:trHeight w:val="20"/>
        </w:trPr>
        <w:tc>
          <w:tcPr>
            <w:tcW w:w="4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646,147</w:t>
            </w:r>
          </w:p>
        </w:tc>
      </w:tr>
      <w:tr>
        <w:trPr>
          <w:trHeight w:val="20"/>
        </w:trPr>
        <w:tc>
          <w:tcPr>
            <w:tcW w:w="4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Officers and Members of Our Board of Directors</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Section 17-108 of the Delaware Revised Uniform Limited Partnership Act empowers a Delaware limited partnership to indemnify and hold harmless any partner or other person from and against all claims and demands whatsoever. The partnership agreement of Plains All American Pipeline, L.P. provides that Plains All American Pipeline, L.P.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or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Plains All American Pipeline, L.P. and, with respect to any criminal proceeding, had no reasonable cause to believe his, her or its conduct was unlawful. Insofar as indemnification for liabilities arising under the Securities Act may be permitted to any Indemnitee pursuant to the foregoing provisions, the registrant has been informed that in the opinion of the SEC such indemnification is against public policy as expressed in the Act and is therefore unenforceable.</w:t>
      </w:r>
    </w:p>
    <w:p>
      <w:pPr>
        <w:spacing w:after="0" w:line="182"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Any indemnification under these provisions will be only out of the assets of Plains All American Pipeline, L.P., and the general partner shall not be personally liable for, or have any obligation to contribute or loan funds or assets to Plains All American Pipeline, L.P. to enable it to effectuate such indemnification. Plains All American Pipeline, L.P. is authorized to purchase (or to reimburse PAA GP Holdings or its affiliates for the cost of) insurance against liabilities asserted against and expenses incurred by such persons in connection with Plains All American Pipeline, L.P.'s activities, regardless of whether Plains All American Pipeline, L.P. would have the power to indemnify such person against such liabilities under the provisions described above.</w:t>
      </w:r>
    </w:p>
    <w:p>
      <w:pPr>
        <w:spacing w:after="0" w:line="170"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Section 18-108 of the Delaware Limited Liability Company Act provides that, subject to such standards and restrictions, if any, as are set forth in its limited liability company agreement, a Delaware limited liability company may, and has the power to, indemnify and hold harmless any member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manager or other person from and against any and all claims and demands whatsoever. The limited liability company agreement of PAA GP Holdings LLC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provides for the indemnification of (a) any of its original members ("Existing Owner") or any owner of a direct or indirect 10% ownership interest in Plains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AAP, L.P.'s Class A units ("Qualifying Interest Holder"), (b) any Person who is or was an affiliate of the PAA GP Holdings, any Existing Owner or any Qualifying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Holder, (c) any person who is or was a managing member, manager, general partner, shareholder, director, officer, fiduciary, agent or trustee of PAA GP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Holdings LLC, any Existing Owner or any Qualifying Interest Holder or any affiliate thereof, (d) any Person who is or was serving at the request of PAA GP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Holdings LLC, any Existing Owner or any Qualifying Interest Holder or any affiliate of thereof as a member, manager, partner, director, officer, fiduciary, agent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trustee of another person in furtherance of the business or affairs of PAA GP Holdings LLC or its subsidiaries (provided, that a person shall not be indemnified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reason of providing, on a fee-for-services basis, trustee, fiduciary or custodial services), and (e) any person the board of directors of PAA GP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designates an indemnitee (collectively, the "Indemnitees"), from and against any and all losses, claims, demands, costs, damages, liabilities, expenses of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nature (including reasonable attorneys' fees and disbursements), judgments, fines, settlements and other amounts arising from any and all claims, demands,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actions, suits or proceedings, civil, criminal, administrative or investigative, in which such person may be involved, or threatened to be involved, as a party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otherwise, by reason of his, her or its status as an Indemnitee, regardless of whether an Indemnitee continues to be an Indemnitee at the time any such liability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is paid or incurred, if such Indemnitee acted in good faith and in a manner he, she or it reasonably believed to be in, or not opposed to, the interests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PAA GP Holdings LLC and with respect to any criminal proceeding, had no reason to believe his, her or its conduct was unlawful. Expenses incurred by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Indemnitee in defending any such claim, demand, action, suit or proceeding will, from time to time, be advanced by PAA GP Holdings LLC prior to the final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disposition of such claim, demand, action, suit or proceeding upon receipt by PAA GP Holdings of an undertaking by or on behalf of the Indemnitee to repay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amounts if it is ultimately determined that the Indemnitee is not entitled to be indemnified. PAA GP Holdings LLC is authorized to purchase and maintain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insurance, on behalf of the members of its Board of Directors, its officers and such other persons as the Board of Directors may determine, against any liability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may be asserted against or expense that may be incurred by such person in connection with the activities of PAA GP Holdings LLC.</w:t>
      </w:r>
    </w:p>
    <w:p>
      <w:pPr>
        <w:spacing w:after="0" w:line="219" w:lineRule="exact"/>
        <w:rPr>
          <w:sz w:val="20"/>
          <w:szCs w:val="20"/>
          <w:color w:val="auto"/>
        </w:rPr>
      </w:pPr>
    </w:p>
    <w:p>
      <w:pPr>
        <w:ind w:right="80" w:firstLine="348"/>
        <w:spacing w:after="0" w:line="370" w:lineRule="auto"/>
        <w:rPr>
          <w:sz w:val="20"/>
          <w:szCs w:val="20"/>
          <w:color w:val="auto"/>
        </w:rPr>
      </w:pPr>
      <w:r>
        <w:rPr>
          <w:rFonts w:ascii="Arial" w:cs="Arial" w:eastAsia="Arial" w:hAnsi="Arial"/>
          <w:sz w:val="15"/>
          <w:szCs w:val="15"/>
          <w:color w:val="auto"/>
        </w:rPr>
        <w:t>The underwriting agreements that we may enter into with respect to the offer and sale of securities covered by this registration statement will contain certain provisions for the indemnification of directors and officers and the underwriters or sales agent, as applicable, against civil liabilities under the Securities Act.</w:t>
      </w:r>
    </w:p>
    <w:p>
      <w:pPr>
        <w:spacing w:after="0" w:line="1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31" w:lineRule="exact"/>
        <w:rPr>
          <w:sz w:val="20"/>
          <w:szCs w:val="20"/>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Registration Statement, and such Exhibit Index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231" w:lineRule="exact"/>
        <w:rPr>
          <w:sz w:val="20"/>
          <w:szCs w:val="20"/>
          <w:color w:val="auto"/>
        </w:rPr>
      </w:pPr>
    </w:p>
    <w:p>
      <w:pPr>
        <w:ind w:left="700" w:hanging="351"/>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760" w:hanging="320"/>
        <w:spacing w:after="0"/>
        <w:tabs>
          <w:tab w:leader="none" w:pos="17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80" w:firstLine="360"/>
        <w:spacing w:after="0" w:line="253" w:lineRule="auto"/>
        <w:tabs>
          <w:tab w:leader="none" w:pos="17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the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01" w:lineRule="exact"/>
        <w:rPr>
          <w:rFonts w:ascii="Arial" w:cs="Arial" w:eastAsia="Arial" w:hAnsi="Arial"/>
          <w:sz w:val="18"/>
          <w:szCs w:val="18"/>
          <w:color w:val="auto"/>
        </w:rPr>
      </w:pPr>
    </w:p>
    <w:p>
      <w:pPr>
        <w:ind w:left="1080" w:right="100" w:firstLine="360"/>
        <w:spacing w:after="0" w:line="268" w:lineRule="auto"/>
        <w:tabs>
          <w:tab w:leader="none" w:pos="17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the information in this registration statement;</w:t>
      </w:r>
    </w:p>
    <w:p>
      <w:pPr>
        <w:spacing w:after="0" w:line="186" w:lineRule="exact"/>
        <w:rPr>
          <w:sz w:val="20"/>
          <w:szCs w:val="20"/>
          <w:color w:val="auto"/>
        </w:rPr>
      </w:pPr>
    </w:p>
    <w:p>
      <w:pPr>
        <w:ind w:left="1080"/>
        <w:spacing w:after="0" w:line="256"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(l)(a), (l)(b) and (1)(c)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SEC by the registrant pursuant to Section 13 or 15(d) of the Exchange Act that are incorporated by reference in this registration statement, or is contained in a form of prospectus filed pursuant to Rule 424(b) that is part of the registration statement.</w:t>
      </w:r>
    </w:p>
    <w:p>
      <w:pPr>
        <w:spacing w:after="0" w:line="197" w:lineRule="exact"/>
        <w:rPr>
          <w:sz w:val="20"/>
          <w:szCs w:val="20"/>
          <w:color w:val="auto"/>
        </w:rPr>
      </w:pPr>
    </w:p>
    <w:p>
      <w:pPr>
        <w:jc w:val="both"/>
        <w:ind w:left="540" w:right="360" w:firstLine="359"/>
        <w:spacing w:after="0" w:line="259" w:lineRule="auto"/>
        <w:tabs>
          <w:tab w:leader="none" w:pos="12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the securities at that time shall be deemed to be the initial bona fide offering thereof.</w:t>
      </w:r>
    </w:p>
    <w:p>
      <w:pPr>
        <w:spacing w:after="0" w:line="194" w:lineRule="exact"/>
        <w:rPr>
          <w:rFonts w:ascii="Arial" w:cs="Arial" w:eastAsia="Arial" w:hAnsi="Arial"/>
          <w:sz w:val="18"/>
          <w:szCs w:val="18"/>
          <w:color w:val="auto"/>
        </w:rPr>
      </w:pPr>
    </w:p>
    <w:p>
      <w:pPr>
        <w:ind w:left="540" w:right="720" w:firstLine="359"/>
        <w:spacing w:after="0" w:line="268" w:lineRule="auto"/>
        <w:tabs>
          <w:tab w:leader="none" w:pos="12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1080" w:right="140" w:firstLine="360"/>
        <w:spacing w:after="0" w:line="268" w:lineRule="auto"/>
        <w:tabs>
          <w:tab w:leader="none" w:pos="1758" w:val="left"/>
        </w:tabs>
        <w:numPr>
          <w:ilvl w:val="1"/>
          <w:numId w:val="3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w:t>
      </w:r>
    </w:p>
    <w:p>
      <w:pPr>
        <w:spacing w:after="0" w:line="38" w:lineRule="exact"/>
        <w:rPr>
          <w:sz w:val="20"/>
          <w:szCs w:val="20"/>
          <w:color w:val="auto"/>
        </w:rPr>
      </w:pPr>
    </w:p>
    <w:p>
      <w:pPr>
        <w:ind w:left="1080" w:right="20"/>
        <w:spacing w:after="0" w:line="286" w:lineRule="auto"/>
        <w:rPr>
          <w:sz w:val="20"/>
          <w:szCs w:val="20"/>
          <w:color w:val="auto"/>
        </w:rPr>
      </w:pPr>
      <w:r>
        <w:rPr>
          <w:rFonts w:ascii="Arial" w:cs="Arial" w:eastAsia="Arial" w:hAnsi="Arial"/>
          <w:sz w:val="16"/>
          <w:szCs w:val="16"/>
          <w:color w:val="auto"/>
        </w:rPr>
        <w:t>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firstLine="359"/>
        <w:spacing w:after="0" w:line="255" w:lineRule="auto"/>
        <w:tabs>
          <w:tab w:leader="none" w:pos="1224"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96" w:lineRule="exact"/>
        <w:rPr>
          <w:rFonts w:ascii="Arial" w:cs="Arial" w:eastAsia="Arial" w:hAnsi="Arial"/>
          <w:sz w:val="18"/>
          <w:szCs w:val="18"/>
          <w:color w:val="auto"/>
        </w:rPr>
      </w:pPr>
    </w:p>
    <w:p>
      <w:pPr>
        <w:ind w:left="1760" w:hanging="320"/>
        <w:spacing w:after="0"/>
        <w:tabs>
          <w:tab w:leader="none" w:pos="1760" w:val="left"/>
        </w:tabs>
        <w:numPr>
          <w:ilvl w:val="2"/>
          <w:numId w:val="33"/>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1080" w:right="240" w:firstLine="360"/>
        <w:spacing w:after="0" w:line="268" w:lineRule="auto"/>
        <w:tabs>
          <w:tab w:leader="none" w:pos="1758"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85" w:lineRule="exact"/>
        <w:rPr>
          <w:rFonts w:ascii="Arial" w:cs="Arial" w:eastAsia="Arial" w:hAnsi="Arial"/>
          <w:sz w:val="18"/>
          <w:szCs w:val="18"/>
          <w:color w:val="auto"/>
        </w:rPr>
      </w:pPr>
    </w:p>
    <w:p>
      <w:pPr>
        <w:ind w:left="1080" w:right="80" w:firstLine="360"/>
        <w:spacing w:after="0" w:line="268" w:lineRule="auto"/>
        <w:tabs>
          <w:tab w:leader="none" w:pos="1755"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85" w:lineRule="exact"/>
        <w:rPr>
          <w:rFonts w:ascii="Arial" w:cs="Arial" w:eastAsia="Arial" w:hAnsi="Arial"/>
          <w:sz w:val="18"/>
          <w:szCs w:val="18"/>
          <w:color w:val="auto"/>
        </w:rPr>
      </w:pPr>
    </w:p>
    <w:p>
      <w:pPr>
        <w:ind w:left="1760" w:hanging="320"/>
        <w:spacing w:after="0"/>
        <w:tabs>
          <w:tab w:leader="none" w:pos="17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right="60" w:firstLine="359"/>
        <w:spacing w:after="0" w:line="255" w:lineRule="auto"/>
        <w:tabs>
          <w:tab w:leader="none" w:pos="688"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 that, for purposes of determining any liability under the Securities Act, each filing of Plains All American Pipeline, L.P.'s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the securities at that time shall be deemed to be the initial bona fide offering thereof.</w:t>
      </w:r>
    </w:p>
    <w:p>
      <w:pPr>
        <w:spacing w:after="0" w:line="196" w:lineRule="exact"/>
        <w:rPr>
          <w:rFonts w:ascii="Arial" w:cs="Arial" w:eastAsia="Arial" w:hAnsi="Arial"/>
          <w:sz w:val="18"/>
          <w:szCs w:val="18"/>
          <w:color w:val="auto"/>
        </w:rPr>
      </w:pPr>
    </w:p>
    <w:p>
      <w:pPr>
        <w:ind w:right="40" w:firstLine="359"/>
        <w:spacing w:after="0" w:line="290" w:lineRule="auto"/>
        <w:tabs>
          <w:tab w:leader="none" w:pos="688"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described in Item 15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the registrant will, unless in the opinion of its counsel the matter has been settled by controlling precedent, submit to a court of appropriate jurisdiction the question whether indemnification by it is against public policy as expressed in the Securities Act and will be governed by the final adjudication of the issue.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November 23, 2016.</w:t>
      </w:r>
    </w:p>
    <w:p>
      <w:pPr>
        <w:spacing w:after="0" w:line="18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PAA GP LLC, its general partner</w:t>
      </w:r>
    </w:p>
    <w:p>
      <w:pPr>
        <w:spacing w:after="0" w:line="21"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5"/>
          <w:szCs w:val="15"/>
          <w:b w:val="1"/>
          <w:bCs w:val="1"/>
          <w:color w:val="auto"/>
        </w:rPr>
        <w:t>Plains AAP, L.P., its sole member</w:t>
      </w:r>
    </w:p>
    <w:p>
      <w:pPr>
        <w:spacing w:after="0" w:line="9"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Plains All American GP LLC, its general partner</w:t>
      </w:r>
    </w:p>
    <w:p>
      <w:pPr>
        <w:spacing w:after="0" w:line="9"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5"/>
          <w:szCs w:val="15"/>
          <w:b w:val="1"/>
          <w:bCs w:val="1"/>
          <w:color w:val="auto"/>
        </w:rPr>
        <w:t>Plains GP Holdings, L.P., its sole member</w:t>
      </w:r>
    </w:p>
    <w:p>
      <w:pPr>
        <w:spacing w:after="0" w:line="9"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PAA GP Holdings LLC, its general partner</w:t>
      </w:r>
    </w:p>
    <w:p>
      <w:pPr>
        <w:spacing w:after="0" w:line="219"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148590</wp:posOffset>
            </wp:positionV>
            <wp:extent cx="26930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27"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8"/>
          <w:szCs w:val="18"/>
          <w:color w:val="auto"/>
        </w:rPr>
        <w:t>Name:</w:t>
        <w:tab/>
        <w:t>Greg L. Armstrong</w:t>
      </w:r>
    </w:p>
    <w:p>
      <w:pPr>
        <w:spacing w:after="0" w:line="15"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Chairman of the Board and Chief Executive</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and any rules, regulations and requirements of the Securities and Exchange Commission, in connection with the registration statements, or any registration statement for this offering that is to be effective upon filing pursuant to Rule 462 under the Securities Act of 1933,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172"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 below.</w:t>
      </w:r>
    </w:p>
    <w:p>
      <w:pPr>
        <w:spacing w:after="0" w:line="180" w:lineRule="exact"/>
        <w:rPr>
          <w:sz w:val="20"/>
          <w:szCs w:val="20"/>
          <w:color w:val="auto"/>
        </w:rPr>
      </w:pPr>
    </w:p>
    <w:p>
      <w:pPr>
        <w:ind w:right="280" w:firstLine="351"/>
        <w:spacing w:after="0" w:line="262" w:lineRule="auto"/>
        <w:rPr>
          <w:sz w:val="20"/>
          <w:szCs w:val="20"/>
          <w:color w:val="auto"/>
        </w:rPr>
      </w:pPr>
      <w:r>
        <w:rPr>
          <w:rFonts w:ascii="Arial" w:cs="Arial" w:eastAsia="Arial" w:hAnsi="Arial"/>
          <w:sz w:val="18"/>
          <w:szCs w:val="18"/>
          <w:b w:val="1"/>
          <w:bCs w:val="1"/>
          <w:color w:val="auto"/>
        </w:rPr>
        <w:t>PAA GP HOLDINGS LLC, for itself as the general partner of PLAINS GP HOLDINGS, L.P., which is the sole member of PLAINS ALL AMERICAN GP LLC, which is the general partner of PLAINS AAP, L.P., which is the sole member of PAA GP LLC, which is the general partner of PLAINS ALL AMERICAN PIPELINE, L.P.</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3"/>
              </w:rPr>
              <w:t>/s/ GREG L. ARMSTRONG</w:t>
            </w:r>
          </w:p>
        </w:tc>
        <w:tc>
          <w:tcPr>
            <w:tcW w:w="3780" w:type="dxa"/>
            <w:vAlign w:val="bottom"/>
            <w:vMerge w:val="restart"/>
          </w:tcPr>
          <w:p>
            <w:pPr>
              <w:ind w:left="160"/>
              <w:spacing w:after="0"/>
              <w:rPr>
                <w:sz w:val="20"/>
                <w:szCs w:val="20"/>
                <w:color w:val="auto"/>
              </w:rPr>
            </w:pPr>
            <w:r>
              <w:rPr>
                <w:rFonts w:ascii="Arial" w:cs="Arial" w:eastAsia="Arial" w:hAnsi="Arial"/>
                <w:sz w:val="18"/>
                <w:szCs w:val="18"/>
                <w:color w:val="auto"/>
                <w:w w:val="96"/>
              </w:rPr>
              <w:t>Chairman of the Board, Chief Executive Officer</w:t>
            </w:r>
          </w:p>
        </w:tc>
        <w:tc>
          <w:tcPr>
            <w:tcW w:w="3000" w:type="dxa"/>
            <w:vAlign w:val="bottom"/>
            <w:vMerge w:val="restart"/>
          </w:tcPr>
          <w:p>
            <w:pPr>
              <w:ind w:left="240"/>
              <w:spacing w:after="0"/>
              <w:rPr>
                <w:sz w:val="20"/>
                <w:szCs w:val="20"/>
                <w:color w:val="auto"/>
              </w:rPr>
            </w:pPr>
            <w:r>
              <w:rPr>
                <w:rFonts w:ascii="Arial" w:cs="Arial" w:eastAsia="Arial" w:hAnsi="Arial"/>
                <w:sz w:val="18"/>
                <w:szCs w:val="18"/>
                <w:color w:val="auto"/>
              </w:rPr>
              <w:t>November 23, 2016</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780" w:type="dxa"/>
            <w:vAlign w:val="bottom"/>
            <w:vMerge w:val="continue"/>
          </w:tcPr>
          <w:p>
            <w:pPr>
              <w:spacing w:after="0"/>
              <w:rPr>
                <w:sz w:val="8"/>
                <w:szCs w:val="8"/>
                <w:color w:val="auto"/>
              </w:rPr>
            </w:pPr>
          </w:p>
        </w:tc>
        <w:tc>
          <w:tcPr>
            <w:tcW w:w="3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91"/>
              </w:rPr>
              <w:t>Greg L. Armstrong</w:t>
            </w:r>
          </w:p>
        </w:tc>
        <w:tc>
          <w:tcPr>
            <w:tcW w:w="37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and Director (Principal Executive Officer)</w:t>
            </w: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3480" w:type="dxa"/>
            <w:vAlign w:val="bottom"/>
            <w:vMerge w:val="continue"/>
          </w:tcPr>
          <w:p>
            <w:pPr>
              <w:spacing w:after="0"/>
              <w:rPr>
                <w:sz w:val="9"/>
                <w:szCs w:val="9"/>
                <w:color w:val="auto"/>
              </w:rPr>
            </w:pPr>
          </w:p>
        </w:tc>
        <w:tc>
          <w:tcPr>
            <w:tcW w:w="3780" w:type="dxa"/>
            <w:vAlign w:val="bottom"/>
            <w:vMerge w:val="continue"/>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3780" w:type="dxa"/>
            <w:vAlign w:val="bottom"/>
          </w:tcPr>
          <w:p>
            <w:pPr>
              <w:spacing w:after="0"/>
              <w:rPr>
                <w:sz w:val="7"/>
                <w:szCs w:val="7"/>
                <w:color w:val="auto"/>
              </w:rPr>
            </w:pPr>
          </w:p>
        </w:tc>
        <w:tc>
          <w:tcPr>
            <w:tcW w:w="3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780" w:type="dxa"/>
            <w:vAlign w:val="bottom"/>
          </w:tcPr>
          <w:p>
            <w:pPr>
              <w:ind w:left="940"/>
              <w:spacing w:after="0"/>
              <w:rPr>
                <w:sz w:val="20"/>
                <w:szCs w:val="20"/>
                <w:color w:val="auto"/>
              </w:rPr>
            </w:pPr>
            <w:r>
              <w:rPr>
                <w:rFonts w:ascii="Arial" w:cs="Arial" w:eastAsia="Arial" w:hAnsi="Arial"/>
                <w:sz w:val="18"/>
                <w:szCs w:val="18"/>
                <w:color w:val="auto"/>
              </w:rPr>
              <w:t>II-5</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Al Swanson</w:t>
      </w:r>
    </w:p>
    <w:p>
      <w:pPr>
        <w:spacing w:after="0" w:line="279"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Chris Herbold</w:t>
      </w:r>
    </w:p>
    <w:p>
      <w:pPr>
        <w:spacing w:after="0" w:line="252"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/s/ VICTOR BURK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Victor Burk</w:t>
      </w:r>
    </w:p>
    <w:p>
      <w:pPr>
        <w:spacing w:after="0" w:line="252"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/s/ BEN FIGLOCK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Bernard (Ben) Figlock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362585</wp:posOffset>
            </wp:positionV>
            <wp:extent cx="22123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Everardo Goyanes</w:t>
      </w:r>
    </w:p>
    <w:p>
      <w:pPr>
        <w:spacing w:after="0" w:line="252"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/s/ GARY R.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Gary R. Petersen</w:t>
      </w:r>
    </w:p>
    <w:p>
      <w:pPr>
        <w:spacing w:after="0" w:line="252"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/s/ 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John T. Raymond</w:t>
      </w:r>
    </w:p>
    <w:p>
      <w:pPr>
        <w:spacing w:after="0" w:line="252"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/s/ BOBBY S. SHACKOULS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Bobby S. Shackouls</w:t>
      </w:r>
    </w:p>
    <w:p>
      <w:pPr>
        <w:spacing w:after="0" w:line="252"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/s/ ROBERT V. SINNOTT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Robert V. Sinnott</w:t>
      </w:r>
    </w:p>
    <w:p>
      <w:pPr>
        <w:spacing w:after="0" w:line="252"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/s/ J. TAFT SYMONDS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J. Taft Symonds</w:t>
      </w:r>
    </w:p>
    <w:p>
      <w:pPr>
        <w:spacing w:after="0" w:line="252" w:lineRule="exact"/>
        <w:rPr>
          <w:sz w:val="20"/>
          <w:szCs w:val="20"/>
          <w:color w:val="auto"/>
        </w:rPr>
      </w:pPr>
    </w:p>
    <w:p>
      <w:pPr>
        <w:jc w:val="center"/>
        <w:ind w:left="1660"/>
        <w:spacing w:after="0"/>
        <w:rPr>
          <w:sz w:val="20"/>
          <w:szCs w:val="20"/>
          <w:color w:val="auto"/>
        </w:rPr>
      </w:pPr>
      <w:r>
        <w:rPr>
          <w:rFonts w:ascii="Arial" w:cs="Arial" w:eastAsia="Arial" w:hAnsi="Arial"/>
          <w:sz w:val="16"/>
          <w:szCs w:val="16"/>
          <w:color w:val="auto"/>
        </w:rPr>
        <w:t>/s/ CHRISTOPHER M. TEMPLE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22123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Christopher M. Temple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Arial" w:cs="Arial" w:eastAsia="Arial" w:hAnsi="Arial"/>
                <w:sz w:val="18"/>
                <w:szCs w:val="18"/>
                <w:color w:val="auto"/>
                <w:w w:val="97"/>
              </w:rPr>
              <w:t>Executive Vice President and Chief Financial</w:t>
            </w:r>
          </w:p>
        </w:tc>
        <w:tc>
          <w:tcPr>
            <w:tcW w:w="1740" w:type="dxa"/>
            <w:vAlign w:val="bottom"/>
            <w:vMerge w:val="restart"/>
          </w:tcPr>
          <w:p>
            <w:pPr>
              <w:ind w:left="340"/>
              <w:spacing w:after="0"/>
              <w:rPr>
                <w:sz w:val="20"/>
                <w:szCs w:val="20"/>
                <w:color w:val="auto"/>
              </w:rPr>
            </w:pPr>
            <w:r>
              <w:rPr>
                <w:rFonts w:ascii="Arial" w:cs="Arial" w:eastAsia="Arial" w:hAnsi="Arial"/>
                <w:sz w:val="18"/>
                <w:szCs w:val="18"/>
                <w:color w:val="auto"/>
                <w:w w:val="87"/>
              </w:rPr>
              <w:t>November 23, 2016</w:t>
            </w:r>
          </w:p>
        </w:tc>
        <w:tc>
          <w:tcPr>
            <w:tcW w:w="0" w:type="dxa"/>
            <w:vAlign w:val="bottom"/>
          </w:tcPr>
          <w:p>
            <w:pPr>
              <w:spacing w:after="0"/>
              <w:rPr>
                <w:sz w:val="1"/>
                <w:szCs w:val="1"/>
                <w:color w:val="auto"/>
              </w:rPr>
            </w:pPr>
          </w:p>
        </w:tc>
      </w:tr>
      <w:tr>
        <w:trPr>
          <w:trHeight w:val="114"/>
        </w:trPr>
        <w:tc>
          <w:tcPr>
            <w:tcW w:w="3520" w:type="dxa"/>
            <w:vAlign w:val="bottom"/>
            <w:vMerge w:val="restart"/>
          </w:tcPr>
          <w:p>
            <w:pPr>
              <w:spacing w:after="0"/>
              <w:rPr>
                <w:sz w:val="20"/>
                <w:szCs w:val="20"/>
                <w:color w:val="auto"/>
              </w:rPr>
            </w:pPr>
            <w:r>
              <w:rPr>
                <w:rFonts w:ascii="Arial" w:cs="Arial" w:eastAsia="Arial" w:hAnsi="Arial"/>
                <w:sz w:val="18"/>
                <w:szCs w:val="18"/>
                <w:color w:val="auto"/>
              </w:rPr>
              <w:t>Officer (Principal Financial Officer)</w:t>
            </w:r>
          </w:p>
        </w:tc>
        <w:tc>
          <w:tcPr>
            <w:tcW w:w="1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2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7"/>
        </w:trPr>
        <w:tc>
          <w:tcPr>
            <w:tcW w:w="3520" w:type="dxa"/>
            <w:vAlign w:val="bottom"/>
          </w:tcPr>
          <w:p>
            <w:pPr>
              <w:spacing w:after="0"/>
              <w:rPr>
                <w:sz w:val="20"/>
                <w:szCs w:val="20"/>
                <w:color w:val="auto"/>
              </w:rPr>
            </w:pPr>
            <w:r>
              <w:rPr>
                <w:rFonts w:ascii="Arial" w:cs="Arial" w:eastAsia="Arial" w:hAnsi="Arial"/>
                <w:sz w:val="18"/>
                <w:szCs w:val="18"/>
                <w:color w:val="auto"/>
              </w:rPr>
              <w:t>Vice President—Accounting and Chief</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Accounting Officer (Principal Accounting</w:t>
            </w:r>
          </w:p>
        </w:tc>
        <w:tc>
          <w:tcPr>
            <w:tcW w:w="1740" w:type="dxa"/>
            <w:vAlign w:val="bottom"/>
          </w:tcPr>
          <w:p>
            <w:pPr>
              <w:ind w:left="340"/>
              <w:spacing w:after="0"/>
              <w:rPr>
                <w:sz w:val="20"/>
                <w:szCs w:val="20"/>
                <w:color w:val="auto"/>
              </w:rPr>
            </w:pPr>
            <w:r>
              <w:rPr>
                <w:rFonts w:ascii="Arial" w:cs="Arial" w:eastAsia="Arial" w:hAnsi="Arial"/>
                <w:sz w:val="18"/>
                <w:szCs w:val="18"/>
                <w:color w:val="auto"/>
                <w:w w:val="87"/>
              </w:rPr>
              <w:t>November 23, 2016</w:t>
            </w:r>
          </w:p>
        </w:tc>
        <w:tc>
          <w:tcPr>
            <w:tcW w:w="0" w:type="dxa"/>
            <w:vAlign w:val="bottom"/>
          </w:tcPr>
          <w:p>
            <w:pPr>
              <w:spacing w:after="0"/>
              <w:rPr>
                <w:sz w:val="1"/>
                <w:szCs w:val="1"/>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Officer)</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2"/>
        </w:trPr>
        <w:tc>
          <w:tcPr>
            <w:tcW w:w="3520" w:type="dxa"/>
            <w:vAlign w:val="bottom"/>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ind w:left="340"/>
              <w:spacing w:after="0"/>
              <w:rPr>
                <w:sz w:val="20"/>
                <w:szCs w:val="20"/>
                <w:color w:val="auto"/>
              </w:rPr>
            </w:pPr>
            <w:r>
              <w:rPr>
                <w:rFonts w:ascii="Arial" w:cs="Arial" w:eastAsia="Arial" w:hAnsi="Arial"/>
                <w:sz w:val="18"/>
                <w:szCs w:val="18"/>
                <w:color w:val="auto"/>
                <w:w w:val="87"/>
              </w:rPr>
              <w:t>November 23, 2016</w:t>
            </w:r>
          </w:p>
        </w:tc>
        <w:tc>
          <w:tcPr>
            <w:tcW w:w="0" w:type="dxa"/>
            <w:vAlign w:val="bottom"/>
          </w:tcPr>
          <w:p>
            <w:pPr>
              <w:spacing w:after="0"/>
              <w:rPr>
                <w:sz w:val="1"/>
                <w:szCs w:val="1"/>
                <w:color w:val="auto"/>
              </w:rPr>
            </w:pPr>
          </w:p>
        </w:tc>
      </w:tr>
      <w:tr>
        <w:trPr>
          <w:trHeight w:val="864"/>
        </w:trPr>
        <w:tc>
          <w:tcPr>
            <w:tcW w:w="3520" w:type="dxa"/>
            <w:vAlign w:val="bottom"/>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ind w:left="340"/>
              <w:spacing w:after="0"/>
              <w:rPr>
                <w:sz w:val="20"/>
                <w:szCs w:val="20"/>
                <w:color w:val="auto"/>
              </w:rPr>
            </w:pPr>
            <w:r>
              <w:rPr>
                <w:rFonts w:ascii="Arial" w:cs="Arial" w:eastAsia="Arial" w:hAnsi="Arial"/>
                <w:sz w:val="18"/>
                <w:szCs w:val="18"/>
                <w:color w:val="auto"/>
                <w:w w:val="87"/>
              </w:rPr>
              <w:t>November 23, 2016</w:t>
            </w:r>
          </w:p>
        </w:tc>
        <w:tc>
          <w:tcPr>
            <w:tcW w:w="0" w:type="dxa"/>
            <w:vAlign w:val="bottom"/>
          </w:tcPr>
          <w:p>
            <w:pPr>
              <w:spacing w:after="0"/>
              <w:rPr>
                <w:sz w:val="1"/>
                <w:szCs w:val="1"/>
                <w:color w:val="auto"/>
              </w:rPr>
            </w:pPr>
          </w:p>
        </w:tc>
      </w:tr>
      <w:tr>
        <w:trPr>
          <w:trHeight w:val="864"/>
        </w:trPr>
        <w:tc>
          <w:tcPr>
            <w:tcW w:w="3520" w:type="dxa"/>
            <w:vAlign w:val="bottom"/>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ind w:left="340"/>
              <w:spacing w:after="0"/>
              <w:rPr>
                <w:sz w:val="20"/>
                <w:szCs w:val="20"/>
                <w:color w:val="auto"/>
              </w:rPr>
            </w:pPr>
            <w:r>
              <w:rPr>
                <w:rFonts w:ascii="Arial" w:cs="Arial" w:eastAsia="Arial" w:hAnsi="Arial"/>
                <w:sz w:val="18"/>
                <w:szCs w:val="18"/>
                <w:color w:val="auto"/>
                <w:w w:val="87"/>
              </w:rPr>
              <w:t>November 23, 2016</w:t>
            </w:r>
          </w:p>
        </w:tc>
        <w:tc>
          <w:tcPr>
            <w:tcW w:w="0" w:type="dxa"/>
            <w:vAlign w:val="bottom"/>
          </w:tcPr>
          <w:p>
            <w:pPr>
              <w:spacing w:after="0"/>
              <w:rPr>
                <w:sz w:val="1"/>
                <w:szCs w:val="1"/>
                <w:color w:val="auto"/>
              </w:rPr>
            </w:pPr>
          </w:p>
        </w:tc>
      </w:tr>
      <w:tr>
        <w:trPr>
          <w:trHeight w:val="864"/>
        </w:trPr>
        <w:tc>
          <w:tcPr>
            <w:tcW w:w="3520" w:type="dxa"/>
            <w:vAlign w:val="bottom"/>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ind w:left="340"/>
              <w:spacing w:after="0"/>
              <w:rPr>
                <w:sz w:val="20"/>
                <w:szCs w:val="20"/>
                <w:color w:val="auto"/>
              </w:rPr>
            </w:pPr>
            <w:r>
              <w:rPr>
                <w:rFonts w:ascii="Arial" w:cs="Arial" w:eastAsia="Arial" w:hAnsi="Arial"/>
                <w:sz w:val="18"/>
                <w:szCs w:val="18"/>
                <w:color w:val="auto"/>
                <w:w w:val="87"/>
              </w:rPr>
              <w:t>November 23, 2016</w:t>
            </w:r>
          </w:p>
        </w:tc>
        <w:tc>
          <w:tcPr>
            <w:tcW w:w="0" w:type="dxa"/>
            <w:vAlign w:val="bottom"/>
          </w:tcPr>
          <w:p>
            <w:pPr>
              <w:spacing w:after="0"/>
              <w:rPr>
                <w:sz w:val="1"/>
                <w:szCs w:val="1"/>
                <w:color w:val="auto"/>
              </w:rPr>
            </w:pPr>
          </w:p>
        </w:tc>
      </w:tr>
      <w:tr>
        <w:trPr>
          <w:trHeight w:val="864"/>
        </w:trPr>
        <w:tc>
          <w:tcPr>
            <w:tcW w:w="3520" w:type="dxa"/>
            <w:vAlign w:val="bottom"/>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ind w:left="340"/>
              <w:spacing w:after="0"/>
              <w:rPr>
                <w:sz w:val="20"/>
                <w:szCs w:val="20"/>
                <w:color w:val="auto"/>
              </w:rPr>
            </w:pPr>
            <w:r>
              <w:rPr>
                <w:rFonts w:ascii="Arial" w:cs="Arial" w:eastAsia="Arial" w:hAnsi="Arial"/>
                <w:sz w:val="18"/>
                <w:szCs w:val="18"/>
                <w:color w:val="auto"/>
                <w:w w:val="87"/>
              </w:rPr>
              <w:t>November 23, 2016</w:t>
            </w:r>
          </w:p>
        </w:tc>
        <w:tc>
          <w:tcPr>
            <w:tcW w:w="0" w:type="dxa"/>
            <w:vAlign w:val="bottom"/>
          </w:tcPr>
          <w:p>
            <w:pPr>
              <w:spacing w:after="0"/>
              <w:rPr>
                <w:sz w:val="1"/>
                <w:szCs w:val="1"/>
                <w:color w:val="auto"/>
              </w:rPr>
            </w:pPr>
          </w:p>
        </w:tc>
      </w:tr>
      <w:tr>
        <w:trPr>
          <w:trHeight w:val="864"/>
        </w:trPr>
        <w:tc>
          <w:tcPr>
            <w:tcW w:w="3520" w:type="dxa"/>
            <w:vAlign w:val="bottom"/>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ind w:left="340"/>
              <w:spacing w:after="0"/>
              <w:rPr>
                <w:sz w:val="20"/>
                <w:szCs w:val="20"/>
                <w:color w:val="auto"/>
              </w:rPr>
            </w:pPr>
            <w:r>
              <w:rPr>
                <w:rFonts w:ascii="Arial" w:cs="Arial" w:eastAsia="Arial" w:hAnsi="Arial"/>
                <w:sz w:val="18"/>
                <w:szCs w:val="18"/>
                <w:color w:val="auto"/>
                <w:w w:val="87"/>
              </w:rPr>
              <w:t>November 23, 2016</w:t>
            </w:r>
          </w:p>
        </w:tc>
        <w:tc>
          <w:tcPr>
            <w:tcW w:w="0" w:type="dxa"/>
            <w:vAlign w:val="bottom"/>
          </w:tcPr>
          <w:p>
            <w:pPr>
              <w:spacing w:after="0"/>
              <w:rPr>
                <w:sz w:val="1"/>
                <w:szCs w:val="1"/>
                <w:color w:val="auto"/>
              </w:rPr>
            </w:pPr>
          </w:p>
        </w:tc>
      </w:tr>
      <w:tr>
        <w:trPr>
          <w:trHeight w:val="864"/>
        </w:trPr>
        <w:tc>
          <w:tcPr>
            <w:tcW w:w="3520" w:type="dxa"/>
            <w:vAlign w:val="bottom"/>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ind w:left="340"/>
              <w:spacing w:after="0"/>
              <w:rPr>
                <w:sz w:val="20"/>
                <w:szCs w:val="20"/>
                <w:color w:val="auto"/>
              </w:rPr>
            </w:pPr>
            <w:r>
              <w:rPr>
                <w:rFonts w:ascii="Arial" w:cs="Arial" w:eastAsia="Arial" w:hAnsi="Arial"/>
                <w:sz w:val="18"/>
                <w:szCs w:val="18"/>
                <w:color w:val="auto"/>
                <w:w w:val="87"/>
              </w:rPr>
              <w:t>November 23, 2016</w:t>
            </w:r>
          </w:p>
        </w:tc>
        <w:tc>
          <w:tcPr>
            <w:tcW w:w="0" w:type="dxa"/>
            <w:vAlign w:val="bottom"/>
          </w:tcPr>
          <w:p>
            <w:pPr>
              <w:spacing w:after="0"/>
              <w:rPr>
                <w:sz w:val="1"/>
                <w:szCs w:val="1"/>
                <w:color w:val="auto"/>
              </w:rPr>
            </w:pPr>
          </w:p>
        </w:tc>
      </w:tr>
      <w:tr>
        <w:trPr>
          <w:trHeight w:val="864"/>
        </w:trPr>
        <w:tc>
          <w:tcPr>
            <w:tcW w:w="3520" w:type="dxa"/>
            <w:vAlign w:val="bottom"/>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ind w:left="340"/>
              <w:spacing w:after="0"/>
              <w:rPr>
                <w:sz w:val="20"/>
                <w:szCs w:val="20"/>
                <w:color w:val="auto"/>
              </w:rPr>
            </w:pPr>
            <w:r>
              <w:rPr>
                <w:rFonts w:ascii="Arial" w:cs="Arial" w:eastAsia="Arial" w:hAnsi="Arial"/>
                <w:sz w:val="18"/>
                <w:szCs w:val="18"/>
                <w:color w:val="auto"/>
                <w:w w:val="87"/>
              </w:rPr>
              <w:t>November 23, 2016</w:t>
            </w:r>
          </w:p>
        </w:tc>
        <w:tc>
          <w:tcPr>
            <w:tcW w:w="0" w:type="dxa"/>
            <w:vAlign w:val="bottom"/>
          </w:tcPr>
          <w:p>
            <w:pPr>
              <w:spacing w:after="0"/>
              <w:rPr>
                <w:sz w:val="1"/>
                <w:szCs w:val="1"/>
                <w:color w:val="auto"/>
              </w:rPr>
            </w:pPr>
          </w:p>
        </w:tc>
      </w:tr>
      <w:tr>
        <w:trPr>
          <w:trHeight w:val="864"/>
        </w:trPr>
        <w:tc>
          <w:tcPr>
            <w:tcW w:w="3520" w:type="dxa"/>
            <w:vAlign w:val="bottom"/>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ind w:left="340"/>
              <w:spacing w:after="0"/>
              <w:rPr>
                <w:sz w:val="20"/>
                <w:szCs w:val="20"/>
                <w:color w:val="auto"/>
              </w:rPr>
            </w:pPr>
            <w:r>
              <w:rPr>
                <w:rFonts w:ascii="Arial" w:cs="Arial" w:eastAsia="Arial" w:hAnsi="Arial"/>
                <w:sz w:val="18"/>
                <w:szCs w:val="18"/>
                <w:color w:val="auto"/>
                <w:w w:val="87"/>
              </w:rPr>
              <w:t>November 23, 2016</w:t>
            </w:r>
          </w:p>
        </w:tc>
        <w:tc>
          <w:tcPr>
            <w:tcW w:w="0" w:type="dxa"/>
            <w:vAlign w:val="bottom"/>
          </w:tcPr>
          <w:p>
            <w:pPr>
              <w:spacing w:after="0"/>
              <w:rPr>
                <w:sz w:val="1"/>
                <w:szCs w:val="1"/>
                <w:color w:val="auto"/>
              </w:rPr>
            </w:pPr>
          </w:p>
        </w:tc>
      </w:tr>
      <w:tr>
        <w:trPr>
          <w:trHeight w:val="635"/>
        </w:trPr>
        <w:tc>
          <w:tcPr>
            <w:tcW w:w="3520" w:type="dxa"/>
            <w:vAlign w:val="bottom"/>
          </w:tcPr>
          <w:p>
            <w:pPr>
              <w:ind w:left="780"/>
              <w:spacing w:after="0"/>
              <w:rPr>
                <w:sz w:val="20"/>
                <w:szCs w:val="20"/>
                <w:color w:val="auto"/>
              </w:rPr>
            </w:pPr>
            <w:r>
              <w:rPr>
                <w:rFonts w:ascii="Arial" w:cs="Arial" w:eastAsia="Arial" w:hAnsi="Arial"/>
                <w:sz w:val="18"/>
                <w:szCs w:val="18"/>
                <w:color w:val="auto"/>
              </w:rPr>
              <w:t>II-6</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136525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080" w:space="720"/>
            <w:col w:w="5419"/>
          </w:cols>
          <w:pgMar w:left="240" w:top="131" w:right="1440"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INDEX TO EXHIBITS</w:t>
      </w:r>
    </w:p>
    <w:p>
      <w:pPr>
        <w:spacing w:after="0" w:line="231" w:lineRule="exact"/>
        <w:rPr>
          <w:sz w:val="20"/>
          <w:szCs w:val="20"/>
          <w:color w:val="auto"/>
        </w:rPr>
      </w:pPr>
    </w:p>
    <w:p>
      <w:pPr>
        <w:ind w:left="1380"/>
        <w:spacing w:after="0"/>
        <w:tabs>
          <w:tab w:leader="none" w:pos="1880" w:val="left"/>
          <w:tab w:leader="none" w:pos="2220" w:val="left"/>
        </w:tabs>
        <w:rPr>
          <w:sz w:val="20"/>
          <w:szCs w:val="20"/>
          <w:color w:val="auto"/>
        </w:rPr>
      </w:pPr>
      <w:r>
        <w:rPr>
          <w:rFonts w:ascii="Arial" w:cs="Arial" w:eastAsia="Arial" w:hAnsi="Arial"/>
          <w:sz w:val="18"/>
          <w:szCs w:val="18"/>
          <w:color w:val="auto"/>
        </w:rPr>
        <w:t>1.1+</w:t>
        <w:tab/>
        <w:t>—</w:t>
      </w:r>
      <w:r>
        <w:rPr>
          <w:sz w:val="20"/>
          <w:szCs w:val="20"/>
          <w:color w:val="auto"/>
        </w:rPr>
        <w:tab/>
      </w:r>
      <w:r>
        <w:rPr>
          <w:rFonts w:ascii="Arial" w:cs="Arial" w:eastAsia="Arial" w:hAnsi="Arial"/>
          <w:sz w:val="16"/>
          <w:szCs w:val="16"/>
          <w:color w:val="auto"/>
        </w:rPr>
        <w:t>Form of Underwriting Agreement</w:t>
      </w:r>
    </w:p>
    <w:p>
      <w:pPr>
        <w:spacing w:after="0" w:line="225" w:lineRule="exact"/>
        <w:rPr>
          <w:sz w:val="20"/>
          <w:szCs w:val="20"/>
          <w:color w:val="auto"/>
        </w:rPr>
      </w:pPr>
    </w:p>
    <w:p>
      <w:pPr>
        <w:jc w:val="both"/>
        <w:ind w:left="1900" w:right="1000" w:hanging="867"/>
        <w:spacing w:after="0" w:line="259" w:lineRule="auto"/>
        <w:tabs>
          <w:tab w:leader="none" w:pos="18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Registration Rights Agreement by and among Plains All American Pipeline, L.P and the Holders as defined therein (incorporated by reference to Exhibit 10.4 to our Current Report on Form 8-K filed on November 21, 2016).</w:t>
      </w:r>
    </w:p>
    <w:p>
      <w:pPr>
        <w:spacing w:after="0" w:line="194" w:lineRule="exact"/>
        <w:rPr>
          <w:sz w:val="20"/>
          <w:szCs w:val="20"/>
          <w:color w:val="auto"/>
        </w:rPr>
      </w:pPr>
    </w:p>
    <w:p>
      <w:pPr>
        <w:ind w:left="1380"/>
        <w:spacing w:after="0"/>
        <w:tabs>
          <w:tab w:leader="none" w:pos="1880" w:val="left"/>
          <w:tab w:leader="none" w:pos="2220" w:val="left"/>
        </w:tabs>
        <w:rPr>
          <w:sz w:val="20"/>
          <w:szCs w:val="20"/>
          <w:color w:val="auto"/>
        </w:rPr>
      </w:pPr>
      <w:r>
        <w:rPr>
          <w:rFonts w:ascii="Arial" w:cs="Arial" w:eastAsia="Arial" w:hAnsi="Arial"/>
          <w:sz w:val="18"/>
          <w:szCs w:val="18"/>
          <w:color w:val="auto"/>
        </w:rPr>
        <w:t>5.1*</w:t>
        <w:tab/>
        <w:t>—</w:t>
      </w:r>
      <w:r>
        <w:rPr>
          <w:sz w:val="20"/>
          <w:szCs w:val="20"/>
          <w:color w:val="auto"/>
        </w:rPr>
        <w:tab/>
      </w:r>
      <w:r>
        <w:rPr>
          <w:rFonts w:ascii="Arial" w:cs="Arial" w:eastAsia="Arial" w:hAnsi="Arial"/>
          <w:sz w:val="16"/>
          <w:szCs w:val="16"/>
          <w:color w:val="auto"/>
        </w:rPr>
        <w:t>Opinion of Vinson &amp; Elkins L.L.P. as to the legality of the securities being registered</w:t>
      </w:r>
    </w:p>
    <w:p>
      <w:pPr>
        <w:spacing w:after="0" w:line="225" w:lineRule="exact"/>
        <w:rPr>
          <w:sz w:val="20"/>
          <w:szCs w:val="20"/>
          <w:color w:val="auto"/>
        </w:rPr>
      </w:pPr>
    </w:p>
    <w:p>
      <w:pPr>
        <w:ind w:left="1380"/>
        <w:spacing w:after="0"/>
        <w:tabs>
          <w:tab w:leader="none" w:pos="1880" w:val="left"/>
          <w:tab w:leader="none" w:pos="2220" w:val="left"/>
        </w:tabs>
        <w:rPr>
          <w:sz w:val="20"/>
          <w:szCs w:val="20"/>
          <w:color w:val="auto"/>
        </w:rPr>
      </w:pPr>
      <w:r>
        <w:rPr>
          <w:rFonts w:ascii="Arial" w:cs="Arial" w:eastAsia="Arial" w:hAnsi="Arial"/>
          <w:sz w:val="18"/>
          <w:szCs w:val="18"/>
          <w:color w:val="auto"/>
        </w:rPr>
        <w:t>8.1*</w:t>
        <w:tab/>
        <w:t>—</w:t>
      </w:r>
      <w:r>
        <w:rPr>
          <w:sz w:val="20"/>
          <w:szCs w:val="20"/>
          <w:color w:val="auto"/>
        </w:rPr>
        <w:tab/>
      </w:r>
      <w:r>
        <w:rPr>
          <w:rFonts w:ascii="Arial" w:cs="Arial" w:eastAsia="Arial" w:hAnsi="Arial"/>
          <w:sz w:val="16"/>
          <w:szCs w:val="16"/>
          <w:color w:val="auto"/>
        </w:rPr>
        <w:t>Opinion of Vinson &amp; Elkins L.L.P. relating to tax matters</w:t>
      </w:r>
    </w:p>
    <w:p>
      <w:pPr>
        <w:spacing w:after="0" w:line="225" w:lineRule="exact"/>
        <w:rPr>
          <w:sz w:val="20"/>
          <w:szCs w:val="20"/>
          <w:color w:val="auto"/>
        </w:rPr>
      </w:pPr>
    </w:p>
    <w:p>
      <w:pPr>
        <w:ind w:left="1280"/>
        <w:spacing w:after="0"/>
        <w:tabs>
          <w:tab w:leader="none" w:pos="1880" w:val="left"/>
          <w:tab w:leader="none" w:pos="2220" w:val="left"/>
        </w:tabs>
        <w:rPr>
          <w:sz w:val="20"/>
          <w:szCs w:val="20"/>
          <w:color w:val="auto"/>
        </w:rPr>
      </w:pPr>
      <w:r>
        <w:rPr>
          <w:rFonts w:ascii="Arial" w:cs="Arial" w:eastAsia="Arial" w:hAnsi="Arial"/>
          <w:sz w:val="18"/>
          <w:szCs w:val="18"/>
          <w:color w:val="auto"/>
        </w:rPr>
        <w:t>23.1*</w:t>
        <w:tab/>
        <w:t>—</w:t>
      </w:r>
      <w:r>
        <w:rPr>
          <w:sz w:val="20"/>
          <w:szCs w:val="20"/>
          <w:color w:val="auto"/>
        </w:rPr>
        <w:tab/>
      </w:r>
      <w:r>
        <w:rPr>
          <w:rFonts w:ascii="Arial" w:cs="Arial" w:eastAsia="Arial" w:hAnsi="Arial"/>
          <w:sz w:val="15"/>
          <w:szCs w:val="15"/>
          <w:color w:val="auto"/>
        </w:rPr>
        <w:t>Consent of PricewaterhouseCoopers LLP</w:t>
      </w:r>
    </w:p>
    <w:p>
      <w:pPr>
        <w:spacing w:after="0" w:line="225" w:lineRule="exact"/>
        <w:rPr>
          <w:sz w:val="20"/>
          <w:szCs w:val="20"/>
          <w:color w:val="auto"/>
        </w:rPr>
      </w:pPr>
    </w:p>
    <w:p>
      <w:pPr>
        <w:ind w:left="1280"/>
        <w:spacing w:after="0"/>
        <w:tabs>
          <w:tab w:leader="none" w:pos="1880" w:val="left"/>
          <w:tab w:leader="none" w:pos="2220" w:val="left"/>
        </w:tabs>
        <w:rPr>
          <w:sz w:val="20"/>
          <w:szCs w:val="20"/>
          <w:color w:val="auto"/>
        </w:rPr>
      </w:pPr>
      <w:r>
        <w:rPr>
          <w:rFonts w:ascii="Arial" w:cs="Arial" w:eastAsia="Arial" w:hAnsi="Arial"/>
          <w:sz w:val="18"/>
          <w:szCs w:val="18"/>
          <w:color w:val="auto"/>
        </w:rPr>
        <w:t>23.2*</w:t>
        <w:tab/>
        <w:t>—</w:t>
      </w:r>
      <w:r>
        <w:rPr>
          <w:sz w:val="20"/>
          <w:szCs w:val="20"/>
          <w:color w:val="auto"/>
        </w:rPr>
        <w:tab/>
      </w:r>
      <w:r>
        <w:rPr>
          <w:rFonts w:ascii="Arial" w:cs="Arial" w:eastAsia="Arial" w:hAnsi="Arial"/>
          <w:sz w:val="16"/>
          <w:szCs w:val="16"/>
          <w:color w:val="auto"/>
        </w:rPr>
        <w:t>Consent of Vinson &amp; Elkins L.L.P. (contained in Exhibits 5.1 and 8.1)</w:t>
      </w:r>
    </w:p>
    <w:p>
      <w:pPr>
        <w:spacing w:after="0" w:line="225" w:lineRule="exact"/>
        <w:rPr>
          <w:sz w:val="20"/>
          <w:szCs w:val="20"/>
          <w:color w:val="auto"/>
        </w:rPr>
      </w:pPr>
    </w:p>
    <w:p>
      <w:pPr>
        <w:ind w:left="1280"/>
        <w:spacing w:after="0"/>
        <w:tabs>
          <w:tab w:leader="none" w:pos="1880" w:val="left"/>
          <w:tab w:leader="none" w:pos="2220" w:val="left"/>
        </w:tabs>
        <w:rPr>
          <w:sz w:val="20"/>
          <w:szCs w:val="20"/>
          <w:color w:val="auto"/>
        </w:rPr>
      </w:pPr>
      <w:r>
        <w:rPr>
          <w:rFonts w:ascii="Arial" w:cs="Arial" w:eastAsia="Arial" w:hAnsi="Arial"/>
          <w:sz w:val="18"/>
          <w:szCs w:val="18"/>
          <w:color w:val="auto"/>
        </w:rPr>
        <w:t>24.1*</w:t>
        <w:tab/>
        <w:t>—</w:t>
      </w:r>
      <w:r>
        <w:rPr>
          <w:sz w:val="20"/>
          <w:szCs w:val="20"/>
          <w:color w:val="auto"/>
        </w:rPr>
        <w:tab/>
      </w:r>
      <w:r>
        <w:rPr>
          <w:rFonts w:ascii="Arial" w:cs="Arial" w:eastAsia="Arial" w:hAnsi="Arial"/>
          <w:sz w:val="15"/>
          <w:szCs w:val="15"/>
          <w:color w:val="auto"/>
        </w:rPr>
        <w:t>Powers of Attorney (included on the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15176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0" w:lineRule="exact"/>
        <w:rPr>
          <w:sz w:val="20"/>
          <w:szCs w:val="20"/>
          <w:color w:val="auto"/>
        </w:rPr>
      </w:pPr>
    </w:p>
    <w:p>
      <w:pPr>
        <w:ind w:left="1680" w:hanging="531"/>
        <w:spacing w:after="0"/>
        <w:tabs>
          <w:tab w:leader="none" w:pos="1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line="268" w:lineRule="auto"/>
        <w:tabs>
          <w:tab w:leader="none" w:pos="1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be filed as an exhibit to a report pursuant to Section 13(a) or 15(d) of the Securities Exchange Act of 1934 or in a post-effective amendment to this registration statement.</w:t>
      </w:r>
    </w:p>
    <w:p>
      <w:pPr>
        <w:spacing w:after="0" w:line="186"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131" w:right="779" w:bottom="1440" w:gutter="0" w:footer="0" w:header="0"/>
        </w:sectPr>
      </w:pPr>
    </w:p>
    <w:bookmarkStart w:id="49" w:name="page50"/>
    <w:bookmarkEnd w:id="4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spacing w:after="0"/>
        <w:rPr>
          <w:rFonts w:ascii="Arial" w:cs="Arial" w:eastAsia="Arial" w:hAnsi="Arial"/>
          <w:sz w:val="22"/>
          <w:szCs w:val="22"/>
          <w:color w:val="0000EE"/>
        </w:rPr>
      </w:pPr>
      <w:hyperlink w:anchor="page5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62941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2941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acted as counsel for Plains All American Pipeline, L.P., a Delaware limited partnership (the "</w:t>
      </w:r>
      <w:r>
        <w:rPr>
          <w:rFonts w:ascii="Arial" w:cs="Arial" w:eastAsia="Arial" w:hAnsi="Arial"/>
          <w:sz w:val="16"/>
          <w:szCs w:val="16"/>
          <w:b w:val="1"/>
          <w:bCs w:val="1"/>
          <w:i w:val="1"/>
          <w:iCs w:val="1"/>
          <w:color w:val="auto"/>
        </w:rPr>
        <w:t>Partnership</w:t>
      </w:r>
      <w:r>
        <w:rPr>
          <w:rFonts w:ascii="Arial" w:cs="Arial" w:eastAsia="Arial" w:hAnsi="Arial"/>
          <w:sz w:val="16"/>
          <w:szCs w:val="16"/>
          <w:color w:val="auto"/>
        </w:rPr>
        <w:t>") with respect to the preparation of the Registration Statement on Form S-3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filed on the date hereof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in connection with the registration by the Partnership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of the offer and sale by the selling unitholders named in the Registration Statement (the "</w:t>
      </w:r>
      <w:r>
        <w:rPr>
          <w:rFonts w:ascii="Arial" w:cs="Arial" w:eastAsia="Arial" w:hAnsi="Arial"/>
          <w:sz w:val="16"/>
          <w:szCs w:val="16"/>
          <w:b w:val="1"/>
          <w:bCs w:val="1"/>
          <w:i w:val="1"/>
          <w:iCs w:val="1"/>
          <w:color w:val="auto"/>
        </w:rPr>
        <w:t>Selling Unitholders</w:t>
      </w:r>
      <w:r>
        <w:rPr>
          <w:rFonts w:ascii="Arial" w:cs="Arial" w:eastAsia="Arial" w:hAnsi="Arial"/>
          <w:sz w:val="16"/>
          <w:szCs w:val="16"/>
          <w:color w:val="auto"/>
        </w:rPr>
        <w:t>") from time to time, pursuant to Rule 415 under the Securities Act, of common units representing limited partner interests in the Partnership (the "</w:t>
      </w:r>
      <w:r>
        <w:rPr>
          <w:rFonts w:ascii="Arial" w:cs="Arial" w:eastAsia="Arial" w:hAnsi="Arial"/>
          <w:sz w:val="16"/>
          <w:szCs w:val="16"/>
          <w:b w:val="1"/>
          <w:bCs w:val="1"/>
          <w:i w:val="1"/>
          <w:iCs w:val="1"/>
          <w:color w:val="auto"/>
        </w:rPr>
        <w:t>Common Units</w:t>
      </w:r>
      <w:r>
        <w:rPr>
          <w:rFonts w:ascii="Arial" w:cs="Arial" w:eastAsia="Arial" w:hAnsi="Arial"/>
          <w:sz w:val="16"/>
          <w:szCs w:val="16"/>
          <w:color w:val="auto"/>
        </w:rPr>
        <w: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have also participated in the preparation of the Prospectus (the "</w:t>
      </w:r>
      <w:r>
        <w:rPr>
          <w:rFonts w:ascii="Arial" w:cs="Arial" w:eastAsia="Arial" w:hAnsi="Arial"/>
          <w:sz w:val="15"/>
          <w:szCs w:val="15"/>
          <w:b w:val="1"/>
          <w:bCs w:val="1"/>
          <w:i w:val="1"/>
          <w:iCs w:val="1"/>
          <w:color w:val="auto"/>
        </w:rPr>
        <w:t>Prospectus</w:t>
      </w:r>
      <w:r>
        <w:rPr>
          <w:rFonts w:ascii="Arial" w:cs="Arial" w:eastAsia="Arial" w:hAnsi="Arial"/>
          <w:sz w:val="15"/>
          <w:szCs w:val="15"/>
          <w:color w:val="auto"/>
        </w:rPr>
        <w:t>") contained in the Registration Statement to which this opinion is an exhibit.</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the basis for the opinion hereinafter expressed, we examined such statutes, including the Delaware Revised Uniform Limited Partnership Act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Delaware LP Act</w:t>
      </w:r>
      <w:r>
        <w:rPr>
          <w:rFonts w:ascii="Arial" w:cs="Arial" w:eastAsia="Arial" w:hAnsi="Arial"/>
          <w:sz w:val="15"/>
          <w:szCs w:val="15"/>
          <w:color w:val="auto"/>
        </w:rPr>
        <w:t>"), and the Partnership's records and documents, certificates of the Partnership and public officials, and other instruments and documents as we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deemed necessary or advisable for the purposes of this opinion. In such examination, we have assumed (i) the authenticity of all documents submitted to us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originals and the conformity with the original documents of all documents submitted to us as copies; (ii) that all signatures on each such document examined by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us are genuine; (iii) that the Registration Statement, and any amendments thereto (including post-effective amendments), will have become effective; and (iv) that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all Shares will be issued and sold in compliance with applicable federal and state securities laws and in the manner stated in the Registration Statement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appropriate Prospectus Supplement.</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Based upon and subject to the foregoing, with respect to the Common Units we are of the opinion that:</w:t>
      </w:r>
    </w:p>
    <w:p>
      <w:pPr>
        <w:spacing w:after="0" w:line="225" w:lineRule="exact"/>
        <w:rPr>
          <w:sz w:val="20"/>
          <w:szCs w:val="20"/>
          <w:color w:val="auto"/>
        </w:rPr>
      </w:pPr>
    </w:p>
    <w:p>
      <w:pPr>
        <w:ind w:left="1240" w:hanging="341"/>
        <w:spacing w:after="0"/>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Partnership has been duly formed and is validly existing as a limited partnership under the Delaware LP Act; and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Common Units have been duly authorized and validly issued and are fully paid and nonassessable.</w:t>
      </w:r>
    </w:p>
    <w:p>
      <w:pPr>
        <w:spacing w:after="0" w:line="225"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foregoing opinion is limited in all respects to the federal laws of the United States of America, the Delaware LP Act and the Constitution of the State of Delaware, each as interpreted by the courts of the State of Delaware, and we are expressing no opinion as to the effect of the laws of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777875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273685</wp:posOffset>
            </wp:positionV>
            <wp:extent cx="5866130" cy="3689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66130" cy="36893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1" w:name="page52"/>
    <w:bookmarkEnd w:id="51"/>
    <w:p>
      <w:pPr>
        <w:ind w:left="8360"/>
        <w:spacing w:after="0"/>
        <w:rPr>
          <w:sz w:val="20"/>
          <w:szCs w:val="20"/>
          <w:color w:val="auto"/>
        </w:rPr>
      </w:pPr>
      <w:r>
        <w:rPr>
          <w:rFonts w:ascii="Arial" w:cs="Arial" w:eastAsia="Arial" w:hAnsi="Arial"/>
          <w:sz w:val="18"/>
          <w:szCs w:val="18"/>
          <w:color w:val="auto"/>
        </w:rPr>
        <w:t>November 22, 2016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48895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88950" cy="188595"/>
                    </a:xfrm>
                    <a:prstGeom prst="rect">
                      <a:avLst/>
                    </a:prstGeom>
                    <a:noFill/>
                  </pic:spPr>
                </pic:pic>
              </a:graphicData>
            </a:graphic>
          </wp:anchor>
        </w:drawing>
      </w:r>
    </w:p>
    <w:p>
      <w:pPr>
        <w:spacing w:after="0" w:line="286"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19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Vinson &amp; Elkins L.L.P.</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sectPr>
      </w:pPr>
    </w:p>
    <w:bookmarkStart w:id="52" w:name="page53"/>
    <w:bookmarkEnd w:id="5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Exhibit 5.1</w:t>
        </w:r>
      </w:hyperlink>
    </w:p>
    <w:p>
      <w:pPr>
        <w:sectPr>
          <w:pgSz w:w="11900" w:h="16838" w:orient="portrait"/>
          <w:cols w:equalWidth="0" w:num="1">
            <w:col w:w="10219"/>
          </w:cols>
          <w:pgMar w:left="240" w:top="820" w:right="1440" w:bottom="1440" w:gutter="0" w:footer="0" w:header="0"/>
        </w:sectPr>
      </w:pPr>
    </w:p>
    <w:bookmarkStart w:id="53" w:name="page54"/>
    <w:bookmarkEnd w:id="53"/>
    <w:p>
      <w:pPr>
        <w:spacing w:after="0"/>
        <w:rPr>
          <w:rFonts w:ascii="Arial" w:cs="Arial" w:eastAsia="Arial" w:hAnsi="Arial"/>
          <w:sz w:val="22"/>
          <w:szCs w:val="22"/>
          <w:color w:val="0000EE"/>
        </w:rPr>
      </w:pPr>
      <w:hyperlink w:anchor="page5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62941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2941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Plains All American Pipeline,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We have acted as counsel for Plains All American Pipeline, L.P. (the "</w:t>
      </w:r>
      <w:r>
        <w:rPr>
          <w:rFonts w:ascii="Arial" w:cs="Arial" w:eastAsia="Arial" w:hAnsi="Arial"/>
          <w:sz w:val="16"/>
          <w:szCs w:val="16"/>
          <w:b w:val="1"/>
          <w:bCs w:val="1"/>
          <w:i w:val="1"/>
          <w:iCs w:val="1"/>
          <w:color w:val="auto"/>
        </w:rPr>
        <w:t>Partnership</w:t>
      </w:r>
      <w:r>
        <w:rPr>
          <w:rFonts w:ascii="Arial" w:cs="Arial" w:eastAsia="Arial" w:hAnsi="Arial"/>
          <w:sz w:val="16"/>
          <w:szCs w:val="16"/>
          <w:color w:val="auto"/>
        </w:rPr>
        <w:t>"), a Delaware limited partnership, with respect to certain legal matters in connection with the preparation of a Prospectus dated on or about the date hereof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forming part of the Registration Statement on Form S-3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to which this opinion is an exhibit. The Registration Statement relates to the registration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of common units representing limited partner interests in the Partnership.</w:t>
      </w:r>
    </w:p>
    <w:p>
      <w:pPr>
        <w:spacing w:after="0" w:line="167"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This opinion is based on various facts and assumptions, and is conditioned upon certain representations made by the Partnership as to factual matters through a certificate of an officer of the Partnership (the "</w:t>
      </w:r>
      <w:r>
        <w:rPr>
          <w:rFonts w:ascii="Arial" w:cs="Arial" w:eastAsia="Arial" w:hAnsi="Arial"/>
          <w:sz w:val="16"/>
          <w:szCs w:val="16"/>
          <w:b w:val="1"/>
          <w:bCs w:val="1"/>
          <w:i w:val="1"/>
          <w:iCs w:val="1"/>
          <w:color w:val="auto"/>
        </w:rPr>
        <w:t>Officer's Certificate</w:t>
      </w:r>
      <w:r>
        <w:rPr>
          <w:rFonts w:ascii="Arial" w:cs="Arial" w:eastAsia="Arial" w:hAnsi="Arial"/>
          <w:sz w:val="16"/>
          <w:szCs w:val="16"/>
          <w:color w:val="auto"/>
        </w:rPr>
        <w:t>"). In addition, this opinion is based upon the factual representations of the Partnership concerning its business, properties and governing documents as set forth in the Registration Statement.</w:t>
      </w:r>
    </w:p>
    <w:p>
      <w:pPr>
        <w:spacing w:after="0" w:line="16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our capacity as counsel to the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spacing w:after="0" w:line="172"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hereby confirm that all statements of legal conclusions contained in the discussion in the Registration Statement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295910</wp:posOffset>
            </wp:positionV>
            <wp:extent cx="5866130" cy="3689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66130" cy="36893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54" w:name="page55"/>
    <w:bookmarkEnd w:id="54"/>
    <w:p>
      <w:pPr>
        <w:jc w:val="both"/>
        <w:ind w:right="200" w:firstLine="351"/>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886460</wp:posOffset>
            </wp:positionH>
            <wp:positionV relativeFrom="page">
              <wp:posOffset>88900</wp:posOffset>
            </wp:positionV>
            <wp:extent cx="48895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488950" cy="188595"/>
                    </a:xfrm>
                    <a:prstGeom prst="rect">
                      <a:avLst/>
                    </a:prstGeom>
                    <a:noFill/>
                  </pic:spPr>
                </pic:pic>
              </a:graphicData>
            </a:graphic>
          </wp:anchor>
        </w:drawing>
        <w:t>No opinion is expressed as to any matter not discussed in the Registration Statement under the caption "Material U.S. Federal Income Tax Consequences." We are opining herein only as to the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This opinion is rendered to you as of the effective date of the Registration Statement, and we undertake no obligation to update this opinion subsequent to the date hereof. This opinion is furnished to you and may be relied on by you in connection with the transactions set forth in the Registration Statement. In addition, this opinion may be relied on by persons entitled to rely on it pursuant to applicable provisions of federal securities law, including persons purchasing common units pursuant to the Registration Statement. However, this opinion may not be relied upon for any other purpose or furnished to, assigned to, quoted to or relied upon by any other person, firm or other entity, for any purpose, without our prior written consent.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hereby consent to the filing of this opinion of counsel as an exhibit to the Registration Statement and the use of our name in the Registration Statement.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giving such consent, we do not admit that we are within the category of persons whose consent is required under Section 7 of the Securities Act.</w:t>
      </w:r>
    </w:p>
    <w:p>
      <w:pPr>
        <w:spacing w:after="0" w:line="24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VINSON &amp; ELKINS L.L.P.</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55" w:name="page56"/>
    <w:bookmarkEnd w:id="5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Exhibit 8.1</w:t>
        </w:r>
      </w:hyperlink>
    </w:p>
    <w:p>
      <w:pPr>
        <w:sectPr>
          <w:pgSz w:w="11900" w:h="16838" w:orient="portrait"/>
          <w:cols w:equalWidth="0" w:num="1">
            <w:col w:w="10219"/>
          </w:cols>
          <w:pgMar w:left="240" w:top="820" w:right="1440" w:bottom="1440" w:gutter="0" w:footer="0" w:header="0"/>
        </w:sectPr>
      </w:pPr>
    </w:p>
    <w:bookmarkStart w:id="56" w:name="page57"/>
    <w:bookmarkEnd w:id="56"/>
    <w:p>
      <w:pPr>
        <w:spacing w:after="0"/>
        <w:rPr>
          <w:rFonts w:ascii="Arial" w:cs="Arial" w:eastAsia="Arial" w:hAnsi="Arial"/>
          <w:sz w:val="22"/>
          <w:szCs w:val="22"/>
          <w:color w:val="0000EE"/>
        </w:rPr>
      </w:pPr>
      <w:hyperlink w:anchor="page5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We hereby consent to the incorporation by reference in this Registration Statement on Form S-3 of our report dated February 25, 2016 relating to the financial statements and the effectiveness of internal control over financial reporting, which appears in Plains All American Pipeline, L.P.'s Annual Report on Form 10-K for the year ended December 31, 2015. We also consent to the reference to us under the heading "Experts" in such Registration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7" w:name="page58"/>
    <w:bookmarkEnd w:id="5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CONSENT OF INDEPENDENT REGISTERED PUBLIC ACCOUNTING FIRM</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1)"/>
      <w:numFmt w:val="decimal"/>
      <w:start w:val="2"/>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1)"/>
      <w:numFmt w:val="lowerLetter"/>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lowerLetter"/>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2"/>
    </w:lvl>
    <w:lvl w:ilvl="1">
      <w:lvlJc w:val="left"/>
      <w:lvlText w:val="(%2)"/>
      <w:numFmt w:val="lowerLetter"/>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4"/>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lvl w:ilvl="1">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0">
    <w:nsid w:val="614FD4A1"/>
    <w:multiLevelType w:val="hybridMultilevel"/>
    <w:lvl w:ilvl="0">
      <w:lvlJc w:val="left"/>
      <w:lvlText w:val="(%1)"/>
      <w:numFmt w:val="lowerLetter"/>
      <w:start w:val="2"/>
    </w:lvl>
  </w:abstractNum>
  <w:abstractNum w:abstractNumId="31">
    <w:nsid w:val="419AC241"/>
    <w:multiLevelType w:val="hybridMultilevel"/>
    <w:lvl w:ilvl="0">
      <w:lvlJc w:val="left"/>
      <w:lvlText w:val="(%1)"/>
      <w:numFmt w:val="decimal"/>
      <w:start w:val="2"/>
    </w:lvl>
    <w:lvl w:ilvl="1">
      <w:lvlJc w:val="left"/>
      <w:lvlText w:val="(%2)"/>
      <w:numFmt w:val="lowerLetter"/>
      <w:start w:val="1"/>
    </w:lvl>
  </w:abstractNum>
  <w:abstractNum w:abstractNumId="32">
    <w:nsid w:val="5577F8E1"/>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33">
    <w:nsid w:val="440BADFC"/>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2020-01-21T21:18:48Z</dcterms:created>
  <dcterms:modified xsi:type="dcterms:W3CDTF">2020-01-21T21:18:48Z</dcterms:modified>
</cp:coreProperties>
</file>