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60" w:right="66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308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13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5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Title of Each Class</w:t>
            </w:r>
          </w:p>
        </w:tc>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76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60" w:type="dxa"/>
            <w:vAlign w:val="bottom"/>
          </w:tcPr>
          <w:p>
            <w:pPr>
              <w:spacing w:after="0"/>
              <w:rPr>
                <w:sz w:val="19"/>
                <w:szCs w:val="19"/>
                <w:color w:val="auto"/>
              </w:rPr>
            </w:pPr>
          </w:p>
        </w:tc>
        <w:tc>
          <w:tcPr>
            <w:tcW w:w="4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23"/>
        </w:trPr>
        <w:tc>
          <w:tcPr>
            <w:tcW w:w="584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800" w:type="dxa"/>
            <w:vAlign w:val="bottom"/>
          </w:tcPr>
          <w:p>
            <w:pPr>
              <w:spacing w:after="0"/>
              <w:rPr>
                <w:sz w:val="24"/>
                <w:szCs w:val="24"/>
                <w:color w:val="auto"/>
              </w:rPr>
            </w:pPr>
          </w:p>
        </w:tc>
      </w:tr>
    </w:tbl>
    <w:p>
      <w:pPr>
        <w:spacing w:after="0" w:line="107" w:lineRule="exact"/>
        <w:rPr>
          <w:sz w:val="24"/>
          <w:szCs w:val="24"/>
          <w:color w:val="auto"/>
        </w:rPr>
      </w:pPr>
    </w:p>
    <w:p>
      <w:pPr>
        <w:ind w:left="340" w:right="1540"/>
        <w:spacing w:after="0" w:line="440"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0" w:gutter="0" w:footer="0" w:header="0"/>
        </w:sectPr>
      </w:pPr>
    </w:p>
    <w:p>
      <w:pPr>
        <w:spacing w:after="0" w:line="29"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9" w:lineRule="exact"/>
        <w:rPr>
          <w:sz w:val="24"/>
          <w:szCs w:val="24"/>
          <w:color w:val="auto"/>
        </w:rPr>
      </w:pPr>
    </w:p>
    <w:p>
      <w:pPr>
        <w:sectPr>
          <w:pgSz w:w="11900" w:h="16838" w:orient="portrait"/>
          <w:cols w:equalWidth="0" w:num="2">
            <w:col w:w="6800" w:space="720"/>
            <w:col w:w="3860"/>
          </w:cols>
          <w:pgMar w:left="240" w:top="233" w:right="27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firstLine="324"/>
        <w:spacing w:after="0" w:line="312" w:lineRule="auto"/>
        <w:rPr>
          <w:sz w:val="20"/>
          <w:szCs w:val="20"/>
          <w:color w:val="auto"/>
        </w:rPr>
      </w:pPr>
      <w:r>
        <w:rPr>
          <w:rFonts w:ascii="Arial" w:cs="Arial" w:eastAsia="Arial" w:hAnsi="Arial"/>
          <w:sz w:val="16"/>
          <w:szCs w:val="16"/>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$18.8 billion on June 28, 2013, based on a closing price of $55.81 per Common Unit as reported on the New York Stock Exchange on such date.</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February 20, 2014, there were 359,904,180 Common Units outstanding.</w:t>
      </w:r>
    </w:p>
    <w:p>
      <w:pPr>
        <w:spacing w:after="0" w:line="1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10-K—2013 ANNUAL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20" w:type="dxa"/>
            <w:vAlign w:val="bottom"/>
            <w:gridSpan w:val="12"/>
            <w:vMerge w:val="restart"/>
          </w:tcPr>
          <w:p>
            <w:pPr>
              <w:jc w:val="center"/>
              <w:ind w:right="504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20" w:type="dxa"/>
            <w:vAlign w:val="bottom"/>
            <w:gridSpan w:val="12"/>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0000EE"/>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 and 2.</w:t>
              </w:r>
            </w:hyperlink>
          </w:p>
        </w:tc>
        <w:tc>
          <w:tcPr>
            <w:tcW w:w="17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Business and Properties</w:t>
              </w:r>
            </w:hyperlink>
          </w:p>
        </w:tc>
        <w:tc>
          <w:tcPr>
            <w:tcW w:w="1800" w:type="dxa"/>
            <w:vAlign w:val="bottom"/>
            <w:gridSpan w:val="10"/>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040" w:type="dxa"/>
            <w:vAlign w:val="bottom"/>
            <w:gridSpan w:val="11"/>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1A.</w:t>
              </w:r>
            </w:hyperlink>
          </w:p>
        </w:tc>
        <w:tc>
          <w:tcPr>
            <w:tcW w:w="840" w:type="dxa"/>
            <w:vAlign w:val="bottom"/>
            <w:gridSpan w:val="2"/>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8240" w:type="dxa"/>
            <w:vAlign w:val="bottom"/>
            <w:gridSpan w:val="25"/>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Item 1B.</w:t>
              </w:r>
            </w:hyperlink>
          </w:p>
        </w:tc>
        <w:tc>
          <w:tcPr>
            <w:tcW w:w="860" w:type="dxa"/>
            <w:vAlign w:val="bottom"/>
            <w:gridSpan w:val="3"/>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Unresolved Staff Comments</w:t>
              </w:r>
            </w:hyperlink>
          </w:p>
        </w:tc>
        <w:tc>
          <w:tcPr>
            <w:tcW w:w="7100" w:type="dxa"/>
            <w:vAlign w:val="bottom"/>
            <w:gridSpan w:val="1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980" w:type="dxa"/>
            <w:vAlign w:val="bottom"/>
            <w:gridSpan w:val="5"/>
          </w:tcPr>
          <w:p>
            <w:pPr>
              <w:spacing w:after="0"/>
              <w:rPr>
                <w:sz w:val="17"/>
                <w:szCs w:val="17"/>
                <w:color w:val="auto"/>
              </w:rPr>
            </w:pPr>
          </w:p>
        </w:tc>
        <w:tc>
          <w:tcPr>
            <w:tcW w:w="9160" w:type="dxa"/>
            <w:vAlign w:val="bottom"/>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980" w:type="dxa"/>
            <w:vAlign w:val="bottom"/>
            <w:gridSpan w:val="5"/>
          </w:tcPr>
          <w:p>
            <w:pPr>
              <w:spacing w:after="0"/>
              <w:rPr>
                <w:sz w:val="17"/>
                <w:szCs w:val="17"/>
                <w:color w:val="auto"/>
              </w:rPr>
            </w:pPr>
          </w:p>
        </w:tc>
        <w:tc>
          <w:tcPr>
            <w:tcW w:w="9160" w:type="dxa"/>
            <w:vAlign w:val="bottom"/>
            <w:gridSpan w:val="2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w:t>
              </w:r>
            </w:hyperlink>
          </w:p>
        </w:tc>
        <w:tc>
          <w:tcPr>
            <w:tcW w:w="5000" w:type="dxa"/>
            <w:vAlign w:val="bottom"/>
            <w:gridSpan w:val="10"/>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980" w:type="dxa"/>
            <w:vAlign w:val="bottom"/>
            <w:gridSpan w:val="5"/>
          </w:tcPr>
          <w:p>
            <w:pPr>
              <w:spacing w:after="0"/>
              <w:rPr>
                <w:sz w:val="17"/>
                <w:szCs w:val="17"/>
                <w:color w:val="auto"/>
              </w:rPr>
            </w:pPr>
          </w:p>
        </w:tc>
        <w:tc>
          <w:tcPr>
            <w:tcW w:w="7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Market for Registrant’s Common Units, Related Unitholder Matters and Issuer Purchases of Equity Securities</w:t>
              </w:r>
            </w:hyperlink>
          </w:p>
        </w:tc>
        <w:tc>
          <w:tcPr>
            <w:tcW w:w="124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980" w:type="dxa"/>
            <w:vAlign w:val="bottom"/>
            <w:gridSpan w:val="5"/>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Selected Financial Data</w:t>
              </w:r>
            </w:hyperlink>
          </w:p>
        </w:tc>
        <w:tc>
          <w:tcPr>
            <w:tcW w:w="7440" w:type="dxa"/>
            <w:vAlign w:val="bottom"/>
            <w:gridSpan w:val="2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7.</w:t>
              </w:r>
            </w:hyperlink>
          </w:p>
        </w:tc>
        <w:tc>
          <w:tcPr>
            <w:tcW w:w="980" w:type="dxa"/>
            <w:vAlign w:val="bottom"/>
            <w:gridSpan w:val="5"/>
          </w:tcPr>
          <w:p>
            <w:pPr>
              <w:spacing w:after="0"/>
              <w:rPr>
                <w:sz w:val="17"/>
                <w:szCs w:val="17"/>
                <w:color w:val="auto"/>
              </w:rPr>
            </w:pPr>
          </w:p>
        </w:tc>
        <w:tc>
          <w:tcPr>
            <w:tcW w:w="916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Item 7A.</w:t>
              </w:r>
            </w:hyperlink>
          </w:p>
        </w:tc>
        <w:tc>
          <w:tcPr>
            <w:tcW w:w="840" w:type="dxa"/>
            <w:vAlign w:val="bottom"/>
            <w:gridSpan w:val="2"/>
          </w:tcPr>
          <w:p>
            <w:pPr>
              <w:spacing w:after="0"/>
              <w:rPr>
                <w:sz w:val="17"/>
                <w:szCs w:val="17"/>
                <w:color w:val="auto"/>
              </w:rPr>
            </w:pPr>
          </w:p>
        </w:tc>
        <w:tc>
          <w:tcPr>
            <w:tcW w:w="9160" w:type="dxa"/>
            <w:vAlign w:val="bottom"/>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84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9"/>
          </w:tcPr>
          <w:p>
            <w:pPr>
              <w:spacing w:after="0"/>
              <w:rPr>
                <w:sz w:val="17"/>
                <w:szCs w:val="17"/>
                <w:color w:val="auto"/>
              </w:rPr>
            </w:pPr>
          </w:p>
        </w:tc>
        <w:tc>
          <w:tcPr>
            <w:tcW w:w="4800" w:type="dxa"/>
            <w:vAlign w:val="bottom"/>
            <w:gridSpan w:val="7"/>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9.</w:t>
              </w:r>
            </w:hyperlink>
          </w:p>
        </w:tc>
        <w:tc>
          <w:tcPr>
            <w:tcW w:w="980" w:type="dxa"/>
            <w:vAlign w:val="bottom"/>
            <w:gridSpan w:val="5"/>
          </w:tcPr>
          <w:p>
            <w:pPr>
              <w:spacing w:after="0"/>
              <w:rPr>
                <w:sz w:val="17"/>
                <w:szCs w:val="17"/>
                <w:color w:val="auto"/>
              </w:rPr>
            </w:pPr>
          </w:p>
        </w:tc>
        <w:tc>
          <w:tcPr>
            <w:tcW w:w="65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Item 9A.</w:t>
              </w:r>
            </w:hyperlink>
          </w:p>
        </w:tc>
        <w:tc>
          <w:tcPr>
            <w:tcW w:w="840" w:type="dxa"/>
            <w:vAlign w:val="bottom"/>
            <w:gridSpan w:val="2"/>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Controls and Procedures</w:t>
              </w:r>
            </w:hyperlink>
          </w:p>
        </w:tc>
        <w:tc>
          <w:tcPr>
            <w:tcW w:w="7380" w:type="dxa"/>
            <w:vAlign w:val="bottom"/>
            <w:gridSpan w:val="21"/>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9B.</w:t>
              </w:r>
            </w:hyperlink>
          </w:p>
        </w:tc>
        <w:tc>
          <w:tcPr>
            <w:tcW w:w="9160" w:type="dxa"/>
            <w:vAlign w:val="bottom"/>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7"/>
          </w:tcPr>
          <w:p>
            <w:pPr>
              <w:jc w:val="cente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4960" w:type="dxa"/>
            <w:vAlign w:val="bottom"/>
            <w:gridSpan w:val="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10.</w:t>
              </w:r>
            </w:hyperlink>
          </w:p>
        </w:tc>
        <w:tc>
          <w:tcPr>
            <w:tcW w:w="9160" w:type="dxa"/>
            <w:vAlign w:val="bottom"/>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Directors and Executive Officers of Our General Partner and Corporate Governance</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11.</w:t>
              </w:r>
            </w:hyperlink>
          </w:p>
        </w:tc>
        <w:tc>
          <w:tcPr>
            <w:tcW w:w="9160" w:type="dxa"/>
            <w:vAlign w:val="bottom"/>
            <w:gridSpan w:val="2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12.</w:t>
              </w:r>
            </w:hyperlink>
          </w:p>
        </w:tc>
        <w:tc>
          <w:tcPr>
            <w:tcW w:w="9160" w:type="dxa"/>
            <w:vAlign w:val="bottom"/>
            <w:gridSpan w:val="2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Unitholder Matters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13.</w:t>
              </w:r>
            </w:hyperlink>
          </w:p>
        </w:tc>
        <w:tc>
          <w:tcPr>
            <w:tcW w:w="9160" w:type="dxa"/>
            <w:vAlign w:val="bottom"/>
            <w:gridSpan w:val="2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Certain Relationships and Related Transactions, and Director Independence</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Item 14.</w:t>
              </w:r>
            </w:hyperlink>
          </w:p>
        </w:tc>
        <w:tc>
          <w:tcPr>
            <w:tcW w:w="9160" w:type="dxa"/>
            <w:vAlign w:val="bottom"/>
            <w:gridSpan w:val="2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Principal Accountant Fees and Services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gridSpan w:val="14"/>
          </w:tcPr>
          <w:p>
            <w:pPr>
              <w:jc w:val="center"/>
              <w:ind w:right="4980"/>
              <w:spacing w:after="0" w:line="196" w:lineRule="exact"/>
              <w:rPr>
                <w:rFonts w:ascii="Arial" w:cs="Arial" w:eastAsia="Arial" w:hAnsi="Arial"/>
                <w:sz w:val="18"/>
                <w:szCs w:val="18"/>
                <w:b w:val="1"/>
                <w:bCs w:val="1"/>
                <w:color w:val="0000EE"/>
                <w:w w:val="98"/>
              </w:rPr>
            </w:pPr>
            <w:hyperlink w:anchor="page98">
              <w:r>
                <w:rPr>
                  <w:rFonts w:ascii="Arial" w:cs="Arial" w:eastAsia="Arial" w:hAnsi="Arial"/>
                  <w:sz w:val="18"/>
                  <w:szCs w:val="18"/>
                  <w:b w:val="1"/>
                  <w:bCs w:val="1"/>
                  <w:color w:val="0000EE"/>
                  <w:w w:val="98"/>
                </w:rPr>
                <w:t>PART IV</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Item 15.</w:t>
              </w:r>
            </w:hyperlink>
          </w:p>
        </w:tc>
        <w:tc>
          <w:tcPr>
            <w:tcW w:w="3480" w:type="dxa"/>
            <w:vAlign w:val="bottom"/>
            <w:gridSpan w:val="12"/>
          </w:tcPr>
          <w:p>
            <w:pPr>
              <w:spacing w:after="0" w:line="196"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Exhibits and Financial Statement Schedules</w:t>
              </w:r>
            </w:hyperlink>
          </w:p>
        </w:tc>
        <w:tc>
          <w:tcPr>
            <w:tcW w:w="700" w:type="dxa"/>
            <w:vAlign w:val="bottom"/>
            <w:tcBorders>
              <w:top w:val="single" w:sz="8" w:color="0000EE"/>
            </w:tcBorders>
            <w:gridSpan w:val="5"/>
          </w:tcPr>
          <w:p>
            <w:pPr>
              <w:spacing w:after="0"/>
              <w:rPr>
                <w:sz w:val="17"/>
                <w:szCs w:val="17"/>
                <w:color w:val="auto"/>
              </w:rPr>
            </w:pPr>
          </w:p>
        </w:tc>
        <w:tc>
          <w:tcPr>
            <w:tcW w:w="4980" w:type="dxa"/>
            <w:vAlign w:val="bottom"/>
            <w:gridSpan w:val="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60" w:type="dxa"/>
            <w:vAlign w:val="bottom"/>
            <w:tcBorders>
              <w:top w:val="single" w:sz="8" w:color="0000EE"/>
            </w:tcBorders>
            <w:gridSpan w:val="9"/>
          </w:tcPr>
          <w:p>
            <w:pPr>
              <w:spacing w:after="0"/>
              <w:rPr>
                <w:sz w:val="24"/>
                <w:szCs w:val="24"/>
                <w:color w:val="auto"/>
              </w:rPr>
            </w:pPr>
          </w:p>
        </w:tc>
        <w:tc>
          <w:tcPr>
            <w:tcW w:w="1200" w:type="dxa"/>
            <w:vAlign w:val="bottom"/>
            <w:gridSpan w:val="10"/>
          </w:tcPr>
          <w:p>
            <w:pPr>
              <w:jc w:val="right"/>
              <w:ind w:right="10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right="260" w:hanging="324"/>
        <w:spacing w:after="0" w:line="264"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b w:val="1"/>
          <w:bCs w:val="1"/>
          <w:color w:val="auto"/>
        </w:rPr>
      </w:pPr>
    </w:p>
    <w:p>
      <w:pPr>
        <w:ind w:left="980" w:right="90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ectPr>
          <w:pgSz w:w="11900" w:h="16838" w:orient="portrait"/>
          <w:cols w:equalWidth="0" w:num="1">
            <w:col w:w="11460"/>
          </w:cols>
          <w:pgMar w:left="240" w:top="333" w:right="199" w:bottom="0" w:gutter="0" w:footer="0" w:header="0"/>
        </w:sectPr>
      </w:pPr>
    </w:p>
    <w:bookmarkStart w:id="2" w:name="page3"/>
    <w:bookmarkEnd w:id="2"/>
    <w:p>
      <w:pPr>
        <w:spacing w:after="0" w:line="137"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 When used in this Form 10-K, NGL refers to all NGL products including LPG.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were formed as a master limited partnership to acquire and operate the midstream crude oil businesses and assets of a predecessor entity and completed our initial public offering in 1998. Our 2% general partner interest is held by PAA GP LLC, a Delaware limited liability company, whose sole member is Plains AAP, L.P., a Delaware limited partnership. In October 2013, Plains GP Holdings, L.P. (NYSE: PAGP), a Delaware limited partnership that has elected to be treated as a corporation for U.S. federal income tax purposes, completed its initial public offering, and at December 31, 2013, PAGP owned a 22.1% limited partner interest in Plains AAP, L.P. (a 20.6% economic interest). The remaining limited partner interests in Plains AAP, L.P. continue to be held by the owners of our general partner entities immediately prior to PAGP’s initial public offering. In addition to its ownership of PAA GP LLC, Plains AAP, L.P. also owns all of our incentive distribution rights. Plains All American GP LLC, a Delaware limited liability company, is Plains AAP, L.P.’s general partner. PAGP is the sole member of Plains All American GP LLC, and PAA GP Holdings LLC is the general partner of PAGP. References to our “general partner,” as the context requires, include any or all of PAA GP LLC, Plains AAP, L.P. and Plains All American GP LLC.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operations are conducted through, and our operating assets are owned by, our subsidiaries. Plains All American GP LLC has responsibility for conducting our business and managing our operations; however, PAGP effectively controls our business and affairs through the exercise of its rights as the sole and managing member of our General Partner, including its right to appoint certain members to the board of directors of our General Partner.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Plains AAP, L.P., which are referred to herein as the “AAP Management Units”).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two charts below show the structure and ownership of PAA and certain subsidiaries as of December 31, 2013 in both an abridged and more detailed format. The first chart depicts PAA’s legal structure in summary format, while the second chart depicts a more comprehensive view of PAA’s legal</w:t>
      </w:r>
    </w:p>
    <w:p>
      <w:pPr>
        <w:sectPr>
          <w:pgSz w:w="11900" w:h="16975" w:orient="portrait"/>
          <w:cols w:equalWidth="0" w:num="1">
            <w:col w:w="11420"/>
          </w:cols>
          <w:pgMar w:left="240" w:top="125"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structure, including ownership and economic interests and shares and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167005</wp:posOffset>
            </wp:positionV>
            <wp:extent cx="5308600" cy="4725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8600" cy="472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0219"/>
          </w:cols>
          <w:pgMar w:left="240" w:top="125"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560185" cy="7409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018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24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Incentive Distribution Rights (“IDRs”). See Item 5. “Market for Registrant’s Common Units, Related Unitholder Matters and Issuer Purchases of Equity Securities” for discussion of our general partner’s incentive distribution rights.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40"/>
          </w:cols>
          <w:pgMar w:left="240" w:top="1440" w:right="31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980" w:hanging="11"/>
        <w:spacing w:after="0" w:line="277" w:lineRule="auto"/>
        <w:rPr>
          <w:sz w:val="20"/>
          <w:szCs w:val="20"/>
          <w:color w:val="auto"/>
        </w:rPr>
      </w:pPr>
      <w:r>
        <w:rPr>
          <w:rFonts w:ascii="Arial" w:cs="Arial" w:eastAsia="Arial" w:hAnsi="Arial"/>
          <w:sz w:val="18"/>
          <w:szCs w:val="18"/>
          <w:color w:val="auto"/>
        </w:rPr>
        <w:t>The Partnership holds direct and indirect ownership interests in consolidated operating subsidiaries including, but not limited to, Plains Marketing, L.P., Plains Pipeline, L.P. and Plains Midstream Canada ULC (“PMC”).</w:t>
      </w:r>
    </w:p>
    <w:p>
      <w:pPr>
        <w:spacing w:after="0" w:line="170" w:lineRule="exact"/>
        <w:rPr>
          <w:sz w:val="20"/>
          <w:szCs w:val="20"/>
          <w:color w:val="auto"/>
        </w:rPr>
      </w:pPr>
    </w:p>
    <w:p>
      <w:pPr>
        <w:ind w:right="20" w:hanging="11"/>
        <w:spacing w:after="0" w:line="264" w:lineRule="auto"/>
        <w:rPr>
          <w:sz w:val="20"/>
          <w:szCs w:val="20"/>
          <w:color w:val="auto"/>
        </w:rPr>
      </w:pPr>
      <w:r>
        <w:rPr>
          <w:rFonts w:ascii="Arial" w:cs="Arial" w:eastAsia="Arial" w:hAnsi="Arial"/>
          <w:sz w:val="18"/>
          <w:szCs w:val="18"/>
          <w:color w:val="auto"/>
        </w:rPr>
        <w:t>The Partnership holds indirect equity interests in unconsolidated entities including Settoon Towing, LLC (“Settoon Towing”), White Cliffs Pipeline, LLC (“White Cliffs”), Butte Pipe Line Company (“Butte”), Frontier Pipeline Company (“Frontier”) and Eagle Ford Pipeline LLC (“Eagle Ford Pipeline”).</w:t>
      </w:r>
    </w:p>
    <w:p>
      <w:pPr>
        <w:spacing w:after="0" w:line="181" w:lineRule="exact"/>
        <w:rPr>
          <w:sz w:val="20"/>
          <w:szCs w:val="20"/>
          <w:color w:val="auto"/>
        </w:rPr>
      </w:pPr>
    </w:p>
    <w:p>
      <w:pPr>
        <w:sectPr>
          <w:pgSz w:w="11900" w:h="16838" w:orient="portrait"/>
          <w:cols w:equalWidth="0" w:num="2">
            <w:col w:w="140" w:space="520"/>
            <w:col w:w="10680"/>
          </w:cols>
          <w:pgMar w:left="240" w:top="1440" w:right="319" w:bottom="0" w:gutter="0" w:footer="0" w:header="0"/>
          <w:type w:val="continuous"/>
        </w:sectPr>
      </w:pPr>
    </w:p>
    <w:p>
      <w:pPr>
        <w:ind w:left="660" w:hanging="652"/>
        <w:spacing w:after="0" w:line="234"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number of Class A units of Plains AAP, L.P. (“AAP units”) for which the AAP Management Units would be exchangeable, assuming a conversion rate of approximately 0.90 AAP units for each AAP Management Unit as of December 31, 2013. The AAP Management Units are entitled to certain proportionate distributions paid by AAP.</w:t>
      </w:r>
    </w:p>
    <w:p>
      <w:pPr>
        <w:spacing w:after="0" w:line="202" w:lineRule="exact"/>
        <w:rPr>
          <w:rFonts w:ascii="Arial" w:cs="Arial" w:eastAsia="Arial" w:hAnsi="Arial"/>
          <w:sz w:val="23"/>
          <w:szCs w:val="23"/>
          <w:color w:val="auto"/>
          <w:vertAlign w:val="superscript"/>
        </w:rPr>
      </w:pPr>
    </w:p>
    <w:p>
      <w:pPr>
        <w:ind w:left="660" w:right="240" w:hanging="652"/>
        <w:spacing w:after="0" w:line="267"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As of December 31, 2013, PAGP owned 22.1% of the membership interests in its general partner, which percentage corresponds to its ownership percentage of AAP units (22.1%, representing a 20.6% economic interest in AAP, including the dilutive effect of the AAP Management Units).</w:t>
      </w:r>
    </w:p>
    <w:p>
      <w:pPr>
        <w:sectPr>
          <w:pgSz w:w="11900" w:h="16838" w:orient="portrait"/>
          <w:cols w:equalWidth="0" w:num="1">
            <w:col w:w="11340"/>
          </w:cols>
          <w:pgMar w:left="240" w:top="1440" w:right="319" w:bottom="0" w:gutter="0" w:footer="0" w:header="0"/>
          <w:type w:val="continuous"/>
        </w:sectPr>
      </w:pPr>
    </w:p>
    <w:bookmarkStart w:id="5" w:name="page6"/>
    <w:bookmarkEnd w:id="5"/>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principal business strategy is to provide competitive and efficient midstream transportation, terminalling, storage, processing, fractionation and supply and logistics services to producers, refiners and other customers. Toward this end, we endeavor to address regional supply and demand imbalances for crude oil and NGL in the United States and Canada by combining the strategic location and capabilities of our transportation, terminalling, storage, processing and fractionation assets with our extensive supply, logistics and distribution expertise. To a lesser extent, we also engage in similar activities for natural gas and refined products. We believe successful execution of this strategy will enable us to generate sustainable earnings and cash flow. We intend to manage and grow our business by:</w:t>
      </w:r>
    </w:p>
    <w:p>
      <w:pPr>
        <w:spacing w:after="0" w:line="193"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commercially optimizing our existing assets and realizing cost efficiencies through operational improvements;</w:t>
      </w:r>
    </w:p>
    <w:p>
      <w:pPr>
        <w:spacing w:after="0" w:line="225" w:lineRule="exact"/>
        <w:rPr>
          <w:rFonts w:ascii="Arial" w:cs="Arial" w:eastAsia="Arial" w:hAnsi="Arial"/>
          <w:sz w:val="18"/>
          <w:szCs w:val="18"/>
          <w:color w:val="auto"/>
        </w:rPr>
      </w:pPr>
    </w:p>
    <w:p>
      <w:pPr>
        <w:jc w:val="both"/>
        <w:ind w:left="980" w:right="10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our transportation (including pipeline, rail, barge and truck), terminalling, storage, processing and fractionation assets in conjunction with our supply and logistics activities to capitalize on inefficient energy markets and to address physical market imbalances, mitigate inherent risks and increase margin;</w:t>
      </w:r>
    </w:p>
    <w:p>
      <w:pPr>
        <w:spacing w:after="0" w:line="181"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implementing internal growth projects that (i) address evolving crude oil and NGL needs in the midstream transportation and infrastructure sector and (ii) are well positioned to benefit from long-term industry trends and opportunities;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our existing asset base and distribution capabilities; and</w:t>
      </w:r>
    </w:p>
    <w:p>
      <w:pPr>
        <w:spacing w:after="0" w:line="225" w:lineRule="exact"/>
        <w:rPr>
          <w:rFonts w:ascii="Arial" w:cs="Arial" w:eastAsia="Arial" w:hAnsi="Arial"/>
          <w:sz w:val="18"/>
          <w:szCs w:val="18"/>
          <w:color w:val="auto"/>
        </w:rPr>
      </w:pPr>
    </w:p>
    <w:p>
      <w:pPr>
        <w:jc w:val="both"/>
        <w:ind w:left="980" w:right="20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capitalizing on anticipated intermediate to long-term opportunities for natural gas storage services in North America by owning and operating high-quality natural gas storage facilities and providing our current and future customers reliable, competitive and flexible natural gas storage and related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225" w:lineRule="exact"/>
        <w:rPr>
          <w:sz w:val="20"/>
          <w:szCs w:val="20"/>
          <w:color w:val="auto"/>
        </w:rPr>
      </w:pPr>
    </w:p>
    <w:p>
      <w:pPr>
        <w:ind w:left="980" w:hanging="324"/>
        <w:spacing w:after="0" w:line="273"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Many of our transportation segment and facilities segment assets are strategically located and operationally flexible. </w:t>
      </w:r>
      <w:r>
        <w:rPr>
          <w:rFonts w:ascii="Arial" w:cs="Arial" w:eastAsia="Arial" w:hAnsi="Arial"/>
          <w:sz w:val="17"/>
          <w:szCs w:val="17"/>
          <w:color w:val="auto"/>
        </w:rPr>
        <w:t>The majority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transportation segment assets are in crude oil service, are located in well-established oil producing regions and other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 Our assets include pipeline, rail, barge and truck assets, which provide our customers and us with significant flexibility and optionality to satisfy demand and balance markets, particularly during a dynamic period of changing product flows.</w:t>
      </w:r>
    </w:p>
    <w:p>
      <w:pPr>
        <w:spacing w:after="0" w:line="178" w:lineRule="exact"/>
        <w:rPr>
          <w:rFonts w:ascii="Arial" w:cs="Arial" w:eastAsia="Arial" w:hAnsi="Arial"/>
          <w:sz w:val="17"/>
          <w:szCs w:val="17"/>
          <w:color w:val="auto"/>
        </w:rPr>
      </w:pPr>
    </w:p>
    <w:p>
      <w:pPr>
        <w:ind w:left="980" w:right="40" w:hanging="324"/>
        <w:spacing w:after="0" w:line="264"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We possess specialized crude oil market knowledge. </w:t>
      </w:r>
      <w:r>
        <w:rPr>
          <w:rFonts w:ascii="Arial" w:cs="Arial" w:eastAsia="Arial" w:hAnsi="Arial"/>
          <w:sz w:val="18"/>
          <w:szCs w:val="18"/>
          <w:color w:val="auto"/>
        </w:rPr>
        <w:t>We believe our business relationships with participants in various phases of the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chain, from crude oil producers to refiners, as well as our own industry expertise, provide us with an extensive understanding of the North American physical crude oil markets.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9"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Our supply and logistics activities typically generate a base level of margin with the opportunity to realize incremental margins. </w:t>
      </w:r>
      <w:r>
        <w:rPr>
          <w:rFonts w:ascii="Arial" w:cs="Arial" w:eastAsia="Arial" w:hAnsi="Arial"/>
          <w:sz w:val="17"/>
          <w:szCs w:val="17"/>
          <w:color w:val="auto"/>
        </w:rPr>
        <w:t>We believe the</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activities executed within our supply and logistics segment in combination with our risk management strategies provides us with a balance that generally affords us the flexibility to maintain a base level of margin in a variety of market conditions (subject to the effects of seasonality). In certain circumstances, we are able to realize incremental margins during volatile market conditions.</w:t>
      </w:r>
    </w:p>
    <w:p>
      <w:pPr>
        <w:spacing w:after="0" w:line="171" w:lineRule="exact"/>
        <w:rPr>
          <w:rFonts w:ascii="Arial" w:cs="Arial" w:eastAsia="Arial" w:hAnsi="Arial"/>
          <w:sz w:val="17"/>
          <w:szCs w:val="17"/>
          <w:color w:val="auto"/>
        </w:rPr>
      </w:pPr>
    </w:p>
    <w:p>
      <w:pPr>
        <w:ind w:left="980" w:hanging="324"/>
        <w:spacing w:after="0" w:line="273"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7"/>
          <w:szCs w:val="17"/>
          <w:color w:val="auto"/>
        </w:rPr>
        <w:t>Over the past sixteen years, we have completed and integrated over 80 acquisitions with an aggregate purchase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$10.5 billion, which figures include over 30 acquisitions totaling approximately $5.2 billion in aggregate purchase price over the last six years. We have also implemented internal expansion capital projects totaling over $5.8 billion. In addition, we believe we have resources to finance future strategic expansion and acquisition opportunities. As of December 31, 2013, we had over $1.8 billion available under our committed credit facilities, subject to continued covenant compliance.</w:t>
      </w:r>
    </w:p>
    <w:p>
      <w:pPr>
        <w:spacing w:after="0" w:line="178" w:lineRule="exact"/>
        <w:rPr>
          <w:rFonts w:ascii="Arial" w:cs="Arial" w:eastAsia="Arial" w:hAnsi="Arial"/>
          <w:sz w:val="17"/>
          <w:szCs w:val="17"/>
          <w:color w:val="auto"/>
        </w:rPr>
      </w:pPr>
    </w:p>
    <w:p>
      <w:pPr>
        <w:ind w:left="980" w:right="240" w:hanging="324"/>
        <w:spacing w:after="0" w:line="259"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 have an experienced management team whose interests are aligned with those of our unitholders. </w:t>
      </w:r>
      <w:r>
        <w:rPr>
          <w:rFonts w:ascii="Arial" w:cs="Arial" w:eastAsia="Arial" w:hAnsi="Arial"/>
          <w:sz w:val="18"/>
          <w:szCs w:val="18"/>
          <w:color w:val="auto"/>
        </w:rPr>
        <w:t>Our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29 years industry experience, and an average of 17 years with us or our predecessors and affiliates. In addition, through their ownership of common units, indirect interests in our general partner, grants of phantom units and AAP Management Units, our management team has a vested interest in our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a competitive cost of capital and access to the capital markets. In that regard, we intend to maintain a credit profile that we believe is consistent with investment grade credit ratings. We have targeted a general credit profile with the following attributes:</w:t>
      </w:r>
    </w:p>
    <w:p>
      <w:pPr>
        <w:spacing w:after="0" w:line="181"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45% to 50%;</w:t>
      </w:r>
    </w:p>
    <w:p>
      <w:pPr>
        <w:spacing w:after="0" w:line="225" w:lineRule="exact"/>
        <w:rPr>
          <w:rFonts w:ascii="Arial" w:cs="Arial" w:eastAsia="Arial" w:hAnsi="Arial"/>
          <w:sz w:val="18"/>
          <w:szCs w:val="18"/>
          <w:color w:val="auto"/>
        </w:rPr>
      </w:pPr>
    </w:p>
    <w:p>
      <w:pPr>
        <w:ind w:left="980" w:right="20" w:hanging="324"/>
        <w:spacing w:after="0" w:line="30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long-term debt-to-adjusted EBITDA multiple averaging between 3.5x and 4.0x (Adjusted EBITDA is earnings before interest, taxes, depreciation and amortization, equity-indexed compensation plan charges, gains and losses from derivative activities and other selected items that impact comparability. See Item 7. “Management’s Discussion and Analysis of Financial Condition and Results of Operations — Results of Operations — Non-GAAP Financial Measures” for a discussion of our selected items that impact comparability and our non-GAAP measures.);</w:t>
      </w:r>
    </w:p>
    <w:p>
      <w:pPr>
        <w:sectPr>
          <w:pgSz w:w="11900" w:h="16877" w:orient="portrait"/>
          <w:cols w:equalWidth="0" w:num="1">
            <w:col w:w="11380"/>
          </w:cols>
          <w:pgMar w:left="240" w:top="337" w:right="279" w:bottom="0" w:gutter="0" w:footer="0" w:header="0"/>
        </w:sectPr>
      </w:pPr>
    </w:p>
    <w:bookmarkStart w:id="6" w:name="page7"/>
    <w:bookmarkEnd w:id="6"/>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first two of these four metrics include long-term debt as a critical measure. We also incur short-term debt in connection with our supply and logistics activities that involve the simultaneous purchase and forward sale of crude oil, NGL and natural gas. The crude oil, NGL and natural gas purchased in these transactions are hedged. We do not consider the working capital borrowings associated with these activities to be part of our long-term capital structure. These borrowings are self-liquidating as they are repaid with sales proceeds. We also incur short-term debt to fund New York Mercantile Exchange (“NYMEX”) and IntercontinentalExchange (“ICE”) margin requirements. In certain market conditions, these routine short-term debt levels may increase significantly above baseline levels.</w:t>
      </w:r>
    </w:p>
    <w:p>
      <w:pPr>
        <w:spacing w:after="0" w:line="193"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In order for us to maintain our targeted credit profile and achieve growth through internal growth projects and acquisitions, we intend to fund approximately 55%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capital expansion projects to adjusted EBITDA.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acquisition of midstream assets and businesses that are strategic and complementary to our existing operations constitutes an integral component of our business strategy and growth objectives. Such assets and businesses include crude oil, refined products and NGL logistics assets, natural gas storage assets and other energy assets that have characteristics and provide opportunities similar to such business lines and enable us to leverage our assets, knowledge and skill sets.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acquisitions greater than $200 million that we have completed over the past five years (in millions). See Note 3 to our Consolidated Financial Statements for a full discussion regarding our acquisition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(1)</w:t>
            </w: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386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 xml:space="preserve">Purchase Price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195"/>
        </w:trPr>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US Development Group Crude Oil Rail Terminals</w:t>
            </w:r>
          </w:p>
        </w:tc>
        <w:tc>
          <w:tcPr>
            <w:tcW w:w="280" w:type="dxa"/>
            <w:vAlign w:val="bottom"/>
          </w:tcPr>
          <w:p>
            <w:pPr>
              <w:spacing w:after="0"/>
              <w:rPr>
                <w:sz w:val="16"/>
                <w:szCs w:val="16"/>
                <w:color w:val="auto"/>
              </w:rPr>
            </w:pPr>
          </w:p>
        </w:tc>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Dec-2012</w:t>
            </w:r>
          </w:p>
        </w:tc>
        <w:tc>
          <w:tcPr>
            <w:tcW w:w="30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Four operating crude oil rail terminals and one</w:t>
            </w:r>
          </w:p>
        </w:tc>
        <w:tc>
          <w:tcPr>
            <w:tcW w:w="3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(“USD”)</w:t>
            </w:r>
          </w:p>
        </w:tc>
        <w:tc>
          <w:tcPr>
            <w:tcW w:w="1160" w:type="dxa"/>
            <w:vAlign w:val="bottom"/>
          </w:tcPr>
          <w:p>
            <w:pPr>
              <w:spacing w:after="0"/>
              <w:rPr>
                <w:sz w:val="20"/>
                <w:szCs w:val="20"/>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rPr>
              <w:t>terminal under development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1,683</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BP Canada Energy Company (“BP NGL”)</w:t>
            </w: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Apr-2012</w:t>
            </w:r>
          </w:p>
        </w:tc>
        <w:tc>
          <w:tcPr>
            <w:tcW w:w="416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NGL assets located in Canada and the upper-</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rPr>
              <w:t>Midwest United States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220</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Western Refining, Inc. Pipeline and Storage Assets</w:t>
            </w: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Dec-2011</w:t>
            </w:r>
          </w:p>
        </w:tc>
        <w:tc>
          <w:tcPr>
            <w:tcW w:w="416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94"/>
              </w:rPr>
              <w:t>Multi-product storage facility in Virginia and a crude</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(“Western”)</w:t>
            </w:r>
          </w:p>
        </w:tc>
        <w:tc>
          <w:tcPr>
            <w:tcW w:w="1160" w:type="dxa"/>
            <w:vAlign w:val="bottom"/>
          </w:tcPr>
          <w:p>
            <w:pPr>
              <w:spacing w:after="0"/>
              <w:rPr>
                <w:sz w:val="20"/>
                <w:szCs w:val="20"/>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rPr>
              <w:t>oil pipeline in southeastern New Mexico</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Velocity South Texas Gathering, LLC (“Velocity”)</w:t>
            </w: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Nov-2011</w:t>
            </w:r>
          </w:p>
        </w:tc>
        <w:tc>
          <w:tcPr>
            <w:tcW w:w="416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Crude oil and condensate gathering and</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w w:val="95"/>
              </w:rPr>
              <w:t>transportation assets in South Texas (“Gardendale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rPr>
              <w:t>Gathering System”)</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36"/>
                <w:szCs w:val="36"/>
                <w:color w:val="auto"/>
                <w:vertAlign w:val="subscript"/>
              </w:rPr>
              <w:t>765</w:t>
            </w: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SG Resources Mississippi, LLC (“SG Resources”)</w:t>
            </w: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Feb-2011</w:t>
            </w:r>
          </w:p>
        </w:tc>
        <w:tc>
          <w:tcPr>
            <w:tcW w:w="416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96"/>
              </w:rPr>
              <w:t>Southern Pines Energy Center (“Southern Pines”)</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rPr>
              <w:t>natural gas storage facility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36"/>
                <w:szCs w:val="36"/>
                <w:color w:val="auto"/>
                <w:vertAlign w:val="subscript"/>
              </w:rPr>
              <w:t>229</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Nexen Holdings U.S.A. Inc. Gathering and</w:t>
            </w: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Dec-2010</w:t>
            </w:r>
          </w:p>
        </w:tc>
        <w:tc>
          <w:tcPr>
            <w:tcW w:w="416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88"/>
              </w:rPr>
              <w:t>Crude oil gathering business and transportation assets</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Transportation Assets (“Nexen”)</w:t>
            </w:r>
          </w:p>
        </w:tc>
        <w:tc>
          <w:tcPr>
            <w:tcW w:w="1160" w:type="dxa"/>
            <w:vAlign w:val="bottom"/>
          </w:tcPr>
          <w:p>
            <w:pPr>
              <w:spacing w:after="0"/>
              <w:rPr>
                <w:sz w:val="20"/>
                <w:szCs w:val="20"/>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rPr>
              <w:t>in North Dakota and Montana</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215</w:t>
            </w:r>
            <w:r>
              <w:rPr>
                <w:rFonts w:ascii="Arial" w:cs="Arial" w:eastAsia="Arial" w:hAnsi="Arial"/>
                <w:sz w:val="23"/>
                <w:szCs w:val="23"/>
                <w:color w:val="auto"/>
                <w:vertAlign w:val="superscript"/>
              </w:rPr>
              <w:t>(7)</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PAA Natural Gas Storage, LLC (“PNGS”)</w:t>
            </w:r>
          </w:p>
        </w:tc>
        <w:tc>
          <w:tcPr>
            <w:tcW w:w="1160" w:type="dxa"/>
            <w:vAlign w:val="bottom"/>
          </w:tcPr>
          <w:p>
            <w:pPr>
              <w:spacing w:after="0"/>
              <w:rPr>
                <w:sz w:val="20"/>
                <w:szCs w:val="20"/>
                <w:color w:val="auto"/>
              </w:rPr>
            </w:pPr>
            <w:r>
              <w:rPr>
                <w:rFonts w:ascii="Arial" w:cs="Arial" w:eastAsia="Arial" w:hAnsi="Arial"/>
                <w:sz w:val="18"/>
                <w:szCs w:val="18"/>
                <w:color w:val="auto"/>
              </w:rPr>
              <w:t>Sep-2009</w:t>
            </w: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rPr>
              <w:t>Remaining 50% interest in PNGS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-1929130</wp:posOffset>
            </wp:positionV>
            <wp:extent cx="72466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80" w:hanging="11"/>
        <w:spacing w:after="0" w:line="253" w:lineRule="auto"/>
        <w:rPr>
          <w:sz w:val="20"/>
          <w:szCs w:val="20"/>
          <w:color w:val="auto"/>
        </w:rPr>
      </w:pPr>
      <w:r>
        <w:rPr>
          <w:rFonts w:ascii="Arial" w:cs="Arial" w:eastAsia="Arial" w:hAnsi="Arial"/>
          <w:sz w:val="18"/>
          <w:szCs w:val="18"/>
          <w:color w:val="auto"/>
        </w:rPr>
        <w:t>Excludes our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we issued approximately 14.7 million PAA common units with a value of approximately $760 million. See Note 10 to our Consolidated Financial Statements for further discussion of the PNG Merger.</w:t>
      </w:r>
    </w:p>
    <w:p>
      <w:pPr>
        <w:spacing w:after="0" w:line="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As applicable, the approximate purchase price includes total cash paid and debt assumed, including amounts for working capital and inventory. Purchase price includes approximately $17 million of imputed interest. A prepayment of $50 million was made during 2011. Approximate purchase price of $1.192 billion, net of working capital, linefill and long-term inventory acquired. Includes two transactions with Western.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$750 million, net of cash and other working capital acquired.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$170 million, net of cash, inventory and other working capital acquired.</w:t>
      </w:r>
    </w:p>
    <w:p>
      <w:pPr>
        <w:spacing w:after="0" w:line="9" w:lineRule="exact"/>
        <w:rPr>
          <w:sz w:val="20"/>
          <w:szCs w:val="20"/>
          <w:color w:val="auto"/>
        </w:rPr>
      </w:pPr>
    </w:p>
    <w:p>
      <w:pPr>
        <w:ind w:left="20" w:right="100" w:hanging="11"/>
        <w:spacing w:after="0" w:line="261" w:lineRule="auto"/>
        <w:rPr>
          <w:sz w:val="20"/>
          <w:szCs w:val="20"/>
          <w:color w:val="auto"/>
        </w:rPr>
      </w:pPr>
      <w:r>
        <w:rPr>
          <w:rFonts w:ascii="Arial" w:cs="Arial" w:eastAsia="Arial" w:hAnsi="Arial"/>
          <w:sz w:val="18"/>
          <w:szCs w:val="18"/>
          <w:color w:val="auto"/>
        </w:rPr>
        <w:t>In connection with the PNGS acquisition we consolidated and subsequently refinanced approximately $450 million of previously non-recourse joint venture debt.</w:t>
      </w:r>
    </w:p>
    <w:p>
      <w:pPr>
        <w:spacing w:after="0" w:line="184" w:lineRule="exact"/>
        <w:rPr>
          <w:sz w:val="20"/>
          <w:szCs w:val="20"/>
          <w:color w:val="auto"/>
        </w:rPr>
      </w:pPr>
    </w:p>
    <w:p>
      <w:pPr>
        <w:sectPr>
          <w:pgSz w:w="11900" w:h="16838" w:orient="portrait"/>
          <w:cols w:equalWidth="0" w:num="2">
            <w:col w:w="140" w:space="500"/>
            <w:col w:w="10780"/>
          </w:cols>
          <w:pgMar w:left="240" w:top="341"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Ongoing Acquisition Activities</w:t>
      </w:r>
    </w:p>
    <w:p>
      <w:pPr>
        <w:spacing w:after="0" w:line="225" w:lineRule="exact"/>
        <w:rPr>
          <w:sz w:val="20"/>
          <w:szCs w:val="20"/>
          <w:color w:val="auto"/>
        </w:rPr>
      </w:pPr>
    </w:p>
    <w:p>
      <w:pPr>
        <w:ind w:left="20" w:right="120" w:firstLine="441"/>
        <w:spacing w:after="0" w:line="272" w:lineRule="auto"/>
        <w:rPr>
          <w:sz w:val="20"/>
          <w:szCs w:val="20"/>
          <w:color w:val="auto"/>
        </w:rPr>
      </w:pPr>
      <w:r>
        <w:rPr>
          <w:rFonts w:ascii="Arial" w:cs="Arial" w:eastAsia="Arial" w:hAnsi="Arial"/>
          <w:sz w:val="17"/>
          <w:szCs w:val="17"/>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provide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78"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w:t>
      </w:r>
    </w:p>
    <w:p>
      <w:pPr>
        <w:sectPr>
          <w:pgSz w:w="11900" w:h="16838" w:orient="portrait"/>
          <w:cols w:equalWidth="0" w:num="1">
            <w:col w:w="11420"/>
          </w:cols>
          <w:pgMar w:left="240" w:top="341" w:right="239" w:bottom="0" w:gutter="0" w:footer="0" w:header="0"/>
          <w:type w:val="continuous"/>
        </w:sectPr>
      </w:pPr>
    </w:p>
    <w:bookmarkStart w:id="7" w:name="page8"/>
    <w:bookmarkEnd w:id="7"/>
    <w:p>
      <w:pPr>
        <w:ind w:right="40"/>
        <w:spacing w:after="0" w:line="302" w:lineRule="auto"/>
        <w:rPr>
          <w:sz w:val="20"/>
          <w:szCs w:val="20"/>
          <w:color w:val="auto"/>
        </w:rPr>
      </w:pPr>
      <w:r>
        <w:rPr>
          <w:rFonts w:ascii="Arial" w:cs="Arial" w:eastAsia="Arial" w:hAnsi="Arial"/>
          <w:sz w:val="16"/>
          <w:szCs w:val="16"/>
          <w:color w:val="auto"/>
        </w:rPr>
        <w:t>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See Item 1A.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“Risk Factors—Risks Related to Our Business—If we do not make acquisitions or if we make acquisitions that fail to perform as anticipated, our future growth may be limited” and “—Our acquisition strategy involves risks that may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Projects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extensive asset base and our relationships with customers provide us with opportunities for organic growth through the construction of additional assets that are complementary to, and expand or extend, our existing asset base. We believe that the diversity and balance of our organic project portfolio (i.e., relatively large number of projects that are small to medium sized and spread across multiple geographic regions) reduces our overall exposure to cost overruns, timing delays and other adverse market developments with respect to a particular project or region. Our 2014 capital plan is representative of the diversity and the balance of our overall organic project portfolio. The following expansion projects are included in our 2014 capital plan as of February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2014 Plan</w:t>
            </w:r>
          </w:p>
        </w:tc>
        <w:tc>
          <w:tcPr>
            <w:tcW w:w="2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Basin/Region</w:t>
            </w:r>
          </w:p>
        </w:tc>
        <w:tc>
          <w:tcPr>
            <w:tcW w:w="240" w:type="dxa"/>
            <w:vAlign w:val="bottom"/>
          </w:tcPr>
          <w:p>
            <w:pPr>
              <w:spacing w:after="0"/>
              <w:rPr>
                <w:sz w:val="12"/>
                <w:szCs w:val="12"/>
                <w:color w:val="auto"/>
              </w:rPr>
            </w:pPr>
          </w:p>
        </w:tc>
        <w:tc>
          <w:tcPr>
            <w:tcW w:w="34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Project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220" w:type="dxa"/>
            <w:vAlign w:val="bottom"/>
          </w:tcPr>
          <w:p>
            <w:pPr>
              <w:spacing w:after="0"/>
              <w:rPr>
                <w:sz w:val="12"/>
                <w:szCs w:val="12"/>
                <w:color w:val="auto"/>
              </w:rPr>
            </w:pPr>
          </w:p>
        </w:tc>
        <w:tc>
          <w:tcPr>
            <w:tcW w:w="39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w:t>
            </w:r>
          </w:p>
        </w:tc>
        <w:tc>
          <w:tcPr>
            <w:tcW w:w="240" w:type="dxa"/>
            <w:vAlign w:val="bottom"/>
            <w:tcBorders>
              <w:top w:val="single" w:sz="8" w:color="CCEEFF"/>
            </w:tcBorders>
            <w:shd w:val="clear" w:color="auto" w:fill="CCEEFF"/>
          </w:tcPr>
          <w:p>
            <w:pPr>
              <w:spacing w:after="0"/>
              <w:rPr>
                <w:sz w:val="16"/>
                <w:szCs w:val="16"/>
                <w:color w:val="auto"/>
              </w:rPr>
            </w:pPr>
          </w:p>
        </w:tc>
        <w:tc>
          <w:tcPr>
            <w:tcW w:w="3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 Basin Area Projects</w:t>
            </w:r>
          </w:p>
        </w:tc>
        <w:tc>
          <w:tcPr>
            <w:tcW w:w="260" w:type="dxa"/>
            <w:vAlign w:val="bottom"/>
            <w:tcBorders>
              <w:top w:val="single" w:sz="8" w:color="CCEEFF"/>
            </w:tcBorders>
            <w:gridSpan w:val="2"/>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430</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Multiple projects to increase and expand pipeline</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in the Permian Basin, including the</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0"/>
              </w:rPr>
              <w:t>construction of three new trunklines and related assets</w:t>
            </w:r>
          </w:p>
        </w:tc>
        <w:tc>
          <w:tcPr>
            <w:tcW w:w="0" w:type="dxa"/>
            <w:vAlign w:val="bottom"/>
          </w:tcPr>
          <w:p>
            <w:pPr>
              <w:spacing w:after="0"/>
              <w:rPr>
                <w:sz w:val="1"/>
                <w:szCs w:val="1"/>
                <w:color w:val="auto"/>
              </w:rPr>
            </w:pPr>
          </w:p>
        </w:tc>
      </w:tr>
      <w:tr>
        <w:trPr>
          <w:trHeight w:val="418"/>
        </w:trPr>
        <w:tc>
          <w:tcPr>
            <w:tcW w:w="1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8"/>
              </w:rPr>
              <w:t>310 miles of new pipeline; 250,000 Bbls/d capacity</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3"/>
              </w:rPr>
              <w:t>pipeline from the Permian Basin to the Eagle Ford JV</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Pipeline</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Eagle Ford</w:t>
            </w:r>
          </w:p>
        </w:tc>
        <w:tc>
          <w:tcPr>
            <w:tcW w:w="24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93"/>
              </w:rPr>
              <w:t>PAA/Enterprise Products Partners Eagle Ford</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Expansion of Eagle Ford JV pipeline capacity to</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Joint Venture Project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2"/>
              </w:rPr>
              <w:t>470,000 barrels per day; construction of additional 2.3</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million barrels of storage capacity</w:t>
            </w:r>
          </w:p>
        </w:tc>
        <w:tc>
          <w:tcPr>
            <w:tcW w:w="0" w:type="dxa"/>
            <w:vAlign w:val="bottom"/>
          </w:tcPr>
          <w:p>
            <w:pPr>
              <w:spacing w:after="0"/>
              <w:rPr>
                <w:sz w:val="1"/>
                <w:szCs w:val="1"/>
                <w:color w:val="auto"/>
              </w:rPr>
            </w:pPr>
          </w:p>
        </w:tc>
      </w:tr>
      <w:tr>
        <w:trPr>
          <w:trHeight w:val="418"/>
        </w:trPr>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Gardendale Fractionator and Stabilizer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New NGL fractionator, expansion of existing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condensate stabilization facility and related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1"/>
              </w:rPr>
              <w:t>infrastructure enhancements in the Eagle Ford area of</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South Texas</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Mid-Continent</w:t>
            </w:r>
          </w:p>
        </w:tc>
        <w:tc>
          <w:tcPr>
            <w:tcW w:w="24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Western Oklahoma Extension</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95 miles of new pipeline; 75,000 Bbls/d of capacity</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7"/>
              </w:rPr>
              <w:t>from Reydon, OK to Orion Station in Major County,</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OK</w:t>
            </w:r>
          </w:p>
        </w:tc>
        <w:tc>
          <w:tcPr>
            <w:tcW w:w="0" w:type="dxa"/>
            <w:vAlign w:val="bottom"/>
          </w:tcPr>
          <w:p>
            <w:pPr>
              <w:spacing w:after="0"/>
              <w:rPr>
                <w:sz w:val="1"/>
                <w:szCs w:val="1"/>
                <w:color w:val="auto"/>
              </w:rPr>
            </w:pPr>
          </w:p>
        </w:tc>
      </w:tr>
      <w:tr>
        <w:trPr>
          <w:trHeight w:val="418"/>
        </w:trPr>
        <w:tc>
          <w:tcPr>
            <w:tcW w:w="1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4"/>
              </w:rPr>
              <w:t>45 miles of new crude oil pipeline to complement our</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existing Mississippian Lime pipelines</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Rockies/Williston</w:t>
            </w:r>
          </w:p>
        </w:tc>
        <w:tc>
          <w:tcPr>
            <w:tcW w:w="24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White Cliffs Pipeline Expansion</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2"/>
              </w:rPr>
              <w:t>35.7% interest in 80,000 Bbls/d expansion of capacity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through the construction of a new 12-inch diameter</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pipeline looping the existing pipeline</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West Coast</w:t>
            </w:r>
          </w:p>
        </w:tc>
        <w:tc>
          <w:tcPr>
            <w:tcW w:w="24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Line 63 Reactivation</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Reactivation of 71 miles of idled pipeline and</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supporting assets</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Fort Saskatchewan Facility Projects / NGL</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7"/>
              </w:rPr>
              <w:t>Development of two new NGL storage caverns and</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Pipeline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conversion of service of two existing caverns</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Various</w:t>
            </w:r>
          </w:p>
        </w:tc>
        <w:tc>
          <w:tcPr>
            <w:tcW w:w="24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Rail Terminal Projects</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Includes new rail facilities and expansion projects</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0"/>
              </w:rPr>
              <w:t>located at or near Bakersfield, CA; Carr, Co Van Hook,</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ND; and Western Canada</w:t>
            </w:r>
          </w:p>
        </w:tc>
        <w:tc>
          <w:tcPr>
            <w:tcW w:w="0" w:type="dxa"/>
            <w:vAlign w:val="bottom"/>
          </w:tcPr>
          <w:p>
            <w:pPr>
              <w:spacing w:after="0"/>
              <w:rPr>
                <w:sz w:val="1"/>
                <w:szCs w:val="1"/>
                <w:color w:val="auto"/>
              </w:rPr>
            </w:pPr>
          </w:p>
        </w:tc>
      </w:tr>
      <w:tr>
        <w:trPr>
          <w:trHeight w:val="432"/>
        </w:trPr>
        <w:tc>
          <w:tcPr>
            <w:tcW w:w="1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Natural Gas Storage</w:t>
            </w: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Multiple projects</w:t>
            </w:r>
          </w:p>
        </w:tc>
        <w:tc>
          <w:tcPr>
            <w:tcW w:w="0" w:type="dxa"/>
            <w:vAlign w:val="bottom"/>
          </w:tcPr>
          <w:p>
            <w:pPr>
              <w:spacing w:after="0"/>
              <w:rPr>
                <w:sz w:val="1"/>
                <w:szCs w:val="1"/>
                <w:color w:val="auto"/>
              </w:rPr>
            </w:pPr>
          </w:p>
        </w:tc>
      </w:tr>
      <w:tr>
        <w:trPr>
          <w:trHeight w:val="432"/>
        </w:trPr>
        <w:tc>
          <w:tcPr>
            <w:tcW w:w="1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4380" w:hanging="5612"/>
        <w:spacing w:after="0" w:line="461" w:lineRule="auto"/>
        <w:tabs>
          <w:tab w:leader="none" w:pos="812"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United States comprises less than 5% of the world’s population, generates approximately 14% of the world’s petroleum production, and consumes approximately 21% of the world’s petroleum production. The following table sets forth projected world supply and demand for petroleum products (including crude oil and NGL) and is derived from the Energy Information Administration’s (“EIA”) Annual Energy Outlook 2014 Early Release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8" w:name="page9"/>
    <w:bookmarkEnd w:id="8"/>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 (2)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(2)</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gridSpan w:val="9"/>
          </w:tcPr>
          <w:p>
            <w:pPr>
              <w:ind w:left="104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Supply</w:t>
            </w:r>
          </w:p>
        </w:tc>
        <w:tc>
          <w:tcPr>
            <w:tcW w:w="3960" w:type="dxa"/>
            <w:vAlign w:val="bottom"/>
            <w:tcBorders>
              <w:bottom w:val="single" w:sz="8" w:color="CCEEFF"/>
            </w:tcBorders>
            <w:gridSpan w:val="3"/>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OECD </w:t>
            </w:r>
            <w:r>
              <w:rPr>
                <w:rFonts w:ascii="Arial" w:cs="Arial" w:eastAsia="Arial" w:hAnsi="Arial"/>
                <w:sz w:val="23"/>
                <w:szCs w:val="23"/>
                <w:color w:val="auto"/>
                <w:vertAlign w:val="superscript"/>
              </w:rPr>
              <w:t>(3)</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OECD</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Organization of the Petroleum Exporting Countries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4"/>
          </w:tcPr>
          <w:p>
            <w:pPr>
              <w:ind w:left="160"/>
              <w:spacing w:after="0" w:line="210" w:lineRule="exact"/>
              <w:rPr>
                <w:sz w:val="20"/>
                <w:szCs w:val="20"/>
                <w:color w:val="auto"/>
              </w:rPr>
            </w:pPr>
            <w:r>
              <w:rPr>
                <w:rFonts w:ascii="Arial" w:cs="Arial" w:eastAsia="Arial" w:hAnsi="Arial"/>
                <w:sz w:val="18"/>
                <w:szCs w:val="18"/>
                <w:color w:val="auto"/>
              </w:rPr>
              <w:t xml:space="preserve">Total World Production </w:t>
            </w:r>
            <w:r>
              <w:rPr>
                <w:rFonts w:ascii="Arial" w:cs="Arial" w:eastAsia="Arial" w:hAnsi="Arial"/>
                <w:sz w:val="23"/>
                <w:szCs w:val="23"/>
                <w:color w:val="auto"/>
                <w:vertAlign w:val="superscript"/>
              </w:rPr>
              <w:t>(4)</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 (2)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(2)</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gridSpan w:val="9"/>
          </w:tcPr>
          <w:p>
            <w:pPr>
              <w:ind w:left="100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Demand</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OECD</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OECD</w:t>
            </w: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3"/>
            <w:shd w:val="clear" w:color="auto" w:fill="CCEEFF"/>
          </w:tcPr>
          <w:p>
            <w:pPr>
              <w:ind w:left="160"/>
              <w:spacing w:after="0" w:line="210" w:lineRule="exact"/>
              <w:rPr>
                <w:sz w:val="20"/>
                <w:szCs w:val="20"/>
                <w:color w:val="auto"/>
              </w:rPr>
            </w:pPr>
            <w:r>
              <w:rPr>
                <w:rFonts w:ascii="Arial" w:cs="Arial" w:eastAsia="Arial" w:hAnsi="Arial"/>
                <w:sz w:val="18"/>
                <w:szCs w:val="18"/>
                <w:color w:val="auto"/>
              </w:rPr>
              <w:t xml:space="preserve">Total World Consumption </w:t>
            </w:r>
            <w:r>
              <w:rPr>
                <w:rFonts w:ascii="Arial" w:cs="Arial" w:eastAsia="Arial" w:hAnsi="Arial"/>
                <w:sz w:val="23"/>
                <w:szCs w:val="23"/>
                <w:color w:val="auto"/>
                <w:vertAlign w:val="superscript"/>
              </w:rPr>
              <w:t>(4)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Production as % of World Production</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U.S. Consumption as % of World Consumption</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U.S. (Consumption)</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2013 amounts are derived from the EIA’s Short-Term Energy Outlook.</w:t>
      </w:r>
    </w:p>
    <w:p>
      <w:pPr>
        <w:sectPr>
          <w:pgSz w:w="11900" w:h="16876" w:orient="portrait"/>
          <w:cols w:equalWidth="0" w:num="1">
            <w:col w:w="11420"/>
          </w:cols>
          <w:pgMar w:left="240" w:top="333" w:right="239" w:bottom="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Organization for Economic Co-operation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Production and consumption may not equal in every year due to inventory builds or draws.</w:t>
      </w:r>
    </w:p>
    <w:p>
      <w:pPr>
        <w:spacing w:after="0" w:line="200" w:lineRule="exact"/>
        <w:rPr>
          <w:sz w:val="20"/>
          <w:szCs w:val="20"/>
          <w:color w:val="auto"/>
        </w:rPr>
      </w:pPr>
    </w:p>
    <w:p>
      <w:pPr>
        <w:sectPr>
          <w:pgSz w:w="11900" w:h="16876" w:orient="portrait"/>
          <w:cols w:equalWidth="0" w:num="2">
            <w:col w:w="140" w:space="500"/>
            <w:col w:w="10780"/>
          </w:cols>
          <w:pgMar w:left="240" w:top="333" w:right="239" w:bottom="0" w:gutter="0" w:footer="0" w:header="0"/>
          <w:type w:val="continuous"/>
        </w:sectPr>
      </w:pPr>
    </w:p>
    <w:p>
      <w:pPr>
        <w:spacing w:after="0" w:line="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World economic growth is a driver of the world petroleum market. The challenging global economic climate of the last several years has resulted in continued uncertainty in the petroleum market. To the extent that an event causes weaker world economic growth, energy demand would likely decline and could result in lower energy prices, depending on the production responses of producers.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Over the last five years, one of the most significant developments impacting the crude oil market has been the rapid growth in North American crude oil production. As a result of advances in horizontal drilling and fracturing technology over the last several years and their application to various large scale resource plays, certain historical trends have been reversed as domestic crude oil supplies have increased substantially and are expected to continue to increase over the next five years and potentially beyond. This production is being developed both in mature producing areas such as the Rockies, the Permian Basin in West Texas and the Mid-Continent region, as well as in less mature, but rapidly growing areas such as the Eagle Ford Shale in South Texas and the Bakken Shale in North Dakota. We forecast that by December 2017, crude oil production in the United States and Canada will have increased by an average of approximately 2.9 million barrels per day from fourth-quarter 2013 levels, with the increases coming primarily from Canada, the Eagle Ford Shale in South Texas, the Permian Basin in West Texas and the Bakken Shale in North Dakota. Actual and anticipated production increases in all of these regions combined with actual and anticipated volumes from Canada have strained or are expected to strain existing transportation, terminalling and downstream infrastructure. These changes have resulted in significant alterations to historical patterns of crude oil movements among regions of the U.S. For example, the quantity of</w:t>
      </w:r>
    </w:p>
    <w:p>
      <w:pPr>
        <w:sectPr>
          <w:pgSz w:w="11900" w:h="16876" w:orient="portrait"/>
          <w:cols w:equalWidth="0" w:num="1">
            <w:col w:w="11420"/>
          </w:cols>
          <w:pgMar w:left="240" w:top="333" w:right="239" w:bottom="0" w:gutter="0" w:footer="0" w:header="0"/>
          <w:type w:val="continuous"/>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crude oil transported from the Gulf Coast area into the Midwest has declined, but the overall change in crude oil flows has resulted in an increased demand for storage and terminalling services at Cushing, Oklahoma and Patoka, Illinois.</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addition to overall production growth, significant shifts in the type and location of crude oil being produced from these regions have resulted in additional strains on existing infrastructure. Notably, the increase in domestic production of light, sweet crude oil is inconsistent with the sizeable, multi-year investments made by a number of U.S. refining companies in order to expand their capabilities to process heavier, sour grades of crude oil. This divergence between readily available supplies of light sweet crude oil and increased refinery demand for heavy sour crude oil has begun to cause differentials between crude oil grades and qualities to change relative to historical levels and become more dynamic and volatile. This increase in light sweet crude oil production has also resulted in a decrease in foreign imports of light sweet crude into the U.S., particularly into the Gulf Coast, which has caused the international producers of such lighter crudes to seek alternative markets in other parts of the world. Thus far it appears that the rest of the world has been able to absorb the previously imported barrels, but that could change over time as worldwide demand fluctuates.</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Since reaching a multi-year low in 2009, U.S. net refinery inputs of crude oil have slowly increased to a level of 15.2 million barrels per day for the twelve month period ending November 2013, which approximates the levels achieved during 2005 and 2006. Although domestic demand for petroleum products from end users has declined from peak levels in 2004-2007 and the increased use of ethanol for blending in gasoline has further negatively impacted refinery demand for crude oil, the attractive export market for refined products and access to discounted domestic crude oil has driven the increased refinery demand. Domestic production growth has also led to lower use of imported crude oil by U.S. refineries, a meaningful change in a multi-year trend where foreign imports of crude oil tripled over an approximately 23-year period from 1985-2007. The EIA is currently forecasting a continued gradual decline in foreign crude imports from current levels, which is attributable to increased domestic production and increased supply from other liquid products, including ethanol and biodiesel.</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table below shows the overall domestic petroleum consumption projected out to 2020 and is derived from recent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 The amounts in the 2013 column are based on the 12 months ended November 2013</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these trends will be subject to significant variation from time to time due to a number of factors, including the level of domestic production volumes and infrastructure limitations which impact pricing and geopolitical developments.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8"/>
                <w:szCs w:val="8"/>
                <w:b w:val="1"/>
                <w:bCs w:val="1"/>
                <w:color w:val="auto"/>
              </w:rPr>
              <w:t>(1)</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ind w:left="92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5"/>
          </w:tcPr>
          <w:p>
            <w:pPr>
              <w:ind w:left="104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Domestic Crude Oil Production</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Imports - Crude Oil from Canada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Imports - Crude Oil from Other</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(Supply Adjustment / Stock Change)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ind w:left="360"/>
              <w:spacing w:after="0"/>
              <w:rPr>
                <w:sz w:val="20"/>
                <w:szCs w:val="20"/>
                <w:color w:val="auto"/>
              </w:rPr>
            </w:pPr>
            <w:r>
              <w:rPr>
                <w:rFonts w:ascii="Arial" w:cs="Arial" w:eastAsia="Arial" w:hAnsi="Arial"/>
                <w:sz w:val="18"/>
                <w:szCs w:val="18"/>
                <w:color w:val="auto"/>
              </w:rPr>
              <w:t>Crude Oil Input to Domestic Refineries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Product Imports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Exports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60"/>
              <w:spacing w:after="0"/>
              <w:rPr>
                <w:sz w:val="20"/>
                <w:szCs w:val="20"/>
                <w:color w:val="auto"/>
              </w:rPr>
            </w:pPr>
            <w:r>
              <w:rPr>
                <w:rFonts w:ascii="Arial" w:cs="Arial" w:eastAsia="Arial" w:hAnsi="Arial"/>
                <w:sz w:val="18"/>
                <w:szCs w:val="18"/>
                <w:color w:val="auto"/>
              </w:rPr>
              <w:t>Net Product Imports / (Exports)</w:t>
            </w: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Supply from Renewable Sources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 (NGL Production, Refinery Processing Gain)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360"/>
              <w:spacing w:after="0"/>
              <w:rPr>
                <w:sz w:val="20"/>
                <w:szCs w:val="20"/>
                <w:color w:val="auto"/>
              </w:rPr>
            </w:pPr>
            <w:r>
              <w:rPr>
                <w:rFonts w:ascii="Arial" w:cs="Arial" w:eastAsia="Arial" w:hAnsi="Arial"/>
                <w:sz w:val="18"/>
                <w:szCs w:val="18"/>
                <w:color w:val="auto"/>
              </w:rPr>
              <w:t>Total Domestic Petroleum Consumption</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illustrated in the table above, while expected to decline, imports of foreign crude oil and other petroleum products are still expected to play a major role in achieving a balanced U.S. market on an aggregate basis. However, because of the substantial number of different grades and varieties of crude oil and their distinguishing physical and economic properties and the distinct configuration of each refinery’s process units, significant logistics infrastructure and services are required to balance the U.S. market on a region by region basis.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By way of illustration, 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November 2013 and is derived from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Petroleum Administration Defense District (in millions of barrels per day) </w:t>
            </w:r>
            <w:r>
              <w:rPr>
                <w:rFonts w:ascii="Arial" w:cs="Arial" w:eastAsia="Arial" w:hAnsi="Arial"/>
                <w:sz w:val="8"/>
                <w:szCs w:val="8"/>
                <w:b w:val="1"/>
                <w:bCs w:val="1"/>
                <w:color w:val="auto"/>
              </w:rPr>
              <w:t>(1)</w:t>
            </w:r>
          </w:p>
        </w:tc>
        <w:tc>
          <w:tcPr>
            <w:tcW w:w="300" w:type="dxa"/>
            <w:vAlign w:val="bottom"/>
            <w:vMerge w:val="restart"/>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Regional</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w w:val="99"/>
              </w:rPr>
              <w:t>Refinery</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Supply</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9"/>
              </w:rPr>
              <w:t>Supply</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Demand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Shortfall</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PADD I (East Coast)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PADD II (Midwest)</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III (South)</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PADD IV (Rockies)</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V (West Coast)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Total U.S.</w:t>
            </w: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15.2</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or cross-foot due to rounding.</w:t>
      </w:r>
    </w:p>
    <w:p>
      <w:pPr>
        <w:spacing w:after="0" w:line="20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Overall, volatility of multiple aspects of the crude oil market, including absolute price, market structure and grade and location differentials, has increased over time and we expect volatility to continue. Some factors that we believe are causing and will continue to cause volatility in the market include:</w:t>
      </w:r>
    </w:p>
    <w:p>
      <w:pPr>
        <w:sectPr>
          <w:pgSz w:w="11900" w:h="16838" w:orient="portrait"/>
          <w:cols w:equalWidth="0" w:num="1">
            <w:col w:w="11420"/>
          </w:cols>
          <w:pgMar w:left="240" w:top="125" w:right="239" w:bottom="0" w:gutter="0" w:footer="0" w:header="0"/>
        </w:sectPr>
      </w:pPr>
    </w:p>
    <w:bookmarkStart w:id="10" w:name="page11"/>
    <w:bookmarkEnd w:id="10"/>
    <w:p>
      <w:pPr>
        <w:spacing w:after="0" w:line="36"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multi-year growth in North American crude oil production;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international supply and demand related to the economic environment, geopolitical events and armed conflicts;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regional supply and demand imbalances and changes in refinery capacity and specific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fluctuations in absolute price as well as grade and location differentials;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in critical producing nations;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policy decisions made by various governments around the world attempting to navigate energy challenges.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complexity and volatility of the crude oil market creates opportunities to solve the logistical inefficiencies inherent in the business. The combination of (i) a significant increase in North American production volumes, (ii) a change in crude oil qualities and related differentials and (iii) a high utilization of existing pipeline and terminal infrastructure has stimulated multiple industry initiatives to build new pipeline and terminal infrastructure, convert certain pipeline assets to alternative service or reverse flows and expand the use of trucks, rail and barges for the movement of crude oil and condensate.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Refined Products Market Overview</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After transport to a refinery, the crude oil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 and diesel.</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Demand for refined products has generally been affected by price levels, economic growth trends, conservation, fuel efficiency mandates and, to a lesser extent, weather conditions. From 2008 through the 12 months ended November 2013, petroleum consumption averaged approximately 18.8 million barrels per day, an approximate 10% decrease from peak levels, largely due to economic weakness and increased and expanding fuel efficiency standards. Given this decreased demand for refined products, the increased use of ethanol and other renewable fuels and the resulting excess refining capacity, a number of U.S. refineries reduced output and, in some cases, indefinitely shut-down. The EIA is currently forecasting growth in overall refined product demand to increase marginally over the next decade.</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level of future domestic demand generally will be influenced by economic conditions as well as the absolute prices of the products. Counteracting the impact of decreased domestic refined product demand on many U.S. refineries has been the combination of a significant decrease in refined product imports and a significant increase in refined product exports. Refined product imports decreased from 3.2 million barrels per day in 2005 to an average of approximately 1.9 million barrels per day for the 12 months ended November 2013. Conversely, refined product exports increased from approximately 1.1 million barrels per day in 2005 to 2.9 million barrels per day for the 12 months ended November 2013. We believe that potential demand growth will be met primarily by the increase in mandated alternative fuels and increased utilization of existing refining capacity, which could generate demand for midstream infrastructure in certain areas, including pipelines and terminals.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LPG primarily includes propane, butane, and natural gasoline, which liquefy at moderate pressures thus making it easier to transport and store such products as compared to ethane. As discussed above, NGL refers to all NGL products including LPG when used in this document.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20" w:hanging="324"/>
        <w:spacing w:after="0" w:line="286" w:lineRule="auto"/>
        <w:tabs>
          <w:tab w:leader="none" w:pos="944"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Normal butane. </w:t>
      </w:r>
      <w:r>
        <w:rPr>
          <w:rFonts w:ascii="Arial" w:cs="Arial" w:eastAsia="Arial" w:hAnsi="Arial"/>
          <w:sz w:val="18"/>
          <w:szCs w:val="18"/>
          <w:color w:val="auto"/>
        </w:rPr>
        <w:t>Normal butane is principally used for motor gasoline blending and as fuel gas, either alone or in a mixture with propane, and</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the manufacture of ethylene and butadiene, a key ingredient of synthetic rubber.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74" w:orient="portrait"/>
          <w:cols w:equalWidth="0" w:num="1">
            <w:col w:w="11420"/>
          </w:cols>
          <w:pgMar w:left="240" w:top="341" w:right="239" w:bottom="0" w:gutter="0" w:footer="0" w:header="0"/>
        </w:sectPr>
      </w:pPr>
    </w:p>
    <w:bookmarkStart w:id="11" w:name="page12"/>
    <w:bookmarkEnd w:id="11"/>
    <w:p>
      <w:pPr>
        <w:ind w:left="980" w:right="560"/>
        <w:spacing w:after="0" w:line="277" w:lineRule="auto"/>
        <w:rPr>
          <w:sz w:val="20"/>
          <w:szCs w:val="20"/>
          <w:color w:val="auto"/>
        </w:rPr>
      </w:pPr>
      <w:r>
        <w:rPr>
          <w:rFonts w:ascii="Arial" w:cs="Arial" w:eastAsia="Arial" w:hAnsi="Arial"/>
          <w:sz w:val="18"/>
          <w:szCs w:val="18"/>
          <w:color w:val="auto"/>
        </w:rPr>
        <w:t>Normal butane is also used as a feedstock for iso-butane production and as a diluent in the transportation of heavy crude oil and bitumen, particularly in Canada.</w:t>
      </w:r>
    </w:p>
    <w:p>
      <w:pPr>
        <w:spacing w:after="0" w:line="170"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color w:val="auto"/>
        </w:rPr>
      </w:pPr>
    </w:p>
    <w:p>
      <w:pPr>
        <w:ind w:left="980" w:right="88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75%)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The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and in the Rockies region. Smaller gas processing regions are located in Michigan and Illinois as well as the Marcellus region (which is expanding rapidly) and Southern California. In Canada, the vast majority of the processing capacity is located in Alberta, with a much smaller (but increasing) amount in British Columbia and Saskatchewan.</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NGL products from refineries represent approximately 19%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6% of total supply). NGL (primarily propane) is also exported from certain regions of the United States.</w:t>
      </w:r>
    </w:p>
    <w:p>
      <w:pPr>
        <w:spacing w:after="0" w:line="170"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 In addition, there are several other production hubs, including Empress, Alberta and Hobbs, New Mexico. The West Virginia/Western Pennsylvania area is also rapidly developing as a meaningful NGL infrastructure hub.</w:t>
      </w:r>
    </w:p>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NGL Market Outlook. </w:t>
      </w:r>
      <w:r>
        <w:rPr>
          <w:rFonts w:ascii="Arial" w:cs="Arial" w:eastAsia="Arial" w:hAnsi="Arial"/>
          <w:sz w:val="17"/>
          <w:szCs w:val="17"/>
          <w:color w:val="auto"/>
        </w:rPr>
        <w:t>NGL supplies from gas processing plants are increasing rapidly due to the increased drilling activity in unconventional</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 plays. Numerous industry and financial analysts project NGL supply volumes will continue to grow over the next several years with some analysts projecting U.S. supply volumes to increase from 2013 levels over 30% by 2017. A significant amount of this volume is expected to come from recently discovered, unconventional resource plays that do not have the NGL infrastructure to process the wet natural gas or transport, fractionate, and store the NGL products. Nor are these new supply areas near historical markets for the NGL purity products. As a result of these dynamics, substantial incremental infrastructure is likely to be developed throughout the NGL value chain over the next several years, and traditional regional basis relationships could change significantly. The expected continuation of a relatively low ratio of North American gas and NGL prices to world-wide crude oil prices means North American NGL will continue to be competitive on a world scale, either as feedstock for North American based manufacturing or export to overseas markets. Thus, a portion of the increased supply of NGL will be absorbed by the domestic petrochemical sector as low-cost feed stocks, as the North American petrochemical industry has a supply cost advantage on a world scale. In addition, growing production of Canadian heavy crude oil is likely to create demand for additional diluents, primarily natural gasoline and butane. The remaining product not absorbed domestically will likely drive continued growth in the NGL export market.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Due to rapid increases in NGL production, the prices of NGL (particularly ethane and propane) have been pressured relatively downward in certain regions. It is difficult to predict when such prices may rebound but this downward pressure on prices is one of the key drivers for the new infrastructure development referred to above. The NGL market is, among other things, expected to be driven by:</w:t>
      </w:r>
    </w:p>
    <w:p>
      <w:pPr>
        <w:spacing w:after="0" w:line="181"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production growth/decline rates of wet natural gas in established supply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infrastructure development costs and timing as well as development risk sharing;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acquiring rights from producers to process their gas;</w:t>
      </w:r>
    </w:p>
    <w:p>
      <w:pPr>
        <w:sectPr>
          <w:pgSz w:w="11900" w:h="16838" w:orient="portrait"/>
          <w:cols w:equalWidth="0" w:num="1">
            <w:col w:w="11420"/>
          </w:cols>
          <w:pgMar w:left="240" w:top="341" w:right="239" w:bottom="0" w:gutter="0" w:footer="0" w:header="0"/>
        </w:sectPr>
      </w:pPr>
    </w:p>
    <w:bookmarkStart w:id="12" w:name="page13"/>
    <w:bookmarkEnd w:id="12"/>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petro-chemical demand;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demand for NGL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refinery shut downs;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alternating needs of refineries to store and blend NGL;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shifts in weather;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80" w:firstLine="8"/>
        <w:spacing w:after="0" w:line="270" w:lineRule="auto"/>
        <w:tabs>
          <w:tab w:leader="none" w:pos="2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natural gas supplies due to production from shale resources, (ii) increased availability of storage capacity due to both new construction and the release of previously contracted storage capacity into the market as customers reduce their storage positions and/or exit the market, (iii) a reduction in overall market depth due to various companies exiting the physical gas marketing business, and (iv) lower basis differentials due to expansion and improved connectivity of natural gas transportation infrastructure over the last five years. Due to these factors, both seasonal spreads, which are a proxy for the current intrinsic value of natural gas storage, and volatility levels, which impact the value we are able to realize on a short-term basis from our hub service and merchant storage activities, have been low relative to values experienced during the last seven years.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w:t>
      </w:r>
    </w:p>
    <w:p>
      <w:pPr>
        <w:ind w:right="260" w:firstLine="8"/>
        <w:spacing w:after="0" w:line="290"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construction of new gas-fired power plants, (iii) sustained fuel switching from coal to natural gas among existing power plants and (iv) growth in base-level industrial demand. As a result, we remain optimistic about the intermediate- to long-term intrinsic value of our natural gas storage assets.</w:t>
      </w:r>
    </w:p>
    <w:p>
      <w:pPr>
        <w:spacing w:after="0" w:line="16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However, projected seasonal spreads for the next few years reflect a directionally similar picture to the challenging market conditions we experienced during most of 2013. While recent extremely cold weather has added volatility and uncertainty to the market in the short term, it is difficult to predict the extent to which such conditions will impact overall market conditions on a longer term basis. A return to and continuation of the market conditions that prevailed during most of 2013 will continue to adversely impact our hub services activities as well as the lease rates our customers are willing to pay for firm storage services with respect to new capacity under construction and existing capacity upon expirations of existing term leases.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transportation, terminalling, and storage facilities at major market hubs and in key crude oil producing basins, as well as crude oil, NGL and refined product transportation corridors in the United States and Canada.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Our transportation segment operations generally consist of fee-based activities associated with transporting crude oil and NGL on pipelines, gathering systems, trucks and barges. We generate revenue through a combination of tariffs, third-party leases of pipeline capacity and other transportation fees. Our transportation segment also includes our equity earnings from our investments in Settoon Towing and the White Cliffs, Butte, Frontier and Eagle Ford pipeline systems, in which we own interests ranging from 22% to 50% and account for under the equity method of accounting.</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2013,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16,900 miles of active crude oil and NGL pipelines and gathering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 million barrels of active, above-ground tank capacity used primarily to facilitate pipeline throughput;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744 trailers (primarily in Canada); and</w:t>
      </w:r>
    </w:p>
    <w:p>
      <w:pPr>
        <w:sectPr>
          <w:pgSz w:w="11900" w:h="16838" w:orient="portrait"/>
          <w:cols w:equalWidth="0" w:num="1">
            <w:col w:w="11420"/>
          </w:cols>
          <w:pgMar w:left="240" w:top="341" w:right="239" w:bottom="0" w:gutter="0" w:footer="0" w:header="0"/>
        </w:sectPr>
      </w:pPr>
    </w:p>
    <w:bookmarkStart w:id="13" w:name="page14"/>
    <w:bookmarkEnd w:id="13"/>
    <w:p>
      <w:pPr>
        <w:ind w:left="5620" w:right="3740" w:hanging="4964"/>
        <w:spacing w:after="0" w:line="528" w:lineRule="auto"/>
        <w:tabs>
          <w:tab w:leader="none" w:pos="9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130 transport and storage barges and 62 transport tugs through our interest in Settoon Towing.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2013, grouped by geographic location: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2013 Average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System Miles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 Barrels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4"/>
            <w:vMerge w:val="continue"/>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xml:space="preserve">per Day </w:t>
            </w:r>
            <w:r>
              <w:rPr>
                <w:rFonts w:ascii="Arial" w:cs="Arial" w:eastAsia="Arial" w:hAnsi="Arial"/>
                <w:sz w:val="8"/>
                <w:szCs w:val="8"/>
                <w:b w:val="1"/>
                <w:bCs w:val="1"/>
                <w:color w:val="auto"/>
                <w:w w:val="95"/>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3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United States Crude Oil Pipelines</w:t>
            </w:r>
          </w:p>
        </w:tc>
        <w:tc>
          <w:tcPr>
            <w:tcW w:w="3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Permian Basin</w:t>
            </w: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Basin / Mesa</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599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Permian Basin Area Systems</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2,944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b w:val="1"/>
                <w:bCs w:val="1"/>
                <w:color w:val="auto"/>
              </w:rPr>
              <w:t>Permian Basin Subtotal</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South Texas/Eagle Ford</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Eagle Ford Area Systems</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Western</w:t>
            </w: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All American</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138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Line 63 / Line 2000</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129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Western Subtotal</w:t>
            </w:r>
          </w:p>
        </w:tc>
        <w:tc>
          <w:tcPr>
            <w:tcW w:w="3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Rocky Mountain</w:t>
            </w: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Bakken Area Systems</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953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Salt Lake City Area Systems</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983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line="216"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3"/>
                <w:szCs w:val="23"/>
                <w:color w:val="auto"/>
                <w:vertAlign w:val="superscript"/>
              </w:rPr>
              <w:t>(3)</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527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b w:val="1"/>
                <w:bCs w:val="1"/>
                <w:color w:val="auto"/>
              </w:rPr>
              <w:t>Rocky Mountain Subtotal</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Gulf Coast</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3"/>
                <w:szCs w:val="23"/>
                <w:color w:val="auto"/>
                <w:vertAlign w:val="superscript"/>
              </w:rPr>
              <w:t>(3)</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898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Gulf Coast Subtotal</w:t>
            </w:r>
          </w:p>
        </w:tc>
        <w:tc>
          <w:tcPr>
            <w:tcW w:w="3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Central</w:t>
            </w: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Mid-Continent Area Systems</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2,298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b w:val="1"/>
                <w:bCs w:val="1"/>
                <w:color w:val="auto"/>
              </w:rPr>
              <w:t>Central Subtotal</w:t>
            </w:r>
          </w:p>
        </w:tc>
        <w:tc>
          <w:tcPr>
            <w:tcW w:w="38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b w:val="1"/>
                <w:bCs w:val="1"/>
                <w:color w:val="auto"/>
              </w:rPr>
              <w:t>United States Total</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12,522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Canada</w:t>
            </w:r>
          </w:p>
        </w:tc>
        <w:tc>
          <w:tcPr>
            <w:tcW w:w="3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Manito</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555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Rangeland</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1,316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54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Crude Oil Pipelines Subtotal</w:t>
            </w:r>
          </w:p>
        </w:tc>
        <w:tc>
          <w:tcPr>
            <w:tcW w:w="3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NGL Pipelines:</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435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NGL Pipelines Subtotal</w:t>
            </w:r>
          </w:p>
        </w:tc>
        <w:tc>
          <w:tcPr>
            <w:tcW w:w="3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Canada Total</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4,376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Grand Total</w:t>
            </w:r>
          </w:p>
        </w:tc>
        <w:tc>
          <w:tcPr>
            <w:tcW w:w="5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16,898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0" w:right="520" w:hanging="11"/>
        <w:spacing w:after="0" w:line="277" w:lineRule="auto"/>
        <w:rPr>
          <w:sz w:val="20"/>
          <w:szCs w:val="20"/>
          <w:color w:val="auto"/>
        </w:rPr>
      </w:pPr>
      <w:r>
        <w:rPr>
          <w:rFonts w:ascii="Arial" w:cs="Arial" w:eastAsia="Arial" w:hAnsi="Arial"/>
          <w:sz w:val="18"/>
          <w:szCs w:val="18"/>
          <w:color w:val="auto"/>
        </w:rPr>
        <w:t>Ownership percentage varies on each pipeline and gathering system ranging from approximately 20% to 100%. In 2013, we sold certain of our refined products pipeline systems and related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 for the entire year attributable to our interest.</w:t>
      </w:r>
    </w:p>
    <w:p>
      <w:pPr>
        <w:sectPr>
          <w:pgSz w:w="11900" w:h="16838" w:orient="portrait"/>
          <w:cols w:equalWidth="0" w:num="2">
            <w:col w:w="140" w:space="500"/>
            <w:col w:w="10820"/>
          </w:cols>
          <w:pgMar w:left="240" w:top="125" w:right="199" w:bottom="0" w:gutter="0" w:footer="0" w:header="0"/>
          <w:type w:val="continuous"/>
        </w:sectPr>
      </w:pPr>
    </w:p>
    <w:bookmarkStart w:id="14" w:name="page15"/>
    <w:bookmarkEnd w:id="14"/>
    <w:p>
      <w:pPr>
        <w:ind w:left="640" w:hanging="632"/>
        <w:spacing w:after="0"/>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Pipelines operated by a third party.</w:t>
      </w:r>
    </w:p>
    <w:p>
      <w:pPr>
        <w:spacing w:after="0" w:line="197" w:lineRule="exact"/>
        <w:rPr>
          <w:rFonts w:ascii="Arial" w:cs="Arial" w:eastAsia="Arial" w:hAnsi="Arial"/>
          <w:sz w:val="23"/>
          <w:szCs w:val="23"/>
          <w:color w:val="auto"/>
          <w:vertAlign w:val="superscript"/>
        </w:rPr>
      </w:pPr>
    </w:p>
    <w:p>
      <w:pPr>
        <w:ind w:left="660" w:right="8980"/>
        <w:spacing w:after="0" w:line="604" w:lineRule="auto"/>
        <w:rPr>
          <w:rFonts w:ascii="Arial" w:cs="Arial" w:eastAsia="Arial" w:hAnsi="Arial"/>
          <w:sz w:val="23"/>
          <w:szCs w:val="23"/>
          <w:color w:val="auto"/>
          <w:vertAlign w:val="superscript"/>
        </w:rPr>
      </w:pPr>
      <w:r>
        <w:rPr>
          <w:rFonts w:ascii="Arial" w:cs="Arial" w:eastAsia="Arial" w:hAnsi="Arial"/>
          <w:sz w:val="15"/>
          <w:szCs w:val="15"/>
          <w:b w:val="1"/>
          <w:bCs w:val="1"/>
          <w:color w:val="auto"/>
        </w:rPr>
        <w:t>United States Pipelines Permian Basin</w:t>
      </w: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Basin Pipeline System. </w:t>
      </w:r>
      <w:r>
        <w:rPr>
          <w:rFonts w:ascii="Arial" w:cs="Arial" w:eastAsia="Arial" w:hAnsi="Arial"/>
          <w:sz w:val="18"/>
          <w:szCs w:val="18"/>
          <w:color w:val="auto"/>
        </w:rPr>
        <w:t>We own an 87% undivided joint interest in and are the operator of the Basin Pipeline system. The Basin system is a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route for transporting crude oil from the Permian Basin (in west Texas and southern New Mexico) to Cushing, Oklahoma, for further delivery to Mid-Continent and Midwest refining centers. The Basin system also serves as the initial movement for transporting crude oil from the Permian Basin to the Gulf coast through connections to other carriers at Colorado City, Texas and Wichita Falls, Texas. The Basin system accommodates three primary movements of crude oil: (i) barrels that are shipped from Jal, New Mexico to the West Texas markets of Wink/Hendrick and Midland; (ii) barrels that are shipped from Midland to connecting carriers at Colorado City or Wichita Falls; and (iii) barrels that are shipped from Jal, Midland, Colorado City and Wichita Falls to connecting carriers at Cushing.</w:t>
      </w:r>
    </w:p>
    <w:p>
      <w:pPr>
        <w:spacing w:after="0" w:line="18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Basin system is an approximate 520-mile mainline, telescoping crude oil system with a system capacity ranging from approximately 144,000 barrels per day to 450,000 barrels per day (approximately 125,000 barrels per day to 392,000 barrels per day attributable to our interest) depending on the segment. System throughput (as measured by tariff volumes) was approximately 512,000 barrels per day (attributable to our interest) during 2013. The Basin system is subject to tariff rates regulated by the Federal Energy Regulatory Commission (“FERC”).The system also includes approximately 6 million barrels of tankage. In 2013, we announced a project to increase capacity on the segment from Jal to Wink/Hendrick from 144,000 barrels per day to 240,000 barrels per day (approximately 125,000 barrels per day to 208,800 barrels per day attributable to our interest), which will be completed in 2014.</w:t>
      </w:r>
    </w:p>
    <w:p>
      <w:pPr>
        <w:spacing w:after="0" w:line="16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Mesa Pipeline System. </w:t>
      </w:r>
      <w:r>
        <w:rPr>
          <w:rFonts w:ascii="Arial" w:cs="Arial" w:eastAsia="Arial" w:hAnsi="Arial"/>
          <w:sz w:val="18"/>
          <w:szCs w:val="18"/>
          <w:color w:val="auto"/>
        </w:rPr>
        <w:t>We own a 63% interest in and are the operator of the Mesa Pipeline system, which transports crude oil from Midland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refinery at Big Spring, Texas and to connecting carriers at Colorado City. The Mesa system is an 80-mile mainline with a system capacity of up to 360,000 barrels per day (approximately 226,800 barrels per day attributable to our interest). System throughput (as measured by tariff volumes) was approximately 206,000 barrels per day (attributable to our interest) during 2013.</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Permian Basin Area Systems. </w:t>
      </w:r>
      <w:r>
        <w:rPr>
          <w:rFonts w:ascii="Arial" w:cs="Arial" w:eastAsia="Arial" w:hAnsi="Arial"/>
          <w:sz w:val="18"/>
          <w:szCs w:val="18"/>
          <w:color w:val="auto"/>
        </w:rPr>
        <w:t>We operate wholly owned systems of approximately 2,950 miles that aggregate receipts from wellhead gathering 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bulk truck injection locations into a combination of 4- to 16-inch diameter trunk lines for transportation and delivery into the Basin system at Jal, Wink and Midland as well as our terminal facilities in Midland. These systems are subject to tariff rates regulated by either the FERC or state regulatory agencies. During 2012 and 2013, we completed construction of multiple expansion and extension projects servicing the Bone Spring, Spraberry and Wolfberry producing areas in the Permian Basin. For 2013, combined throughput on the Permian Basin area systems totaled an average of approximately 581,000 barrels per day.</w:t>
      </w:r>
    </w:p>
    <w:p>
      <w:pPr>
        <w:spacing w:after="0" w:line="19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2013, we announced several new projects to increase and expand our Permian Basin infrastructure over the next few years to support crude oil production growth. These projects are expected to be completed in stages throughout 2014 and early 2015 and include:</w:t>
      </w:r>
    </w:p>
    <w:p>
      <w:pPr>
        <w:spacing w:after="0" w:line="170" w:lineRule="exact"/>
        <w:rPr>
          <w:sz w:val="20"/>
          <w:szCs w:val="20"/>
          <w:color w:val="auto"/>
        </w:rPr>
      </w:pPr>
    </w:p>
    <w:p>
      <w:pPr>
        <w:ind w:left="1300" w:right="400" w:hanging="320"/>
        <w:spacing w:after="0" w:line="264"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310-mile crude oil pipeline extending from McCamey to Gardendale, Texas to provide 200,000 barrels per day (which, based on shipper demand, may be increased to 250,000 barrels per day) of additional takeaway capacity from the Permian Basin (the “Cactus Pipeline”);</w:t>
      </w:r>
    </w:p>
    <w:p>
      <w:pPr>
        <w:spacing w:after="0" w:line="181" w:lineRule="exact"/>
        <w:rPr>
          <w:rFonts w:ascii="Arial" w:cs="Arial" w:eastAsia="Arial" w:hAnsi="Arial"/>
          <w:sz w:val="18"/>
          <w:szCs w:val="18"/>
          <w:color w:val="auto"/>
        </w:rPr>
      </w:pPr>
    </w:p>
    <w:p>
      <w:pPr>
        <w:ind w:left="1300" w:right="200" w:hanging="320"/>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40-mile crude oil pipeline with 100,000 barrels per day of pipeline capacity from Monahans to Crane, Texas to supply volumes to a third-party pipeline as well as the Cactus Pipeline;</w:t>
      </w:r>
    </w:p>
    <w:p>
      <w:pPr>
        <w:spacing w:after="0" w:line="170" w:lineRule="exact"/>
        <w:rPr>
          <w:rFonts w:ascii="Arial" w:cs="Arial" w:eastAsia="Arial" w:hAnsi="Arial"/>
          <w:sz w:val="18"/>
          <w:szCs w:val="18"/>
          <w:color w:val="auto"/>
        </w:rPr>
      </w:pPr>
    </w:p>
    <w:p>
      <w:pPr>
        <w:ind w:left="1300" w:right="540" w:hanging="320"/>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62-mile crude oil pipeline with 200,000 barrels of takeaway capacity from the South Midland Basin to the origin of the Cactus Pipeline at McCamey; and</w:t>
      </w:r>
    </w:p>
    <w:p>
      <w:pPr>
        <w:spacing w:after="0" w:line="170" w:lineRule="exact"/>
        <w:rPr>
          <w:rFonts w:ascii="Arial" w:cs="Arial" w:eastAsia="Arial" w:hAnsi="Arial"/>
          <w:sz w:val="18"/>
          <w:szCs w:val="18"/>
          <w:color w:val="auto"/>
        </w:rPr>
      </w:pPr>
    </w:p>
    <w:p>
      <w:pPr>
        <w:ind w:left="1300" w:right="480" w:hanging="320"/>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80-mile crude oil pipeline between Midland and Colorado City, Texas that will provide an additional 250,000 barrels per day of capacity to supply connecting carriers at Colorado City.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SouthTexas/Eagle Ford Area</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Eagle Ford Area Systems. </w:t>
      </w:r>
      <w:r>
        <w:rPr>
          <w:rFonts w:ascii="Arial" w:cs="Arial" w:eastAsia="Arial" w:hAnsi="Arial"/>
          <w:sz w:val="17"/>
          <w:szCs w:val="17"/>
          <w:color w:val="auto"/>
        </w:rPr>
        <w:t>We own a 100% interest in and are the operator of several gathering systems that feed into our Gardendale Station, and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own a 50% interest in and are the operator of the Eagle Ford joint venture pipeline. These Eagle Ford Area Systems consist of 439 miles of pipeline that service increasing production in the Eagle Ford shale play of South Texas and include approximately 2 million barrels of operational storage capacity across the system. The system serves the Three Rivers and Corpus Christi, Texas refineries and other markets via a marine terminal facility at Corpus Christi, as well as the Houston market via Enterprise Products Partners L.P.’s (“Enterprise”) connection at Lyssy, Texas. For 2013, total average throughput on our Eagle Ford Area Systems was approximately 102,000 barrels per day.</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2013, we and Enterprise announced an expansion of the Eagle Ford joint venture pipeline to increase the pipeline’s capacity to 470,000 barrels per day. This expansion, which also includes the construction of an additional 2 million barrels of operational storage capacity, is expected to be in service in the second quarter of 2015.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Western</w:t>
      </w:r>
    </w:p>
    <w:p>
      <w:pPr>
        <w:spacing w:after="0" w:line="229"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i w:val="1"/>
          <w:iCs w:val="1"/>
          <w:color w:val="auto"/>
        </w:rPr>
        <w:t xml:space="preserve">All American Pipeline System. </w:t>
      </w:r>
      <w:r>
        <w:rPr>
          <w:rFonts w:ascii="Arial" w:cs="Arial" w:eastAsia="Arial" w:hAnsi="Arial"/>
          <w:sz w:val="18"/>
          <w:szCs w:val="18"/>
          <w:color w:val="auto"/>
        </w:rPr>
        <w:t>We own a 100% interest in the All American Pipeline system. The All American Pipeline is a common carrier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pipeline system that transports crude oil produced from two outer continental shelf, or OCS, fields offshore California via connecting pipelines to refinery markets in California. The system receives crude oil from ExxonMobil’s Santa Ynez field at Las Flores and receives crude oil from the Freeport-McMoRan-operated Point Arguello field at Gaviota. The system terminates at our Emidio Station. Between Gaviota and our Emidio Station, the All American Pipeline interconnects with our San Joaquin Valley Gathering System, Line 2000 and Line 63, as well as other third party intrastate pipelines. The system is subject to tariff rates regulated by the FERC.</w:t>
      </w:r>
    </w:p>
    <w:p>
      <w:pPr>
        <w:sectPr>
          <w:pgSz w:w="11900" w:h="16839" w:orient="portrait"/>
          <w:cols w:equalWidth="0" w:num="1">
            <w:col w:w="11400"/>
          </w:cols>
          <w:pgMar w:left="240" w:top="307" w:right="259" w:bottom="0" w:gutter="0" w:footer="0" w:header="0"/>
        </w:sectPr>
      </w:pPr>
    </w:p>
    <w:bookmarkStart w:id="15" w:name="page16"/>
    <w:bookmarkEnd w:id="15"/>
    <w:p>
      <w:pPr>
        <w:spacing w:after="0" w:line="6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 portion of our transportation segment profit on Line 63 and Line 2000 is derived from the pipeline transportation business associated with the Santa Ynez and Point Arguello fields and fields located in the San Joaquin Valley. Volumes shipped from the OCS are expected to decline.</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Line 63. </w:t>
      </w:r>
      <w:r>
        <w:rPr>
          <w:rFonts w:ascii="Arial" w:cs="Arial" w:eastAsia="Arial" w:hAnsi="Arial"/>
          <w:sz w:val="16"/>
          <w:szCs w:val="16"/>
          <w:color w:val="auto"/>
        </w:rPr>
        <w:t>We own a 100% interest in the Line 63 system. The Line 63 system is an intrastate common carrier crude oil pipeline system that transports</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produced in the San Joaquin Valley and California OCS to refineries and terminal facilities in the Los Angeles Basin and in Bakersfield. The Line 63 system consists of a 144-mile trunk pipeline, originating at our Kelley Pump Station in Kern County, California and terminating at our West Hynes Station in Long Beach, California. The trunk pipeline has a capacity of approximately 110,000 barrels per day. The Line 63 system includes five miles of distribution pipelines in the Los Angeles Basin, with a throughput capacity of approximately 144,000 barrels per day, and 148 miles of gathering pipelines in the San Joaquin Valley, with a throughput capacity of approximately 72,000 barrels per day. We also have approximately 1 million barrels of storage capacity on this system. These storage assets are used primarily to facilitate the transportation of crude oil on the Line 63 system.</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fourth quarter of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In 2013, we commenced a project to place this idle segment into service. We expect the project to be completed by mid-2015. For 2013, combined throughput on Line 63 totaled an average of approximately 52,000 barrels per day.</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Line 2000. </w:t>
      </w:r>
      <w:r>
        <w:rPr>
          <w:rFonts w:ascii="Arial" w:cs="Arial" w:eastAsia="Arial" w:hAnsi="Arial"/>
          <w:sz w:val="17"/>
          <w:szCs w:val="17"/>
          <w:color w:val="auto"/>
        </w:rPr>
        <w:t>We own and operate 100% of Line 2000, an intrastate common carrier crude oil pipeline that originates at our Emidio Pump Station (part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All American Pipeline System) and transports crude oil produced in the San Joaquin Valley and California OCS to refineries and terminal facilities in the Los Angeles Basin. Line 2000 is an approximate 130-mile, 20-inch trunk pipeline with a throughput capacity of approximately 130,000 barrels per day. During 2013, throughput on Line 2000 (excluding Line 63 volumes) averaged approximately 61,000 barrels per day.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Rocky Mountain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Bakken Area Systems. </w:t>
      </w:r>
      <w:r>
        <w:rPr>
          <w:rFonts w:ascii="Arial" w:cs="Arial" w:eastAsia="Arial" w:hAnsi="Arial"/>
          <w:sz w:val="18"/>
          <w:szCs w:val="18"/>
          <w:color w:val="auto"/>
        </w:rPr>
        <w:t>We own and operate several gathering systems and pipelines that service crude oil production in Eastern Montana and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North Dakota, and we also own a 22% interest in Butte Pipe Line. These Bakken Area Systems consist of 953 miles of pipeline, with total average throughput for 2013 of approximately 131,000 barrels per day.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i w:val="1"/>
          <w:iCs w:val="1"/>
          <w:color w:val="auto"/>
        </w:rPr>
        <w:t xml:space="preserve">Salt Lake City Area Systems. </w:t>
      </w:r>
      <w:r>
        <w:rPr>
          <w:rFonts w:ascii="Arial" w:cs="Arial" w:eastAsia="Arial" w:hAnsi="Arial"/>
          <w:sz w:val="16"/>
          <w:szCs w:val="16"/>
          <w:color w:val="auto"/>
        </w:rPr>
        <w:t>We operate the Salt Lake City and Wahsatch pipeline systems, in which we own interests of between 75% and 100%.</w:t>
      </w:r>
      <w:r>
        <w:rPr>
          <w:rFonts w:ascii="Arial" w:cs="Arial" w:eastAsia="Arial" w:hAnsi="Arial"/>
          <w:sz w:val="16"/>
          <w:szCs w:val="16"/>
          <w:i w:val="1"/>
          <w:iCs w:val="1"/>
          <w:color w:val="auto"/>
        </w:rPr>
        <w:t xml:space="preserve"> </w:t>
      </w:r>
      <w:r>
        <w:rPr>
          <w:rFonts w:ascii="Arial" w:cs="Arial" w:eastAsia="Arial" w:hAnsi="Arial"/>
          <w:sz w:val="16"/>
          <w:szCs w:val="16"/>
          <w:color w:val="auto"/>
        </w:rPr>
        <w:t>These systems include interstate and intrastate common carrier crude oil pipeline systems that transport crude oil produced in the U.S. Rocky Mountain region and Canada to refiners in Salt Lake City, Utah and to other pipelines at Ft. Laramie, Wyoming. These pipeline systems consist of 693 miles of pipelines and approximately one million barrels of storage capacity. These systems have a maximum throughput capacity of (i) approximately 20,000 barrels per day from Wamsutter, Wyoming to Ft. Laramie, Wyoming, (ii) approximately 49,000 barrels per day from Wamsutter, Wyoming to Wahsatch, Utah and</w:t>
      </w:r>
    </w:p>
    <w:p>
      <w:pPr>
        <w:spacing w:after="0" w:line="2" w:lineRule="exact"/>
        <w:rPr>
          <w:sz w:val="20"/>
          <w:szCs w:val="20"/>
          <w:color w:val="auto"/>
        </w:rPr>
      </w:pPr>
    </w:p>
    <w:p>
      <w:pPr>
        <w:ind w:right="680" w:firstLine="8"/>
        <w:spacing w:after="0" w:line="261"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120,000 barrels per day from Wahsatch, Utah to Salt Lake City, Utah. For 2013, throughput on these systems (excluding Frontier Pipeline) in total averaged approximately 124,000 barrels per day.</w:t>
      </w:r>
    </w:p>
    <w:p>
      <w:pPr>
        <w:spacing w:after="0" w:line="18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Included in the Salt Lake City Area systems is our 22% interest in Frontier Pipeline, an interstate common carrier crude oil pipeline that consists of a 289-mile trunk pipeline with a maximum throughput capacity of 79,000 barrels per day. Frontier Pipeline originates in Casper, Wyoming and delivers crude oil into the Wahsatch Pipeline System. For 2013, throughput on Frontier averaged approximately 7,000 barrels per day (attributable to our interest).</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We own an approximate 36% interest in the White Cliffs Pipeline, a 527-mile, 12-inch common carrier pipeline that originates</w:t>
      </w:r>
      <w:r>
        <w:rPr>
          <w:rFonts w:ascii="Arial" w:cs="Arial" w:eastAsia="Arial" w:hAnsi="Arial"/>
          <w:sz w:val="18"/>
          <w:szCs w:val="18"/>
          <w:i w:val="1"/>
          <w:iCs w:val="1"/>
          <w:color w:val="auto"/>
        </w:rPr>
        <w:t xml:space="preserve"> </w:t>
      </w:r>
      <w:r>
        <w:rPr>
          <w:rFonts w:ascii="Arial" w:cs="Arial" w:eastAsia="Arial" w:hAnsi="Arial"/>
          <w:sz w:val="18"/>
          <w:szCs w:val="18"/>
          <w:color w:val="auto"/>
        </w:rPr>
        <w:t>in Platteville, Colorado and terminates in Cushing, Oklahoma. Rose Rock Midstream, L.P. serves as the operator of the pipeline. For 2013, throughput on White Cliffs Pipeline averaged approximately 23,000 barrels per day (attributable to our interest). In 2012, White Cliffs announced an expansion project that will increase total system capacity from 70,000 barrels per day to 150,000 barrels per day and is underpinned by long-term shipper commitments. This expansion is expected to be completed in the first half of 2014.</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Gulf Coast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Capline Pipeline System. </w:t>
      </w:r>
      <w:r>
        <w:rPr>
          <w:rFonts w:ascii="Arial" w:cs="Arial" w:eastAsia="Arial" w:hAnsi="Arial"/>
          <w:sz w:val="18"/>
          <w:szCs w:val="18"/>
          <w:color w:val="auto"/>
        </w:rPr>
        <w:t>The Capline Pipeline system, in which we own an aggregate undivided joint interest of approximately 54%, is a 631-mile,</w:t>
      </w:r>
      <w:r>
        <w:rPr>
          <w:rFonts w:ascii="Arial" w:cs="Arial" w:eastAsia="Arial" w:hAnsi="Arial"/>
          <w:sz w:val="18"/>
          <w:szCs w:val="18"/>
          <w:i w:val="1"/>
          <w:iCs w:val="1"/>
          <w:color w:val="auto"/>
        </w:rPr>
        <w:t xml:space="preserve"> </w:t>
      </w:r>
      <w:r>
        <w:rPr>
          <w:rFonts w:ascii="Arial" w:cs="Arial" w:eastAsia="Arial" w:hAnsi="Arial"/>
          <w:sz w:val="18"/>
          <w:szCs w:val="18"/>
          <w:color w:val="auto"/>
        </w:rPr>
        <w:t>40-inch mainline crude oil pipeline originating in St. James, Louisiana, and terminating in Patoka, Illinois.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Capline has direct connections to a significant amount of crude production in the Gulf of Mexico. In addition, it has two active docks capable of handling approximately 600,000-barrel tankers and is connected to the Louisiana Offshore Oil Port and our St. James terminal and transports various grades of crude oil to PADD II. Total designed operating capacity is approximately 1.1 million barrels per day of crude oil, of which our attributable interest is approximately 600,000 barrels per day. Throughput on our interest averaged approximately 151,000 barrels per day during 2013.</w:t>
      </w:r>
    </w:p>
    <w:p>
      <w:pPr>
        <w:spacing w:after="0" w:line="15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Gulf Coast Pipeline</w:t>
      </w:r>
      <w:r>
        <w:rPr>
          <w:rFonts w:ascii="Arial" w:cs="Arial" w:eastAsia="Arial" w:hAnsi="Arial"/>
          <w:sz w:val="18"/>
          <w:szCs w:val="18"/>
          <w:color w:val="auto"/>
        </w:rPr>
        <w:t>. We are constructing our Gulf Coast Pipeline, an approximate 42-mile pipeline that originates at our Ten Mile facility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Alabama and extends to a refinery on the Gulf Coast. Additionally, we are constructing approximately 600,000 of storage capacity at our Ten Mile facility. We expect this project to be in service by mid-2014.</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Central</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Mid-Continent Area Systems. </w:t>
      </w:r>
      <w:r>
        <w:rPr>
          <w:rFonts w:ascii="Arial" w:cs="Arial" w:eastAsia="Arial" w:hAnsi="Arial"/>
          <w:sz w:val="18"/>
          <w:szCs w:val="18"/>
          <w:color w:val="auto"/>
        </w:rPr>
        <w:t>We own and operate pipeline systems that source crude oil from the Cleveland Sand, Granite Wash and</w:t>
      </w:r>
      <w:r>
        <w:rPr>
          <w:rFonts w:ascii="Arial" w:cs="Arial" w:eastAsia="Arial" w:hAnsi="Arial"/>
          <w:sz w:val="18"/>
          <w:szCs w:val="18"/>
          <w:i w:val="1"/>
          <w:iCs w:val="1"/>
          <w:color w:val="auto"/>
        </w:rPr>
        <w:t xml:space="preserve"> </w:t>
      </w:r>
      <w:r>
        <w:rPr>
          <w:rFonts w:ascii="Arial" w:cs="Arial" w:eastAsia="Arial" w:hAnsi="Arial"/>
          <w:sz w:val="18"/>
          <w:szCs w:val="18"/>
          <w:color w:val="auto"/>
        </w:rPr>
        <w:t>Mississippian/Lime resource plays of Western and Central Oklahoma, Southwest Kansas and the eastern Texas Panhandle. These systems consist of approximately 2,300 miles of pipeline with transportation and delivery into and out of our terminal facilities at Cushing. For 2013, combined throughput on the Mid-Continent Area systems totaled an average of approximately 281,000 barrels per day.</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Included in the Mid-Continent Area Systems is our Mississippian Lime pipeline, which was placed into service in August 2013. This new pipeline, which is supported by a long-term commitment from an area producer, services the increasing crude oil production in Northern Oklahoma and Southern</w:t>
      </w:r>
    </w:p>
    <w:p>
      <w:pPr>
        <w:sectPr>
          <w:pgSz w:w="11900" w:h="16908" w:orient="portrait"/>
          <w:cols w:equalWidth="0" w:num="1">
            <w:col w:w="11420"/>
          </w:cols>
          <w:pgMar w:left="240" w:top="341" w:right="239" w:bottom="0" w:gutter="0" w:footer="0" w:header="0"/>
        </w:sectPr>
      </w:pPr>
    </w:p>
    <w:bookmarkStart w:id="16" w:name="page17"/>
    <w:bookmarkEnd w:id="16"/>
    <w:p>
      <w:pPr>
        <w:spacing w:after="0" w:line="3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Kansas and provides crude oil transportation to our terminal facilities at Cushing. We are currently constructing two expansions of the Mississippian Lime pipeline, including an approximate 55-mile extension from Coldwater in Comanche County, Kansas to Byron in Alfalfa County, Oklahoma, as well as an approximate 45-mile extension that will extend our pipeline infrastructure into Logan County and farther into Grant County, Oklahoma. Each of these expansions is expected to be brought into service in the first quarter of 2014 and is supported by a long-term commitment from an area producer.</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Also in 2013, we commenced construction of a 95-mile extension of our existing Oklahoma crude oil pipeline system to service increasing production from producing areas in Western Oklahoma and the Texas Panhandle. This new Western Oklahoma pipeline will provide up to 75,000 barrels per day of new takeaway capacity from Reydon, Oklahoma to our existing Orion station in Major County, Oklahoma. This pipeline is supported by long-term producer commitments and is expected to be in service by the first quarter of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Manito. </w:t>
      </w:r>
      <w:r>
        <w:rPr>
          <w:rFonts w:ascii="Arial" w:cs="Arial" w:eastAsia="Arial" w:hAnsi="Arial"/>
          <w:sz w:val="17"/>
          <w:szCs w:val="17"/>
          <w:color w:val="auto"/>
        </w:rPr>
        <w:t>We own a 100% interest in the Manito heavy oil system. This 555-mile system is comprised of the Manito pipeline, the North Sask pipeline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Bodo/Cactus Lake pipeline. Each system consists of a blended crude oil line and a parallel diluent line which delivers condensate to upstream blending locations. The North Sask pipeline is 84 miles in length and originates near Turtleford, Saskatchewan and terminates in Dulwich, Saskatchewan. The Manito pipeline includes 334 miles of pipeline, and the mainline segment originates at Dulwich and terminates at Kerrobert, Saskatchewan. The Bodo/Cactus Lake pipeline is 137 miles long and originates in Bodo, Alberta and also terminates at our Kerrobert storage facility. The Kerrobert storage and terminalling facility is connected to the Enbridge pipeline system and can both receive and deliver heavy crude from and to the Enbridge pipeline system. For 2013, approximately 46,000 barrels per day of crude oil were transported on the Manito system.</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i w:val="1"/>
          <w:iCs w:val="1"/>
          <w:color w:val="auto"/>
        </w:rPr>
        <w:t xml:space="preserve">Rainbow System. </w:t>
      </w:r>
      <w:r>
        <w:rPr>
          <w:rFonts w:ascii="Arial" w:cs="Arial" w:eastAsia="Arial" w:hAnsi="Arial"/>
          <w:sz w:val="18"/>
          <w:szCs w:val="18"/>
          <w:color w:val="auto"/>
        </w:rPr>
        <w:t>We own a 100% interest in the Rainbow system. The Rainbow system is comprised of a 480-mile, 20-inch to 24-inch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pipeline extending from the Norman Wells Pipeline connection in Zama, Alberta to Edmonton, Alberta that has a throughput capacity of approximately 220,000 barrels per day and has 190 miles of gathering pipelines. In September 2013, we placed into service a 188-mile, 10-inch pipeline to transport diluent north from Edmonton, Alberta to our Nipisi truck terminal in Northern Alberta. This new pipeline has an initial capacity of 35,000 barrels per day and is expandable to 70,000 barrels per day. Total average throughput during 2013 on the Rainbow system was approximately 124,000 barrels per day.</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Rangeland System. </w:t>
      </w:r>
      <w:r>
        <w:rPr>
          <w:rFonts w:ascii="Arial" w:cs="Arial" w:eastAsia="Arial" w:hAnsi="Arial"/>
          <w:sz w:val="17"/>
          <w:szCs w:val="17"/>
          <w:color w:val="auto"/>
        </w:rPr>
        <w:t>We own a 100% interest in the Rangeland system. The Rangeland system consists of a 670 mile, 8-inch to 16-inch mainline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and 646 miles of 3-inch to 8-inch gathering pipelines. The Rangeland system transports NGL mix, butane, condensate, light sweet crude and light sour crude either north to Edmonton, Alberta or south to the U.S./Canadian border near Cutbank, Montana, where it connects to our Western Corridor system. Total average throughput during 2013 on the Rangeland system was approximately 60,000 barrels per day.</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South Saskatchewan</w:t>
      </w:r>
      <w:r>
        <w:rPr>
          <w:rFonts w:ascii="Arial" w:cs="Arial" w:eastAsia="Arial" w:hAnsi="Arial"/>
          <w:sz w:val="18"/>
          <w:szCs w:val="18"/>
          <w:color w:val="auto"/>
        </w:rPr>
        <w:t>. We own a 100% interest in the South Saskatchewan system. This system consists of a 160 mile, 16-inch mainline from Cantuar</w:t>
      </w:r>
      <w:r>
        <w:rPr>
          <w:rFonts w:ascii="Arial" w:cs="Arial" w:eastAsia="Arial" w:hAnsi="Arial"/>
          <w:sz w:val="18"/>
          <w:szCs w:val="18"/>
          <w:i w:val="1"/>
          <w:iCs w:val="1"/>
          <w:color w:val="auto"/>
        </w:rPr>
        <w:t xml:space="preserve"> </w:t>
      </w:r>
      <w:r>
        <w:rPr>
          <w:rFonts w:ascii="Arial" w:cs="Arial" w:eastAsia="Arial" w:hAnsi="Arial"/>
          <w:sz w:val="18"/>
          <w:szCs w:val="18"/>
          <w:color w:val="auto"/>
        </w:rPr>
        <w:t>to Regina, Saskatchewan and 181 miles of 6-inch to 12-inch gathering pipelines from the Rapdan area to Cantuar. The South Saskatchewan system transports heavy crude oil from four gathering areas in southern Saskatchewan to Enbridge’s Mainline at Regina. Total average throughput during 2013 on the South Saskatchewan system was approximately 51,000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Pipelines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Co-Ed NGL Pipeline System. </w:t>
      </w:r>
      <w:r>
        <w:rPr>
          <w:rFonts w:ascii="Arial" w:cs="Arial" w:eastAsia="Arial" w:hAnsi="Arial"/>
          <w:sz w:val="18"/>
          <w:szCs w:val="18"/>
          <w:color w:val="auto"/>
        </w:rPr>
        <w:t>We own a 100% interest in and are the operator of the Co-Ed NGL Pipeline System, which consists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772 miles of 3-inch to 10-inch pipeline. This pipeline gathers NGL from approximately 35 field gas processing plants located in Alberta, including all of the NGL produced at the Cochrane Straddle Plant. The Co-Ed NGL Pipeline System has throughput capacity of approximately 72,000 barrels per day. During 2013, throughput averaged approximately 56,000 barrels per day.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We generate revenue through a combination of month-to-month and multi-year leases and processing arrangements. Revenues generated in this segment include</w:t>
      </w:r>
    </w:p>
    <w:p>
      <w:pPr>
        <w:ind w:right="80" w:firstLine="8"/>
        <w:spacing w:after="0" w:line="281" w:lineRule="auto"/>
        <w:tabs>
          <w:tab w:leader="none" w:pos="2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w:t>
      </w:r>
    </w:p>
    <w:p>
      <w:pPr>
        <w:spacing w:after="0" w:line="1" w:lineRule="exact"/>
        <w:rPr>
          <w:rFonts w:ascii="Arial" w:cs="Arial" w:eastAsia="Arial" w:hAnsi="Arial"/>
          <w:sz w:val="16"/>
          <w:szCs w:val="16"/>
          <w:color w:val="auto"/>
        </w:rPr>
      </w:pPr>
    </w:p>
    <w:p>
      <w:pPr>
        <w:ind w:right="20" w:firstLine="8"/>
        <w:spacing w:after="0" w:line="323" w:lineRule="auto"/>
        <w:tabs>
          <w:tab w:leader="none" w:pos="3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hub service fees associated with natural gas park and loan activities, interruptible storage services and wheeling and balancing services, (v) revenues from the sale of natural gas, (vi) fees from NGL fractionation and isomerization and (vii) fees from natural gas and condensate processing services.</w:t>
      </w:r>
    </w:p>
    <w:p>
      <w:pPr>
        <w:spacing w:after="0" w:line="13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2013, we owned, operated or employed a variety of long-term physical assets throughout the United States and Canada in this segment, including:</w:t>
      </w:r>
    </w:p>
    <w:p>
      <w:pPr>
        <w:spacing w:after="0" w:line="170"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approximately 74 million barrels of crude oil and refined products storage capacity primarily at our terminalling and storage locations;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23 million barrels of NGL storage capacity;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approximately 17 Bcf of owned base gas;</w:t>
      </w:r>
    </w:p>
    <w:p>
      <w:pPr>
        <w:sectPr>
          <w:pgSz w:w="11900" w:h="16874" w:orient="portrait"/>
          <w:cols w:equalWidth="0" w:num="1">
            <w:col w:w="11420"/>
          </w:cols>
          <w:pgMar w:left="240" w:top="125" w:right="239" w:bottom="0" w:gutter="0" w:footer="0" w:header="0"/>
        </w:sectPr>
      </w:pPr>
    </w:p>
    <w:bookmarkStart w:id="17" w:name="page18"/>
    <w:bookmarkEnd w:id="17"/>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11 natural gas processing plants located throughout Canada and the Gulf Coast area of the United States;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condensate stabilization facility located in the Eagle Ford area of South Texas with an aggregate processing capacity of approximately 80,000 barrels per day;</w:t>
      </w:r>
    </w:p>
    <w:p>
      <w:pPr>
        <w:spacing w:after="0" w:line="170" w:lineRule="exact"/>
        <w:rPr>
          <w:rFonts w:ascii="Arial" w:cs="Arial" w:eastAsia="Arial" w:hAnsi="Arial"/>
          <w:sz w:val="18"/>
          <w:szCs w:val="18"/>
          <w:color w:val="auto"/>
        </w:rPr>
      </w:pPr>
    </w:p>
    <w:p>
      <w:pPr>
        <w:ind w:left="980" w:right="360" w:hanging="324"/>
        <w:spacing w:after="0" w:line="264" w:lineRule="auto"/>
        <w:tabs>
          <w:tab w:leader="none" w:pos="9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seven fractionation plants located throughout Canada and the United States with an aggregate gross processing capacity of approximately 221,800 barrels per day, and an isomerization and fractionation facility in California with an aggregate processing capacity of approximately 14,000 barrels per day;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 crude oil and NGL rail terminals located throughout the United States and Canada. See “-Major Facilities Assets - Rail Facilities” below for an overview of various terminals and “Supply and Logistics” regarding our use of railcars;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1,250 miles of active pipelines that support our facilities assets, consisting primarily of NGL and natural gas pipelines.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tabular presentation of our active facilities segment storage and service assets in the United States and Canada as of December 31, 2013, grouped by product and service type and capacity and volume as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Cushing</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Kerrobert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LA Basin</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Martinez and Richmond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Mobile and Ten Mile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Patoka</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Philadelphia Area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St. James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ind w:left="180"/>
              <w:spacing w:after="0" w:line="216"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3"/>
                <w:szCs w:val="23"/>
                <w:i w:val="1"/>
                <w:iCs w:val="1"/>
                <w:color w:val="auto"/>
                <w:vertAlign w:val="superscript"/>
              </w:rPr>
              <w:t>(1)</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Other</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Bumstead</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Fort Saskatchewan</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Sarnia Area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Tirzah</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Other</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Natural Gas Storage Facilities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(Bcf)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Salt-caverns and Depleted Reservoir</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0"/>
              </w:rPr>
              <w:t>Total Gas</w:t>
            </w:r>
          </w:p>
        </w:tc>
        <w:tc>
          <w:tcPr>
            <w:tcW w:w="60" w:type="dxa"/>
            <w:vAlign w:val="bottom"/>
          </w:tcPr>
          <w:p>
            <w:pPr>
              <w:spacing w:after="0"/>
              <w:rPr>
                <w:sz w:val="24"/>
                <w:szCs w:val="2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Gross Gas</w:t>
            </w:r>
          </w:p>
        </w:tc>
        <w:tc>
          <w:tcPr>
            <w:tcW w:w="180" w:type="dxa"/>
            <w:vAlign w:val="bottom"/>
          </w:tcPr>
          <w:p>
            <w:pPr>
              <w:spacing w:after="0"/>
              <w:rPr>
                <w:sz w:val="24"/>
                <w:szCs w:val="2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Net Gas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Processing</w:t>
            </w:r>
          </w:p>
        </w:tc>
        <w:tc>
          <w:tcPr>
            <w:tcW w:w="18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Processing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Natural Gas Processing Facilities (2)</w:t>
            </w:r>
          </w:p>
        </w:tc>
        <w:tc>
          <w:tcPr>
            <w:tcW w:w="300" w:type="dxa"/>
            <w:vAlign w:val="bottom"/>
          </w:tcPr>
          <w:p>
            <w:pPr>
              <w:spacing w:after="0"/>
              <w:rPr>
                <w:sz w:val="12"/>
                <w:szCs w:val="12"/>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Ownership Interest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60" w:type="dxa"/>
            <w:vAlign w:val="bottom"/>
          </w:tcPr>
          <w:p>
            <w:pPr>
              <w:spacing w:after="0"/>
              <w:rPr>
                <w:sz w:val="12"/>
                <w:szCs w:val="12"/>
                <w:color w:val="auto"/>
              </w:rPr>
            </w:pPr>
          </w:p>
        </w:tc>
        <w:tc>
          <w:tcPr>
            <w:tcW w:w="14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Capacity</w:t>
            </w:r>
          </w:p>
        </w:tc>
        <w:tc>
          <w:tcPr>
            <w:tcW w:w="18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(Bcf/d)</w:t>
            </w:r>
          </w:p>
        </w:tc>
        <w:tc>
          <w:tcPr>
            <w:tcW w:w="60" w:type="dxa"/>
            <w:vAlign w:val="bottom"/>
          </w:tcPr>
          <w:p>
            <w:pPr>
              <w:spacing w:after="0"/>
              <w:rPr>
                <w:sz w:val="14"/>
                <w:szCs w:val="14"/>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(Bcf/d)</w:t>
            </w:r>
          </w:p>
        </w:tc>
        <w:tc>
          <w:tcPr>
            <w:tcW w:w="1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(Bcf/d)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United States Gulf Coast Area</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Canada</w:t>
            </w:r>
          </w:p>
        </w:tc>
        <w:tc>
          <w:tcPr>
            <w:tcW w:w="1900" w:type="dxa"/>
            <w:vAlign w:val="bottom"/>
            <w:gridSpan w:val="5"/>
          </w:tcPr>
          <w:p>
            <w:pPr>
              <w:jc w:val="right"/>
              <w:spacing w:after="0"/>
              <w:rPr>
                <w:sz w:val="20"/>
                <w:szCs w:val="20"/>
                <w:color w:val="auto"/>
              </w:rPr>
            </w:pPr>
            <w:r>
              <w:rPr>
                <w:rFonts w:ascii="Arial" w:cs="Arial" w:eastAsia="Arial" w:hAnsi="Arial"/>
                <w:sz w:val="18"/>
                <w:szCs w:val="18"/>
                <w:color w:val="auto"/>
              </w:rPr>
              <w:t>36-100%</w:t>
            </w:r>
          </w:p>
        </w:tc>
        <w:tc>
          <w:tcPr>
            <w:tcW w:w="1880" w:type="dxa"/>
            <w:vAlign w:val="bottom"/>
            <w:gridSpan w:val="6"/>
          </w:tcPr>
          <w:p>
            <w:pPr>
              <w:jc w:val="right"/>
              <w:ind w:right="220"/>
              <w:spacing w:after="0"/>
              <w:rPr>
                <w:sz w:val="20"/>
                <w:szCs w:val="20"/>
                <w:color w:val="auto"/>
              </w:rPr>
            </w:pPr>
            <w:r>
              <w:rPr>
                <w:rFonts w:ascii="Arial" w:cs="Arial" w:eastAsia="Arial" w:hAnsi="Arial"/>
                <w:sz w:val="18"/>
                <w:szCs w:val="18"/>
                <w:color w:val="auto"/>
              </w:rPr>
              <w:t>1.3</w:t>
            </w:r>
          </w:p>
        </w:tc>
        <w:tc>
          <w:tcPr>
            <w:tcW w:w="1520" w:type="dxa"/>
            <w:vAlign w:val="bottom"/>
            <w:gridSpan w:val="5"/>
          </w:tcPr>
          <w:p>
            <w:pPr>
              <w:jc w:val="right"/>
              <w:ind w:right="100"/>
              <w:spacing w:after="0"/>
              <w:rPr>
                <w:sz w:val="20"/>
                <w:szCs w:val="20"/>
                <w:color w:val="auto"/>
              </w:rPr>
            </w:pPr>
            <w:r>
              <w:rPr>
                <w:rFonts w:ascii="Arial" w:cs="Arial" w:eastAsia="Arial" w:hAnsi="Arial"/>
                <w:sz w:val="18"/>
                <w:szCs w:val="18"/>
                <w:color w:val="auto"/>
              </w:rPr>
              <w:t>6.7</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Condensate Stabilization Facility</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(Bpd)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Gardendale</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24"/>
                <w:szCs w:val="24"/>
                <w:color w:val="auto"/>
              </w:rPr>
            </w:pPr>
          </w:p>
        </w:tc>
        <w:tc>
          <w:tcPr>
            <w:tcW w:w="146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148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90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w w:val="96"/>
              </w:rPr>
              <w:t>Ownership Interest</w:t>
            </w:r>
          </w:p>
        </w:tc>
        <w:tc>
          <w:tcPr>
            <w:tcW w:w="60" w:type="dxa"/>
            <w:vAlign w:val="bottom"/>
          </w:tcPr>
          <w:p>
            <w:pPr>
              <w:spacing w:after="0"/>
              <w:rPr>
                <w:sz w:val="12"/>
                <w:szCs w:val="12"/>
                <w:color w:val="auto"/>
              </w:rPr>
            </w:pPr>
          </w:p>
        </w:tc>
        <w:tc>
          <w:tcPr>
            <w:tcW w:w="1820" w:type="dxa"/>
            <w:vAlign w:val="bottom"/>
            <w:gridSpan w:val="5"/>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520" w:type="dxa"/>
            <w:vAlign w:val="bottom"/>
            <w:gridSpan w:val="5"/>
          </w:tcPr>
          <w:p>
            <w:pPr>
              <w:jc w:val="right"/>
              <w:ind w:right="920"/>
              <w:spacing w:after="0" w:line="149" w:lineRule="exact"/>
              <w:rPr>
                <w:sz w:val="20"/>
                <w:szCs w:val="20"/>
                <w:color w:val="auto"/>
              </w:rPr>
            </w:pPr>
            <w:r>
              <w:rPr>
                <w:rFonts w:ascii="Arial" w:cs="Arial" w:eastAsia="Arial" w:hAnsi="Arial"/>
                <w:sz w:val="14"/>
                <w:szCs w:val="14"/>
                <w:b w:val="1"/>
                <w:bCs w:val="1"/>
                <w:color w:val="auto"/>
                <w:w w:val="99"/>
              </w:rPr>
              <w:t>Capacity</w:t>
            </w:r>
          </w:p>
        </w:tc>
        <w:tc>
          <w:tcPr>
            <w:tcW w:w="1660" w:type="dxa"/>
            <w:vAlign w:val="bottom"/>
            <w:gridSpan w:val="4"/>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4"/>
            <w:vMerge w:val="continue"/>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8"/>
              </w:rPr>
              <w:t>(Bpd)</w:t>
            </w:r>
          </w:p>
        </w:tc>
        <w:tc>
          <w:tcPr>
            <w:tcW w:w="60" w:type="dxa"/>
            <w:vAlign w:val="bottom"/>
          </w:tcPr>
          <w:p>
            <w:pPr>
              <w:spacing w:after="0"/>
              <w:rPr>
                <w:sz w:val="14"/>
                <w:szCs w:val="14"/>
                <w:color w:val="auto"/>
              </w:rPr>
            </w:pPr>
          </w:p>
        </w:tc>
        <w:tc>
          <w:tcPr>
            <w:tcW w:w="146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(Bpd)</w:t>
            </w:r>
          </w:p>
        </w:tc>
        <w:tc>
          <w:tcPr>
            <w:tcW w:w="166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8"/>
              </w:rPr>
              <w:t>(Bpd)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Fort Saskatchewan</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23,332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Sarnia</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62-84%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53,788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Shafter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8,951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180"/>
              <w:spacing w:after="0"/>
              <w:rPr>
                <w:sz w:val="20"/>
                <w:szCs w:val="20"/>
                <w:color w:val="auto"/>
              </w:rPr>
            </w:pPr>
            <w:r>
              <w:rPr>
                <w:rFonts w:ascii="Arial" w:cs="Arial" w:eastAsia="Arial" w:hAnsi="Arial"/>
                <w:sz w:val="18"/>
                <w:szCs w:val="18"/>
                <w:i w:val="1"/>
                <w:iCs w:val="1"/>
                <w:color w:val="auto"/>
              </w:rPr>
              <w:t>Other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82-100%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26,800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24,973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96,326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235,800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180,273</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Loading</w:t>
            </w:r>
          </w:p>
        </w:tc>
        <w:tc>
          <w:tcPr>
            <w:tcW w:w="18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Unloading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Rail Facilities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Ownership Interest</w:t>
            </w:r>
          </w:p>
        </w:tc>
        <w:tc>
          <w:tcPr>
            <w:tcW w:w="2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(4)</w:t>
            </w:r>
          </w:p>
        </w:tc>
        <w:tc>
          <w:tcPr>
            <w:tcW w:w="18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 xml:space="preserve">Capacity </w:t>
            </w:r>
            <w:r>
              <w:rPr>
                <w:rFonts w:ascii="Arial" w:cs="Arial" w:eastAsia="Arial" w:hAnsi="Arial"/>
                <w:sz w:val="8"/>
                <w:szCs w:val="8"/>
                <w:b w:val="1"/>
                <w:bCs w:val="1"/>
                <w:color w:val="auto"/>
                <w:w w:val="91"/>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(Bpd)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(Bpd)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Crude Oil Rail Facilities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Ownership Interest</w:t>
            </w:r>
          </w:p>
        </w:tc>
        <w:tc>
          <w:tcPr>
            <w:tcW w:w="60" w:type="dxa"/>
            <w:vAlign w:val="bottom"/>
          </w:tcPr>
          <w:p>
            <w:pPr>
              <w:spacing w:after="0"/>
              <w:rPr>
                <w:sz w:val="24"/>
                <w:szCs w:val="24"/>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24"/>
                <w:szCs w:val="2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Rack Spots</w:t>
            </w:r>
          </w:p>
        </w:tc>
        <w:tc>
          <w:tcPr>
            <w:tcW w:w="1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Storage Spots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4"/>
            <w:shd w:val="clear" w:color="auto" w:fill="CCEEFF"/>
          </w:tcPr>
          <w:p>
            <w:pPr>
              <w:ind w:left="180"/>
              <w:spacing w:after="0" w:line="21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i w:val="1"/>
                <w:iCs w:val="1"/>
                <w:color w:val="auto"/>
                <w:vertAlign w:val="superscript"/>
              </w:rPr>
              <w:t>(5)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-3046095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-3046095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41" w:right="199" w:bottom="22" w:gutter="0" w:footer="0" w:header="0"/>
        </w:sectPr>
      </w:pPr>
    </w:p>
    <w:bookmarkStart w:id="18" w:name="page19"/>
    <w:bookmarkEnd w:id="18"/>
    <w:p>
      <w:pPr>
        <w:spacing w:after="0" w:line="69"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Amount includes 1.6 million barrels of capacity for which we hold lease options (1.1 million barrels of which have been exercised).</w:t>
      </w:r>
    </w:p>
    <w:p>
      <w:pPr>
        <w:spacing w:after="0" w:line="179" w:lineRule="exact"/>
        <w:rPr>
          <w:rFonts w:ascii="Arial" w:cs="Arial" w:eastAsia="Arial" w:hAnsi="Arial"/>
          <w:sz w:val="23"/>
          <w:szCs w:val="23"/>
          <w:color w:val="auto"/>
          <w:vertAlign w:val="superscript"/>
        </w:rPr>
      </w:pPr>
    </w:p>
    <w:p>
      <w:pPr>
        <w:ind w:left="300" w:hanging="292"/>
        <w:spacing w:after="0"/>
        <w:tabs>
          <w:tab w:leader="none" w:pos="300"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While natural gas processing inlet volumes and capacity amounts are presented, they currently are not a significant driver of our segment results.</w:t>
      </w:r>
    </w:p>
    <w:p>
      <w:pPr>
        <w:spacing w:after="0" w:line="167"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Inlet volumes represent average inlet volumes net to our share for the entire year.</w:t>
      </w:r>
    </w:p>
    <w:p>
      <w:pPr>
        <w:spacing w:after="0" w:line="167" w:lineRule="exact"/>
        <w:rPr>
          <w:rFonts w:ascii="Arial" w:cs="Arial" w:eastAsia="Arial" w:hAnsi="Arial"/>
          <w:sz w:val="23"/>
          <w:szCs w:val="23"/>
          <w:color w:val="auto"/>
          <w:vertAlign w:val="superscript"/>
        </w:rPr>
      </w:pPr>
    </w:p>
    <w:p>
      <w:pPr>
        <w:ind w:left="300" w:hanging="292"/>
        <w:spacing w:after="0"/>
        <w:tabs>
          <w:tab w:leader="none" w:pos="30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Capacity transported will vary according to specification of product moved.</w:t>
      </w:r>
    </w:p>
    <w:p>
      <w:pPr>
        <w:spacing w:after="0" w:line="201" w:lineRule="exact"/>
        <w:rPr>
          <w:rFonts w:ascii="Arial" w:cs="Arial" w:eastAsia="Arial" w:hAnsi="Arial"/>
          <w:sz w:val="23"/>
          <w:szCs w:val="23"/>
          <w:color w:val="auto"/>
          <w:vertAlign w:val="superscript"/>
        </w:rPr>
      </w:pPr>
    </w:p>
    <w:p>
      <w:pPr>
        <w:ind w:left="340" w:right="680" w:hanging="332"/>
        <w:spacing w:after="0" w:line="227" w:lineRule="auto"/>
        <w:tabs>
          <w:tab w:leader="none" w:pos="305"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Major Facilities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and Refined Products Facilities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wet-barrel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many varieties of foreign and domestic crude oil. The facility has access to all major inbound and outbound pipelines in Cushing and is designed to handle multiple grades of crude oil while minimizing the interface and enabling deliveries to connecting carriers at their maximum rate.</w:t>
      </w:r>
    </w:p>
    <w:p>
      <w:pPr>
        <w:spacing w:after="0" w:line="18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Since 1999, we have completed multiple expansions, which have increased the capacity of the Cushing Terminal to a total of approximately 20 million barrels. During 2013, we added approximately 1.1 million barrels of such storage capacity through the construction of four 270,000 barrel tanks. We also added additional delivery capacity through the installation of a high volume meter. During mid-2013, we commenced construction of an additional 0.5 million barrels of storage capacity, which is expected to be placed into service in stages throughout 2014.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i w:val="1"/>
          <w:iCs w:val="1"/>
          <w:color w:val="auto"/>
        </w:rPr>
        <w:t xml:space="preserve">Kerrobert Terminal. </w:t>
      </w:r>
      <w:r>
        <w:rPr>
          <w:rFonts w:ascii="Arial" w:cs="Arial" w:eastAsia="Arial" w:hAnsi="Arial"/>
          <w:sz w:val="16"/>
          <w:szCs w:val="16"/>
          <w:color w:val="auto"/>
        </w:rPr>
        <w:t>We own a crude oil and condensate storage and terminalling facility, which is located near Kerrobert, Saskatchewan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connected to our Manito and Cactus Lake pipeline systems. The total storage capacity at the Kerrobert terminal is approximately 1 million barrels. This facility is also connected to the Enbridge pipeline system and can both receive and deliver heavy crude from and to the Enbridge pipeline system.</w:t>
      </w:r>
    </w:p>
    <w:p>
      <w:pPr>
        <w:spacing w:after="0" w:line="14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refined product storage facilities in the Los Angeles area with a total of approximately 8 million barrels of</w:t>
      </w:r>
      <w:r>
        <w:rPr>
          <w:rFonts w:ascii="Arial" w:cs="Arial" w:eastAsia="Arial" w:hAnsi="Arial"/>
          <w:sz w:val="18"/>
          <w:szCs w:val="18"/>
          <w:i w:val="1"/>
          <w:iCs w:val="1"/>
          <w:color w:val="auto"/>
        </w:rPr>
        <w:t xml:space="preserve"> </w:t>
      </w:r>
      <w:r>
        <w:rPr>
          <w:rFonts w:ascii="Arial" w:cs="Arial" w:eastAsia="Arial" w:hAnsi="Arial"/>
          <w:sz w:val="18"/>
          <w:szCs w:val="18"/>
          <w:color w:val="auto"/>
        </w:rPr>
        <w:t>storage capacity in commercial service and a distribution pipeline system of approximately 50 miles of pipeline in the Los Angeles Basin.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and third-party pipelines and marine terminals in the Los Angeles Basin.</w:t>
      </w:r>
    </w:p>
    <w:p>
      <w:pPr>
        <w:spacing w:after="0" w:line="188"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service). Our San Francisco area terminals have approximately</w:t>
      </w:r>
    </w:p>
    <w:p>
      <w:pPr>
        <w:ind w:right="120"/>
        <w:spacing w:after="0" w:line="323" w:lineRule="auto"/>
        <w:rPr>
          <w:sz w:val="20"/>
          <w:szCs w:val="20"/>
          <w:color w:val="auto"/>
        </w:rPr>
      </w:pPr>
      <w:r>
        <w:rPr>
          <w:rFonts w:ascii="Arial" w:cs="Arial" w:eastAsia="Arial" w:hAnsi="Arial"/>
          <w:sz w:val="16"/>
          <w:szCs w:val="16"/>
          <w:color w:val="auto"/>
        </w:rPr>
        <w:t>5 million barrels of combined storage capacity that are connected to area refineries through a network of owned and third-party pipelines that carry crude oil and refined products to and from area refineries. The terminals have dock facilities and our Richmond terminal is also able to receive products by rail.</w:t>
      </w:r>
    </w:p>
    <w:p>
      <w:pPr>
        <w:spacing w:after="0" w:line="13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Mobile and Ten Mile Terminal. </w:t>
      </w:r>
      <w:r>
        <w:rPr>
          <w:rFonts w:ascii="Arial" w:cs="Arial" w:eastAsia="Arial" w:hAnsi="Arial"/>
          <w:sz w:val="18"/>
          <w:szCs w:val="18"/>
          <w:color w:val="auto"/>
        </w:rPr>
        <w:t>We have a marine terminal in Mobile, Alabama (the “Mobile Terminal”) that has current useable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 million barrels. Approximately 2 million barrels of additional storage capacity is available at our nearby Ten Mile Facility, which is connected to our Mobile Terminal via a 36-inch pipeline. Approximately half of the additional storage capacity at Ten Mile is included in our transportation segment.</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Patoka Terminal. </w:t>
      </w:r>
      <w:r>
        <w:rPr>
          <w:rFonts w:ascii="Arial" w:cs="Arial" w:eastAsia="Arial" w:hAnsi="Arial"/>
          <w:sz w:val="16"/>
          <w:szCs w:val="16"/>
          <w:color w:val="auto"/>
        </w:rPr>
        <w:t>Our Patoka Terminal has approximately 6 million barrels of storage capacity and the associated manifold and header system at the</w:t>
      </w:r>
      <w:r>
        <w:rPr>
          <w:rFonts w:ascii="Arial" w:cs="Arial" w:eastAsia="Arial" w:hAnsi="Arial"/>
          <w:sz w:val="16"/>
          <w:szCs w:val="16"/>
          <w:i w:val="1"/>
          <w:iCs w:val="1"/>
          <w:color w:val="auto"/>
        </w:rPr>
        <w:t xml:space="preserve"> </w:t>
      </w:r>
      <w:r>
        <w:rPr>
          <w:rFonts w:ascii="Arial" w:cs="Arial" w:eastAsia="Arial" w:hAnsi="Arial"/>
          <w:sz w:val="16"/>
          <w:szCs w:val="16"/>
          <w:color w:val="auto"/>
        </w:rPr>
        <w:t>Patoka Interchange located in southern Illinois. Our terminal is connected to all major pipelines and terminals at the Patoka Interchange. Patoka is a growing regional hub with access to domestic and foreign crude oil for certain volumes moving north on the Capline system as well as Canadian barrels moving south.</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Philadelphia Area Terminals. </w:t>
      </w:r>
      <w:r>
        <w:rPr>
          <w:rFonts w:ascii="Arial" w:cs="Arial" w:eastAsia="Arial" w:hAnsi="Arial"/>
          <w:sz w:val="18"/>
          <w:szCs w:val="18"/>
          <w:color w:val="auto"/>
        </w:rPr>
        <w:t>We own four refined product terminals in the Philadelphia, Pennsylvania area. Our Philadelphia area terminals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storage capacity of approximately 4 million barrels. The terminals have 20 truck loading lanes, two barge docks and a ship dock. The Philadelphia area terminals provide services and products to all of the refiners in the Philadelphia harbor. The Philadelphia area terminals also receive products from connecting pipelines.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We have approximately 9 million barrels of crude oil storage capacity at the St. James crude oil interchange in Louisiana,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one of the three most liquid crude oil interchanges in the United States. The facility is connected to major pipelines and other terminals and includes a manifold and header system that allows for receipts and deliveries with connecting pipelines at their maximum operating capacity. Over the past few years, we completed the construction of a marine dock that is able to receive from tankers and receive from, and load, barges. The facility is also connected to our rail unloading facility. See “-Rail Facilities” below for further discussion.</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2013, we added approximately 0.6 million barrels of crude oil storage capacity to the St. James terminal, and we expect to add approximately 1.1 million barrels of crude oil storage capacity throughout 2014. These expansions are supported by multi-year contracts and throughput arrangements with</w:t>
      </w:r>
    </w:p>
    <w:p>
      <w:pPr>
        <w:sectPr>
          <w:pgSz w:w="11900" w:h="16908" w:orient="portrait"/>
          <w:cols w:equalWidth="0" w:num="1">
            <w:col w:w="11400"/>
          </w:cols>
          <w:pgMar w:left="240" w:top="91" w:right="259" w:bottom="0" w:gutter="0" w:footer="0" w:header="0"/>
        </w:sectPr>
      </w:pPr>
    </w:p>
    <w:bookmarkStart w:id="19" w:name="page20"/>
    <w:bookmarkEnd w:id="19"/>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third-party customers.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approximately 6 million barrels of storage for crude oil, black oil, propane, butane and refined products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Yorktown facility, including 1.6 million barrels of capacity for which we hold lease options (1.1 million barrels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 We are in the process of making a number of modifications to the Yorktown facility, which will enhance the capabilities of the rail system, the dock facilities and related infrastructure, and increase connectivity and flexibility within the terminal itself. Portions of these projects were completed in the fourth quarter of 2013, with the balance expected to be completed in early 2014.</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approximately 4 million barrels of useable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the facility’s primary assets include three salt-dome storage caverns, a 30-car rail rack and six truck racks.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approximately 16 miles northeast of Edmonton, Alberta in one of the key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NGL hubs. The facility is a receipt, storage, fractionation and delivery facility for NGL and is connected to other major NGL plants and pipeline systems in the area. The facility’s primary assets include 21 storage caverns with approximately 4 million barrels in useable storage capacity. NGL mix and spec products can be delivered to the Enbridge pipeline in addition to the propane truck loading rack at the facility.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2013, we began upgrading our Fort Saskatchewan storage capacity as part of a multi-phase expansion. The first phase of the expansion will add two additional NGL storage caverns and approximately 2.5 million barrels of additional brine pond capacity.</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The Sarnia facility is a large NGL fractionation, storage and shipping facility located on a 380 acre plant site in the Sarnia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Valley. There are 36 multi-product rail car loading spots, 4 multi-product truck loading racks and a network of 14 pipelines providing product delivery capabilities to our Windsor, St. Clair and Green Springs terminal facilities, in addition to refineries, chemical plants, and other pipeline systems in the area. The facility has approximately 3 million barrels in useable storage capacity. In 2013, we initiated a brine disposal program which will facilitate the removal of excess brine via truck from our Sarnia facility. The project is expected to increase useable NGL storage capacity at the facility by as much as 3 million barrels when completed.</w:t>
      </w:r>
    </w:p>
    <w:p>
      <w:pPr>
        <w:spacing w:after="0" w:line="193"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Windsor storage terminal in Windsor, Canada, is a pipeline hub and underground storage facility. The facility is served by three Plains owned receipt/dispatch pipelines, the Cochin pipeline and rail and truck offloading. There are eight storage caverns on site with a useable capacity of approximately 3 million barrels. The primary terminal assets consist of 16 multi-product rail tank car loading spots and a propane truck loading rack. In 2014, we plan to initiate a brine disposal program which will facilitate the removal of excess brine via pipeline from our Windsor storage terminal. The project is expected to increase useable NGL storage capacity at the facility by approximately 1 million barrels.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a Plains owned pipeline. On site are seven storage caverns with useable capacity of approximately 2 million barrels and 28 multi-product rail tank car loading spots.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Tirzah. </w:t>
      </w:r>
      <w:r>
        <w:rPr>
          <w:rFonts w:ascii="Arial" w:cs="Arial" w:eastAsia="Arial" w:hAnsi="Arial"/>
          <w:sz w:val="17"/>
          <w:szCs w:val="17"/>
          <w:color w:val="auto"/>
        </w:rPr>
        <w:t>The Tirzah facility is located in South Carolina and consists of an underground granite storage cavern with approximately 1 million barrels</w:t>
      </w:r>
      <w:r>
        <w:rPr>
          <w:rFonts w:ascii="Arial" w:cs="Arial" w:eastAsia="Arial" w:hAnsi="Arial"/>
          <w:sz w:val="17"/>
          <w:szCs w:val="17"/>
          <w:i w:val="1"/>
          <w:iCs w:val="1"/>
          <w:color w:val="auto"/>
        </w:rPr>
        <w:t xml:space="preserve"> </w:t>
      </w:r>
      <w:r>
        <w:rPr>
          <w:rFonts w:ascii="Arial" w:cs="Arial" w:eastAsia="Arial" w:hAnsi="Arial"/>
          <w:sz w:val="17"/>
          <w:szCs w:val="17"/>
          <w:color w:val="auto"/>
        </w:rPr>
        <w:t>of useable capacity. The Tirzah facility is connected to the Dixie Pipeline System (a third-party system) via our 62-mile pipeline.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2013, we had an aggregate working gas capacity of approximately 97 Bcf in service. Our facilities have aggregate peak daily injection and withdrawal rates of 4.1 Bcf and 6.4 Bcf, respectively.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service consumer and industrial markets in the Gulf Coast, Midwest, Mid-Atlantic, Northeast, and Southeast regions of the United States and the Southeastern portion of Canada through 19 interconnects with 12 interstate pipelines and 4 utility companies.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own and operate five natural gas processing plants located in Louisiana and Alabama with an aggregate natural gas processing capacity of approximately 0.6 Bcf per day. In 2013, we completed a number of modifications to our Patterson, Louisiana gas processing facility, which included new pipeline and customer connections.</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also own and/or operate four straddle plants and two field gas processing plants located in Western Canada with an aggregate gross natural gas processing capacity of approximately 6.7 Bcf per day and long-term liquid supply contracts relating to a third-party owned straddle plant with gross</w:t>
      </w:r>
    </w:p>
    <w:p>
      <w:pPr>
        <w:sectPr>
          <w:pgSz w:w="11900" w:h="16975" w:orient="portrait"/>
          <w:cols w:equalWidth="0" w:num="1">
            <w:col w:w="11420"/>
          </w:cols>
          <w:pgMar w:left="240" w:top="125" w:right="239" w:bottom="0" w:gutter="0" w:footer="0" w:header="0"/>
        </w:sectPr>
      </w:pPr>
    </w:p>
    <w:bookmarkStart w:id="20" w:name="page21"/>
    <w:bookmarkEnd w:id="20"/>
    <w:p>
      <w:pPr>
        <w:jc w:val="center"/>
        <w:ind w:right="7520"/>
        <w:spacing w:after="0"/>
        <w:rPr>
          <w:sz w:val="20"/>
          <w:szCs w:val="20"/>
          <w:color w:val="auto"/>
        </w:rPr>
      </w:pPr>
      <w:r>
        <w:rPr>
          <w:rFonts w:ascii="Arial" w:cs="Arial" w:eastAsia="Arial" w:hAnsi="Arial"/>
          <w:sz w:val="16"/>
          <w:szCs w:val="16"/>
          <w:color w:val="auto"/>
        </w:rPr>
        <w:t>processing capacity of approximately 2.5 Bcf per day.</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Stabilization Facility</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2013, we completed construction of a condensate stabilization facility in La Salle County, Texas which is designed to extract natural gas liquids from condensate. The facility, which currently has two stabilizers and a capacity of 80,000 barrels per day, is adjacent to our Gardendale terminal and rail facility. Throughput at the Gardendale stabilization facility is supplied by long-term commitments from producers. Since the facility began operations, throughput has averaged approximately 40,000 barrels per day.</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2013, we announced that we will add a third condensate stabilizer that will provide approximately 40,000 barrels per day of incremental capacity to the existing facility, bringing the total capacity to approximately 120,000 barrels per day. This project is expected to be in service in the second quarter of 2015.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Our Fort Saskatchewan facility has a fractionation capacity of approximately 45,000 barrels per day and produces both spec</w:t>
      </w:r>
      <w:r>
        <w:rPr>
          <w:rFonts w:ascii="Arial" w:cs="Arial" w:eastAsia="Arial" w:hAnsi="Arial"/>
          <w:sz w:val="18"/>
          <w:szCs w:val="18"/>
          <w:i w:val="1"/>
          <w:iCs w:val="1"/>
          <w:color w:val="auto"/>
        </w:rPr>
        <w:t xml:space="preserve"> </w:t>
      </w:r>
      <w:r>
        <w:rPr>
          <w:rFonts w:ascii="Arial" w:cs="Arial" w:eastAsia="Arial" w:hAnsi="Arial"/>
          <w:sz w:val="18"/>
          <w:szCs w:val="18"/>
          <w:color w:val="auto"/>
        </w:rPr>
        <w:t>NGL products and C3/C4 mix for delivery to the Sarnia facility via the Enbridge pipeline.</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fractionation feedstock is supplied via the Fort Saskatchewan Pipeline System which connects to the Co-Ed NGL Pipeline System. Through ownership in the Keyera Fort Saskatchewan fractionation plant, (which has a gross fractionation capacity of 30,000 barrels per day), we have additional fractionation capacity, net to our share of 6,300 barrels per day.</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Kalkaska Pipeline, and from refineries, gas plants and chemical plants in the area. The fractionation unit has a gross useable capacity of 120,000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14,000 barrels per day and NGL fractionation capacity of approximately 12,000 barrels per day.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fourth quarter of 2013, we completed construction of a 15-mile NGL pipeline system that is capable of delivering up to 10,000 barrels per day from Occidental Petroleum Corporation’s Elk Hills Gas plant to our Shafter facility. This project also included additions to our storage capacity and rail facilities.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Gardendale</w:t>
      </w:r>
      <w:r>
        <w:rPr>
          <w:rFonts w:ascii="Arial" w:cs="Arial" w:eastAsia="Arial" w:hAnsi="Arial"/>
          <w:sz w:val="18"/>
          <w:szCs w:val="18"/>
          <w:color w:val="auto"/>
        </w:rPr>
        <w:t>. In 2013, we announced a project to construct a new NGL fractionator in the Eagle Ford area of South Texas that will have a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up to 15,000 barrels per day of NGL Y-Grade and off-spec Y-Grade product. The fractionator will be located near existing PAA assets in Gardendale (La Salle County), Texas, and will be designed to fractionate NGL Y-Grade and to treat and fractionate off-spec Y-Grade sourced from our area gathering system, our condensate stabilizer and throughout the Eagle Ford producing region. This project, which is supported by long-term third-party commitments, will also include the construction of approximately 80,000 barrels of pressurized storage to accommodate Y-Grade and purity products and is expected to be in service in the second quarter of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own five active crude oil and condensate rail loading terminals that service production in the Niobrara, Eagle Ford and Bakken shale formations and have a combined loading capacity of approximately 211,000 barrels per day. These facilities are located in Carr, Colorado; Tampa, Colorado; Gardendale, Texas; Manitou, North Dakota; and Van Hook, North Dakota. We placed the Tampa, Colorado facility into service in November 2013.</w:t>
      </w:r>
    </w:p>
    <w:p>
      <w:pPr>
        <w:spacing w:after="0" w:line="14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are currently expanding our Van Hook and Carr terminals to increase loading capacity at each terminal from 35,000 and 15,000 barrels per day, respectively, to 68,000 barrels per day. We expect to complete these expansions in mid-2014 and the first half of 2015, respectively. In addition, we are currently constructing crude oil rail loading facilities in Western Canada, which we expect to be in service in mid-2015.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own two active crude oil rail unloading terminals and have one additional unloading terminal under construction. Our terminal at St. James, Louisiana is connected to our active rail unloading facility that has an unload capacity of 140,000 barrels of sweet crude oil per day. Our Yorktown, Virginia rail facility was placed into service in December 2013. This facility receives unit trains and has an unload capacity of approximately 140,000 barrels per day.</w:t>
      </w:r>
    </w:p>
    <w:p>
      <w:pPr>
        <w:spacing w:after="0" w:line="147"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In connection with our 2012 acquisition of rail terminals from US Development Group, we acquired a project to construct a crude oil unloading terminal near Bakersfield, California. We expect to complete this project during the second half of 2014, at which point this terminal will have permitted capacity to unload 70,000 barrels per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own nineteen operational NGL rail facilities located throughout the United States and Canada that are strategically located near NGL storage, pipelines, gas production or propane distribution centers. Our NGL rail facilities currently have 247 railcar rack spots and 1,135 railcar storage spots and we have the ability to switch our own rail cars at six of these terminals.</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Supply and Logistics Segment</w:t>
      </w:r>
    </w:p>
    <w:p>
      <w:pPr>
        <w:sectPr>
          <w:pgSz w:w="11900" w:h="16838" w:orient="portrait"/>
          <w:cols w:equalWidth="0" w:num="1">
            <w:col w:w="11420"/>
          </w:cols>
          <w:pgMar w:left="240" w:top="125" w:right="239" w:bottom="0" w:gutter="0" w:footer="0" w:header="0"/>
          <w:type w:val="continuous"/>
        </w:sectPr>
      </w:pPr>
    </w:p>
    <w:bookmarkStart w:id="21" w:name="page22"/>
    <w:bookmarkEnd w:id="21"/>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80" w:hanging="324"/>
        <w:spacing w:after="0" w:line="277" w:lineRule="auto"/>
        <w:tabs>
          <w:tab w:leader="none" w:pos="9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resale or exchange of crude oil and NGL at various points along the distribution chain to refiners or other resellers to maximize profits; and</w:t>
      </w:r>
    </w:p>
    <w:p>
      <w:pPr>
        <w:spacing w:after="0" w:line="248" w:lineRule="exact"/>
        <w:rPr>
          <w:rFonts w:ascii="Arial" w:cs="Arial" w:eastAsia="Arial" w:hAnsi="Arial"/>
          <w:sz w:val="16"/>
          <w:szCs w:val="16"/>
          <w:color w:val="auto"/>
        </w:rPr>
      </w:pPr>
    </w:p>
    <w:p>
      <w:pPr>
        <w:ind w:left="980" w:right="220" w:hanging="324"/>
        <w:spacing w:after="0" w:line="277" w:lineRule="auto"/>
        <w:tabs>
          <w:tab w:leader="none" w:pos="9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characterize a substantial portion of our baseline segment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a stable baseline of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to provide a balance. The tankage that is used to support our arbitrage activities positions us to capture margins in a contango market or when the market switches from contango to backwardation. See “—Impact of Commodity Price Volatility and Dynamic Market Conditions on Our Business Model” below for further discussion.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substantial working inventories associated with its merchant activities, as of December 31, 2013, our supply and logistics segment also owned significant volumes of crude oil and NGL classified as long-term assets for linefill or minimum inventory requirements and employs a variety of owned or leased physical assets throughout the United States and Canada, including approximately:</w:t>
      </w:r>
    </w:p>
    <w:p>
      <w:pPr>
        <w:spacing w:after="0" w:line="181"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million barrels of crude oil and NGL linefill in pipelines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 million barrels of crude oil and NGL linefill in pipelines owned by third parties and other long-term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843 trucks and 982 trailers;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7,400 crude oil and NGL railcars.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2013 (in thousands of barrels per day):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40" w:type="dxa"/>
            <w:vAlign w:val="bottom"/>
          </w:tcPr>
          <w:p>
            <w:pPr>
              <w:spacing w:after="0"/>
              <w:rPr>
                <w:sz w:val="14"/>
                <w:szCs w:val="14"/>
                <w:color w:val="auto"/>
              </w:rPr>
            </w:pPr>
          </w:p>
        </w:tc>
        <w:tc>
          <w:tcPr>
            <w:tcW w:w="1480" w:type="dxa"/>
            <w:vAlign w:val="bottom"/>
            <w:gridSpan w:val="3"/>
          </w:tcPr>
          <w:p>
            <w:pPr>
              <w:ind w:left="420"/>
              <w:spacing w:after="0"/>
              <w:rPr>
                <w:sz w:val="20"/>
                <w:szCs w:val="20"/>
                <w:color w:val="auto"/>
              </w:rPr>
            </w:pPr>
            <w:r>
              <w:rPr>
                <w:rFonts w:ascii="Arial" w:cs="Arial" w:eastAsia="Arial" w:hAnsi="Arial"/>
                <w:sz w:val="14"/>
                <w:szCs w:val="14"/>
                <w:b w:val="1"/>
                <w:bCs w:val="1"/>
                <w:color w:val="auto"/>
              </w:rPr>
              <w:t>Volumes</w:t>
            </w:r>
          </w:p>
        </w:tc>
      </w:tr>
      <w:tr>
        <w:trPr>
          <w:trHeight w:val="210"/>
        </w:trPr>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NGL sales</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0"/>
        </w:trPr>
        <w:tc>
          <w:tcPr>
            <w:tcW w:w="9940" w:type="dxa"/>
            <w:vAlign w:val="bottom"/>
          </w:tcPr>
          <w:p>
            <w:pPr>
              <w:ind w:left="180"/>
              <w:spacing w:after="0"/>
              <w:rPr>
                <w:sz w:val="20"/>
                <w:szCs w:val="20"/>
                <w:color w:val="auto"/>
              </w:rPr>
            </w:pPr>
            <w:r>
              <w:rPr>
                <w:rFonts w:ascii="Arial" w:cs="Arial" w:eastAsia="Arial" w:hAnsi="Arial"/>
                <w:sz w:val="18"/>
                <w:szCs w:val="18"/>
                <w:color w:val="auto"/>
              </w:rPr>
              <w:t>Supply and Logistics activities 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extending up to eight years. We utilize our truck fleet and gathering pipelines as well as leased railcars, third-party pipelines, trucks and barges to transport the crude oil to market. In addition, we purchase foreign crude oil. Under these contracts we may purchase crude oil upon delivery in the United States or we may purchase crude oil in foreign locations and transport it on third-party tankers.</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With the shortage of fractionation and storage space in Western Canada, we are pursuing an increasing number of contracts with five to 10 year terms to firm up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to purchasing crude oil from producers, we purchase both domestic and foreign crude oil in bulk at major pipeline terminal locations and barge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ectPr>
          <w:pgSz w:w="11900" w:h="16859" w:orient="portrait"/>
          <w:cols w:equalWidth="0" w:num="1">
            <w:col w:w="11420"/>
          </w:cols>
          <w:pgMar w:left="240" w:top="341" w:right="239" w:bottom="0" w:gutter="0" w:footer="0" w:header="0"/>
        </w:sectPr>
      </w:pPr>
    </w:p>
    <w:bookmarkStart w:id="22" w:name="page23"/>
    <w:bookmarkEnd w:id="22"/>
    <w:p>
      <w:pPr>
        <w:spacing w:after="0" w:line="7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Crude Oil and NGL Sales. </w:t>
      </w:r>
      <w:r>
        <w:rPr>
          <w:rFonts w:ascii="Arial" w:cs="Arial" w:eastAsia="Arial" w:hAnsi="Arial"/>
          <w:sz w:val="17"/>
          <w:szCs w:val="17"/>
          <w:color w:val="auto"/>
        </w:rPr>
        <w:t>The activities involved in the supply, logistics and distribution of crude oil and NGL are complex and require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sell our crude oil to major integrated oil companies, independent refiners and other resellers in various types of sale and exchange transactions. We sell NGL primarily to propane and refined product retailers, petrochemical companies and refiners, and limited volumes to other marketers. A majority of our crude oil and NGL contracts generally range in term from a thirty-day evergreen to one year terms. We establish a margin for the crude oil and NGL we purchase by entering into physical sales contracts with third parties, or by entering into a future delivery obligation with respect to futures contracts on the NYMEX, ICE or over-the-counter. Through these transactions, we seek to maintain a position that is substantially balanced between purchases and sales and future delivery obligations. From time to time, we enter into various types of sale and exchange transactions including fixed price delivery contracts, floating price collar arrangements, financial swaps and crude oil and NGL-related futures contracts as hedging devices.</w:t>
      </w:r>
    </w:p>
    <w:p>
      <w:pPr>
        <w:spacing w:after="0" w:line="16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natural gas and refined products for resale and require significant extensions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by our 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When we sell crude oil, NGL, natural gas and refined products, we must determine the amount, if any, of the line of credit to be extended to any given customer. We manage our exposure to credit risk through credit analysis, credit approvals, credit limits, prepayment, letters of credit and monitoring procedures.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supply and logistics activities, which generally have higher activity levels during the first and fourth quarters of each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Through our three business segments, we are engaged in the transportation, storage, terminalling and marketing of crude oil, refined products, NGL and natural gas. The majority of our activities are focused on crude oil, which is the principal feedstock used by refineries in the production of transportation fuels.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Crude oil, NGL, natural gas and refined products commodity prices have historically been very volatile. For example, since the mid-1980s, NYMEX West Texas Intermediate crude oil benchmark prices have ranged from a low of approximately $10 per barrel during 1986 to a high of over $147 per barrel during 2008. During 2013, West Texas Intermediate crude oil prices traded within a range of $87 to $111 per barrel.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Absent extended periods of lower crude oil prices that are below production replacement costs or higher crude oil prices that have a significant adverse impact on consumption, demand for the services we provide in our fee-based transportation and facilities segments and our gross profit from these activities have little correlation to absolute crude oil prices. Relative contribution levels will vary from quarter-to-quarter due to seasonal and other similar factors, but our fee-based transportation and facilities segments should comprise approximately 70% to 80% of our aggregate base level segment profit.</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Base level segment profit from our supply and logistics activities is dependent on our ability to sell crude oil and NGL at prices in excess of our aggregate cost. Although segment profit may be adversely affected during certain transitional periods, our crude oil supply, logistics and distribution operations are not directly affected by the absolute level of crude oil prices, but are affected by overall levels of supply and demand for crude oil and relative fluctuations in market-related indices.</w:t>
      </w:r>
    </w:p>
    <w:p>
      <w:pPr>
        <w:sectPr>
          <w:pgSz w:w="11900" w:h="16912" w:orient="portrait"/>
          <w:cols w:equalWidth="0" w:num="1">
            <w:col w:w="11400"/>
          </w:cols>
          <w:pgMar w:left="240" w:top="341" w:right="259" w:bottom="0" w:gutter="0" w:footer="0" w:header="0"/>
        </w:sectPr>
      </w:pPr>
    </w:p>
    <w:bookmarkStart w:id="23" w:name="page24"/>
    <w:bookmarkEnd w:id="23"/>
    <w:p>
      <w:pPr>
        <w:ind w:right="160" w:firstLine="648"/>
        <w:spacing w:after="0" w:line="255" w:lineRule="auto"/>
        <w:rPr>
          <w:sz w:val="20"/>
          <w:szCs w:val="20"/>
          <w:color w:val="auto"/>
        </w:rPr>
      </w:pPr>
      <w:r>
        <w:rPr>
          <w:rFonts w:ascii="Arial" w:cs="Arial" w:eastAsia="Arial" w:hAnsi="Arial"/>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We believe the complementary, balanced nature of our business activities and diversification of our asset base among varying regions and demand-driven and supply-driven markets provides us with a durable base level of cash flow in a variety of market scenarios.</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to providing a durable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 Conversely, when there is a higher demand than supply of crude oil, NGL or natural gas in the near term, the market is backwardated, meaning that the price for future deliveries is lower than current prices. In a backwardated market, hedged positions established in a contango market can be unwound, with the physical product or futures position sold into the current higher priced market at a level that mitigates losses associated with closing out future delivery obligations.</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combination of a high level of fee-based cash flow from our transportation and facilities segments, complemented by a number of diverse, flexible and counter-balanced sources of cash flow within our supply and logistics segment is intended to enable us to accomplish our objectives of maintaining a durable base level of cash flow and providing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7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Except for pre-defined inventory positions, our policy is generally to structure our purchase and sales contracts so that price fluctuations do not materially affect our operating income, and not to acquire and hold physical inventory or derivatives for the purpose of speculating on outright commodity price changes.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Although we seek to maintain a position that is substantially balanced within our supply and logistics activities, we purchase crude oil, refined products,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Marathon Petroleum Corporation and its subsidiaries accounted for approximately 15% of our revenues for the year ended December 31, 2013 and approximately 16% of our revenues for each of the years ended December 31, 2012 and 2011. ExxonMobil Corporation and its subsidiaries accounted for approximately 13%, 13% and 10% of our revenues for the years ended December 31, 2013, 2012 and 2011, respectively. Phillips 66 and its subsidiaries accounted for approximately 11% of our revenues for the year ended December 31, 2013. ConocoPhillips Company (prior to the spin-off of Phillips 66, which was effective May 1, 2012) accounted for approximately 10% of our revenues for the year ended December 31, 2011. No other customers accounted for 10% or more of our revenues during any of the three years ended December 31, 2013, 2012 and 2011.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13 to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ectPr>
          <w:pgSz w:w="11900" w:h="16838" w:orient="portrait"/>
          <w:cols w:equalWidth="0" w:num="1">
            <w:col w:w="11420"/>
          </w:cols>
          <w:pgMar w:left="240" w:top="341" w:right="239" w:bottom="104" w:gutter="0" w:footer="0" w:header="0"/>
        </w:sectPr>
      </w:pPr>
    </w:p>
    <w:bookmarkStart w:id="24" w:name="page25"/>
    <w:bookmarkEnd w:id="24"/>
    <w:p>
      <w:pPr>
        <w:spacing w:after="0" w:line="46"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Competition among pipelines is based primarily on transportation charges, access to producing areas and supply regions and demand for the crude oil and NGL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w:t>
      </w:r>
    </w:p>
    <w:p>
      <w:pPr>
        <w:ind w:right="60"/>
        <w:spacing w:after="0" w:line="269" w:lineRule="auto"/>
        <w:rPr>
          <w:sz w:val="20"/>
          <w:szCs w:val="20"/>
          <w:color w:val="auto"/>
        </w:rPr>
      </w:pPr>
      <w:r>
        <w:rPr>
          <w:rFonts w:ascii="Arial" w:cs="Arial" w:eastAsia="Arial" w:hAnsi="Arial"/>
          <w:sz w:val="17"/>
          <w:szCs w:val="17"/>
          <w:color w:val="auto"/>
        </w:rPr>
        <w:t>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or NGL.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companies, other NGL processing and fractionation companies, the major integrated oil companies, their marketing affiliates and independent gatherers,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at any time also be required to apply significant resources in responding to governmental requests for information and/or enforcement actions. In 2010 we settled by means of separate Consent Decrees, two Department of Justice (“DOJ”)/Environmental Protection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Agency (“EPA”) proceedings regarding certain releases of crude oil. One Consent Decree applied to our crude oil pipelines in general and was terminated in November 2013. The remaining Consent Decree applies to a specific system. Although we believe that all material aspects of the injunctive elements of the remaining Consent Decree (costs and operational effects) have been incorporated into our budgeting and planning process, future proceedings could result in additional injunctive remedies, the effect of which would subject us to operational requirements and constraints that would not apply to our competitors.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Safety/Pipeline and Storage Tank Integrity Management</w:t>
      </w:r>
    </w:p>
    <w:p>
      <w:pPr>
        <w:spacing w:after="0" w:line="225"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w:t>
      </w:r>
    </w:p>
    <w:p>
      <w:pPr>
        <w:ind w:right="40"/>
        <w:spacing w:after="0" w:line="252" w:lineRule="auto"/>
        <w:rPr>
          <w:sz w:val="20"/>
          <w:szCs w:val="20"/>
          <w:color w:val="auto"/>
        </w:rPr>
      </w:pPr>
      <w:r>
        <w:rPr>
          <w:rFonts w:ascii="Arial" w:cs="Arial" w:eastAsia="Arial" w:hAnsi="Arial"/>
          <w:sz w:val="18"/>
          <w:szCs w:val="18"/>
          <w:color w:val="auto"/>
        </w:rPr>
        <w:t>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w:t>
      </w:r>
    </w:p>
    <w:p>
      <w:pPr>
        <w:sectPr>
          <w:pgSz w:w="11900" w:h="16885" w:orient="portrait"/>
          <w:cols w:equalWidth="0" w:num="1">
            <w:col w:w="11420"/>
          </w:cols>
          <w:pgMar w:left="240" w:top="125" w:right="239" w:bottom="0" w:gutter="0" w:footer="0" w:header="0"/>
        </w:sectPr>
      </w:pPr>
    </w:p>
    <w:bookmarkStart w:id="25" w:name="page26"/>
    <w:bookmarkEnd w:id="25"/>
    <w:p>
      <w:pPr>
        <w:spacing w:after="0" w:line="2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safety in “high consequence areas” such as high population areas, areas unusually sensitive to environmental damage, and commercially navigable waterways. In the United States, our costs associated with the inspection, testing and correction of identified anomalies were approximately $57 million in 2013, $39 million in 2012 and $32 million in 2011. Based on currently available information, our preliminary estimate for 2014 is that we will incur approximately $25 million in operational expenditures and approximately $52 million in capital expenditures associated with our required pipeline integrity management program. Significant additional expenses could be incurred if new or more stringently interpreted pipeline safety requirements are implemented. Currently, we believe our pipelines are in substantial compliance with HLPSA and the 2002 and 2006 amendments. In addition to required activities, our integrity management program includes several internal programs designed to prevent incidents and includes activities such as automating valves and replacing river crossings. Costs incurred for such activities were approximately $22 million in 2013, $24 million in 2012 and $22 million in 2011, and our preliminary estimate for 2014 is that we will incur approximately $47 million.</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December 13, 2011, the United States Congress passed the “Pipeline Safety, Regulatory Certainty, and Job Creation Act of 2011” (the “Act”). The President signed the Act into law on January 3, 2012. Under the Act, maximum civil penalties for certain violations have been increased from $100,000 to $200,000 per violation per day, and from a total cap of $1 million to $2 million. In addition, the Act reauthorizes the federal pipeline safety programs of PHMSA through September 30, 2015, and directs the Secretary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 Transportation to undertake a number of reviews, studies and reports, some of which may result in additional natural gas and hazardous liquids pipeline safety rulemaking.</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number of the provisions of the Act have the potential to cause owners and operators of pipeline facilities to incur significant capital expenditures and/or operating costs. Any additional requirements resulting from these directives are not expected to impact us differently than our competitors. We will work closely with our industry associations to participate with and monitor DOT-PHMSA’s efforts.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an internal review process in which we examine the condition and operating history of our pipelines and gathering assets to determine if any of our assets warrant additional investment or replacement. Accordingly, in addition to potential cost increases related to unanticipated regulatory changes or injunctive remedies resulting from U.S. EPA enforcement actions, we may elect (as a result of our own internal initiatives) to spend substantial sums to ensure the integrity of and upgrade our pipeline systems and, in some cases, we may take pipelines out of service if we believe the cost of upgrades will exceed the value of the pipelines.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intrastate pipelines. In practice, states vary in their authority and capacity to address pipeline safety. We do not anticipate any significant issues in complying with applicable state laws and regulations.</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costs associated with this program were approximately $26 million, $31 million and $22 million in 2013, 2012 and 2011, respectively. For 2014, we have budgeted approximately $34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Canada, the NEB and provincial agencies such as the Alberta Energy Regulator (f/k/a the Energy Resources Conservation Board) (“AER”) and the Saskatchewan Ministry of Economy regulate the safety and integrity management of pipelines and storage tanks used for hydrocarbon transmission. We have incurred and will continue to incur costs related to such regulatory requirements. In 2013 the AER issued an order under Section 22 of the Oil and Gas Conservation Act imposing additional regulatory requirements on PMC with respect to obtaining operating approvals under such Act and ordering an audit of PMC’s operations. Although we believe that all material aspects of the order (costs and operational effects) have been incorporated into our budgeting and planning process, future proceedings could result in additional operational requirements and constraints that would not apply to our competitors. In addition to required activities, our integrity management program includes several internal programs designed to prevent incidents and includes activities such as upgrades to our operating and maintenance programs and systems and upgrades to our pipeline watercourse crossing integrity program. Between such required and elective activities we spent approximately $90 million in 2013, $80 million in 2012 and $35 million in 2011. Our preliminary estimate for 2014 is approximately $106 million. Significant additional expenses could be incurred if new or more stringently interpreted pipeline safety requirements are implemented.</w:t>
      </w:r>
    </w:p>
    <w:p>
      <w:pPr>
        <w:spacing w:after="0" w:line="183"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Although we believe that our pipeline operations are in substantial compliance with currently applicable regulatory requirements, we cannot predict the potential costs associated with additional, future regulation. Since asset acquisitions are an integral part of our business strategy, as we acquire additional assets, we may be required to incur additional costs to ensure that the acquired assets comply with the regulatory standards in the United States and Canada.</w:t>
      </w:r>
    </w:p>
    <w:p>
      <w:pPr>
        <w:spacing w:after="0" w:line="147" w:lineRule="exact"/>
        <w:rPr>
          <w:sz w:val="20"/>
          <w:szCs w:val="20"/>
          <w:color w:val="auto"/>
        </w:rPr>
      </w:pPr>
    </w:p>
    <w:p>
      <w:pPr>
        <w:jc w:val="center"/>
        <w:ind w:right="902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w:t>
      </w:r>
    </w:p>
    <w:p>
      <w:pPr>
        <w:sectPr>
          <w:pgSz w:w="11900" w:h="16867" w:orient="portrait"/>
          <w:cols w:equalWidth="0" w:num="1">
            <w:col w:w="11420"/>
          </w:cols>
          <w:pgMar w:left="240" w:top="125" w:right="239" w:bottom="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location. We believe that our operations are in substantial compliance with OSHA requirements, including general industry standards, recordkeeping requirements and monitoring of occupational exposure to regulated substances.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as well as the wastes of our competitors will be subject to more rigorous and costly disposal requirements, resulting in additional capital expenditures or 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and provincial laws also impose liabilities for releases of certain substances into the environment.</w:t>
      </w:r>
    </w:p>
    <w:p>
      <w:pPr>
        <w:spacing w:after="0" w:line="19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 We believe we are operating in substantial compliance with our risk management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United States operations are subject to the United States Clean Air Act (“Clean Air Act”), comparable state laws and associated state and federal regulations. Our Canadian operations are subject to federal and provincial air emission regulations. The new Canadian standards for air quality and industrial air emissions were implemented in May 2013. The new standards provide more stringent objectives for outdoor air quality, including for the first time in Canada, a long term (annual) target for fine particulate matter. Under these laws, permits may be required before construction can commence on a new or modified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results of operations.</w:t>
      </w:r>
    </w:p>
    <w:p>
      <w:pPr>
        <w:sectPr>
          <w:pgSz w:w="11900" w:h="16838" w:orient="portrait"/>
          <w:cols w:equalWidth="0" w:num="1">
            <w:col w:w="11420"/>
          </w:cols>
          <w:pgMar w:left="240" w:top="341"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 number of studies have been conducted by various parties which represent to be authoritative on the issue of emissions of carbon dioxide and certain other gases, generally referred to as greenhouse gases (“GHG”). Many of these studies draw conflicting conclusions as to whether GHG is contributing to warming of the Earth’s atmosphere. In 2009, the U.S. EPA adopted rules for establishing a GHG emissions reporting program.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We also continue to monitor GHG emissions for all of our facilities and activities. At the present time, we do not anticipate the need to purchase a material amount of GHG credits or install control technology to reduce GHG emissions at any of our facilities.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2010, the EPA promulgated regulations establishing Title V and Prevention of Significant Deterioration permitting requirements for large sources of GHGs. Fewer than ten of our existing facilities are potential major sources of GHG subject to these permitting requirements. We may be required to install “best available control technology” to limit emissions of GHGs from any new or significantly modified facilities that we may seek to construct in the future if they would otherwise emit large volumes of GHGs. The EPA is in the process of identifying what constitutes best available control technology for various sources of GHG emissions, but it appears likely that the agency will seek to impose energy efficiency requirements on sources that burn large volumes of fossil fuels rather than post-combustion GHG capture requirements. If the EPA imposes energy efficiency requirements, we do not anticipate that they will have an adverse effect on the cost of our operations.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absence of federal climate legislation in the United States, a number of regional efforts have emerged aimed at reducing GHG emissions. Two of the more significant non-federal GHG programs are the Regional Greenhouse Gas Initiative (RGGI) and the Western Climate Initiative (WCI). RGGI, which includes a number of states in the northeastern United States, implemented a cap-and-trade program in 2009. At present, this program only applies to utility power plants. None of our facilities are affected by RGGI.</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WCI originally included several U.S. states and Canadian provinces, either as full voting members or observers. Most U.S. states have withdrawn from WCI, with California the sole remaining member from the United States. California has implemented a GHG cap-and-trade program, authorized under Assembly Bill 32 (“AB32”). The California Air Resources Board has published a list of facilities expected to be subject to this program. At this time, the list only includes one of our facilities, the Lone Star Gas Liquids facility in Shafter, California. The rules implementing the AB32 program were finalized in December 2011, and the first auction of GHG emission credits was conducted in the fall of 2012, with the average credit selling for $10.09 per ton. The compliance requirements of the GHG cap-and-trade program through 2020 are being phased in, and we do not anticipate any problems in complying with those obligations going forward or for such impacts to be material. The California Air Resources Board is currently developing a scoping plan for AB-32 compliance obligations after the year 2020.</w:t>
      </w:r>
    </w:p>
    <w:p>
      <w:pPr>
        <w:spacing w:after="0" w:line="19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our assets and operations.</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operations of our refinery customers could also be negatively impacted by current GHG legislation or new regulations resulting in increased operating or compliance costs. Some of the proposed federal and state “cap-and-trade” legislation would require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businesses that emit GHGs to buy emission credits from government, other businesses, or through an auction process. In addition, refiners could be required to purchase emission credits for GHG emissions resulting from their own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Pursuant to the 1997 United Nations Framework Convention on Climate Change, also known as the “Kyoto Protocol”, many nations, including Canada, agreed to limit emissions of GHGs. The Kyoto Protocol required Canada to reduce its emissions of GHG to 6% below 1990 levels by 2012. However, by 2009, emissions in Canada were 17% higher than 1990 levels. In December 2011, Canada withdrew from the Kyoto Protocol, but signed the “Durban Platform” committing it to a legally binding treaty to reduce GHG emissions, the terms of which are to be defined by 2015 and are to become effective in 2020.</w:t>
      </w:r>
    </w:p>
    <w:p>
      <w:pPr>
        <w:spacing w:after="0" w:line="18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In 2007, in response to the Kyoto Protocol, the Canadian federal government introduced the </w:t>
      </w:r>
      <w:r>
        <w:rPr>
          <w:rFonts w:ascii="Arial" w:cs="Arial" w:eastAsia="Arial" w:hAnsi="Arial"/>
          <w:sz w:val="18"/>
          <w:szCs w:val="18"/>
          <w:i w:val="1"/>
          <w:iCs w:val="1"/>
          <w:color w:val="auto"/>
        </w:rPr>
        <w:t>Regulatory Framework for Air Emissions</w:t>
      </w:r>
      <w:r>
        <w:rPr>
          <w:rFonts w:ascii="Arial" w:cs="Arial" w:eastAsia="Arial" w:hAnsi="Arial"/>
          <w:sz w:val="18"/>
          <w:szCs w:val="18"/>
          <w:color w:val="auto"/>
        </w:rPr>
        <w:t xml:space="preserve"> (also known as the “Turning the Corner” measures), a regulatory framework for monitoring industrial GHG emissions by establishing mandatory emissions reduction requirements on a sector basis. Originally, this framework was intended to be implemented by 2010; however no federally mandated reduction targets for GHGs have been implemented to date. Since 2004, companies emitting more than 100 thousand tons per year (“kt/y”) of CO</w:t>
      </w:r>
      <w:r>
        <w:rPr>
          <w:rFonts w:ascii="Arial" w:cs="Arial" w:eastAsia="Arial" w:hAnsi="Arial"/>
          <w:sz w:val="11"/>
          <w:szCs w:val="11"/>
          <w:color w:val="auto"/>
        </w:rPr>
        <w:t>2</w:t>
      </w:r>
      <w:r>
        <w:rPr>
          <w:rFonts w:ascii="Arial" w:cs="Arial" w:eastAsia="Arial" w:hAnsi="Arial"/>
          <w:sz w:val="18"/>
          <w:szCs w:val="18"/>
          <w:color w:val="auto"/>
        </w:rPr>
        <w:t xml:space="preserve"> equivalent (“CO</w:t>
      </w:r>
      <w:r>
        <w:rPr>
          <w:rFonts w:ascii="Arial" w:cs="Arial" w:eastAsia="Arial" w:hAnsi="Arial"/>
          <w:sz w:val="11"/>
          <w:szCs w:val="11"/>
          <w:color w:val="auto"/>
        </w:rPr>
        <w:t>2</w:t>
      </w:r>
      <w:r>
        <w:rPr>
          <w:rFonts w:ascii="Arial" w:cs="Arial" w:eastAsia="Arial" w:hAnsi="Arial"/>
          <w:sz w:val="18"/>
          <w:szCs w:val="18"/>
          <w:color w:val="auto"/>
        </w:rPr>
        <w:t>e”) were required to report their GHG emissions under the Greenhouse Gas Emissions Reporting Program. In 2010, this reporting threshold was reduced to 50 kt/y. Two PMC facilities meet this reporting threshold.</w:t>
      </w:r>
    </w:p>
    <w:p>
      <w:pPr>
        <w:spacing w:after="0" w:line="19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Alberta, the provincial government implemented the Specified Gas Emitter Regulation in 2007 (under the Alberta Environment Protection and Enhancement Act), which mandated a 12% reduction in emission intensity over the established baseline level (average of the 2003-2005 levels) for all facilities emitting more than 100kt/y of CO</w:t>
      </w:r>
      <w:r>
        <w:rPr>
          <w:rFonts w:ascii="Arial" w:cs="Arial" w:eastAsia="Arial" w:hAnsi="Arial"/>
          <w:sz w:val="10"/>
          <w:szCs w:val="10"/>
          <w:color w:val="auto"/>
        </w:rPr>
        <w:t>2</w:t>
      </w:r>
      <w:r>
        <w:rPr>
          <w:rFonts w:ascii="Arial" w:cs="Arial" w:eastAsia="Arial" w:hAnsi="Arial"/>
          <w:sz w:val="16"/>
          <w:szCs w:val="16"/>
          <w:color w:val="auto"/>
        </w:rPr>
        <w:t>e. Since the regulation came into effect, PMC has had one facility (Fort Saskatchewan Storage and Fractionation Facility) which currently does not meet the reduction obligation. As such, PMC has been required to submit compliance credits which have been completed by submitting payment to the Climate Change Emissions Management Fund. Alberta also has a GHG reporting threshold at 50kt/y of CO</w:t>
      </w:r>
      <w:r>
        <w:rPr>
          <w:rFonts w:ascii="Arial" w:cs="Arial" w:eastAsia="Arial" w:hAnsi="Arial"/>
          <w:sz w:val="10"/>
          <w:szCs w:val="10"/>
          <w:color w:val="auto"/>
        </w:rPr>
        <w:t>2</w:t>
      </w:r>
      <w:r>
        <w:rPr>
          <w:rFonts w:ascii="Arial" w:cs="Arial" w:eastAsia="Arial" w:hAnsi="Arial"/>
          <w:sz w:val="16"/>
          <w:szCs w:val="16"/>
          <w:color w:val="auto"/>
        </w:rPr>
        <w:t>e.</w:t>
      </w:r>
    </w:p>
    <w:p>
      <w:pPr>
        <w:sectPr>
          <w:pgSz w:w="11900" w:h="16838" w:orient="portrait"/>
          <w:cols w:equalWidth="0" w:num="1">
            <w:col w:w="11420"/>
          </w:cols>
          <w:pgMar w:left="240" w:top="125" w:right="239" w:bottom="33" w:gutter="0" w:footer="0" w:header="0"/>
        </w:sectPr>
      </w:pPr>
    </w:p>
    <w:bookmarkStart w:id="28" w:name="page29"/>
    <w:bookmarkEnd w:id="28"/>
    <w:p>
      <w:pPr>
        <w:spacing w:after="0" w:line="4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16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 cumulative environmental effects. For the past 35 years, the Corps has authorized construction, maintenance and repair of pipelines under a streamlined nationwide permit program known as Nationwide Permit 12 (“NWP”). NWP is supported by strong statutory and regulatory history and was originally approved by Congress in 1977. In a June 2012 lawsuit (</w:t>
      </w:r>
      <w:r>
        <w:rPr>
          <w:rFonts w:ascii="Arial" w:cs="Arial" w:eastAsia="Arial" w:hAnsi="Arial"/>
          <w:sz w:val="17"/>
          <w:szCs w:val="17"/>
          <w:i w:val="1"/>
          <w:iCs w:val="1"/>
          <w:color w:val="auto"/>
        </w:rPr>
        <w:t>Sierra Club v. Bostick</w:t>
      </w:r>
      <w:r>
        <w:rPr>
          <w:rFonts w:ascii="Arial" w:cs="Arial" w:eastAsia="Arial" w:hAnsi="Arial"/>
          <w:sz w:val="17"/>
          <w:szCs w:val="17"/>
          <w:color w:val="auto"/>
        </w:rPr>
        <w:t>), to which we were not a party, a plaintiff sought to have the court strike down the NWP and enjoin the construction of a particular oil pipeline project that would run from Cushing, Oklahoma to oil refineries along the Gulf Coast near Port Arthur, Texas. In August 2012, a District Court denied the motion to enjoin the construction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ruled that the Corps had acted properly in approving the project under the NWP. The District Court’s decision was reaffirmed by the Tenth Circuit Court of Appeals in October 2013. We cannot predict whether future lawsuits will be filed to contest the validity of the NWP; however, in the event that a court wholly or partially strikes down the NWP, which we believe to be unlikely, we could face significant delays and financial costs when seeking project approvals.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spacing w:after="0" w:line="187"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liquids pipeline operations are subject to rate regulation by the FERC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liquids pipeline transportation activities are subject to various state laws and regulations, as well as orders of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Regulation of OCS Pipelines. </w:t>
      </w:r>
      <w:r>
        <w:rPr>
          <w:rFonts w:ascii="Arial" w:cs="Arial" w:eastAsia="Arial" w:hAnsi="Arial"/>
          <w:sz w:val="16"/>
          <w:szCs w:val="16"/>
          <w:color w:val="auto"/>
        </w:rPr>
        <w:t>The Outer Continental Shelf Lands Act requires that all pipelines operating on or across the OCS provide open access,</w:t>
      </w:r>
      <w:r>
        <w:rPr>
          <w:rFonts w:ascii="Arial" w:cs="Arial" w:eastAsia="Arial" w:hAnsi="Arial"/>
          <w:sz w:val="16"/>
          <w:szCs w:val="16"/>
          <w:i w:val="1"/>
          <w:iCs w:val="1"/>
          <w:color w:val="auto"/>
        </w:rPr>
        <w:t xml:space="preserve"> </w:t>
      </w:r>
      <w:r>
        <w:rPr>
          <w:rFonts w:ascii="Arial" w:cs="Arial" w:eastAsia="Arial" w:hAnsi="Arial"/>
          <w:sz w:val="16"/>
          <w:szCs w:val="16"/>
          <w:color w:val="auto"/>
        </w:rPr>
        <w:t>non-discriminatory transportation service. In June 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spacing w:after="0" w:line="15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 year period ending June 30, 2016 will equal the producer price index for finished goods for the applicable year plus an adjustment factor of 2.65%.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8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w:t>
      </w:r>
    </w:p>
    <w:p>
      <w:pPr>
        <w:sectPr>
          <w:pgSz w:w="11900" w:h="16885" w:orient="portrait"/>
          <w:cols w:equalWidth="0" w:num="1">
            <w:col w:w="11400"/>
          </w:cols>
          <w:pgMar w:left="240" w:top="125" w:right="259" w:bottom="0" w:gutter="0" w:footer="0" w:header="0"/>
        </w:sectPr>
      </w:pPr>
    </w:p>
    <w:bookmarkStart w:id="29" w:name="page30"/>
    <w:bookmarkEnd w:id="29"/>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economic circumstances of the oil pipeline or in the nature of the services provided that were a basis for the rate. EPAct places no such limit on challenges to a provision of an oil pipeline tariff as unduly discriminatory or preferential.</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Our Pipelines. </w:t>
      </w:r>
      <w:r>
        <w:rPr>
          <w:rFonts w:ascii="Arial" w:cs="Arial" w:eastAsia="Arial" w:hAnsi="Arial"/>
          <w:sz w:val="18"/>
          <w:szCs w:val="18"/>
          <w:color w:val="auto"/>
        </w:rPr>
        <w:t>The FERC generally has not investigated rates of liquids pipelines on its own initiative when those rates have not been the subject of</w:t>
      </w:r>
      <w:r>
        <w:rPr>
          <w:rFonts w:ascii="Arial" w:cs="Arial" w:eastAsia="Arial" w:hAnsi="Arial"/>
          <w:sz w:val="18"/>
          <w:szCs w:val="18"/>
          <w:i w:val="1"/>
          <w:iCs w:val="1"/>
          <w:color w:val="auto"/>
        </w:rPr>
        <w:t xml:space="preserve"> </w:t>
      </w:r>
      <w:r>
        <w:rPr>
          <w:rFonts w:ascii="Arial" w:cs="Arial" w:eastAsia="Arial" w:hAnsi="Arial"/>
          <w:sz w:val="18"/>
          <w:szCs w:val="18"/>
          <w:color w:val="auto"/>
        </w:rPr>
        <w:t>a protest or complaint by a shipper. The majority of our transportation segment profit in the United States is produced by rates that are either grandfathered or set by agreement with one or more shippers.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among other things to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 We believe that our trucking operations are in substantial compliance with all existing federal, state and local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operate a number of railcar loading and unloading facilities, and lease a significant number of railcars, in the United States and Canada. Our railcar operations are subject to the regulatory jurisdiction of the Federal Railroad Administration of the DOT, the Occupational Safety and Health Administration, as well as other federal and state regulatory agencies and Canadian regulatory agencies for operations in Canada. We believe that our railcar operations are in substantial compliance with all existing federal, state, and local regulations.</w:t>
      </w:r>
    </w:p>
    <w:p>
      <w:pPr>
        <w:spacing w:after="0" w:line="18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Recent railcar accidents in Lac-Megantic, Quebec, Aliceville, Alabama and Casselton, North Dakota involving derailments and explosions have led to increased regulatory scrutiny over the safety of transporting crude oil by rail. All of these incidents involved trains carrying crude oil from North Dakota’s Bakken shale formation. In the wake of the Casselton derailment,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On February 25, 2014, the DOT issued an emergency order designed to insure that crude oil is properly tested and classified prior to transportation by rail in accordance with existing hazardous materials regulations. The DOT emergency order also provides for potential penalties for non-compliance of up to $175,000 per violation. While we believe that we are in material compliance with existing regulations governing our railcar operations, the extent to which the DOT’s emergency order requires additional procedures has not yet been fully established; accordingly, we cannot predict the impact that the DOT order and any future regulations may have on our operations.</w:t>
      </w:r>
    </w:p>
    <w:p>
      <w:pPr>
        <w:spacing w:after="0" w:line="18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These recent accidents could also prompt lawmakers to step up their efforts to phase out or require upgrades on the DOT Class 111 tank railcar, the most commonly used tank car to transport crude oil by railcar in North America. A DOT Class 111 rail tanker is not pressurized, unlike sturdier DOT-112 and -114 models used to transport more volatile liquids such as propane and methane. The U.S. National Transportation Safety Board has recommended that all tank cars used to carry crude oil be reinforced to make them more resistant to punctures if trains derail. This recommendation has not yet been adopted by PHMSA. PHMSA has said that it is considering amendments to current regulations that would enhance rail safety, including for DOT-111 railcars, but the rules are still under development. Any requirement to retrofit and upgrade existing rail tankers (DOT-111 or other models) could involve substantial cost to the partnership and we can provide no assurance that such a future compliance obligation will not have a material adverse impact on our financial condition or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w:t>
      </w:r>
    </w:p>
    <w:p>
      <w:pPr>
        <w:sectPr>
          <w:pgSz w:w="11900" w:h="16975" w:orient="portrait"/>
          <w:cols w:equalWidth="0" w:num="1">
            <w:col w:w="11420"/>
          </w:cols>
          <w:pgMar w:left="240" w:top="125" w:right="239" w:bottom="0" w:gutter="0" w:footer="0" w:header="0"/>
        </w:sectPr>
      </w:pPr>
    </w:p>
    <w:bookmarkStart w:id="30" w:name="page31"/>
    <w:bookmarkEnd w:id="30"/>
    <w:p>
      <w:pPr>
        <w:spacing w:after="0" w:line="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November 2010, the CFTC issued proposed rules to implement their new anti-manipulation authority. The proposed rules would subject violators to a civil penalty of up to the greater of $1 million or triple the monetary gain to the person for each violation.</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not experienced a material impact from the FTC regulations. The CFTC rules are not final. We will continue to monitor the status of proposed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 The regulatory burden increases our cost of doing business and, consequently, affects our profitability.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We do not believe that we are affected by applicable laws and regulations in a significantly different manner than are our competitors.</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FERC approved tariffs.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numbers and volumes of relevant transactions to the FERC. Our natural gas storage facilities and related marketing entities are subject to these annual reporting requirements.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 million per day for each violation. FERC also has the authority to order disgorgement of profits from transactions deemed to violate the NGA and the EPAct 2005.</w:t>
      </w:r>
    </w:p>
    <w:p>
      <w:pPr>
        <w:spacing w:after="0" w:line="158"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w:t>
      </w:r>
    </w:p>
    <w:p>
      <w:pPr>
        <w:sectPr>
          <w:pgSz w:w="11900" w:h="16867" w:orient="portrait"/>
          <w:cols w:equalWidth="0" w:num="1">
            <w:col w:w="11340"/>
          </w:cols>
          <w:pgMar w:left="240" w:top="125" w:right="319" w:bottom="0" w:gutter="0" w:footer="0" w:header="0"/>
        </w:sectPr>
      </w:pPr>
    </w:p>
    <w:bookmarkStart w:id="31" w:name="page32"/>
    <w:bookmarkEnd w:id="31"/>
    <w:p>
      <w:pPr>
        <w:spacing w:after="0" w:line="1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30 times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real property holdings are generally comprised of: (i) parcels of land that we own in fee, (ii) surface leases, underground storage leases and</w:t>
      </w:r>
    </w:p>
    <w:p>
      <w:pPr>
        <w:spacing w:after="0" w:line="46" w:lineRule="exact"/>
        <w:rPr>
          <w:sz w:val="20"/>
          <w:szCs w:val="20"/>
          <w:color w:val="auto"/>
        </w:rPr>
      </w:pPr>
    </w:p>
    <w:p>
      <w:pPr>
        <w:ind w:firstLine="8"/>
        <w:spacing w:after="0" w:line="269" w:lineRule="auto"/>
        <w:tabs>
          <w:tab w:leader="none" w:pos="3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 We believe that our real property holdings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adequate for the conduct of our business activities and that none of the burdens discussed above will materially (i) detract from the value of such properties or (ii) interfere with the use of such properties in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carry out our operations, our general partner or its affiliates (including Plains Midstream Canada) employed approximately 4,900 employees at December 31, 2013. None of the employees of our general partner are subject to a collective bargaining agreement, except for eight employees covered by an agreement scheduled for renegotiation in September 2015 and another nine employees covered by another agreement scheduled for renegotiation in September 2016. Our general partner considers its employee relations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as well as Canada and the Canadian provinces, of the unitholder’s investment in us. Further, it is the responsibility of each unitholder to file all U.S. federal, Canadian, state, provincial and local tax returns that may be required of the unitholder. Also see Item 1A. “Risk Factors—Tax Risks to Common Unitholders.”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income tax expenses as a result of our restructuring of how we hold our Canadian investment on January 1, 2011. Unitholders may be eligible for foreign tax credits with respect to allocable Canadian withholding and income taxes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Any time incentive distributions are made to the general partner, gross income will be allocated to the recipient to the extent of those distributions.</w:t>
      </w:r>
    </w:p>
    <w:p>
      <w:pPr>
        <w:sectPr>
          <w:pgSz w:w="11900" w:h="16853" w:orient="portrait"/>
          <w:cols w:equalWidth="0" w:num="1">
            <w:col w:w="11420"/>
          </w:cols>
          <w:pgMar w:left="240" w:top="125" w:right="239" w:bottom="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9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The application of the passive loss limitations to tiered partnerships is uncertain. However, we will take the position that any passive losses we generate that are reasonably allocable to our investment in any publicly-traded partnership in which we own an interest will only be available to offset its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a result of an organizational restructuring of our Canadian entities as of January 1, 2011, our Canadian-source income will pass through a taxable entity and thus will not be subject to Canadian filing obligations for our unitholders. For 2010 and prior years, a unitholder was required to file Canadian federal income tax returns and to pay Canadian federal and provincial income taxes in respect of our Canadian source income earned by partnership entities that were pass-through entities for tax purposes. Unitholders who are not resident in the United States may have additional tax reporting and payment requirements.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ectPr>
          <w:pgSz w:w="11900" w:h="16838" w:orient="portrait"/>
          <w:cols w:equalWidth="0" w:num="1">
            <w:col w:w="11400"/>
          </w:cols>
          <w:pgMar w:left="240" w:top="341" w:right="259" w:bottom="0" w:gutter="0" w:footer="0" w:header="0"/>
        </w:sectPr>
      </w:pPr>
    </w:p>
    <w:bookmarkStart w:id="33" w:name="page34"/>
    <w:bookmarkEnd w:id="33"/>
    <w:p>
      <w:pPr>
        <w:spacing w:after="0" w:line="3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subject to federal income tax withholding at the highest applicable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 xml:space="preserve">We make available, free of charge on our Internet website at </w:t>
      </w:r>
      <w:r>
        <w:rPr>
          <w:rFonts w:ascii="Arial" w:cs="Arial" w:eastAsia="Arial" w:hAnsi="Arial"/>
          <w:sz w:val="16"/>
          <w:szCs w:val="16"/>
          <w:i w:val="1"/>
          <w:iCs w:val="1"/>
          <w:color w:val="auto"/>
        </w:rPr>
        <w:t>http://www.plainsallamerican.com</w:t>
      </w:r>
      <w:r>
        <w:rPr>
          <w:rFonts w:ascii="Arial" w:cs="Arial" w:eastAsia="Arial" w:hAnsi="Arial"/>
          <w:sz w:val="16"/>
          <w:szCs w:val="16"/>
          <w:color w:val="auto"/>
        </w:rPr>
        <w:t>,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implement or capitalize upon planned growth projects.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181" w:lineRule="exact"/>
        <w:rPr>
          <w:sz w:val="20"/>
          <w:szCs w:val="20"/>
          <w:color w:val="auto"/>
        </w:rPr>
      </w:pPr>
    </w:p>
    <w:p>
      <w:pPr>
        <w:ind w:left="1300" w:right="280" w:hanging="320"/>
        <w:spacing w:after="0" w:line="277" w:lineRule="auto"/>
        <w:tabs>
          <w:tab w:leader="none" w:pos="1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or may be obtained with conditions that materially alter the expected return associated with the underlying projects;</w:t>
      </w:r>
    </w:p>
    <w:p>
      <w:pPr>
        <w:spacing w:after="0" w:line="170" w:lineRule="exact"/>
        <w:rPr>
          <w:rFonts w:ascii="Arial" w:cs="Arial" w:eastAsia="Arial" w:hAnsi="Arial"/>
          <w:sz w:val="18"/>
          <w:szCs w:val="18"/>
          <w:color w:val="auto"/>
        </w:rPr>
      </w:pPr>
    </w:p>
    <w:p>
      <w:pPr>
        <w:ind w:left="1300" w:right="80" w:hanging="320"/>
        <w:spacing w:after="0" w:line="312" w:lineRule="auto"/>
        <w:tabs>
          <w:tab w:leader="none" w:pos="1264"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146" w:lineRule="exact"/>
        <w:rPr>
          <w:rFonts w:ascii="Arial" w:cs="Arial" w:eastAsia="Arial" w:hAnsi="Arial"/>
          <w:sz w:val="16"/>
          <w:szCs w:val="16"/>
          <w:color w:val="auto"/>
        </w:rPr>
      </w:pPr>
    </w:p>
    <w:p>
      <w:pPr>
        <w:ind w:left="1300" w:right="280" w:hanging="320"/>
        <w:spacing w:after="0" w:line="264" w:lineRule="auto"/>
        <w:tabs>
          <w:tab w:leader="none" w:pos="1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be able to secure,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81" w:lineRule="exact"/>
        <w:rPr>
          <w:rFonts w:ascii="Arial" w:cs="Arial" w:eastAsia="Arial" w:hAnsi="Arial"/>
          <w:sz w:val="18"/>
          <w:szCs w:val="18"/>
          <w:color w:val="auto"/>
        </w:rPr>
      </w:pPr>
    </w:p>
    <w:p>
      <w:pPr>
        <w:ind w:left="1300" w:right="800" w:hanging="320"/>
        <w:spacing w:after="0" w:line="277" w:lineRule="auto"/>
        <w:tabs>
          <w:tab w:leader="none" w:pos="1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construct pipelines, facilities or other assets in anticipation of market demand that dissipates or market growth that never materializes;</w:t>
      </w:r>
    </w:p>
    <w:p>
      <w:pPr>
        <w:spacing w:after="0" w:line="170" w:lineRule="exact"/>
        <w:rPr>
          <w:rFonts w:ascii="Arial" w:cs="Arial" w:eastAsia="Arial" w:hAnsi="Arial"/>
          <w:sz w:val="18"/>
          <w:szCs w:val="18"/>
          <w:color w:val="auto"/>
        </w:rPr>
      </w:pPr>
    </w:p>
    <w:p>
      <w:pPr>
        <w:ind w:left="1300" w:right="260" w:hanging="320"/>
        <w:spacing w:after="0" w:line="264" w:lineRule="auto"/>
        <w:tabs>
          <w:tab w:leader="none" w:pos="1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181" w:lineRule="exact"/>
        <w:rPr>
          <w:rFonts w:ascii="Arial" w:cs="Arial" w:eastAsia="Arial" w:hAnsi="Arial"/>
          <w:sz w:val="18"/>
          <w:szCs w:val="18"/>
          <w:color w:val="auto"/>
        </w:rPr>
      </w:pPr>
    </w:p>
    <w:p>
      <w:pPr>
        <w:ind w:left="5620" w:right="80" w:hanging="4640"/>
        <w:spacing w:after="0" w:line="528" w:lineRule="auto"/>
        <w:tabs>
          <w:tab w:leader="none" w:pos="1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completion or success of our projects may depend on the completion or success of third-party facilities over which we have no control.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capital projects may not be achieved. In turn, this could negatively impact our cash flow and our ability to make or increase cash distributions to our partners.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results of operations are influenced by the overall forward market for crude oil, and certain market structures or the absence of pricing volatility may adversely impact our results.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Results from our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has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supply and logistics segment.</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A natural disaster, catastrophe, terrorist attack or other event, including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8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Some of our operations involve risks of personal injury, property damage and environmental damage, which could curtail our operations and otherwise materially adversely affect our cash flow. Virtually all of our operations are exposed to potential natural disasters, including hurricanes, tornadoes, storms, floods and/or earthquakes. The location of our assets and our customers’ assets in the U.S. Gulf Coast region makes them particularly vulnerable to hurricane or tropical storm risk. In addition, since the September 11, 2001 terrorist attacks, the U.S. government has issued warnings that energy assets,</w:t>
      </w:r>
    </w:p>
    <w:p>
      <w:pPr>
        <w:sectPr>
          <w:pgSz w:w="11900" w:h="16877" w:orient="portrait"/>
          <w:cols w:equalWidth="0" w:num="1">
            <w:col w:w="11400"/>
          </w:cols>
          <w:pgMar w:left="240" w:top="125" w:right="259" w:bottom="0" w:gutter="0" w:footer="0" w:header="0"/>
        </w:sectPr>
      </w:pPr>
    </w:p>
    <w:bookmarkStart w:id="34" w:name="page35"/>
    <w:bookmarkEnd w:id="34"/>
    <w:p>
      <w:pPr>
        <w:spacing w:after="0" w:line="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specifically the nation’s pipeline infrastructure, may be future targets of terrorist organizations. Terrorists may target our physical facilities and hackers may attack our electronic and computer systems.</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If one or more of our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make acquisitions or if we make acquisitions that fail to perform as anticipated, our future growth may be limited.</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complete the number or size of acquisitions that we have targeted internally or to continue to grow as quickly as we have historically.</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strategy involves risks that may adversely affect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rFonts w:ascii="Arial" w:cs="Arial" w:eastAsia="Arial" w:hAnsi="Arial"/>
          <w:sz w:val="18"/>
          <w:szCs w:val="18"/>
          <w:color w:val="auto"/>
        </w:rPr>
      </w:pPr>
    </w:p>
    <w:p>
      <w:pPr>
        <w:ind w:left="980" w:right="40" w:hanging="324"/>
        <w:spacing w:after="0" w:line="342" w:lineRule="auto"/>
        <w:tabs>
          <w:tab w:leader="none" w:pos="9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incurrence of substantial unforeseen environmental and other liabilities arising out of the acquired businesses or assets for which we are not indemnified by a credit-worthy party, including liabilities arising from the operation of the acquired businesses or assets prior to our acquisition;</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continuously consider potential acquisitions and opportunities for organic growth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In addition, a variety of factors beyond our control could impact the availability or cost of capital, including domestic or international economic conditions, changes in key benchmark interest rates, the adoption of new or amended banking or capital market laws or regulations, the re-pricing of market risks and volatility in capital and financial markets.</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Due to these factors, we cannot be certain that funding for our capital needs will be available from bank credit arrangements or capital markets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ability to purchase crude oil, NGL and natural gas supplies or to capitalize on market opportunities.</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believe that, because of our strategic asset base and complementary business model, we will continue to benefit from swings in market prices and shifts in market structure during periods of volatility in the crude oil, NGL and natural gas markets. The extent to which we are able to capture that benefit, however, is subject to numerous risks and uncertainties, including whether we will be able to maintain an attractive credit rating and continue to receive open credit from our suppliers and trade counterparties. Our senior unsecured debt is currently rated as “investment grade” by Standard &amp; Poor’s and Moody’s Investors Service. A downgrade by either of such rating agencies could increase our borrowing costs, reduce our borrowing capacity and cause our</w:t>
      </w:r>
    </w:p>
    <w:p>
      <w:pPr>
        <w:sectPr>
          <w:pgSz w:w="11900" w:h="16874" w:orient="portrait"/>
          <w:cols w:equalWidth="0" w:num="1">
            <w:col w:w="11420"/>
          </w:cols>
          <w:pgMar w:left="240" w:top="125" w:right="239" w:bottom="0" w:gutter="0" w:footer="0" w:header="0"/>
        </w:sectPr>
      </w:pPr>
    </w:p>
    <w:bookmarkStart w:id="35" w:name="page36"/>
    <w:bookmarkEnd w:id="35"/>
    <w:p>
      <w:pPr>
        <w:jc w:val="both"/>
        <w:ind w:right="100"/>
        <w:spacing w:after="0" w:line="257" w:lineRule="auto"/>
        <w:rPr>
          <w:sz w:val="20"/>
          <w:szCs w:val="20"/>
          <w:color w:val="auto"/>
        </w:rPr>
      </w:pPr>
      <w:r>
        <w:rPr>
          <w:rFonts w:ascii="Arial" w:cs="Arial" w:eastAsia="Arial" w:hAnsi="Arial"/>
          <w:sz w:val="18"/>
          <w:szCs w:val="18"/>
          <w:color w:val="auto"/>
        </w:rPr>
        <w:t>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(meaning that the price of crude oil for future deliveries is higher than current prices)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credit risk of our customers in the ordinary course of our business activities.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Risks of nonpayment and nonperformance by customers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policies cannot eliminate all risks. In addition, any non-compliance with our risk policies could result in significant financial losses.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an aggregate limit of up to 860,000 barrels of crude oil, refined products and NGL. Although this activity is monitored independently by our risk management function, it exposes us to risks within predefined limits and authorizations.</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For example, the adoption of legislation or regulatory programs to reduce emissions of greenhouse gases, including cap and trade programs, could require us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including new regulations requiring that existing railcars be retrofitted or upgraded to improve integrity,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Any such change or interpretation adverse to us could have a material adverse effect on our operations, revenues, expenses and profitability.</w:t>
      </w:r>
    </w:p>
    <w:p>
      <w:pPr>
        <w:spacing w:after="0" w:line="1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a history of incremental additions to the miles of pipelines we own, both through acquisitions and internal growth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historically have observed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w:t>
      </w:r>
    </w:p>
    <w:p>
      <w:pPr>
        <w:sectPr>
          <w:pgSz w:w="11900" w:h="16838" w:orient="portrait"/>
          <w:cols w:equalWidth="0" w:num="1">
            <w:col w:w="11420"/>
          </w:cols>
          <w:pgMar w:left="240" w:top="125" w:right="239" w:bottom="0" w:gutter="0" w:footer="0" w:header="0"/>
        </w:sectPr>
      </w:pPr>
    </w:p>
    <w:bookmarkStart w:id="36" w:name="page37"/>
    <w:bookmarkEnd w:id="36"/>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expenditures to respond and remediate. The incurrence of such expenses not covered by insurance, indemnity or reserves could materially adversely affect our results of operations.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currently devote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We have also developed and implemented certain pipeline integrity measures that go beyond regulatory mandate. See Items 1 and 2 “Business and Properties—Regulation.”</w:t>
      </w:r>
    </w:p>
    <w:p>
      <w:pPr>
        <w:spacing w:after="0" w:line="18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For 2014 and beyond, we will continue to focus on pipeline integrity management as a primary operational emphasis. In that regard, we have implemented programs intended to maintain the integrity of our assets, with a focus on risk reduction through testing, enhanced corrosion control, leak detection, and damage prevention. We have an internal review process pursuant to which we examine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Item 3 “Legal Proceedings—Environmental.”</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volume of crude oil, refined product, natural gas and NGL shipped, processed, purchased, stored, fractionated and/or gathered at or through the use of our facilities, which can be negatively impacted by a variety of factors outside of our control.</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profitability could be materially impacted by a decline in the volume of crude oil, natural gas, refined product and NGL transported, gathered, stored or processed at our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refined product or NGL handled by our facilities and other energy logistics assets.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example, while advances in horizontal drilling and fracturing technology over the last several years have lead to increased oil and hydrocarbon production in North America, much of the incremental production is attributable to shale resource plays where production from wells decline very rapidly. As a result, a significant slow-down in the number of well completions, whether due to net wellhead prices falling below minimum required economic levels, reduced capital market access or increased capital costs for producers, adverse governmental or regulatory action or other factors, could lead to a significant decline in North American crude oil and hydrocarbon production. In turn, such a development could lead to reduced throughput on our pipelines and at our other facilities, which could have a material adverse effect on our business.</w:t>
      </w:r>
    </w:p>
    <w:p>
      <w:pPr>
        <w:spacing w:after="0" w:line="178"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In addition, catastrophic accidents, such as the 2010 explosion and sinking of the Deepwater Horizon drilling rig in the Gulf of Mexico and the resulting oil spill, could lead to increased governmental regulation of our industry’s operations in a number of areas, including health and safety, environmental, and licensing, any of which could restrict the supply of crude oil available for transportation and have a negative impact on our profitability.</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Also,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demand, which can be caused by a variety of factors outside of our control, can negatively affect our operating results.</w:t>
      </w:r>
    </w:p>
    <w:p>
      <w:pPr>
        <w:spacing w:after="0" w:line="23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Demand for crude oil and other hydrocarbon products we handle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our transportation assets to satisfy their demand by deliveries through those assets.</w:t>
      </w:r>
    </w:p>
    <w:p>
      <w:pPr>
        <w:spacing w:after="0" w:line="19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18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w:t>
      </w:r>
    </w:p>
    <w:p>
      <w:pPr>
        <w:sectPr>
          <w:pgSz w:w="11900" w:h="16908" w:orient="portrait"/>
          <w:cols w:equalWidth="0" w:num="1">
            <w:col w:w="11420"/>
          </w:cols>
          <w:pgMar w:left="240" w:top="125" w:right="23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services we provide as well as NGL prices, which could negatively impact our operating results.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7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Our U.S. interstate common carrier liquids pipelines are subject to regulation by the FERC under the ICA. The ICA requires that tariff rates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our U.S. interstate common carrier liquids pipelines subject to FERC regulation under the ICA, shippers may protest our pipeline tariff filings, file complaints against our existing rates,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sales of oil, natural gas, NGL and other energy commodities, and related transportation and hedging activities, expose us to potential regulatory risks.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FTC, the FERC and the Commodity Futures Trading Commission hold statutory authority to monitor certain segments of the physical and futures energy commodities markets. These agencies have imposed broad regulations prohibiting fraud and manipulation of such markets. With regard to our physical sales of oil, natural gas, NGL or other energy commodities, and any related transportation and/or hedging activities that we undertake, we are 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the use of such capacity. Any failure on our part to comply with the regulations and policies of the FERC, the FTC or the Commodity Futures Trading Commission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us,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could also require us, in connection with covered derivative activities, to comply with clearing and trade-execution requirements or take steps to qualify for an exemption from such requirements. We do not utilize credit default swaps and we qualify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Posting of additional cash margin or collateral could affect our liquidity (defined as unrestricted cash on hand plus available capacity under our credit facilities) and reduce our ability to use cash for capital expenditures or other partnership purposes. A requirement to post additional cash margin or collateral could therefore reduce our ability to execute hedges necessary to reduce commodity price exposures and protect cash flows. We could be at risk for reduced</w:t>
      </w:r>
    </w:p>
    <w:p>
      <w:pPr>
        <w:sectPr>
          <w:pgSz w:w="11900" w:h="16838" w:orient="portrait"/>
          <w:cols w:equalWidth="0" w:num="1">
            <w:col w:w="11420"/>
          </w:cols>
          <w:pgMar w:left="240" w:top="125" w:right="239" w:bottom="0" w:gutter="0" w:footer="0" w:header="0"/>
        </w:sectPr>
      </w:pPr>
    </w:p>
    <w:bookmarkStart w:id="38" w:name="page39"/>
    <w:bookmarkEnd w:id="38"/>
    <w:p>
      <w:pPr>
        <w:ind w:right="180"/>
        <w:spacing w:after="0" w:line="308" w:lineRule="auto"/>
        <w:rPr>
          <w:sz w:val="20"/>
          <w:szCs w:val="20"/>
          <w:color w:val="auto"/>
        </w:rPr>
      </w:pPr>
      <w:r>
        <w:rPr>
          <w:rFonts w:ascii="Arial" w:cs="Arial" w:eastAsia="Arial" w:hAnsi="Arial"/>
          <w:sz w:val="17"/>
          <w:szCs w:val="17"/>
          <w:color w:val="auto"/>
        </w:rPr>
        <w:t>liquidity if the CFTC adopts rules and definitions that require companies, such as ours, to post collateral for our uncleared derivative hedging activities. The proposed margin rules for uncleared swaps are not yet final and, therefore, the impact of such rules on us is uncertain at this time.</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 Frank Act and related rules. The costs of such compliance may be passed on to customers such as ourselves, thus decreasing the benefits to us of hedging transactions or reducing our profitability. The Dodd Frank Act also may require the counterparties to our derivative instruments to spin off some of their derivatives activities to a separate entity, which may not be as creditworthy as the current counterparty. In addition, implementation of the Dodd 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Our financial results could be adversely affected if a consequence of the Dodd Frank Act and implementing regulations is to reduce the volatility of commodity prices.</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full impact of the Dodd Frank Act and related regulatory requirements upon our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or increase our exposure to less creditworthy counterparties. If we reduce our use of derivatives as a result of the Dodd Frank Act and regulations implementing the Dodd Frank Act, our results of operations may become more volatile and our cash flows may be less predictable. Any of these consequences could have a material adverse effect on us, our financial condition and our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our transportation, terminalling and storage services as well as our supply and logistics services.</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in our transportation, facilities and supply and logistics activities, and our business is subject to the risk of a capacity overbuild of midstream energy infrastructure in the areas where we operate.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players in a wide variety of contexts, including new entrants and existing players and in connection with day-to-day business, organic growth projects, acquisitions and joint venture activities. Some of our competitors have capital resources many times greater than ours and control greater supplies of crude oil, natural gas or NGL.</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driver of competition in some of the markets where we operate (including, for example, the Eagle Ford, Permian Basin, and Rockies/Bakken areas) is the rapid development of new midstream energy infrastructure capacity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presents opportunities for us, we are also exposed to the risk that these areas become overbuilt, resulting in an excess of midstream energy infrastructure capacity. Most midstream projects require several years of “lead time” to develop and companies like us that develop such projects are exposed (to varying degrees depending on the contractual arrangements that underpin specific projects) to the risk that expectations for oil and gas development in the particular area may not be realized or that too much capacity is developed relative to the demand for services that ultimately materializes. In addition, as an established player in some markets, we also face competition from aggressive new entrants to the market that are willing to provide services at a discount in order to establish relationships and gain a foothold in the market. If we experience a significant capacity overbuild in one or more of the areas where we operate, it could have a significant adverse impact on our financial position, cash flows and ability to pay or increase distributions to our unitholders.</w:t>
      </w:r>
    </w:p>
    <w:p>
      <w:pPr>
        <w:spacing w:after="0" w:line="18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industrial companies, independent gatherers, investment banks,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00" w:firstLine="594"/>
        <w:spacing w:after="0" w:line="286" w:lineRule="auto"/>
        <w:rPr>
          <w:sz w:val="20"/>
          <w:szCs w:val="20"/>
          <w:color w:val="auto"/>
        </w:rPr>
      </w:pPr>
      <w:r>
        <w:rPr>
          <w:rFonts w:ascii="Arial" w:cs="Arial" w:eastAsia="Arial" w:hAnsi="Arial"/>
          <w:sz w:val="17"/>
          <w:szCs w:val="17"/>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(e.g., extraction premiums) paid to the owners or aggregators of natural gas to be processed, geographic proximity to the natural gas or NGL mix, available processing and fractionation capacity, transportation alternatives and their associated costs, and access to end user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encounter increased costs related to, and lack of availability of, insurance.</w:t>
      </w:r>
    </w:p>
    <w:p>
      <w:pPr>
        <w:sectPr>
          <w:pgSz w:w="11900" w:h="16838" w:orient="portrait"/>
          <w:cols w:equalWidth="0" w:num="1">
            <w:col w:w="11420"/>
          </w:cols>
          <w:pgMar w:left="240" w:top="125" w:right="239" w:bottom="100" w:gutter="0" w:footer="0" w:header="0"/>
        </w:sectPr>
      </w:pPr>
    </w:p>
    <w:bookmarkStart w:id="39" w:name="page40"/>
    <w:bookmarkEnd w:id="39"/>
    <w:p>
      <w:pPr>
        <w:ind w:right="120" w:firstLine="648"/>
        <w:spacing w:after="0" w:line="257" w:lineRule="auto"/>
        <w:rPr>
          <w:sz w:val="20"/>
          <w:szCs w:val="20"/>
          <w:color w:val="auto"/>
        </w:rPr>
      </w:pPr>
      <w:r>
        <w:rPr>
          <w:rFonts w:ascii="Arial" w:cs="Arial" w:eastAsia="Arial" w:hAnsi="Arial"/>
          <w:sz w:val="18"/>
          <w:szCs w:val="18"/>
          <w:color w:val="auto"/>
        </w:rPr>
        <w:t>Over the last several years, as the scale and scope of our business activities has expanded, the breadth and depth of available insurance markets has contracted. As a result of these factors and other market conditions, premiums and deductibles for certain insurance policies has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70"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As of December 31, 2013, our consolidated debt outstanding was approximately $7.8 billion, consisting of approximately $6.7 billion principal amount of long-term debt (including senior notes) and approximately $1.1 billion of short-term borrowings. As of December 31, 2013, we had over $1.8 billion of available borrowing capacity under our senior unsecured revolving credit facility and our senior secured hedged inventory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25" w:lineRule="exact"/>
        <w:rPr>
          <w:sz w:val="20"/>
          <w:szCs w:val="20"/>
          <w:color w:val="auto"/>
        </w:rPr>
      </w:pPr>
    </w:p>
    <w:p>
      <w:pPr>
        <w:ind w:left="980" w:right="8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and general partnership purposes may be limited;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Facilities and Indentures.”</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December 31, 2013, we had approximately $7.8 billion of consolidated debt, of which approximately $6.7 billion was at fixed interest rates and approximately $1.1 billion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hedged crude oil and NGL inventory. Further, the trading price of our common units may be sensitive to changes in interest rates and any rise in interest rates could adversely impact such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ectPr>
          <w:pgSz w:w="11900" w:h="16838" w:orient="portrait"/>
          <w:cols w:equalWidth="0" w:num="1">
            <w:col w:w="11420"/>
          </w:cols>
          <w:pgMar w:left="240" w:top="125" w:right="239" w:bottom="32" w:gutter="0" w:footer="0" w:header="0"/>
        </w:sectPr>
      </w:pPr>
    </w:p>
    <w:bookmarkStart w:id="40" w:name="page41"/>
    <w:bookmarkEnd w:id="40"/>
    <w:p>
      <w:pPr>
        <w:ind w:right="160" w:firstLine="648"/>
        <w:spacing w:after="0" w:line="308" w:lineRule="auto"/>
        <w:rPr>
          <w:sz w:val="20"/>
          <w:szCs w:val="20"/>
          <w:color w:val="auto"/>
        </w:rPr>
      </w:pPr>
      <w:r>
        <w:rPr>
          <w:rFonts w:ascii="Arial" w:cs="Arial" w:eastAsia="Arial" w:hAnsi="Arial"/>
          <w:sz w:val="17"/>
          <w:szCs w:val="17"/>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or intangibles could reduce our earnings.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At December 31, 2013, we had approximately $2.5 billion of goodwill and approximately $420 million of intangibles. Goodwill is recorded when the purchase price of a business exceeds the fair market value of the acquired tangible and separately measurable intangible net assets. GAAP requires us to test goodwill for impairment on an annual basis or when events or circumstances occur indicating that goodwill might be impaired. GAAP requires that we amortize finite-lived intangibles over their estimated useful lives and test all of our intangibles for impairment when events or circumstances indicate the carrying value may not be recoverable. If we were to determine that any of our goodwill or intangibles were impaired, we would be required to take an immediate charge to earnings with a corresponding reduction of partners’ capital and increase in balance sheet leverage as measured by debt to total capitalization.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of crude oil has inherent operating risks.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supply and logistics operations include purchasing crude oil that is carried on third-party tankers or barges. Such waterborne cargos are at risk of being damaged or lost because of events such as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 termination of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use of third-party assets for certain of our operations.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Certain of our business activities require the use of third-party assets over which we may have little or no control. For example, a portion of our storage and distribution business conducted in the Los Angeles basin receives waterborne crude oil through dock facilities operated by a third party in the Port of Long Beach. If at any time our access to this dock was denied, and if access to an alternative dock could not be arranged, the volume of crude oil that we presently receive from our customers in the Los Angeles basin may be reduced, which could result in a reduction of facilities segment revenue and cash flow.</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our leased rail cars, could significantly reduce our profitability due to fixed costs incurred to obtain the right to use such assets.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 to time in connection with our business, we may lease or otherwise secure the right to use certain third party assets (such as rail 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For example, in connection with our rail operations, we lease substantially all of our rail cars, typically pursuant to multi-year leases that obligate us to pay the applicable lease rate without regard to utilization. If business conditions are such that a portion of our rail fleet is not utilized for any period of time due to reduced demand for the services they provide, we will still be obligated to pay the applicable fixed lease rate for such rail cars. In addition, during the period of time that we are not utilizing such rail cars, we will incur incremental costs associated with the cost of storing such rail cars and will continue to incur costs for maintenance and upkeep. Non-utilization of our leased rail cars and other similar assets in connection with our business could have a significant negative impact on our profitability and cash flows.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188" w:lineRule="exact"/>
        <w:rPr>
          <w:sz w:val="20"/>
          <w:szCs w:val="20"/>
          <w:color w:val="auto"/>
        </w:rPr>
      </w:pPr>
    </w:p>
    <w:p>
      <w:pPr>
        <w:ind w:left="1160" w:right="660" w:hanging="639"/>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failure on the part of our storage facilities to perform as we expect them to, whether due to malfunction of equipment or facilities or realization of other operational risks;</w:t>
      </w:r>
    </w:p>
    <w:p>
      <w:pPr>
        <w:spacing w:after="0" w:line="170" w:lineRule="exact"/>
        <w:rPr>
          <w:rFonts w:ascii="Arial" w:cs="Arial" w:eastAsia="Arial" w:hAnsi="Arial"/>
          <w:sz w:val="18"/>
          <w:szCs w:val="18"/>
          <w:color w:val="auto"/>
        </w:rPr>
      </w:pPr>
    </w:p>
    <w:p>
      <w:pPr>
        <w:ind w:left="1160" w:hanging="639"/>
        <w:spacing w:after="0"/>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failure on our part to create incremental storage capacity at our facilities due to reduced leaching rates, operational or other factors;</w:t>
      </w:r>
    </w:p>
    <w:p>
      <w:pPr>
        <w:spacing w:after="0" w:line="236" w:lineRule="exact"/>
        <w:rPr>
          <w:rFonts w:ascii="Arial" w:cs="Arial" w:eastAsia="Arial" w:hAnsi="Arial"/>
          <w:sz w:val="17"/>
          <w:szCs w:val="17"/>
          <w:color w:val="auto"/>
        </w:rPr>
      </w:pPr>
    </w:p>
    <w:p>
      <w:pPr>
        <w:ind w:left="1160" w:right="600" w:hanging="639"/>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operating pressure of our storage facilities (affected in varying degree, depending on the type of storage cavern, by total volume of working and base gas, and temperature);</w:t>
      </w:r>
    </w:p>
    <w:p>
      <w:pPr>
        <w:spacing w:after="0" w:line="170" w:lineRule="exact"/>
        <w:rPr>
          <w:rFonts w:ascii="Arial" w:cs="Arial" w:eastAsia="Arial" w:hAnsi="Arial"/>
          <w:sz w:val="18"/>
          <w:szCs w:val="18"/>
          <w:color w:val="auto"/>
        </w:rPr>
      </w:pPr>
    </w:p>
    <w:p>
      <w:pPr>
        <w:ind w:left="1160" w:hanging="639"/>
        <w:spacing w:after="0" w:line="270" w:lineRule="auto"/>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 (ii) the timing of scheduled and unplanned maintenance or repairs, which can impact equipment availability and capacity, (iii) the schedule for and rate at which we conduct leaching activities at our facilities in connection with the creation of new salt caverns or the expansion of existing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 (v) the amount of compression capacity and other gas handling equipment that we install at our facilities to support gas wheeling, injection and withdrawal activities; and</w:t>
      </w:r>
    </w:p>
    <w:p>
      <w:pPr>
        <w:sectPr>
          <w:pgSz w:w="11900" w:h="16838" w:orient="portrait"/>
          <w:cols w:equalWidth="0" w:num="1">
            <w:col w:w="11420"/>
          </w:cols>
          <w:pgMar w:left="240" w:top="125" w:right="239" w:bottom="0" w:gutter="0" w:footer="0" w:header="0"/>
        </w:sectPr>
      </w:pPr>
    </w:p>
    <w:bookmarkStart w:id="41" w:name="page42"/>
    <w:bookmarkEnd w:id="41"/>
    <w:p>
      <w:pPr>
        <w:spacing w:after="0" w:line="1" w:lineRule="exact"/>
        <w:rPr>
          <w:sz w:val="20"/>
          <w:szCs w:val="20"/>
          <w:color w:val="auto"/>
        </w:rPr>
      </w:pPr>
    </w:p>
    <w:p>
      <w:pPr>
        <w:ind w:left="1160" w:right="380" w:hanging="639"/>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 party pipelines, storage or production facilities.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reimbursements due to our general partner may be substantial and will reduce our cash available for distribution to unitholders.</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Prior to making any distribution on our common units, we will reimburse our general partner and its affiliates, including officers and directors of the general partner, for all expenses incurred on our behalf (other than expenses related to the AAP Management Units).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w:t>
      </w:r>
    </w:p>
    <w:p>
      <w:pPr>
        <w:spacing w:after="0" w:line="181"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Arial" w:cs="Arial" w:eastAsia="Arial" w:hAnsi="Arial"/>
          <w:sz w:val="23"/>
          <w:szCs w:val="23"/>
          <w:color w:val="auto"/>
          <w:vertAlign w:val="superscript"/>
        </w:rPr>
        <w:t>2/</w:t>
      </w:r>
      <w:r>
        <w:rPr>
          <w:rFonts w:ascii="Arial" w:cs="Arial" w:eastAsia="Arial" w:hAnsi="Arial"/>
          <w:sz w:val="11"/>
          <w:szCs w:val="11"/>
          <w:color w:val="auto"/>
        </w:rPr>
        <w:t>3</w:t>
      </w:r>
      <w:r>
        <w:rPr>
          <w:rFonts w:ascii="Arial" w:cs="Arial" w:eastAsia="Arial" w:hAnsi="Arial"/>
          <w:sz w:val="18"/>
          <w:szCs w:val="18"/>
          <w:color w:val="auto"/>
        </w:rPr>
        <w:t>%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0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70" w:lineRule="exact"/>
        <w:rPr>
          <w:sz w:val="20"/>
          <w:szCs w:val="20"/>
          <w:color w:val="auto"/>
        </w:rPr>
      </w:pPr>
    </w:p>
    <w:p>
      <w:pPr>
        <w:ind w:left="980" w:right="240" w:hanging="324"/>
        <w:spacing w:after="0" w:line="277"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units without unitholder approval, which would dilute a unitholder’s existing ownership interests.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47" w:lineRule="exact"/>
        <w:rPr>
          <w:sz w:val="20"/>
          <w:szCs w:val="20"/>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ectPr>
          <w:pgSz w:w="11900" w:h="16839"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general partner has a limited call right that may require unitholders to sell their units at an undesirable time or price.</w:t>
      </w:r>
    </w:p>
    <w:p>
      <w:pPr>
        <w:sectPr>
          <w:pgSz w:w="11900" w:h="16839" w:orient="portrait"/>
          <w:cols w:equalWidth="0" w:num="1">
            <w:col w:w="11420"/>
          </w:cols>
          <w:pgMar w:left="240" w:top="125" w:right="239" w:bottom="0" w:gutter="0" w:footer="0" w:header="0"/>
          <w:type w:val="continuous"/>
        </w:sectPr>
      </w:pPr>
    </w:p>
    <w:bookmarkStart w:id="42" w:name="page43"/>
    <w:bookmarkEnd w:id="42"/>
    <w:p>
      <w:pPr>
        <w:ind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unitholder may be liable to us for the amount of a distribution for a period of three years from the date of the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25" w:lineRule="exact"/>
        <w:rPr>
          <w:sz w:val="20"/>
          <w:szCs w:val="20"/>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48" w:lineRule="exact"/>
        <w:rPr>
          <w:rFonts w:ascii="Arial" w:cs="Arial" w:eastAsia="Arial" w:hAnsi="Arial"/>
          <w:sz w:val="16"/>
          <w:szCs w:val="16"/>
          <w:color w:val="auto"/>
        </w:rPr>
      </w:pPr>
    </w:p>
    <w:p>
      <w:pPr>
        <w:ind w:left="980" w:right="120" w:hanging="324"/>
        <w:spacing w:after="0" w:line="273" w:lineRule="auto"/>
        <w:tabs>
          <w:tab w:leader="none" w:pos="94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178" w:lineRule="exact"/>
        <w:rPr>
          <w:rFonts w:ascii="Arial" w:cs="Arial" w:eastAsia="Arial" w:hAnsi="Arial"/>
          <w:sz w:val="17"/>
          <w:szCs w:val="17"/>
          <w:color w:val="auto"/>
        </w:rPr>
      </w:pPr>
    </w:p>
    <w:p>
      <w:pPr>
        <w:ind w:left="980" w:right="500" w:hanging="324"/>
        <w:spacing w:after="0" w:line="277" w:lineRule="auto"/>
        <w:tabs>
          <w:tab w:leader="none" w:pos="9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leverage is significant in relation to our partners’ capital. At December 31, 2013, our total outstanding long-term debt was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 billion, and our total outstanding short-term debt was approximately $1.1 billion. We will be prohibited from making cash distributions during an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default under any of our indebtedness. Various limitations in our credit facilities and other debt instruments may reduce our ability to incur additional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engage in some transactions and to capitalize on business opportunities. Any subsequent refinancing of our current indebtedness or any new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have similar or greater restrictions.</w:t>
      </w:r>
    </w:p>
    <w:p>
      <w:pPr>
        <w:sectPr>
          <w:pgSz w:w="11900" w:h="16838" w:orient="portrait"/>
          <w:cols w:equalWidth="0" w:num="1">
            <w:col w:w="11360"/>
          </w:cols>
          <w:pgMar w:left="240" w:top="341" w:right="299" w:bottom="0" w:gutter="0" w:footer="0" w:header="0"/>
        </w:sectPr>
      </w:pPr>
    </w:p>
    <w:bookmarkStart w:id="43" w:name="page44"/>
    <w:bookmarkEnd w:id="43"/>
    <w:p>
      <w:pPr>
        <w:spacing w:after="0" w:line="3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71" w:lineRule="exact"/>
        <w:rPr>
          <w:sz w:val="20"/>
          <w:szCs w:val="20"/>
          <w:color w:val="auto"/>
        </w:rPr>
      </w:pPr>
    </w:p>
    <w:p>
      <w:pPr>
        <w:ind w:left="980" w:right="760" w:hanging="324"/>
        <w:spacing w:after="0" w:line="277" w:lineRule="auto"/>
        <w:tabs>
          <w:tab w:leader="none" w:pos="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provide funds for distributions to our unitholders and the general partner for any one or more of the next four calendar quarters; or</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as well as our not being subject to a material amount of additional entity-level taxation by individual states. If the Internal Revenue Service (“IRS”) were to treat us as a corporation for federal income tax purposes or if we become subject to additional amounts of entity-level taxation for state or foreign tax purposes, it would reduce the amount of cash available to pay distributions and our debt obligations.</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Based on our current operations we believe that we are treated as a partnership rather than a corporation for such purposes; however, a change in our business could cause us to be treated as a corporation for federal income tax purposes. We have not requested, and do not plan to request, a ruling from the IRS on this or any other tax matter affecting us.</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Current law may change, causing us to be treated as a corporation for federal income tax purposes or otherwise subject us to additional entity-level taxation. 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on us in additional states will reduce the cash available for distribution to our unitholders. If we were treated as a corporation for federal income tax purposes, we</w:t>
      </w:r>
    </w:p>
    <w:p>
      <w:pPr>
        <w:sectPr>
          <w:pgSz w:w="11900" w:h="16877" w:orient="portrait"/>
          <w:cols w:equalWidth="0" w:num="1">
            <w:col w:w="11400"/>
          </w:cols>
          <w:pgMar w:left="240" w:top="125" w:right="259" w:bottom="0" w:gutter="0" w:footer="0" w:header="0"/>
        </w:sectPr>
      </w:pPr>
    </w:p>
    <w:bookmarkStart w:id="44" w:name="page45"/>
    <w:bookmarkEnd w:id="44"/>
    <w:p>
      <w:pPr>
        <w:ind w:right="40"/>
        <w:spacing w:after="0" w:line="257" w:lineRule="auto"/>
        <w:rPr>
          <w:sz w:val="20"/>
          <w:szCs w:val="20"/>
          <w:color w:val="auto"/>
        </w:rPr>
      </w:pPr>
      <w:r>
        <w:rPr>
          <w:rFonts w:ascii="Arial" w:cs="Arial" w:eastAsia="Arial" w:hAnsi="Arial"/>
          <w:sz w:val="18"/>
          <w:szCs w:val="18"/>
          <w:color w:val="auto"/>
        </w:rPr>
        <w:t>would pay federal income tax on our taxable income at the corporate tax rate, which is currently a maximum of 35%,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common units.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income tax purposes, our minimum quarterly distribution and target distribution amounts will be adjusted downward by a percentage that is based on the applicable entity-level tax rate, including both federal and state tax burdens. Although it is impossible to make an accurate assessment of the impact on us without the specific details of any such new law or modification, in such event, it is likely the overall amount of cash available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distribution by the partnership will decline and, due to the structure of our incentive distribution rights and the distribution provisions of our partnership agreement, our common unitholders will likely bear a disproportionately larger percentage of such reduction as compared to the holder of our incentive distribution rights.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Any modifications to the U.S. federal income tax laws that may be applied retroactively or prospectively could make it more difficult or impossible to meet the expectation of future cash distributions or reduce the cash available for distributions to our unitholders. For example, from time to time, members of Congress propose and consider substantive changes to the existing federal income tax laws that affect publicly traded partnerships. Currently, one such legislative proposal would eliminate the qualifying income exception to the treatment of all publicly traded partnerships as corporations upon which we rely for our treatment as a partnership for U.S. federal income tax purposes. We are unable to predict whether any of these changes or other proposals will be reintroduced or ultimately will be enacted. Any such changes could negatively impact the value of an investment in our common units. Any modification to the U.S. federal income tax laws may be applied retroactively and could make it more difficult or impossible to meet the exception for certain publicly traded partnerships to be treated as partnerships for U.S. federal income tax purposes.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twelve-month period will result in our termination as a partnership for federal income tax purposes.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will be considered to have constructively terminated as a partnership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it would result in our being treated as a new partnership for tax purposes. If we were treated as a new partnership, we would be required to make new tax elections and could be subject to penalties if we were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w:t>
      </w:r>
    </w:p>
    <w:p>
      <w:pPr>
        <w:spacing w:after="0" w:line="18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the IRS or Canada Revenue Agency (“CRA”) contests the federal income tax positions we take, the market for our common units may be adversely impacted and the cost of any IRS or CRA contest will reduce our cash available for distribution or debt service.</w:t>
      </w:r>
    </w:p>
    <w:p>
      <w:pPr>
        <w:spacing w:after="0" w:line="1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IRS has made no determination as to our status as a partnership for federal income tax purposes or as to any other matter affecting us. The IRS or CRA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In addition, our costs of any contest with the IRS or CRA will be borne indirectly by our unitholders and our general partner because the costs will reduce our cash available for distribution or debt service.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unitholders may be required to pay taxes on their share of our income even if they do not receive any cash distributions from us.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our unitholders sell their common units, they will recognize gain or loss equal to the difference between the amount realized and their tax basis in those common units. Because distributions in excess of a unitholder’s allocable share of our net taxable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45" w:name="page46"/>
    <w:bookmarkEnd w:id="45"/>
    <w:p>
      <w:pPr>
        <w:spacing w:after="0" w:line="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a unitholder sells units, the unitholder may incur a tax liability in excess of the amount of cash received from the sale.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26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Investment in common units by tax-exempt entities, such as employee benefit plans and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Non-U.S. persons will also potentially have tax filing and payment obligations in additional jurisdictions. Tax-exempt entities and non-U.S. persons should consult their tax advisor before investing in our common units.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actual units purchased. The IRS may challenge this treatment, which could adversely affect the value of our common units.</w:t>
      </w:r>
    </w:p>
    <w:p>
      <w:pPr>
        <w:spacing w:after="0" w:line="170"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to U.S. federal income taxes, our unitholders will likely be subject to other taxes, including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applicable. As a result of the Canadian restructuring, non-Canadian resident unitholders are not required to file Canadian tax returns with respect to an investment in our units.</w:t>
      </w:r>
    </w:p>
    <w:p>
      <w:pPr>
        <w:spacing w:after="0" w:line="17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that may result in a shift of income, gain, loss and deduction between our general partner and our unitholders. The IRS may challenge this treatment, which could adversely affect the value of our common units.</w:t>
      </w:r>
    </w:p>
    <w:p>
      <w:pPr>
        <w:spacing w:after="0" w:line="14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When we issue additional units or engage in certain other transactions, we determine the fair market value of our assets and allocate any unrealized gain or loss attributable to our assets to the capital accounts of our unitholders and our general partner. Our methodology may be viewed as understating the value of our assets. In that case, there may be a shift of income, gain, loss and deduction between certain unitholders and the general partner, which may be unfavorable to such unitholders. Moreover, under our current valuation methods, subsequent purchasers of common units may have a greater portion of their Internal Revenue Code Section 743(b) adjustment allocated to our tangible assets and a lesser portion allocated to our intangible assets. The IRS may challenge our valuation methods, or our allocation of the Section 743(b) adjustment attributable to our tangible and intangible assets, and allocations of income, gain, loss and deduction between the general partner and certain of our unitholders.</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Because there are no specific rules governing the federal income tax consequences of loaning a partnership interest, a unitholder whose common units are the subject of a securities loan may be considered as having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66"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generally prorate our items of income, gain, loss and deduction between existing unitholders and unitholders who purchase our units based upon the ownership of our units on the first day of each month, instead of on the basis of the date a particular unit is transferred. The use of this proration method may not be permitted under existing Treasury Regulations. Recently, the U.S. Treasury Department issued proposed Treasury Regulations that provide a safe harbor pursuant to which publicly traded partnerships may use a similar monthly simplifying convention to allocate tax items. Nonetheless, the proposed</w:t>
      </w:r>
    </w:p>
    <w:p>
      <w:pPr>
        <w:sectPr>
          <w:pgSz w:w="11900" w:h="16877" w:orient="portrait"/>
          <w:cols w:equalWidth="0" w:num="1">
            <w:col w:w="11380"/>
          </w:cols>
          <w:pgMar w:left="240" w:top="125" w:right="279" w:bottom="0" w:gutter="0" w:footer="0" w:header="0"/>
        </w:sectPr>
      </w:pPr>
    </w:p>
    <w:bookmarkStart w:id="46" w:name="page47"/>
    <w:bookmarkEnd w:id="46"/>
    <w:p>
      <w:pPr>
        <w:spacing w:after="0" w:line="4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Pemex Exploración y Producción v. Big Star Gathering Ltd L.L.P. et al. </w:t>
      </w:r>
      <w:r>
        <w:rPr>
          <w:rFonts w:ascii="Arial" w:cs="Arial" w:eastAsia="Arial" w:hAnsi="Arial"/>
          <w:sz w:val="16"/>
          <w:szCs w:val="16"/>
          <w:color w:val="auto"/>
        </w:rPr>
        <w:t>In two cases filed in the Texas Southern District Court in May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April 2012 lawsuit. In October 2013, the Court issued an order in the May 2011 lawsuit granting summary judgment in favor of Plains Marketing, L.P. with respect to all of PEP’s remaining claims against Plains Marketing, L.P. In February 2014, the Court affirmed its order granting summary judgment in favor of Plains Marketing, L.P., denied PEP’s motion for reconsideration, and issued a judgment dismissing all claims against Plains. PEP has the right to appeal such rulings.</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PNG Merger</w:t>
      </w:r>
      <w:r>
        <w:rPr>
          <w:rFonts w:ascii="Arial" w:cs="Arial" w:eastAsia="Arial" w:hAnsi="Arial"/>
          <w:sz w:val="16"/>
          <w:szCs w:val="16"/>
          <w:color w:val="auto"/>
        </w:rPr>
        <w:t>. Purported class action lawsuits were filed on behalf of PNG unitholders challenging the PNG Merger. Two lawsuits were filed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Court of Chancery in September 2013 and were consolidated under the caption In re PAA Natural Gas Storage, Limited Partnership Unitholder Litigation, C.A. No. 8908-VCL (which we refer to as the Consolidated Delaware Action). Two lawsuits were filed in Texas state court in September 2013 and were consolidated under the caption Vicars v. PNGS GP, LLC, et al., Cause No. 2013-52687 (Tex. Dist. Ct. Harris County) (which we refer to as the Consolidated Texas Action). Four lawsuits were filed in Texas federal court in October 2013 and were consolidated under the caption The DuckPond Trust, et al., v. PAA Natural Gas Storage, LP., et al., 4:13-cv-03170 (S.D. Tex.) (which we refer to as the Consolidated Federal Action).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Plaintiffs in the Consolidated Delaware Action generally allege that (i) the individual defendants breached fiduciary duties owed to PNG unitholders by allegedly approving the merger agreement at an unfair price and through an unfair process and by agreeing to certain deal protection devices; and (ii) the PNG Merger unfairly benefits certain members of PNG’s board of directors. Plaintiffs also allege that PNG’s general partner, PNG and other of our affiliates aided and abetted the alleged fiduciary breaches by the individual defendants.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Plaintiffs in the Consolidated Texas Action generally allege that (i) the individual defendants breached their duties owed to PNG’s unitholders under PNG’s partnership agreement as well as the implied covenant of good faith and fair dealing, and are engaging in self-dealing; and (ii) PNG’s general partner, PNG and other of our affiliates have aided and abetted the defendant directors for the purpose of advancing their own interests and/or assisting such directors in connection with their breaches of their respective duties. In addition, the Consolidated Texas Action includes purported derivative claims on behalf of PNG based on the alleged breaches of duties by the individual defendants.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2014, the Consolidated Federal Action was dismissed. Plaintiffs in the remaining actions generally seek, among other relief, to enjoin the transaction, rescission in the event the transaction is consummated, an order directing defendants to account to plaintiff and other members of the putative class for all damages caused by their breaches, money damages and an award of costs and disbursements, including reasonable attorneys’ fees. We cannot predict the outcome of these or any other lawsuits that might be filed, nor can we predict the amount of time and expense that will be required to resolve these lawsuits. We intend to defend vigorously against these and any other actions. See Note 10 to our Consolidated Financial Statements for a description of the PNG Merger.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2013, our estimated undiscounted reserve for environmental liabilities totaled approximately $93 million, of which approximately $11 million was classified as short-term and approximately $82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Consolidated Balance Sheets. At December 31, 2013 and 2012, we had recorded receivables totaling approximately $10 million and $42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w:t>
      </w:r>
    </w:p>
    <w:p>
      <w:pPr>
        <w:sectPr>
          <w:pgSz w:w="11900" w:h="16885" w:orient="portrait"/>
          <w:cols w:equalWidth="0" w:num="1">
            <w:col w:w="11420"/>
          </w:cols>
          <w:pgMar w:left="240" w:top="125" w:right="239" w:bottom="0" w:gutter="0" w:footer="0" w:header="0"/>
        </w:sectPr>
      </w:pPr>
    </w:p>
    <w:bookmarkStart w:id="47" w:name="page48"/>
    <w:bookmarkEnd w:id="47"/>
    <w:p>
      <w:pPr>
        <w:spacing w:after="0" w:line="1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Rainbow Pipeline Release</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During April 2011, we experienced a crude oil release of approximately 28,000 barrels of crude oil on a remote section of our Rainbow Pipeline located in Alberta, Canada. Since the release and through December 31, 2013, we spent approximately $70 million, before insurance recoveries, in connection with site clean-up, reclamation and remediation activities, and as of December 31, 2013, we did not have any material outstanding liabilities or insurance receivables relating to this release. On February 26, 2013,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AER issued a report detailing four enforcement actions against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 and are not expected to be material.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Rangeland Pipeline Release</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During June 2012, we experienced a crude oil release on a section of our Rangeland Pipeline located near Sundre, 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Monitoring will continue into 2014, and a long-term monitoring plan has been developed and implemented in accordance with regulatory requirements. Through December 31, 2013, we spent approximately $46 million, before insurance recoveries, in connection with site clean-up, reclamation and remediation activities. This release is currently under investigation by the AER, which also intends to perform an audit of PMC’s operations. Although the AER’s final investigation is not complete,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To date, no fines or penalties have been assessed against PMC with respect to this release; however, it is possible that fines or penalties may be assessed against PMC in the future and are not expected to be material.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Bay Springs Pipeline Release</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During February 2013, we experienced a crude oil release of approximately 120 barrels on a portion of one of our 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The aggregate cost to clean up and remediate the site was approximately $6 million, which has been recognized in “Field operating costs” on our Consolidated Statement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Kemp River Pipeline Release</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May and June 2013, two separate releases were discovered on our Kemp River pipeline in Northern Alberta, Canada that, in the aggregate, resulted in the release of approximately 700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which we have recognized in “Field operating costs” on our Consolidated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In 2011, we elected not to renew our hurricane insurance, and, instead, to self-insure this risk. Our assessment of the current availability of coverage and associated rates has led us to the decision to continue to self-insure. This decision does not affect our third-party liability insurance, which still covers hurricane-related liability claims which we have renewed at our historic coverage levels. In addition, although we believe that we have established adequate</w:t>
      </w:r>
    </w:p>
    <w:p>
      <w:pPr>
        <w:sectPr>
          <w:pgSz w:w="11900" w:h="16952" w:orient="portrait"/>
          <w:cols w:equalWidth="0" w:num="1">
            <w:col w:w="11400"/>
          </w:cols>
          <w:pgMar w:left="240" w:top="125" w:right="259" w:bottom="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reserves to the extent such risks are not insured, costs incurred in excess of these reserves may be higher and may potentially have a material adverse effect on our financial conditions,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common units are listed and traded on the New York Stock Exchange (“NYSE”) under the symbol “PAA.” As of February 20, 2014, the closing market price for our common units was $53.02 per unit and there were approximately 223,000 record holders and beneficial owners (held in street name). As of February 20, 2014, there were 359,904,180 common units outstanding.</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two-for-one split of our common units was completed on October 1, 2012. The effect of the two-for one split has been retroactively applied to all unit and per-unit amounts presented in this Form 10-K. In addition, our partnership agreement was amended to modify certain definitions related to target distribution amounts and minimum distribution amounts to reflect the unit split.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Common Unit</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Price Range</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7"/>
              </w:rPr>
              <w:t xml:space="preserve">Distributions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53.74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57.72</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59.52</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57.17</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47.14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42.60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45.57</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41.23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37.59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27" w:lineRule="auto"/>
        <w:tabs>
          <w:tab w:leader="none" w:pos="648"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Cash distributions associated with the quarter presented. These distributions were declared and paid in the following calendar quarter. See the “Cash Distribution Policy” section below for a discussion of our policy regarding distribution payments.</w:t>
      </w:r>
    </w:p>
    <w:p>
      <w:pPr>
        <w:spacing w:after="0" w:line="20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common units are also used as a form of compensation to our employees and directors. Additional information regarding our equity-indexed compensation plans is included in Part III of this report under Item 13. “Certain Relationships and Related Transactions, and Director Independence.”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accordance with our partnership agreement, we will distribute all of our available cash to our unitholders within 45 days following the end of each quarter in the manner described below. Available cash generally means, for any quarter ending prior to liquidation, all cash on hand at the end of that quarter less the amount of cash reserves that are necessary or appropriate in the reasonable discretion of the general partner to:</w:t>
      </w:r>
    </w:p>
    <w:p>
      <w:pPr>
        <w:spacing w:after="0" w:line="166" w:lineRule="exact"/>
        <w:rPr>
          <w:sz w:val="20"/>
          <w:szCs w:val="20"/>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adjustments discussed below, to 15% of amounts we distribute in excess of $0.2250 per unit, 25% of the amounts we distribute in excess of $0.2475 per unit and 50% of amounts we distribute in excess of $0.3375 per unit.</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Although not required to do so, in response to past requests by our management in connection with our acquisition activities, our general partner has, from time to time, agreed to reduce the amounts due to it as incentive distributions. Such modifications were implemented with a view toward enhancing our competitiveness for such acquisitions and managing the overall cost of equity capital while achieving an appropriate balance between short-term and long-term accretion to our limited partners and the holders of our general partner interest and IDRs. Our general partner agreed to reduce the amount of its incentive distribution by $3.75 million per quarter for distributions paid during 2013, $6.75 million for the distribution paid in February 2014, $5.5 million per quarter thereafter through November 2015, $5.0 million per quarter in 2016 and $3.75 million per quarter thereafter. These reductions were agreed to in connection with our BP NGL Acquisition and the completion of the PNG Merger on December 31, 2013. See Note 3 to our Consolidated Financial Statements for further discussion of</w:t>
      </w:r>
    </w:p>
    <w:p>
      <w:pPr>
        <w:sectPr>
          <w:pgSz w:w="11900" w:h="16838"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9" w:name="page50"/>
    <w:bookmarkEnd w:id="49"/>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BP NGL Acquisition. See Note 10 to our Consolidated Financial Statements for further discussion of the PNG Merger.</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During 2013, we paid approximately $369 million to our general partner, including approximately $353 million of incentive distributions, net of reductions of $15 million. Additionally, on February 14, 2014, we paid a quarterly distribution of $0.6150 per unit applicable to the fourth quarter of 2013, and in connection therewith, approximately $107 million was paid to our general partner, including approximately $102 million of incentive distributions, net of reductions of $6.75 million. See Item 13. “Certain Relationships and Related Transactions, and Director Independence—Our General Partner.”</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Facilities and Indentures.”</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Unitholder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did not repurchase any of our common units during the fourth quarter of 2013, and we do not have any announced or existing plans to repurchase any of our common units other than potential repurchases consistent with past practice in providing units for relatively small vestings of phantom units under our long-term incentive plans (“LTIP”).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historical financial information below was derived from our audited consolidated financial statements as of December 31, 2013, 2012, 2011, 2010 and 2009 and for the years then ended. The selected financial data should be read in conjunction with the Consolidated Financial Statements, including the notes thereto, and Item 7. “Management’s Discussion and Analysis of Financial Condition and Results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gridSpan w:val="6"/>
          </w:tcPr>
          <w:p>
            <w:pPr>
              <w:jc w:val="center"/>
              <w:ind w:left="432"/>
              <w:spacing w:after="0" w:line="142" w:lineRule="exact"/>
              <w:rPr>
                <w:sz w:val="20"/>
                <w:szCs w:val="20"/>
                <w:color w:val="auto"/>
              </w:rPr>
            </w:pPr>
            <w:r>
              <w:rPr>
                <w:rFonts w:ascii="Arial" w:cs="Arial" w:eastAsia="Arial" w:hAnsi="Arial"/>
                <w:sz w:val="14"/>
                <w:szCs w:val="14"/>
                <w:b w:val="1"/>
                <w:bCs w:val="1"/>
                <w:color w:val="auto"/>
                <w:w w:val="92"/>
              </w:rPr>
              <w:t>(in millions, except for per unit data)</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42,249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37,797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34,275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25,893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1,127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Net income attributable to PAA</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1,094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Per unit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Diluted net income per limited partner unit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Declared distributions per limited partner unit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20,360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19,235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15,381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13,703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6,320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7,828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7,406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5,199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5,957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7,146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1,240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2,365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(3,392)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Net cash provided by/(used in) financing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2,151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Acquisitions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2,286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1,404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Internal growth projects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1,185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Maintenance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92"/>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Volumes </w:t>
            </w:r>
            <w:r>
              <w:rPr>
                <w:rFonts w:ascii="Arial" w:cs="Arial" w:eastAsia="Arial" w:hAnsi="Arial"/>
                <w:sz w:val="22"/>
                <w:szCs w:val="22"/>
                <w:b w:val="1"/>
                <w:bCs w:val="1"/>
                <w:color w:val="auto"/>
                <w:vertAlign w:val="superscript"/>
              </w:rPr>
              <w:t>(2)(3)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gridSpan w:val="3"/>
          </w:tcPr>
          <w:p>
            <w:pPr>
              <w:spacing w:after="0" w:line="201" w:lineRule="exact"/>
              <w:rPr>
                <w:sz w:val="20"/>
                <w:szCs w:val="20"/>
                <w:color w:val="auto"/>
              </w:rPr>
            </w:pPr>
            <w:r>
              <w:rPr>
                <w:rFonts w:ascii="Arial" w:cs="Arial" w:eastAsia="Arial" w:hAnsi="Arial"/>
                <w:sz w:val="18"/>
                <w:szCs w:val="18"/>
                <w:color w:val="auto"/>
              </w:rPr>
              <w:t>Transportation segment (average daily volumes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thousands of barrels per day):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Tariff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3,373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Trucking</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Transportation segment 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-1579245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-1579245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8" w:orient="portrait"/>
          <w:cols w:equalWidth="0" w:num="1">
            <w:col w:w="11460"/>
          </w:cols>
          <w:pgMar w:left="240" w:top="368" w:right="19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Facilities segment:</w:t>
      </w:r>
    </w:p>
    <w:p>
      <w:pPr>
        <w:spacing w:after="0" w:line="23" w:lineRule="exact"/>
        <w:rPr>
          <w:sz w:val="20"/>
          <w:szCs w:val="20"/>
          <w:color w:val="auto"/>
        </w:rPr>
      </w:pPr>
    </w:p>
    <w:p>
      <w:pPr>
        <w:ind w:left="360" w:right="560" w:hanging="179"/>
        <w:spacing w:after="0" w:line="250" w:lineRule="auto"/>
        <w:rPr>
          <w:sz w:val="20"/>
          <w:szCs w:val="20"/>
          <w:color w:val="auto"/>
        </w:rPr>
      </w:pPr>
      <w:r>
        <w:rPr>
          <w:rFonts w:ascii="Arial" w:cs="Arial" w:eastAsia="Arial" w:hAnsi="Arial"/>
          <w:sz w:val="18"/>
          <w:szCs w:val="18"/>
          <w:color w:val="auto"/>
        </w:rPr>
        <w:t>Crude oil, refined products and NGL terminalling and storage (average monthly capacity in millions of barrels)</w:t>
      </w:r>
    </w:p>
    <w:p>
      <w:pPr>
        <w:spacing w:after="0" w:line="1" w:lineRule="exact"/>
        <w:rPr>
          <w:sz w:val="20"/>
          <w:szCs w:val="20"/>
          <w:color w:val="auto"/>
        </w:rPr>
      </w:pPr>
    </w:p>
    <w:p>
      <w:pPr>
        <w:ind w:left="360" w:right="1000" w:hanging="179"/>
        <w:spacing w:after="0" w:line="261" w:lineRule="auto"/>
        <w:rPr>
          <w:sz w:val="20"/>
          <w:szCs w:val="20"/>
          <w:color w:val="auto"/>
        </w:rPr>
      </w:pPr>
      <w:r>
        <w:rPr>
          <w:rFonts w:ascii="Arial" w:cs="Arial" w:eastAsia="Arial" w:hAnsi="Arial"/>
          <w:sz w:val="18"/>
          <w:szCs w:val="18"/>
          <w:color w:val="auto"/>
        </w:rPr>
        <w:t>Rail load / unload volumes (average volumes in thousands of barrels per 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tabs>
          <w:tab w:leader="none" w:pos="1500" w:val="left"/>
          <w:tab w:leader="none" w:pos="2920" w:val="left"/>
          <w:tab w:leader="none" w:pos="4340" w:val="left"/>
          <w:tab w:leader="none" w:pos="57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-524510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14605</wp:posOffset>
            </wp:positionV>
            <wp:extent cx="7246620" cy="283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5" w:lineRule="exact"/>
        <w:rPr>
          <w:sz w:val="20"/>
          <w:szCs w:val="20"/>
          <w:color w:val="auto"/>
        </w:rPr>
      </w:pPr>
    </w:p>
    <w:p>
      <w:pPr>
        <w:spacing w:after="0"/>
        <w:tabs>
          <w:tab w:leader="none" w:pos="1500" w:val="left"/>
          <w:tab w:leader="none" w:pos="2920" w:val="left"/>
          <w:tab w:leader="none" w:pos="4340" w:val="left"/>
          <w:tab w:leader="none" w:pos="57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31750</wp:posOffset>
            </wp:positionV>
            <wp:extent cx="43395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48" w:orient="portrait"/>
          <w:cols w:equalWidth="0" w:num="2">
            <w:col w:w="4640" w:space="720"/>
            <w:col w:w="6100"/>
          </w:cols>
          <w:pgMar w:left="240" w:top="368" w:right="199"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Natural gas storage (average monthly capacity in</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billions of cubic feet)</w:t>
            </w: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NGL fractionation (average volumes in thousands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11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ind w:left="340"/>
              <w:spacing w:after="0" w:line="195" w:lineRule="exact"/>
              <w:rPr>
                <w:sz w:val="20"/>
                <w:szCs w:val="20"/>
                <w:color w:val="auto"/>
              </w:rPr>
            </w:pPr>
            <w:r>
              <w:rPr>
                <w:rFonts w:ascii="Arial" w:cs="Arial" w:eastAsia="Arial" w:hAnsi="Arial"/>
                <w:sz w:val="18"/>
                <w:szCs w:val="18"/>
                <w:color w:val="auto"/>
              </w:rPr>
              <w:t>Facilities segment total (average monthly volumes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14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120</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106</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3"/>
                <w:szCs w:val="13"/>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Pr>
          <w:p>
            <w:pPr>
              <w:ind w:left="520"/>
              <w:spacing w:after="0"/>
              <w:rPr>
                <w:sz w:val="20"/>
                <w:szCs w:val="20"/>
                <w:color w:val="auto"/>
              </w:rPr>
            </w:pPr>
            <w:r>
              <w:rPr>
                <w:rFonts w:ascii="Arial" w:cs="Arial" w:eastAsia="Arial" w:hAnsi="Arial"/>
                <w:sz w:val="18"/>
                <w:szCs w:val="18"/>
                <w:color w:val="auto"/>
              </w:rPr>
              <w:t>in millions of barrels)</w:t>
            </w:r>
          </w:p>
        </w:tc>
        <w:tc>
          <w:tcPr>
            <w:tcW w:w="144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9"/>
              </w:rPr>
              <w:t>Supply and Logistics segment (average daily volumes in</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thousands of barrels per day):</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Supply and Logistics segment 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300" w:hanging="11"/>
        <w:spacing w:after="0" w:line="312" w:lineRule="auto"/>
        <w:rPr>
          <w:sz w:val="20"/>
          <w:szCs w:val="20"/>
          <w:color w:val="auto"/>
        </w:rPr>
      </w:pPr>
      <w:r>
        <w:rPr>
          <w:rFonts w:ascii="Arial" w:cs="Arial" w:eastAsia="Arial" w:hAnsi="Arial"/>
          <w:sz w:val="16"/>
          <w:szCs w:val="16"/>
          <w:color w:val="auto"/>
        </w:rPr>
        <w:t>Represents cash distributions declared and paid during the year presented. Our general partner is entitled, directly or indirectly, to receive 2% proportional distributions, as well as incentive distributions if the amount we distribute with respect to any quarter exceeds levels specified in our partnership agreement. See Note 10 to our Consolidated Financial Statements for further discussion regarding our distributions.</w:t>
      </w:r>
    </w:p>
    <w:p>
      <w:pPr>
        <w:spacing w:after="0" w:line="147"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(attributable to our interest) for the number of days or months we actually owned the assets divided by the number of days or months in the year.</w:t>
      </w:r>
    </w:p>
    <w:p>
      <w:pPr>
        <w:spacing w:after="0" w:line="170" w:lineRule="exact"/>
        <w:rPr>
          <w:sz w:val="20"/>
          <w:szCs w:val="20"/>
          <w:color w:val="auto"/>
        </w:rPr>
      </w:pPr>
    </w:p>
    <w:p>
      <w:pPr>
        <w:jc w:val="both"/>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capacity divided by 6 to account for the 6:1 mcf of gas to crude British thermal unit (“Btu”) equivalent ratio and further divided by 1,000 to convert to monthly volumes in millions; and (iv) NGL fractionation volumes multiplied by the number of days in the year and divided by the number of months in the year.</w:t>
      </w:r>
    </w:p>
    <w:p>
      <w:pPr>
        <w:spacing w:after="0" w:line="15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Overview of Operating Results, Capital Investments and Significant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The term NGL includes ethane and natural gasoline products as well as products commonly referred to as liquefied petroleum gas (“LPG”) such as propane and butane. When used in this Form 10-K, NGL refers to all NGL products including LPG.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(i) Transportation, (ii) Facilities and (iii) Supply and Logistics. See “—Results of Operations—Analysis of Operating Segments”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During 2013, we recognized net income attributable to PAA of approximately $1.361 billion, or $2.80 per diluted limited partner unit, as compared to net income attributable to PAA of approximately $1.094 billion, or $2.40 per diluted limited partner unit, recognized during 2012. Major items impacting</w:t>
      </w:r>
    </w:p>
    <w:p>
      <w:pPr>
        <w:sectPr>
          <w:pgSz w:w="11900" w:h="16838" w:orient="portrait"/>
          <w:cols w:equalWidth="0" w:num="1">
            <w:col w:w="11420"/>
          </w:cols>
          <w:pgMar w:left="240" w:top="125" w:right="239" w:bottom="0" w:gutter="0" w:footer="0" w:header="0"/>
          <w:type w:val="continuous"/>
        </w:sectPr>
      </w:pPr>
    </w:p>
    <w:bookmarkStart w:id="51" w:name="page52"/>
    <w:bookmarkEnd w:id="51"/>
    <w:p>
      <w:pPr>
        <w:jc w:val="both"/>
        <w:ind w:right="780"/>
        <w:spacing w:after="0" w:line="286" w:lineRule="auto"/>
        <w:rPr>
          <w:sz w:val="20"/>
          <w:szCs w:val="20"/>
          <w:color w:val="auto"/>
        </w:rPr>
      </w:pPr>
      <w:r>
        <w:rPr>
          <w:rFonts w:ascii="Arial" w:cs="Arial" w:eastAsia="Arial" w:hAnsi="Arial"/>
          <w:sz w:val="17"/>
          <w:szCs w:val="17"/>
          <w:color w:val="auto"/>
        </w:rPr>
        <w:t>the favorable performance between periods include contributions from the USD Rail Terminal and BP NGL Acquisitions, which were completed in December 2012 and April 2012, respectively, incremental fee-based contributions associated with acquisition and expansion capital invested in our Transportation and Facilities segments and favorable unit margins in our Supply and Logistics segment.</w:t>
      </w:r>
    </w:p>
    <w:p>
      <w:pPr>
        <w:spacing w:after="0" w:line="166"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favorable unit margins in the Supply and Logistics segment were driven by our NGL marketing operations, which benefited from improved market conditions and higher demand, as well as additional sales volumes related to the BP NGL Acquisition noted above. However, such results were partially offset by the impact of less favorable crude oil market conditions, particularly narrower crude oil differentials during much of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significant items impacting the comparison to 2012 include:</w:t>
      </w:r>
    </w:p>
    <w:p>
      <w:pPr>
        <w:spacing w:after="0" w:line="225" w:lineRule="exact"/>
        <w:rPr>
          <w:sz w:val="20"/>
          <w:szCs w:val="20"/>
          <w:color w:val="auto"/>
        </w:rPr>
      </w:pPr>
    </w:p>
    <w:p>
      <w:pPr>
        <w:ind w:left="1300" w:right="480" w:hanging="320"/>
        <w:spacing w:after="0" w:line="277" w:lineRule="auto"/>
        <w:tabs>
          <w:tab w:leader="none" w:pos="12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Decreased depreciation and amortization expense, largely driven by one-time asset impairment charges of approximately $168 million recognized during the comparative 2012 period;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80" w:hanging="320"/>
        <w:spacing w:after="0" w:line="308" w:lineRule="auto"/>
        <w:tabs>
          <w:tab w:leader="none" w:pos="12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Increased income tax expense resulting from an increased proportion of earnings subject to Canadian federal and provincial taxes, primarily driven by the stronger performance from our existing operations and our operations related to the BP NGL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completed a number of acquisitions and capital expansion projects in 2013, 2012 and 2011 that have impacted our results of operations. The following table summarizes our capital expenditures for acquisitions, internal growth projects and maintenance capital for the periods indicated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1,622</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1,185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49" w:lineRule="auto"/>
        <w:tabs>
          <w:tab w:leader="none" w:pos="648" w:val="left"/>
        </w:tabs>
        <w:numPr>
          <w:ilvl w:val="0"/>
          <w:numId w:val="52"/>
        </w:numPr>
        <w:rPr>
          <w:rFonts w:ascii="Arial" w:cs="Arial" w:eastAsia="Arial" w:hAnsi="Arial"/>
          <w:sz w:val="22"/>
          <w:szCs w:val="22"/>
          <w:color w:val="auto"/>
          <w:vertAlign w:val="superscript"/>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10 to our Consolidated Financial Statements for further discussion of the PNG Merger.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Acquisitions are financed using a combination of equity and debt, including borrowings under our credit facilities and the issuance of senior notes. Businesses acquired impact our results of operations commencing on the closing date of each acquisition. Our acquisition and capital expansion activities are discussed further in “—Liquidity and Capital Resources” and in Note 3 to our Consolidated Financial Statements. Information regarding acquisitions completed in 2013, 2012 and 2011 is set forth in the table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Effective</w:t>
            </w: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260" w:type="dxa"/>
            <w:vAlign w:val="bottom"/>
          </w:tcPr>
          <w:p>
            <w:pPr>
              <w:spacing w:after="0"/>
              <w:rPr>
                <w:sz w:val="14"/>
                <w:szCs w:val="14"/>
                <w:color w:val="auto"/>
              </w:rPr>
            </w:pPr>
          </w:p>
        </w:tc>
        <w:tc>
          <w:tcPr>
            <w:tcW w:w="432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4"/>
                <w:szCs w:val="14"/>
                <w:color w:val="auto"/>
              </w:rPr>
            </w:pPr>
          </w:p>
        </w:tc>
        <w:tc>
          <w:tcPr>
            <w:tcW w:w="4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bottom w:val="single" w:sz="8" w:color="CCEEFF"/>
            </w:tcBorders>
            <w:shd w:val="clear" w:color="auto" w:fill="CCEEFF"/>
          </w:tcPr>
          <w:p>
            <w:pPr>
              <w:ind w:left="160"/>
              <w:spacing w:after="0" w:line="210" w:lineRule="exact"/>
              <w:rPr>
                <w:sz w:val="20"/>
                <w:szCs w:val="20"/>
                <w:color w:val="auto"/>
              </w:rPr>
            </w:pPr>
            <w:r>
              <w:rPr>
                <w:rFonts w:ascii="Arial" w:cs="Arial" w:eastAsia="Arial" w:hAnsi="Arial"/>
                <w:sz w:val="18"/>
                <w:szCs w:val="18"/>
                <w:color w:val="auto"/>
              </w:rPr>
              <w:t xml:space="preserve">2013 Total </w:t>
            </w:r>
            <w:r>
              <w:rPr>
                <w:rFonts w:ascii="Arial" w:cs="Arial" w:eastAsia="Arial" w:hAnsi="Arial"/>
                <w:sz w:val="23"/>
                <w:szCs w:val="23"/>
                <w:color w:val="auto"/>
                <w:vertAlign w:val="superscript"/>
              </w:rPr>
              <w:t>(1)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09/01/2013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BP NGL Acquisition </w:t>
            </w:r>
            <w:r>
              <w:rPr>
                <w:rFonts w:ascii="Arial" w:cs="Arial" w:eastAsia="Arial" w:hAnsi="Arial"/>
                <w:sz w:val="23"/>
                <w:szCs w:val="23"/>
                <w:color w:val="auto"/>
                <w:vertAlign w:val="superscript"/>
              </w:rPr>
              <w:t>(2)</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04/01/2012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1,633</w:t>
            </w:r>
          </w:p>
        </w:tc>
        <w:tc>
          <w:tcPr>
            <w:tcW w:w="4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US Development Group Crude Oil Rail Terminals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12/13/2012</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4580" w:type="dxa"/>
            <w:vAlign w:val="bottom"/>
            <w:gridSpan w:val="2"/>
          </w:tcPr>
          <w:p>
            <w:pPr>
              <w:ind w:left="26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Various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2012 Total</w:t>
            </w:r>
          </w:p>
        </w:tc>
        <w:tc>
          <w:tcPr>
            <w:tcW w:w="11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4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Southern Pines</w:t>
            </w:r>
          </w:p>
        </w:tc>
        <w:tc>
          <w:tcPr>
            <w:tcW w:w="1140" w:type="dxa"/>
            <w:vAlign w:val="bottom"/>
          </w:tcPr>
          <w:p>
            <w:pPr>
              <w:jc w:val="right"/>
              <w:spacing w:after="0"/>
              <w:rPr>
                <w:sz w:val="20"/>
                <w:szCs w:val="20"/>
                <w:color w:val="auto"/>
              </w:rPr>
            </w:pPr>
            <w:r>
              <w:rPr>
                <w:rFonts w:ascii="Arial" w:cs="Arial" w:eastAsia="Arial" w:hAnsi="Arial"/>
                <w:sz w:val="18"/>
                <w:szCs w:val="18"/>
                <w:color w:val="auto"/>
              </w:rPr>
              <w:t>02/09/2011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4580" w:type="dxa"/>
            <w:vAlign w:val="bottom"/>
            <w:gridSpan w:val="2"/>
          </w:tcPr>
          <w:p>
            <w:pPr>
              <w:ind w:left="26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Gardendale Gathering System</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11/29/2011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4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Western Pipeline and Storage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12/29/2011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4580" w:type="dxa"/>
            <w:vAlign w:val="bottom"/>
            <w:gridSpan w:val="2"/>
          </w:tcPr>
          <w:p>
            <w:pPr>
              <w:ind w:left="260"/>
              <w:spacing w:after="0"/>
              <w:rPr>
                <w:sz w:val="20"/>
                <w:szCs w:val="20"/>
                <w:color w:val="auto"/>
              </w:rPr>
            </w:pPr>
            <w:r>
              <w:rPr>
                <w:rFonts w:ascii="Arial" w:cs="Arial" w:eastAsia="Arial" w:hAnsi="Arial"/>
                <w:sz w:val="18"/>
                <w:szCs w:val="18"/>
                <w:color w:val="auto"/>
              </w:rPr>
              <w:t>Facilities and 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Various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2011 Total</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80" w:hanging="11"/>
        <w:spacing w:after="0" w:line="286" w:lineRule="auto"/>
        <w:rPr>
          <w:sz w:val="20"/>
          <w:szCs w:val="20"/>
          <w:color w:val="auto"/>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10 to our Consolidated Financial Statements for further discussion of the PNG Merger.</w:t>
      </w:r>
    </w:p>
    <w:p>
      <w:pPr>
        <w:spacing w:after="0" w:line="166"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Total BP NGL Acquisition purchase price was approximately $1.683 billion. A cash deposit of $50 million was paid during 2011 and is reflected in ‘Other’ in the 2011 Total in the table above.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55"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 Growth Projects</w:t>
      </w:r>
    </w:p>
    <w:p>
      <w:pPr>
        <w:sectPr>
          <w:pgSz w:w="11900" w:h="16838" w:orient="portrait"/>
          <w:cols w:equalWidth="0" w:num="1">
            <w:col w:w="11420"/>
          </w:cols>
          <w:pgMar w:left="240" w:top="125" w:right="239" w:bottom="55" w:gutter="0" w:footer="0" w:header="0"/>
          <w:type w:val="continuous"/>
        </w:sectPr>
      </w:pPr>
    </w:p>
    <w:bookmarkStart w:id="52" w:name="page53"/>
    <w:bookmarkEnd w:id="52"/>
    <w:p>
      <w:pPr>
        <w:spacing w:after="0" w:line="3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2013 projects included the construction and expansion of pipeline systems and storage and terminal facilities. The following table summarizes our 2013, 2012 and 2011 projects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Mississippian Lime Pipeline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Gulf Coast Pipeline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Rainbow II Pipeline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Yorktown Terminal Projects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Area Pipeline Projects </w:t>
            </w:r>
            <w:r>
              <w:rPr>
                <w:rFonts w:ascii="Arial" w:cs="Arial" w:eastAsia="Arial" w:hAnsi="Arial"/>
                <w:sz w:val="23"/>
                <w:szCs w:val="23"/>
                <w:color w:val="auto"/>
                <w:vertAlign w:val="superscript"/>
              </w:rPr>
              <w:t>(1) (2)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White Cliffs Expansion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Fort Saskatchewan Facility Expansions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Eagle Ford JV Project </w:t>
            </w:r>
            <w:r>
              <w:rPr>
                <w:rFonts w:ascii="Arial" w:cs="Arial" w:eastAsia="Arial" w:hAnsi="Arial"/>
                <w:sz w:val="23"/>
                <w:szCs w:val="23"/>
                <w:color w:val="auto"/>
                <w:vertAlign w:val="superscript"/>
              </w:rPr>
              <w:t>(1) (3)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Spraberry Area Pipeline Projects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St. James Expansions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Western Oklahoma Pipeline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Storage (multiple projects)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Gulf Coast Gas Processing Facility Enhancements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Shafter Expansion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Other projects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0"/>
        </w:trPr>
        <w:tc>
          <w:tcPr>
            <w:tcW w:w="66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2"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These projects will continue into 2014. See “—Liquidity and Capital Resources—Acquisitions, Capital Expenditures and Distributions Paid to Our Unitholders, General Partner and Noncontrolling Interests—2014 Capital Expansion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 tankage and condensate stabilization.</w:t>
      </w:r>
    </w:p>
    <w:p>
      <w:pPr>
        <w:spacing w:after="0" w:line="225"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Includes net expenditures associated with the formation of Eagle Ford Pipeline LLC in 2012, as well as subsequent contributions related to our 50%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Manitou, ND, Bakersfield, CA, Tampa, CO, and Van Hook, ND rail 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Represents contributions related to our 35.7% investment interest in the White Cliffs Pipeline.</w:t>
      </w:r>
    </w:p>
    <w:p>
      <w:pPr>
        <w:spacing w:after="0" w:line="200" w:lineRule="exact"/>
        <w:rPr>
          <w:sz w:val="20"/>
          <w:szCs w:val="20"/>
          <w:color w:val="auto"/>
        </w:rPr>
      </w:pPr>
    </w:p>
    <w:p>
      <w:pPr>
        <w:sectPr>
          <w:pgSz w:w="11900" w:h="16872" w:orient="portrait"/>
          <w:cols w:equalWidth="0" w:num="2">
            <w:col w:w="140" w:space="500"/>
            <w:col w:w="10780"/>
          </w:cols>
          <w:pgMar w:left="240" w:top="125"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have adopted various accounting policies to prepare our consolidated financial statements in accordance with generally accepted accounting principles in the United States (“GAAP”). These critical accounting policies are discussed in Note 2 to our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the assumptions, judgments and estimates involved in the accounting for our (i) purchase and sales accruals, (ii) fair value of assets and liabilities acquired and identification of associated goodwill and intangible assets, (iii) fair value of derivatives, (iv) accruals and contingent liabilities, including our equity-indexed compensation plan accruals, (v) property and equipment and depreciation expense and (vi) allowance for doubtful accounts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9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i w:val="1"/>
          <w:iCs w:val="1"/>
          <w:color w:val="auto"/>
        </w:rPr>
        <w:t xml:space="preserve">Purchase and Sales Accruals. </w:t>
      </w:r>
      <w:r>
        <w:rPr>
          <w:rFonts w:ascii="Arial" w:cs="Arial" w:eastAsia="Arial" w:hAnsi="Arial"/>
          <w:sz w:val="16"/>
          <w:szCs w:val="16"/>
          <w:color w:val="auto"/>
        </w:rPr>
        <w:t>We routinely make accruals based on estimates for certain components of our revenues and cost of sales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2013, we estimate that approximately 1% and 2% of annual revenues and cost of sales were recorded using sales and purchase estimates, respectively. Accordingly, a hypothetical variance of 10% from both of these estimates, either up or down in tandem, would impact annual revenues, cost of sales, operating income and net income attributable to PAA by 1% or less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ectPr>
          <w:pgSz w:w="11900" w:h="16872" w:orient="portrait"/>
          <w:cols w:equalWidth="0" w:num="1">
            <w:col w:w="11420"/>
          </w:cols>
          <w:pgMar w:left="240" w:top="125" w:right="239" w:bottom="0" w:gutter="0" w:footer="0" w:header="0"/>
          <w:type w:val="continuous"/>
        </w:sectPr>
      </w:pPr>
    </w:p>
    <w:bookmarkStart w:id="53" w:name="page54"/>
    <w:bookmarkEnd w:id="53"/>
    <w:p>
      <w:pPr>
        <w:ind w:firstLine="648"/>
        <w:spacing w:after="0" w:line="254" w:lineRule="auto"/>
        <w:rPr>
          <w:sz w:val="20"/>
          <w:szCs w:val="20"/>
          <w:color w:val="auto"/>
        </w:rPr>
      </w:pPr>
      <w:r>
        <w:rPr>
          <w:rFonts w:ascii="Arial" w:cs="Arial" w:eastAsia="Arial" w:hAnsi="Arial"/>
          <w:sz w:val="18"/>
          <w:szCs w:val="18"/>
          <w:i w:val="1"/>
          <w:iCs w:val="1"/>
          <w:color w:val="auto"/>
        </w:rPr>
        <w:t xml:space="preserve">Fair Value of Assets and Liabilities Acquired and Identification of Associated Goodwill and Intangible Assets. </w:t>
      </w:r>
      <w:r>
        <w:rPr>
          <w:rFonts w:ascii="Arial" w:cs="Arial" w:eastAsia="Arial" w:hAnsi="Arial"/>
          <w:sz w:val="18"/>
          <w:szCs w:val="18"/>
          <w:color w:val="auto"/>
        </w:rPr>
        <w:t>In accordance with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our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9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Impairment testing entails estimating future net cash flows relating to the asset, based on management’s estimate of future revenues, future cash flows and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 We did not have any material goodwill impairments in 2013, 2012 or 2011. See Note 8 to our Consolidated Financial Statements for a further discussion of goodwill.</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Our derivatives are reported at fair value as either assets or liabilities with changes in fair value recognized in either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or accumulated other comprehensive income (“AOCI”). 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For our derivatives that are not exchange traded, the estimates we use are based on indicative broker quotations or an internal valuation model.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See Note 11 to our Consolidated Financial Statements for a discussion regarding our derivatives and risk management activities.</w:t>
      </w:r>
    </w:p>
    <w:p>
      <w:pPr>
        <w:spacing w:after="0" w:line="18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Accruals and Contingent Liabilities. </w:t>
      </w:r>
      <w:r>
        <w:rPr>
          <w:rFonts w:ascii="Arial" w:cs="Arial" w:eastAsia="Arial" w:hAnsi="Arial"/>
          <w:sz w:val="17"/>
          <w:szCs w:val="17"/>
          <w:color w:val="auto"/>
        </w:rPr>
        <w:t>We record accruals or liabilities including, but not limited to, environmental remediation and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penalties, asset retirement obligations, equity-indexed compensation plan accruals (as further discussed below), bonus accruals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$15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83"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i w:val="1"/>
          <w:iCs w:val="1"/>
          <w:color w:val="auto"/>
        </w:rPr>
        <w:t xml:space="preserve">Equity-Indexed Compensation Plan Accruals. </w:t>
      </w:r>
      <w:r>
        <w:rPr>
          <w:rFonts w:ascii="Arial" w:cs="Arial" w:eastAsia="Arial" w:hAnsi="Arial"/>
          <w:sz w:val="16"/>
          <w:szCs w:val="16"/>
          <w:color w:val="auto"/>
        </w:rPr>
        <w:t>We accrue compensation expense (referred to herein as equity-indexed compensation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compensation expense only if the attainment of the performance condition is considered probable.</w:t>
      </w:r>
    </w:p>
    <w:p>
      <w:pPr>
        <w:spacing w:after="0" w:line="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Uncertainties involved in this estimate include the actual unit price at time of vesting, whether or not a performance condition will be attained and the continued employment of personnel with outstanding equity-indexed compensation awards.</w:t>
      </w:r>
    </w:p>
    <w:p>
      <w:pPr>
        <w:spacing w:after="0" w:line="18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recognized total compensation expense of approximately $116 million, $101 million and $110 million in 2013, 2012 and 2011, respectively, related to awards granted under our various equity-indexed compensation plans. We cannot provide assurance that the actual fair value of our equity-indexed compensation awards will not vary significantly from estimated amounts. See Note 15 to our Consolidated Financial Statements.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Property and Equipment and Depreciation Expense. </w:t>
      </w:r>
      <w:r>
        <w:rPr>
          <w:rFonts w:ascii="Arial" w:cs="Arial" w:eastAsia="Arial" w:hAnsi="Arial"/>
          <w:sz w:val="18"/>
          <w:szCs w:val="18"/>
          <w:color w:val="auto"/>
        </w:rPr>
        <w:t>We compute depreciation using the straight-line method based on estimated useful lives.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40" w:hanging="284"/>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grouping of assets;</w:t>
      </w:r>
    </w:p>
    <w:p>
      <w:pPr>
        <w:sectPr>
          <w:pgSz w:w="11900" w:h="16838" w:orient="portrait"/>
          <w:cols w:equalWidth="0" w:num="1">
            <w:col w:w="11420"/>
          </w:cols>
          <w:pgMar w:left="240" w:top="341" w:right="239" w:bottom="0" w:gutter="0" w:footer="0" w:header="0"/>
        </w:sectPr>
      </w:pPr>
    </w:p>
    <w:bookmarkStart w:id="54" w:name="page55"/>
    <w:bookmarkEnd w:id="54"/>
    <w:p>
      <w:pPr>
        <w:spacing w:after="0" w:line="62" w:lineRule="exact"/>
        <w:rPr>
          <w:sz w:val="20"/>
          <w:szCs w:val="20"/>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648"/>
        <w:spacing w:after="0" w:line="276" w:lineRule="auto"/>
        <w:rPr>
          <w:sz w:val="20"/>
          <w:szCs w:val="20"/>
          <w:color w:val="auto"/>
        </w:rPr>
      </w:pPr>
      <w:r>
        <w:rPr>
          <w:rFonts w:ascii="Arial" w:cs="Arial" w:eastAsia="Arial" w:hAnsi="Arial"/>
          <w:sz w:val="17"/>
          <w:szCs w:val="17"/>
          <w:color w:val="auto"/>
        </w:rPr>
        <w:t>During 2013, 2012 and 2011, we recognized losses on impairments of long-lived assets of approximately $20 million, $168 million and $5 million, respectively. The impairments recognized in 2013 and 2011 were predominantly related to assets that were taken out of service. These assets did not support spending the capital necessary to continue service and, in some instances, we utilized other assets to handle these activities. The impairments recognized in 2012 primarily related to our Pier 400 terminal project and the anticipated sale of certain refined products pipeline systems and related assets. See Note 6 to our Consolidated Financial Statements for further discussion regarding impairments.</w:t>
      </w:r>
    </w:p>
    <w:p>
      <w:pPr>
        <w:spacing w:after="0" w:line="17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perform credit evaluations of our customers and grant credit based on past payment history,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and anticipated industry conditions. Customer payments are regularly monitored and a provision for doubtful accounts is established based on specific situations and overall industry conditions. Our history of bad debt losses has been minimal and generally limited to specific customer circumstances; however, credit risks can change suddenly and without notice. See Note 2 to our Consolidated Financial Statements for additional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for a definition of segment profit (including an explanation of why this is a performance measure) and a reconciliation of segment profit to net income attributable to PAA.</w:t>
      </w:r>
    </w:p>
    <w:p>
      <w:pPr>
        <w:spacing w:after="0" w:line="15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for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jc w:val="center"/>
              <w:ind w:left="533"/>
              <w:spacing w:after="0"/>
              <w:rPr>
                <w:sz w:val="20"/>
                <w:szCs w:val="20"/>
                <w:color w:val="auto"/>
              </w:rPr>
            </w:pPr>
            <w:r>
              <w:rPr>
                <w:rFonts w:ascii="Arial" w:cs="Arial" w:eastAsia="Arial" w:hAnsi="Arial"/>
                <w:sz w:val="14"/>
                <w:szCs w:val="14"/>
                <w:b w:val="1"/>
                <w:bCs w:val="1"/>
                <w:color w:val="auto"/>
                <w:w w:val="93"/>
              </w:rPr>
              <w:t>For the Twelve Months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w w:val="94"/>
              </w:rPr>
              <w:t>Favorable/(Unfavorable)</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Ended December 31,</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2013-2012</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2012-2011</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8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2,167</w:t>
            </w: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1,945</w:t>
            </w: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1,560</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2.82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per limited partner unit</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Basic weighted average units outstanding</w:t>
            </w:r>
          </w:p>
        </w:tc>
        <w:tc>
          <w:tcPr>
            <w:tcW w:w="56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28</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Diluted weighted average units outstanding</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adjustment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Consolidated Financial Statements and footnotes.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jc w:val="center"/>
              <w:ind w:left="331"/>
              <w:spacing w:after="0"/>
              <w:rPr>
                <w:sz w:val="20"/>
                <w:szCs w:val="20"/>
                <w:color w:val="auto"/>
              </w:rPr>
            </w:pPr>
            <w:r>
              <w:rPr>
                <w:rFonts w:ascii="Arial" w:cs="Arial" w:eastAsia="Arial" w:hAnsi="Arial"/>
                <w:sz w:val="14"/>
                <w:szCs w:val="14"/>
                <w:b w:val="1"/>
                <w:bCs w:val="1"/>
                <w:color w:val="auto"/>
                <w:w w:val="93"/>
              </w:rPr>
              <w:t>For the Twelve Months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rPr>
              <w:t>Favorable/(Unfavorable)</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Ended December 31,</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2013-2012</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2012-2011</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1"/>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gridSpan w:val="2"/>
            <w:vMerge w:val="continue"/>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2,168</w:t>
            </w:r>
          </w:p>
        </w:tc>
        <w:tc>
          <w:tcPr>
            <w:tcW w:w="280" w:type="dxa"/>
            <w:vAlign w:val="bottom"/>
            <w:vMerge w:val="continue"/>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Pr>
          <w:p>
            <w:pPr>
              <w:spacing w:after="0"/>
              <w:rPr>
                <w:sz w:val="21"/>
                <w:szCs w:val="21"/>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rPr>
              <w:t>Selected Items Impacting Comparability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Gains/(losses) from derivative activities net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520"/>
              <w:spacing w:after="0" w:line="231" w:lineRule="exact"/>
              <w:rPr>
                <w:sz w:val="20"/>
                <w:szCs w:val="20"/>
                <w:color w:val="auto"/>
              </w:rPr>
            </w:pPr>
            <w:r>
              <w:rPr>
                <w:rFonts w:ascii="Arial" w:cs="Arial" w:eastAsia="Arial" w:hAnsi="Arial"/>
                <w:sz w:val="18"/>
                <w:szCs w:val="18"/>
                <w:color w:val="auto"/>
              </w:rPr>
              <w:t xml:space="preserve">of inventory valuation adjustments </w:t>
            </w:r>
            <w:r>
              <w:rPr>
                <w:rFonts w:ascii="Arial" w:cs="Arial" w:eastAsia="Arial" w:hAnsi="Arial"/>
                <w:sz w:val="23"/>
                <w:szCs w:val="23"/>
                <w:color w:val="auto"/>
                <w:vertAlign w:val="superscript"/>
              </w:rPr>
              <w:t>(1)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left w:val="single" w:sz="8" w:color="CCEEFF"/>
            </w:tcBorders>
            <w:shd w:val="clear" w:color="auto" w:fill="CCEEFF"/>
          </w:tcPr>
          <w:p>
            <w:pPr>
              <w:spacing w:after="0"/>
              <w:rPr>
                <w:sz w:val="20"/>
                <w:szCs w:val="20"/>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gain/(loss) on foreign currency</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520"/>
              <w:spacing w:after="0" w:line="231"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Net loss on early repayment of senior notes</w:t>
            </w:r>
          </w:p>
        </w:tc>
        <w:tc>
          <w:tcPr>
            <w:tcW w:w="180" w:type="dxa"/>
            <w:vAlign w:val="bottom"/>
          </w:tcPr>
          <w:p>
            <w:pPr>
              <w:spacing w:after="0"/>
              <w:rPr>
                <w:sz w:val="18"/>
                <w:szCs w:val="18"/>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Significant acquisition-related expenses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(124)</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34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2,168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34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2,292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of distributions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(6)</w:t>
            </w:r>
          </w:p>
        </w:tc>
        <w:tc>
          <w:tcPr>
            <w:tcW w:w="18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Arial" w:cs="Arial" w:eastAsia="Arial" w:hAnsi="Arial"/>
                <w:sz w:val="18"/>
                <w:szCs w:val="18"/>
                <w:color w:val="auto"/>
              </w:rPr>
              <w:t>Implied DCF</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1,665</w:t>
            </w:r>
          </w:p>
        </w:tc>
        <w:tc>
          <w:tcPr>
            <w:tcW w:w="28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1,550</w:t>
            </w:r>
          </w:p>
        </w:tc>
        <w:tc>
          <w:tcPr>
            <w:tcW w:w="30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401</w:t>
            </w:r>
          </w:p>
        </w:tc>
        <w:tc>
          <w:tcPr>
            <w:tcW w:w="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(1,215)</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line="210"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3"/>
                <w:szCs w:val="23"/>
                <w:color w:val="auto"/>
                <w:vertAlign w:val="superscript"/>
              </w:rPr>
              <w:t>(7)</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120" w:hanging="692"/>
        <w:spacing w:after="0" w:line="275" w:lineRule="auto"/>
        <w:tabs>
          <w:tab w:leader="none" w:pos="683"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also exclude the impact of inventory</w:t>
      </w:r>
    </w:p>
    <w:p>
      <w:pPr>
        <w:sectPr>
          <w:pgSz w:w="11900" w:h="16838" w:orient="portrait"/>
          <w:cols w:equalWidth="0" w:num="1">
            <w:col w:w="11420"/>
          </w:cols>
          <w:pgMar w:left="240" w:top="140" w:right="239" w:bottom="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0" w:right="420"/>
        <w:spacing w:after="0" w:line="277" w:lineRule="auto"/>
        <w:rPr>
          <w:sz w:val="20"/>
          <w:szCs w:val="20"/>
          <w:color w:val="auto"/>
        </w:rPr>
      </w:pPr>
      <w:r>
        <w:rPr>
          <w:rFonts w:ascii="Arial" w:cs="Arial" w:eastAsia="Arial" w:hAnsi="Arial"/>
          <w:sz w:val="18"/>
          <w:szCs w:val="18"/>
          <w:color w:val="auto"/>
        </w:rPr>
        <w:t>valuation adjustments. See Note 11 to our Consolidated Financial Statements for a comprehensive discussion regarding our derivatives and risk management activities.</w:t>
      </w:r>
    </w:p>
    <w:p>
      <w:pPr>
        <w:spacing w:after="0" w:line="170" w:lineRule="exact"/>
        <w:rPr>
          <w:sz w:val="20"/>
          <w:szCs w:val="20"/>
          <w:color w:val="auto"/>
        </w:rPr>
      </w:pPr>
    </w:p>
    <w:p>
      <w:pPr>
        <w:ind w:left="20" w:right="100" w:hanging="16"/>
        <w:spacing w:after="0" w:line="255" w:lineRule="auto"/>
        <w:rPr>
          <w:sz w:val="20"/>
          <w:szCs w:val="20"/>
          <w:color w:val="auto"/>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15 to our Consolidated Financial Statements for a comprehensive discussion regarding our equity-indexed compensation plans.</w:t>
      </w:r>
    </w:p>
    <w:p>
      <w:pPr>
        <w:spacing w:after="0" w:line="189" w:lineRule="exact"/>
        <w:rPr>
          <w:sz w:val="20"/>
          <w:szCs w:val="20"/>
          <w:color w:val="auto"/>
        </w:rPr>
      </w:pPr>
    </w:p>
    <w:p>
      <w:pPr>
        <w:jc w:val="both"/>
        <w:ind w:left="20" w:right="100" w:hanging="16"/>
        <w:spacing w:after="0" w:line="312" w:lineRule="auto"/>
        <w:rPr>
          <w:sz w:val="20"/>
          <w:szCs w:val="20"/>
          <w:color w:val="auto"/>
        </w:rPr>
      </w:pPr>
      <w:r>
        <w:rPr>
          <w:rFonts w:ascii="Arial" w:cs="Arial" w:eastAsia="Arial" w:hAnsi="Arial"/>
          <w:sz w:val="16"/>
          <w:szCs w:val="16"/>
          <w:color w:val="auto"/>
        </w:rPr>
        <w:t>During 2013, 2012 and 2011, there were fluctuations in the value of the Canadian dollar (“CAD”) to the U.S. dollar (“USD”), resulting in gains and losses that were not related to our core operating results for the period and were thus classified as selected items impacting comparability. See Note 11 to our Consolidated Financial Statements for further discussion regarding our currency exchange rate risk hedging activities.</w:t>
      </w:r>
    </w:p>
    <w:p>
      <w:pPr>
        <w:spacing w:after="0" w:line="147"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40"/>
            <w:col w:w="10780"/>
          </w:cols>
          <w:pgMar w:left="240" w:top="125" w:right="199" w:bottom="0" w:gutter="0" w:footer="0" w:header="0"/>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900" w:orient="portrait"/>
          <w:cols w:equalWidth="0" w:num="1">
            <w:col w:w="11460"/>
          </w:cols>
          <w:pgMar w:left="240" w:top="125" w:right="199" w:bottom="0" w:gutter="0" w:footer="0" w:header="0"/>
          <w:type w:val="continuous"/>
        </w:sect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Includes other immaterial selected items impacting comparability.</w:t>
      </w:r>
    </w:p>
    <w:p>
      <w:pPr>
        <w:spacing w:after="0" w:line="225" w:lineRule="exact"/>
        <w:rPr>
          <w:sz w:val="20"/>
          <w:szCs w:val="20"/>
          <w:color w:val="auto"/>
        </w:rPr>
      </w:pPr>
    </w:p>
    <w:p>
      <w:pPr>
        <w:ind w:right="20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200" w:lineRule="exact"/>
        <w:rPr>
          <w:sz w:val="20"/>
          <w:szCs w:val="20"/>
          <w:color w:val="auto"/>
        </w:rPr>
      </w:pPr>
    </w:p>
    <w:p>
      <w:pPr>
        <w:sectPr>
          <w:pgSz w:w="11900" w:h="16900" w:orient="portrait"/>
          <w:cols w:equalWidth="0" w:num="2">
            <w:col w:w="160" w:space="500"/>
            <w:col w:w="10800"/>
          </w:cols>
          <w:pgMar w:left="240" w:top="125" w:right="199" w:bottom="0" w:gutter="0" w:footer="0" w:header="0"/>
          <w:type w:val="continuous"/>
        </w:sectPr>
      </w:pPr>
    </w:p>
    <w:p>
      <w:pPr>
        <w:spacing w:after="0" w:line="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Transportation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w w:val="97"/>
              </w:rPr>
              <w:t>Year Ended December 31,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w w:val="99"/>
              </w:rPr>
              <w:t>Favorable/(Unfavorable)</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9"/>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2013-2012</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2012-2011</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Tariff activities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1,293</w:t>
            </w:r>
          </w:p>
        </w:tc>
        <w:tc>
          <w:tcPr>
            <w:tcW w:w="1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1,232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1,005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4"/>
            <w:vMerge w:val="restart"/>
          </w:tcPr>
          <w:p>
            <w:pPr>
              <w:spacing w:after="0"/>
              <w:rPr>
                <w:sz w:val="20"/>
                <w:szCs w:val="20"/>
                <w:color w:val="auto"/>
              </w:rPr>
            </w:pPr>
            <w:r>
              <w:rPr>
                <w:rFonts w:ascii="Arial" w:cs="Arial" w:eastAsia="Arial" w:hAnsi="Arial"/>
                <w:sz w:val="18"/>
                <w:szCs w:val="18"/>
                <w:color w:val="auto"/>
              </w:rPr>
              <w:t>Total transportation revenues</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1,498</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Cost and 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tcPr>
          <w:p>
            <w:pPr>
              <w:ind w:left="340"/>
              <w:spacing w:after="0"/>
              <w:rPr>
                <w:sz w:val="20"/>
                <w:szCs w:val="20"/>
                <w:color w:val="auto"/>
              </w:rPr>
            </w:pPr>
            <w:r>
              <w:rPr>
                <w:rFonts w:ascii="Arial" w:cs="Arial" w:eastAsia="Arial" w:hAnsi="Arial"/>
                <w:sz w:val="18"/>
                <w:szCs w:val="18"/>
                <w:color w:val="auto"/>
              </w:rPr>
              <w:t>compensation 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160"/>
              <w:spacing w:after="0" w:line="216" w:lineRule="exact"/>
              <w:rPr>
                <w:sz w:val="20"/>
                <w:szCs w:val="20"/>
                <w:color w:val="auto"/>
              </w:rPr>
            </w:pPr>
            <w:r>
              <w:rPr>
                <w:rFonts w:ascii="Arial" w:cs="Arial" w:eastAsia="Arial" w:hAnsi="Arial"/>
                <w:sz w:val="18"/>
                <w:szCs w:val="18"/>
                <w:color w:val="auto"/>
                <w:w w:val="90"/>
              </w:rPr>
              <w:t xml:space="preserve">Equity-indexed compensation expense - operations </w:t>
            </w:r>
            <w:r>
              <w:rPr>
                <w:rFonts w:ascii="Arial" w:cs="Arial" w:eastAsia="Arial" w:hAnsi="Arial"/>
                <w:sz w:val="23"/>
                <w:szCs w:val="23"/>
                <w:color w:val="auto"/>
                <w:w w:val="90"/>
                <w:vertAlign w:val="superscript"/>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340"/>
              <w:spacing w:after="0" w:line="216"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(excluding equity-indexed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tcPr>
          <w:p>
            <w:pPr>
              <w:ind w:left="340"/>
              <w:spacing w:after="0"/>
              <w:rPr>
                <w:sz w:val="20"/>
                <w:szCs w:val="20"/>
                <w:color w:val="auto"/>
              </w:rPr>
            </w:pPr>
            <w:r>
              <w:rPr>
                <w:rFonts w:ascii="Arial" w:cs="Arial" w:eastAsia="Arial" w:hAnsi="Arial"/>
                <w:sz w:val="18"/>
                <w:szCs w:val="18"/>
                <w:color w:val="auto"/>
              </w:rPr>
              <w:t>compensation 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Equity-indexed compensation expense - general and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administrative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Borders>
              <w:lef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gridSpan w:val="5"/>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123</w:t>
            </w:r>
          </w:p>
        </w:tc>
        <w:tc>
          <w:tcPr>
            <w:tcW w:w="1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108</w:t>
            </w:r>
          </w:p>
        </w:tc>
        <w:tc>
          <w:tcPr>
            <w:tcW w:w="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(14)%</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16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gridSpan w:val="2"/>
            <w:shd w:val="clear" w:color="auto" w:fill="CCEEFF"/>
          </w:tcPr>
          <w:p>
            <w:pPr>
              <w:jc w:val="right"/>
              <w:ind w:right="80"/>
              <w:spacing w:after="0" w:line="190" w:lineRule="exact"/>
              <w:rPr>
                <w:sz w:val="20"/>
                <w:szCs w:val="20"/>
                <w:color w:val="auto"/>
              </w:rPr>
            </w:pPr>
            <w:r>
              <w:rPr>
                <w:rFonts w:ascii="Arial" w:cs="Arial" w:eastAsia="Arial" w:hAnsi="Arial"/>
                <w:sz w:val="18"/>
                <w:szCs w:val="18"/>
                <w:color w:val="auto"/>
                <w:w w:val="81"/>
              </w:rPr>
              <w:t>)%</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2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9"/>
            <w:vMerge w:val="restart"/>
          </w:tcPr>
          <w:p>
            <w:pPr>
              <w:jc w:val="right"/>
              <w:ind w:right="700"/>
              <w:spacing w:after="0"/>
              <w:rPr>
                <w:sz w:val="20"/>
                <w:szCs w:val="20"/>
                <w:color w:val="auto"/>
              </w:rPr>
            </w:pPr>
            <w:r>
              <w:rPr>
                <w:rFonts w:ascii="Arial" w:cs="Arial" w:eastAsia="Arial" w:hAnsi="Arial"/>
                <w:sz w:val="14"/>
                <w:szCs w:val="14"/>
                <w:b w:val="1"/>
                <w:bCs w:val="1"/>
                <w:color w:val="auto"/>
                <w:w w:val="94"/>
              </w:rPr>
              <w:t>Favorable/(Unfavorable)</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1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9"/>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tcPr>
          <w:p>
            <w:pPr>
              <w:ind w:left="240"/>
              <w:spacing w:after="0" w:line="142" w:lineRule="exact"/>
              <w:rPr>
                <w:sz w:val="20"/>
                <w:szCs w:val="20"/>
                <w:color w:val="auto"/>
              </w:rPr>
            </w:pPr>
            <w:r>
              <w:rPr>
                <w:rFonts w:ascii="Arial" w:cs="Arial" w:eastAsia="Arial" w:hAnsi="Arial"/>
                <w:sz w:val="14"/>
                <w:szCs w:val="14"/>
                <w:b w:val="1"/>
                <w:bCs w:val="1"/>
                <w:color w:val="auto"/>
              </w:rPr>
              <w:t>2013-2012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2012-2011</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gridSpan w:val="7"/>
          </w:tcPr>
          <w:p>
            <w:pPr>
              <w:jc w:val="right"/>
              <w:ind w:right="648"/>
              <w:spacing w:after="0" w:line="142" w:lineRule="exact"/>
              <w:rPr>
                <w:sz w:val="20"/>
                <w:szCs w:val="20"/>
                <w:color w:val="auto"/>
              </w:rPr>
            </w:pPr>
            <w:r>
              <w:rPr>
                <w:rFonts w:ascii="Arial" w:cs="Arial" w:eastAsia="Arial" w:hAnsi="Arial"/>
                <w:sz w:val="14"/>
                <w:szCs w:val="14"/>
                <w:b w:val="1"/>
                <w:bCs w:val="1"/>
                <w:color w:val="auto"/>
              </w:rPr>
              <w:t>Volumes</w:t>
            </w:r>
          </w:p>
        </w:tc>
        <w:tc>
          <w:tcPr>
            <w:tcW w:w="46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5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Crude Oil Pipelines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340"/>
              <w:spacing w:after="0"/>
              <w:rPr>
                <w:sz w:val="20"/>
                <w:szCs w:val="20"/>
                <w:color w:val="auto"/>
              </w:rPr>
            </w:pPr>
            <w:r>
              <w:rPr>
                <w:rFonts w:ascii="Arial" w:cs="Arial" w:eastAsia="Arial" w:hAnsi="Arial"/>
                <w:sz w:val="18"/>
                <w:szCs w:val="18"/>
                <w:color w:val="auto"/>
              </w:rPr>
              <w:t>Bakken Area Systems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Basin / Mesa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718</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340"/>
              <w:spacing w:after="0"/>
              <w:rPr>
                <w:sz w:val="20"/>
                <w:szCs w:val="20"/>
                <w:color w:val="auto"/>
              </w:rPr>
            </w:pPr>
            <w:r>
              <w:rPr>
                <w:rFonts w:ascii="Arial" w:cs="Arial" w:eastAsia="Arial" w:hAnsi="Arial"/>
                <w:sz w:val="18"/>
                <w:szCs w:val="18"/>
                <w:color w:val="auto"/>
              </w:rPr>
              <w:t>Capline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340"/>
              <w:spacing w:after="0"/>
              <w:rPr>
                <w:sz w:val="20"/>
                <w:szCs w:val="20"/>
                <w:color w:val="auto"/>
              </w:rPr>
            </w:pPr>
            <w:r>
              <w:rPr>
                <w:rFonts w:ascii="Arial" w:cs="Arial" w:eastAsia="Arial" w:hAnsi="Arial"/>
                <w:sz w:val="18"/>
                <w:szCs w:val="18"/>
                <w:color w:val="auto"/>
              </w:rPr>
              <w:t>Line 63 / Line 2000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-2044065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-2044065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Manito</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Mid-Continent Area Systems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Basin Area Systems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Rainbow</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Rangeland</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Salt Lake City Area Systems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Saskatchewan</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White Cliffs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Co-Ed</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131</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Pipelines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Tariff activities total</w:t>
            </w: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3,595</w:t>
            </w:r>
          </w:p>
        </w:tc>
        <w:tc>
          <w:tcPr>
            <w:tcW w:w="2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vMerge w:val="continue"/>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vMerge w:val="continue"/>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Transportation segment 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78"/>
        <w:spacing w:after="0"/>
        <w:tabs>
          <w:tab w:leader="none" w:pos="640" w:val="left"/>
        </w:tabs>
        <w:numPr>
          <w:ilvl w:val="1"/>
          <w:numId w:val="56"/>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1" w:lineRule="exact"/>
        <w:rPr>
          <w:rFonts w:ascii="Arial" w:cs="Arial" w:eastAsia="Arial" w:hAnsi="Arial"/>
          <w:sz w:val="23"/>
          <w:szCs w:val="23"/>
          <w:color w:val="auto"/>
          <w:vertAlign w:val="superscript"/>
        </w:rPr>
      </w:pPr>
    </w:p>
    <w:p>
      <w:pPr>
        <w:ind w:left="660" w:right="320" w:hanging="652"/>
        <w:spacing w:after="0" w:line="234" w:lineRule="auto"/>
        <w:tabs>
          <w:tab w:leader="none" w:pos="648"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for additional discussion regarding our equity-indexed compensation plans.</w:t>
      </w:r>
    </w:p>
    <w:p>
      <w:pPr>
        <w:sectPr>
          <w:pgSz w:w="11900" w:h="16838" w:orient="portrait"/>
          <w:cols w:equalWidth="0" w:num="1">
            <w:col w:w="11420"/>
          </w:cols>
          <w:pgMar w:left="240" w:top="140" w:right="239" w:bottom="184"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54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(attributable to our interest) for the number of days we actually owned the assets divided by the number of days in the period.</w:t>
      </w:r>
    </w:p>
    <w:p>
      <w:pPr>
        <w:spacing w:after="0" w:line="170" w:lineRule="exact"/>
        <w:rPr>
          <w:sz w:val="20"/>
          <w:szCs w:val="20"/>
          <w:color w:val="auto"/>
        </w:rPr>
      </w:pPr>
    </w:p>
    <w:p>
      <w:pPr>
        <w:sectPr>
          <w:pgSz w:w="11900" w:h="16838" w:orient="portrait"/>
          <w:cols w:equalWidth="0" w:num="2">
            <w:col w:w="140" w:space="500"/>
            <w:col w:w="10780"/>
          </w:cols>
          <w:pgMar w:left="240" w:top="140" w:right="239" w:bottom="184" w:gutter="0" w:footer="0" w:header="0"/>
          <w:type w:val="continuous"/>
        </w:sectPr>
      </w:pPr>
    </w:p>
    <w:p>
      <w:pPr>
        <w:ind w:right="26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year-over-year for each comparative period presented. Our Transportation segment results were impacted by the following for the years ended December 31, 2013, 2012 and 2011:</w:t>
      </w:r>
    </w:p>
    <w:p>
      <w:pPr>
        <w:spacing w:after="0" w:line="181" w:lineRule="exact"/>
        <w:rPr>
          <w:sz w:val="20"/>
          <w:szCs w:val="20"/>
          <w:color w:val="auto"/>
        </w:rPr>
      </w:pPr>
    </w:p>
    <w:p>
      <w:pPr>
        <w:ind w:left="660" w:right="20" w:hanging="328"/>
        <w:spacing w:after="0" w:line="257"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North American Crude Oil Production and Related Expansion Projects — For the year ended December 31, 2013, the favorable volume and revenue variances experienced were primarily due to increased producer drilling activities as well as the completion of certain of our expansion projects, most notably on our Permian Basin and Eagle Ford Area Systems and our Basin and Mesa pipelines. The Permian Basin Area Systems also benefited from increased movements to a new third-party pipeline connected to Gulf Coast markets. We estimate that increased production combined with our phased-in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expansion projects increased revenues by approximately $40 million for the annual 2013 period over the comparable 2012 period.</w:t>
      </w:r>
    </w:p>
    <w:p>
      <w:pPr>
        <w:spacing w:after="0" w:line="225" w:lineRule="exact"/>
        <w:rPr>
          <w:sz w:val="20"/>
          <w:szCs w:val="20"/>
          <w:color w:val="auto"/>
        </w:rPr>
      </w:pPr>
    </w:p>
    <w:p>
      <w:pPr>
        <w:jc w:val="both"/>
        <w:ind w:left="660" w:right="200"/>
        <w:spacing w:after="0" w:line="259" w:lineRule="auto"/>
        <w:rPr>
          <w:sz w:val="20"/>
          <w:szCs w:val="20"/>
          <w:color w:val="auto"/>
        </w:rPr>
      </w:pPr>
      <w:r>
        <w:rPr>
          <w:rFonts w:ascii="Arial" w:cs="Arial" w:eastAsia="Arial" w:hAnsi="Arial"/>
          <w:sz w:val="18"/>
          <w:szCs w:val="18"/>
          <w:color w:val="auto"/>
        </w:rPr>
        <w:t>Increased producer drilling activities and phased-in expansion projects also resulted in favorable volume and revenue variances for the year ended December 31, 2012 over the comparative 2011 period, most notably on our Basin and Mesa pipelines and Permian Basin and Mid-Continent Area Systems. We estimate that increased production combined with our phased-in expansion projects increased revenues by approximately $50 million for the annual 2012 period over the comparable 2011 period.</w:t>
      </w:r>
    </w:p>
    <w:p>
      <w:pPr>
        <w:spacing w:after="0" w:line="187" w:lineRule="exact"/>
        <w:rPr>
          <w:sz w:val="20"/>
          <w:szCs w:val="20"/>
          <w:color w:val="auto"/>
        </w:rPr>
      </w:pPr>
    </w:p>
    <w:p>
      <w:pPr>
        <w:ind w:left="660" w:right="300" w:hanging="328"/>
        <w:spacing w:after="0" w:line="293" w:lineRule="auto"/>
        <w:tabs>
          <w:tab w:leader="none" w:pos="624" w:val="left"/>
        </w:tabs>
        <w:numPr>
          <w:ilvl w:val="0"/>
          <w:numId w:val="59"/>
        </w:numPr>
        <w:rPr>
          <w:rFonts w:ascii="Arial" w:cs="Arial" w:eastAsia="Arial" w:hAnsi="Arial"/>
          <w:sz w:val="16"/>
          <w:szCs w:val="16"/>
          <w:color w:val="auto"/>
        </w:rPr>
      </w:pPr>
      <w:r>
        <w:rPr>
          <w:rFonts w:ascii="Arial" w:cs="Arial" w:eastAsia="Arial" w:hAnsi="Arial"/>
          <w:sz w:val="16"/>
          <w:szCs w:val="16"/>
          <w:color w:val="auto"/>
        </w:rPr>
        <w:t>Rate Changes — Revenues on our pipelines are impacted by various rate changes that may occur during the period. These rate changes primarily include the indexing of rates on our FERC regulated pipelines, rate increases or decreases on our intrastate and Canadian pipelines or other negotiated rate changes. The upward indexings effective July 1, 2011, 2012 and 2013 favorably impacted revenues on a majority of our FERC regulated pipelines. However, during the third quarter of 2013, as a result of market factors, we lowered our tariff rates on certain of our FERC regulated pipelines relative to 2012 rates, which partially offset the favorable impact of the upward indexing effective July 1, 2013. Revenues for both the 2013 and 2012 periods were also favorably impacted by increasing tariff rates on certain of our non-FERC regulated pipelines.</w:t>
      </w:r>
    </w:p>
    <w:p>
      <w:pPr>
        <w:spacing w:after="0" w:line="16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We estimate that the collective impact of these rate changes increased revenues by approximately $50 million for 2013 compared to 2012, and by approximately $45 million for 2012 compared to 2011.</w:t>
      </w:r>
    </w:p>
    <w:p>
      <w:pPr>
        <w:spacing w:after="0" w:line="170" w:lineRule="exact"/>
        <w:rPr>
          <w:sz w:val="20"/>
          <w:szCs w:val="20"/>
          <w:color w:val="auto"/>
        </w:rPr>
      </w:pPr>
    </w:p>
    <w:p>
      <w:pPr>
        <w:ind w:left="660" w:right="160" w:hanging="328"/>
        <w:spacing w:after="0" w:line="257" w:lineRule="auto"/>
        <w:tabs>
          <w:tab w:leader="none" w:pos="6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BP NGL Acquisition Assets —We acquired pipelines through the BP NGL Acquisition completed on April 1, 2012. These assets contributed approximately $27 million of additional tariff revenues for the year ended December 31, 2013 over the year ended December 31, 2012, which was primarily related to the benefit from a full period of ownership of these assets (as we only owned the assets for nine months of 2012). This increase excludes the unfavorable impacts related to decreased tariff rates and weather-related downtime on our Co-Ed pipeline, as discussed elsewhere in this section.</w:t>
      </w:r>
    </w:p>
    <w:p>
      <w:pPr>
        <w:sectPr>
          <w:pgSz w:w="11900" w:h="16838" w:orient="portrait"/>
          <w:cols w:equalWidth="0" w:num="1">
            <w:col w:w="11420"/>
          </w:cols>
          <w:pgMar w:left="240" w:top="140" w:right="239" w:bottom="184" w:gutter="0" w:footer="0" w:header="0"/>
          <w:type w:val="continuous"/>
        </w:sectPr>
      </w:pPr>
    </w:p>
    <w:bookmarkStart w:id="58" w:name="page59"/>
    <w:bookmarkEnd w:id="58"/>
    <w:p>
      <w:pPr>
        <w:spacing w:after="0" w:line="2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BP NGL Acquisition assets generated tariff revenues of approximately $89 million and increased volumes by approximately 175,000 barrels per day for the year ended December 31, 2012 over the year ended December 31, 2011.</w:t>
      </w:r>
    </w:p>
    <w:p>
      <w:pPr>
        <w:spacing w:after="0" w:line="170" w:lineRule="exact"/>
        <w:rPr>
          <w:sz w:val="20"/>
          <w:szCs w:val="20"/>
          <w:color w:val="auto"/>
        </w:rPr>
      </w:pPr>
    </w:p>
    <w:p>
      <w:pPr>
        <w:ind w:left="660" w:right="20" w:hanging="328"/>
        <w:spacing w:after="0" w:line="291" w:lineRule="auto"/>
        <w:tabs>
          <w:tab w:leader="none" w:pos="6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$23 million for 2013 compared to 2012 primarily due to a lower average realized price per barrel (including the impact of gains and losses from derivative-related activities) and lower volumes. The loss allowance revenue increased by approximately $13 million for 2012 compared to 2011 primarily due to higher loss allowance volumes, partially offset by a lower average realized price per barrel compared to 2011 (including the impact of losses from derivative-related activities).</w:t>
      </w:r>
    </w:p>
    <w:p>
      <w:pPr>
        <w:spacing w:after="0" w:line="167" w:lineRule="exact"/>
        <w:rPr>
          <w:rFonts w:ascii="Arial" w:cs="Arial" w:eastAsia="Arial" w:hAnsi="Arial"/>
          <w:sz w:val="16"/>
          <w:szCs w:val="16"/>
          <w:color w:val="auto"/>
        </w:rPr>
      </w:pPr>
    </w:p>
    <w:p>
      <w:pPr>
        <w:ind w:left="660" w:right="180" w:hanging="328"/>
        <w:spacing w:after="0" w:line="259"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Weather-Related Downtime — During the second and third quarters of 2013, our Rangeland, South Saskatchewan and Co-Ed pipelines in Canada were shut down due to high river flow rates and flooding in the surrounding area. We estimate that the downtime on these pipelines negatively impacted revenues and volumes by approximately $15 million to $20 million and 15,000 to 20,000 barrels per day, respectively, for the year ended December 31, 2013.</w:t>
      </w:r>
    </w:p>
    <w:p>
      <w:pPr>
        <w:spacing w:after="0" w:line="186" w:lineRule="exact"/>
        <w:rPr>
          <w:rFonts w:ascii="Arial" w:cs="Arial" w:eastAsia="Arial" w:hAnsi="Arial"/>
          <w:sz w:val="18"/>
          <w:szCs w:val="18"/>
          <w:color w:val="auto"/>
        </w:rPr>
      </w:pPr>
    </w:p>
    <w:p>
      <w:pPr>
        <w:ind w:left="660" w:right="20" w:hanging="328"/>
        <w:spacing w:after="0" w:line="276" w:lineRule="auto"/>
        <w:tabs>
          <w:tab w:leader="none" w:pos="624" w:val="left"/>
        </w:tabs>
        <w:numPr>
          <w:ilvl w:val="0"/>
          <w:numId w:val="61"/>
        </w:numPr>
        <w:rPr>
          <w:rFonts w:ascii="Arial" w:cs="Arial" w:eastAsia="Arial" w:hAnsi="Arial"/>
          <w:sz w:val="17"/>
          <w:szCs w:val="17"/>
          <w:color w:val="auto"/>
        </w:rPr>
      </w:pPr>
      <w:r>
        <w:rPr>
          <w:rFonts w:ascii="Arial" w:cs="Arial" w:eastAsia="Arial" w:hAnsi="Arial"/>
          <w:sz w:val="17"/>
          <w:szCs w:val="17"/>
          <w:color w:val="auto"/>
        </w:rPr>
        <w:t>Rail Impact — Volumes for the 2013 period, primarily on our Manito and Rainbow pipelines and certain pipelines included in our Bakken Area Systems, were unfavorably impacted by producer decisions to deliver more crude oil to rail loading facilities in the area. We estimate that the impact to revenues was approximately $20 million for the year ended December 31, 2013 and that volumes decreased by approximately 25,000 to 30,000 barrels per day for the period. Although to a lesser extent, volumes in the 2012 period compared to 2011 were also unfavorably impacted by producer decisions to deliver more crude oil to rail loading facilities, primarily on our Manito pipeline.</w:t>
      </w:r>
    </w:p>
    <w:p>
      <w:pPr>
        <w:spacing w:after="0" w:line="172" w:lineRule="exact"/>
        <w:rPr>
          <w:rFonts w:ascii="Arial" w:cs="Arial" w:eastAsia="Arial" w:hAnsi="Arial"/>
          <w:sz w:val="17"/>
          <w:szCs w:val="17"/>
          <w:color w:val="auto"/>
        </w:rPr>
      </w:pPr>
    </w:p>
    <w:p>
      <w:pPr>
        <w:ind w:left="660" w:right="80" w:hanging="328"/>
        <w:spacing w:after="0" w:line="255"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2013 and 2012 were $1.03 CAD: $1.00 USD and $1.00 CAD: $1.00 USD, respectively. Therefore, revenues from our Canadian pipeline systems and trucking operations were unfavorably impacted by approximately $13 million for 2013 compared to 2012 due to the depreciation of the Canadian dollar relative to the U.S. dollar. The translation of revenues and expenses from our Canadian based subsidiaries did not have a significant impact on our Transportation segment results in 2012 as compared to 2011.</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Additional noteworthy volume and revenue variances for the year ended December 31, 2013 compared to 2012 include (i) increased volumes and revenues on our All American pipeline due to higher production levels in 2013 coupled with lower maintenance activities at the production facilities in 2013 compared to 2012, (ii) decreases on the Salt Lake City Area Systems and our Line 63 and Line 2000 pipelines due to refinery maintenance issues and lower refinery demand for pipeline barrels; however, revenues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Line 63 pipeline were consistent with 2012 results due to movements on higher tariff segments, (iii) increased volumes and revenues on our Mid-Continent Area Systems primarily due the startup of the Mississippian Lime pipeline, which was placed in service in August 2013, (iv) increased trucking activity due to increased demand for production transported to rail terminals and hauls from pipeline disruptions and (v) decreased volumes and revenues on our Refined Products Pipelines primarily due to the sale of these assets in the third and fourth quarters of 2013.</w:t>
      </w:r>
    </w:p>
    <w:p>
      <w:pPr>
        <w:spacing w:after="0" w:line="17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Additional noteworthy volume and revenue variances on our individual pipeline systems for the year ended December 31, 2012 include (i) increases on the Eagle Ford Area Systems resulting from the Gardendale Gathering System acquired in November 2011 and (ii) favorable volume and revenue variances in 2012 on our Rainbow pipeline due to downtime in 2011 as a result of a pipeline release in April of 2011 and rate increases in 2012, partially offset by the impact of a third-party competitor pipeline that was placed into service in the third quarter of 2011.</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increased during the year ended December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2012 primarily due to (i) higher environmental response, remediation and related repair expenses associated with pipeline releases of approximately $21 million, (ii) higher integrity management expenses associated with smart pigging and other integrity work, (iii) higher payroll costs, primarily due to the BP NGL Acquisition and increased headcount and (iv) approximately $4 million of cost incurred associated with the testing of certain lines that we considered bringing back into service. Excluding the impacts of the environmental response and remediation expenses, field operating costs in general remained relatively consistent on a per barrel basis during the comparable annual periods.</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Field operating costs (excluding equity-indexed compensation expenses) increased during the year ended December 31, 2012 compared to the year ended December 31, 2011 consistent with the overall growth in segment volumes and remained relatively constant on a per barrel basis during each of those periods. Operating costs were also impacted by approximately $15 million of environmental remediation expenses associated with the Rangeland Pipeline release, which occurred in the second quarter of 2012, and approximately $11 million of environmental remediation expenses associated with the Rainbow Pipeline release, which occurred in the second quarter of 2011.</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2013 over the year ended December 31, 2012 due to the continued overall growth of the segment and legal fees incurred in connection with the sale of certain of our refined products pipelines in 2013.</w:t>
      </w:r>
    </w:p>
    <w:p>
      <w:pPr>
        <w:spacing w:after="0" w:line="18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The increase in general and administrative expenses (excluding equity-indexed compensation expenses) during the year ended December 31, 2012 over the year ended December 31, 2011 was due to non-recurring costs associated with the closing and integration of the BP NGL Acquisition and ongoing administrative costs associated with this acquisition, as well as the continued overall growth of the segment.</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Equity-Indexed Compensation Expenses. </w:t>
      </w:r>
      <w:r>
        <w:rPr>
          <w:rFonts w:ascii="Arial" w:cs="Arial" w:eastAsia="Arial" w:hAnsi="Arial"/>
          <w:sz w:val="16"/>
          <w:szCs w:val="16"/>
          <w:color w:val="auto"/>
        </w:rPr>
        <w:t>A majority of our equity-indexed compensation awards (including the AAP Management Units)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December 31, 2013 and 2012, we determined that PAA distribution levels of $2.75 and $2.45 per unit, respectively, were probable of</w:t>
      </w:r>
    </w:p>
    <w:p>
      <w:pPr>
        <w:sectPr>
          <w:pgSz w:w="11900" w:h="16867" w:orient="portrait"/>
          <w:cols w:equalWidth="0" w:num="1">
            <w:col w:w="11420"/>
          </w:cols>
          <w:pgMar w:left="240" w:top="125" w:right="239" w:bottom="0" w:gutter="0" w:footer="0" w:header="0"/>
        </w:sectPr>
      </w:pPr>
    </w:p>
    <w:bookmarkStart w:id="59" w:name="page60"/>
    <w:bookmarkEnd w:id="59"/>
    <w:p>
      <w:pPr>
        <w:ind w:right="140"/>
        <w:spacing w:after="0" w:line="277" w:lineRule="auto"/>
        <w:rPr>
          <w:sz w:val="20"/>
          <w:szCs w:val="20"/>
          <w:color w:val="auto"/>
        </w:rPr>
      </w:pPr>
      <w:r>
        <w:rPr>
          <w:rFonts w:ascii="Arial" w:cs="Arial" w:eastAsia="Arial" w:hAnsi="Arial"/>
          <w:sz w:val="18"/>
          <w:szCs w:val="18"/>
          <w:color w:val="auto"/>
        </w:rPr>
        <w:t>occurring. Furthermore, a change in unit price impacts the fair value of our liability-classified awards. See Note 15 to our Consolidated Financial Statements for additional information regarding our equity-indexed compensation plans.</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a consolidated basis, equity-indexed compensation expense increased by approximately $15 million for the year ended December 31, 2013 over the year ended December 31, 2012 primarily due to the following: (i) a more significant impact of the increase in unit price during the year ended December 31, 2013 compared to the impact of the increase during the year ended December 31, 2012, (ii) a greater number of units deemed probable of vesting for the year ended December 31, 2013 compared to the year ended December 31, 2012 and (iii) a higher average fair value per unit for those units deemed probable of vesting for the year ended December 31, 2013 compared to the year ended December 31, 2012. Equity-indexed compensation expense decreased by approximately $9 million for the year ended December 31, 2012 compared to the year ended December 31, 2011, primarily related to a less significant impact of the change in probability assessment as compared to 2011.</w:t>
      </w:r>
    </w:p>
    <w:p>
      <w:pPr>
        <w:spacing w:after="0" w:line="17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compared to the year ended December 31, 2012 was largely due to (i) increased throughput on the Eagle Ford and White Cliffs pipelines as a result of increased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production, as discussed above and (ii) increased capacity related to vessel additions and increased rates on services provided by Settoon Towing.</w:t>
      </w:r>
    </w:p>
    <w:p>
      <w:pPr>
        <w:spacing w:after="0" w:line="2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Equity earnings in unconsolidated entities increased for the year ended December 31, 2012 compared to the year ended December 31, 2011 due to increased volumes as a result of industry fundamentals, as noted above.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in 2013 compared to 2012 and in 2012 compared to 2011 is primarily due to increased investments on pipeline integrity projects.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natural gas and NGL, as well as NGL fractionation and isomerization services and natural gas and condensate processing services. The Facilities segment generates revenue through a combination of month-to-month and multi-year leases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Facilities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Favorable/(Unfavorable)</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2013-2012</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2012-2011</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Storage related costs (natural gas related)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Arial" w:cs="Arial" w:eastAsia="Arial" w:hAnsi="Arial"/>
                <w:sz w:val="18"/>
                <w:szCs w:val="18"/>
                <w:color w:val="auto"/>
              </w:rPr>
              <w:t xml:space="preserve">Natural gas costs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8"/>
                <w:szCs w:val="18"/>
                <w:color w:val="auto"/>
                <w:w w:val="93"/>
              </w:rPr>
              <w:t>Equity-indexed compensation expense - operations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4"/>
                <w:szCs w:val="14"/>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80"/>
              <w:spacing w:after="0"/>
              <w:rPr>
                <w:sz w:val="20"/>
                <w:szCs w:val="20"/>
                <w:color w:val="auto"/>
              </w:rPr>
            </w:pPr>
            <w:r>
              <w:rPr>
                <w:rFonts w:ascii="Arial" w:cs="Arial" w:eastAsia="Arial" w:hAnsi="Arial"/>
                <w:sz w:val="12"/>
                <w:szCs w:val="12"/>
                <w:color w:val="auto"/>
              </w:rPr>
              <w:t>(3)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(excluding equity-indexed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w w:val="90"/>
              </w:rPr>
              <w:t>Equity-indexed compensation expense - general 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administrative </w:t>
            </w:r>
            <w:r>
              <w:rPr>
                <w:rFonts w:ascii="Arial" w:cs="Arial" w:eastAsia="Arial" w:hAnsi="Arial"/>
                <w:sz w:val="23"/>
                <w:szCs w:val="23"/>
                <w:color w:val="auto"/>
                <w:vertAlign w:val="superscript"/>
              </w:rPr>
              <w:t>(3)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60" w:type="dxa"/>
            <w:vAlign w:val="bottom"/>
            <w:vMerge w:val="continue"/>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Favorable/(Unfavorable)</w:t>
            </w: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 (6)</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2013-2012</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2012-2011</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68"/>
              <w:spacing w:after="0" w:line="142" w:lineRule="exact"/>
              <w:rPr>
                <w:sz w:val="20"/>
                <w:szCs w:val="20"/>
                <w:color w:val="auto"/>
              </w:rPr>
            </w:pPr>
            <w:r>
              <w:rPr>
                <w:rFonts w:ascii="Arial" w:cs="Arial" w:eastAsia="Arial" w:hAnsi="Arial"/>
                <w:sz w:val="14"/>
                <w:szCs w:val="14"/>
                <w:b w:val="1"/>
                <w:bCs w:val="1"/>
                <w:color w:val="auto"/>
                <w:w w:val="89"/>
              </w:rPr>
              <w:t>Volumes</w:t>
            </w:r>
          </w:p>
        </w:tc>
        <w:tc>
          <w:tcPr>
            <w:tcW w:w="5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89"/>
              </w:rPr>
              <w:t>Volumes</w:t>
            </w:r>
          </w:p>
        </w:tc>
        <w:tc>
          <w:tcPr>
            <w:tcW w:w="5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Crude oil, refined products and NGL terminalling</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storage (average monthly capacity in millions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barrels)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Rail load / unload volumes (average volumes in</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3"/>
                <w:szCs w:val="13"/>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3"/>
                <w:szCs w:val="13"/>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thousands of barrels per day)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Natural gas storage (average monthly capacity in</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billions of cubic feet)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1"/>
              </w:rPr>
              <w:t>NGL fractionation (average volumes in thousands of</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3"/>
                <w:szCs w:val="1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1"/>
              </w:rPr>
              <w:t>Facilities segment total (average monthly volumes in</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 of barrels)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368" w:right="239" w:bottom="29"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Natural gas sales and costs are primarily attributable to the activities performed by our natural gas storage commercial optimization group.</w:t>
      </w:r>
    </w:p>
    <w:p>
      <w:pPr>
        <w:spacing w:after="0" w:line="237" w:lineRule="exact"/>
        <w:rPr>
          <w:sz w:val="20"/>
          <w:szCs w:val="20"/>
          <w:color w:val="auto"/>
        </w:rPr>
      </w:pPr>
    </w:p>
    <w:p>
      <w:pPr>
        <w:ind w:left="20" w:right="320" w:hanging="11"/>
        <w:spacing w:after="0" w:line="264" w:lineRule="auto"/>
        <w:rPr>
          <w:sz w:val="20"/>
          <w:szCs w:val="20"/>
          <w:color w:val="auto"/>
        </w:rPr>
      </w:pPr>
      <w:r>
        <w:rPr>
          <w:rFonts w:ascii="Arial" w:cs="Arial" w:eastAsia="Arial" w:hAnsi="Arial"/>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for additional discussion regarding our equity-indexed compensation plans.</w:t>
      </w:r>
    </w:p>
    <w:p>
      <w:pPr>
        <w:spacing w:after="0" w:line="181" w:lineRule="exact"/>
        <w:rPr>
          <w:sz w:val="20"/>
          <w:szCs w:val="20"/>
          <w:color w:val="auto"/>
        </w:rPr>
      </w:pPr>
    </w:p>
    <w:p>
      <w:pPr>
        <w:sectPr>
          <w:pgSz w:w="11900" w:h="16838" w:orient="portrait"/>
          <w:cols w:equalWidth="0" w:num="2">
            <w:col w:w="140" w:space="500"/>
            <w:col w:w="10780"/>
          </w:cols>
          <w:pgMar w:left="240" w:top="368" w:right="239" w:bottom="29"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for the number of months we actually owned the assets divided by the number of months in the period.</w:t>
      </w:r>
    </w:p>
    <w:p>
      <w:pPr>
        <w:spacing w:after="0" w:line="170" w:lineRule="exact"/>
        <w:rPr>
          <w:sz w:val="20"/>
          <w:szCs w:val="20"/>
          <w:color w:val="auto"/>
        </w:rPr>
      </w:pPr>
    </w:p>
    <w:p>
      <w:pPr>
        <w:ind w:left="20" w:hanging="7"/>
        <w:spacing w:after="0" w:line="279" w:lineRule="auto"/>
        <w:rPr>
          <w:sz w:val="20"/>
          <w:szCs w:val="20"/>
          <w:color w:val="auto"/>
        </w:rPr>
      </w:pPr>
      <w:r>
        <w:rPr>
          <w:rFonts w:ascii="Arial" w:cs="Arial" w:eastAsia="Arial" w:hAnsi="Arial"/>
          <w:sz w:val="17"/>
          <w:szCs w:val="17"/>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capacity divided by 6 to account for the 6:1 mcf of gas to crude Btu equivalent ratio and further divided by 1,000 to convert to monthly volumes in millions; and (iv) NGL fractionation volumes multiplied by the number of days in the year and divided by the number of months in the year.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838" w:orient="portrait"/>
          <w:cols w:equalWidth="0" w:num="2">
            <w:col w:w="160" w:space="480"/>
            <w:col w:w="10780"/>
          </w:cols>
          <w:pgMar w:left="240" w:top="368" w:right="239" w:bottom="29" w:gutter="0" w:footer="0" w:header="0"/>
          <w:type w:val="continuous"/>
        </w:sectPr>
      </w:pPr>
    </w:p>
    <w:p>
      <w:pPr>
        <w:spacing w:after="0" w:line="25"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As noted in the table above, our Facilities segment revenues, less storage related costs and natural gas costs, and</w:t>
      </w:r>
      <w:r>
        <w:rPr>
          <w:rFonts w:ascii="Arial" w:cs="Arial" w:eastAsia="Arial" w:hAnsi="Arial"/>
          <w:sz w:val="17"/>
          <w:szCs w:val="17"/>
          <w:i w:val="1"/>
          <w:iCs w:val="1"/>
          <w:color w:val="auto"/>
        </w:rPr>
        <w:t xml:space="preserve"> </w:t>
      </w:r>
      <w:r>
        <w:rPr>
          <w:rFonts w:ascii="Arial" w:cs="Arial" w:eastAsia="Arial" w:hAnsi="Arial"/>
          <w:sz w:val="17"/>
          <w:szCs w:val="17"/>
          <w:color w:val="auto"/>
        </w:rPr>
        <w:t>volumes increased year-over-year for each comparative period presented. The significant variances in revenues and average monthly volumes between the comparative periods are primarily due to our ongoing acquisition and expansion activities as discussed below:</w:t>
      </w:r>
    </w:p>
    <w:p>
      <w:pPr>
        <w:spacing w:after="0" w:line="166" w:lineRule="exact"/>
        <w:rPr>
          <w:sz w:val="20"/>
          <w:szCs w:val="20"/>
          <w:color w:val="auto"/>
        </w:rPr>
      </w:pPr>
    </w:p>
    <w:p>
      <w:pPr>
        <w:ind w:left="660" w:right="60" w:hanging="328"/>
        <w:spacing w:after="0" w:line="259" w:lineRule="auto"/>
        <w:tabs>
          <w:tab w:leader="none" w:pos="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Rail Terminal Acquisition and Related Expansion Projects — The USD Rail Terminal Acquisition in December 2012 and rail-related internal growth projects completed during the latter portion of 2012 and 2013 expanded our rail loading and unloading fee-based activities. Rail load and unload activities contributed approximately $103 million and $22 million to the increase in total revenues for the years ended December 31, 2013 and 2012, respectively.</w:t>
      </w:r>
    </w:p>
    <w:p>
      <w:pPr>
        <w:spacing w:after="0" w:line="186" w:lineRule="exact"/>
        <w:rPr>
          <w:rFonts w:ascii="Arial" w:cs="Arial" w:eastAsia="Arial" w:hAnsi="Arial"/>
          <w:sz w:val="18"/>
          <w:szCs w:val="18"/>
          <w:color w:val="auto"/>
        </w:rPr>
      </w:pPr>
    </w:p>
    <w:p>
      <w:pPr>
        <w:ind w:left="660" w:right="140" w:hanging="328"/>
        <w:spacing w:after="0" w:line="257" w:lineRule="auto"/>
        <w:tabs>
          <w:tab w:leader="none" w:pos="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NGL Storage, Fractionation and Gas Processing Activities —We acquired NGL storage facilities, fractionation plants and related assets through the BP NGL Acquisition completed in April 2012. These assets contributed approximately $87 million of aggregate revenues for the year ended December 31, 2013 over the year ended December 31, 2012, primarily due to the benefit from a full period of ownership of these assets in 2013 (as we only owned the assets for nine months of 2012), as well as from physical processing gains recognized primarily at our NGL fractionation facilities.</w:t>
      </w:r>
    </w:p>
    <w:p>
      <w:pPr>
        <w:spacing w:after="0" w:line="188"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For the year ended December 31, 2012, the BP NGL Acquisition assets contributed aggregate revenues of approximately $204 million, increased average monthly capacity of NGL storage by approximately 10 million barrels and increased average NGL fractionation throughput by approximately 65,000 barrels per day over the year ended December 31, 2011.</w:t>
      </w:r>
    </w:p>
    <w:p>
      <w:pPr>
        <w:spacing w:after="0" w:line="181" w:lineRule="exact"/>
        <w:rPr>
          <w:sz w:val="20"/>
          <w:szCs w:val="20"/>
          <w:color w:val="auto"/>
        </w:rPr>
      </w:pPr>
    </w:p>
    <w:p>
      <w:pPr>
        <w:ind w:left="660" w:right="40" w:hanging="328"/>
        <w:spacing w:after="0" w:line="271" w:lineRule="auto"/>
        <w:tabs>
          <w:tab w:leader="none" w:pos="624" w:val="left"/>
        </w:tabs>
        <w:numPr>
          <w:ilvl w:val="0"/>
          <w:numId w:val="64"/>
        </w:numPr>
        <w:rPr>
          <w:rFonts w:ascii="Arial" w:cs="Arial" w:eastAsia="Arial" w:hAnsi="Arial"/>
          <w:sz w:val="17"/>
          <w:szCs w:val="17"/>
          <w:color w:val="auto"/>
        </w:rPr>
      </w:pPr>
      <w:r>
        <w:rPr>
          <w:rFonts w:ascii="Arial" w:cs="Arial" w:eastAsia="Arial" w:hAnsi="Arial"/>
          <w:sz w:val="17"/>
          <w:szCs w:val="17"/>
          <w:color w:val="auto"/>
        </w:rPr>
        <w:t>Other Expansion Projects and Acquisitions — We estimate that expansion projects that were completed in phases throughout recent years at some of our major terminal locations favorably impacted revenues by approximately $22 million for the year ended December 31, 2013 compared to the year ended December 31, 2012. Such projects included completed phases of expansions at our Cushing, Patoka, St. James and Yorktown terminals, new condensate stabilizers at our Gardendale site, and expansion of gas processing capacity at our facilities near the Gulf Coast. Partially offsetting the increased revenues from these expansions was reduced revenues from certain storage facilities in California and the East Coast due to decreased demand. While average monthly natural gas storage capacity increased during 2013 due to expansions of the Pine Prairie and Southern Pines facilities, decreased storage rates on contracts executed to replace expiring contracts on existing capacity largely offset incremental revenues from our natural gas storage activities.</w:t>
      </w:r>
    </w:p>
    <w:p>
      <w:pPr>
        <w:spacing w:after="0" w:line="179"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completion of our Yorktown facility acquisition in December 2011 and expansion projects at our Cushing, Patoka and St. James terminals throughout 2011 and 2012 resulted in increased storage capacity and barge loading and receipt capability. We estimate that these activities increased our revenues by approximately $24 million on a combined basis for the year ended December 31, 2012 compared to the year ended December 31, 2011. Additionally, revenues and volumes for 2012 compared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to 2011 were favorably impacted by the expansion of working gas capacity at PNG’s Pine Prairie and Southern Pines facilities by approximately 17 Bcf in the aggregate during 2012.</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expenses) increased during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2012 due to our growth through acquisitions, primarily the BP NGL and USD Rail Terminal Acquisitions. A portion of the increase was also related to additional costs for integrity and other maintenance, particularly on the assets that were part of the BP NGL Acquisition.</w:t>
      </w:r>
    </w:p>
    <w:p>
      <w:pPr>
        <w:spacing w:after="0" w:line="18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increase in field operating costs (excluding equity-indexed compensation expenses) during the year ended December 31, 2012 over the year ended December 31, 2011 was also primarily due to growth through acquisitions, primarily the BP NGL and Yorktown acquisitions.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2012 compared to the year ended December 31, 2011 due to growth associated with the BP NGL Acquisition as well as certain one-time costs during 2012 associated with integrating this acquisition.</w:t>
      </w:r>
    </w:p>
    <w:p>
      <w:pPr>
        <w:sectPr>
          <w:pgSz w:w="11900" w:h="16838" w:orient="portrait"/>
          <w:cols w:equalWidth="0" w:num="1">
            <w:col w:w="11420"/>
          </w:cols>
          <w:pgMar w:left="240" w:top="368" w:right="239" w:bottom="29" w:gutter="0" w:footer="0" w:header="0"/>
          <w:type w:val="continuous"/>
        </w:sectPr>
      </w:pPr>
    </w:p>
    <w:bookmarkStart w:id="61" w:name="page62"/>
    <w:bookmarkEnd w:id="61"/>
    <w:p>
      <w:pPr>
        <w:jc w:val="both"/>
        <w:ind w:right="160" w:firstLine="648"/>
        <w:spacing w:after="0" w:line="286" w:lineRule="auto"/>
        <w:rPr>
          <w:sz w:val="20"/>
          <w:szCs w:val="20"/>
          <w:color w:val="auto"/>
        </w:rPr>
      </w:pPr>
      <w:r>
        <w:rPr>
          <w:rFonts w:ascii="Arial" w:cs="Arial" w:eastAsia="Arial" w:hAnsi="Arial"/>
          <w:sz w:val="17"/>
          <w:szCs w:val="17"/>
          <w:i w:val="1"/>
          <w:iCs w:val="1"/>
          <w:color w:val="auto"/>
        </w:rPr>
        <w:t xml:space="preserve">Equity-Indexed Compensation Expense. </w:t>
      </w:r>
      <w:r>
        <w:rPr>
          <w:rFonts w:ascii="Arial" w:cs="Arial" w:eastAsia="Arial" w:hAnsi="Arial"/>
          <w:sz w:val="17"/>
          <w:szCs w:val="17"/>
          <w:color w:val="auto"/>
        </w:rPr>
        <w:t>On a consolidated basis, equity-indexed compensation expense increased during 2013 as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during 2012 as compared to 2011. See the discussion regarding such variances under “— Transportation Segment” above. Also, see Note 15 to our Consolidated Financial Statements for additional information regarding our equity-indexed compensation plans.</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decrease in maintenance capital in 2013 from 2012 is primarily due to two major equipment replacement projects that occurred in 2012. These projects contributed to the overall increase in 2012 from 2011, along with growth from acquisitions and increased integrity investment.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Supply and Logistics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Favorable/(Unfavorable)</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2013-2012</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2012-2011</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6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20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5"/>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(39,315)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(35,139)</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(4,176)</w:t>
            </w:r>
          </w:p>
        </w:tc>
        <w:tc>
          <w:tcPr>
            <w:tcW w:w="5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(3,155)</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140" w:type="dxa"/>
            <w:vAlign w:val="bottom"/>
            <w:tcBorders>
              <w:lef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520" w:type="dxa"/>
            <w:vAlign w:val="bottom"/>
            <w:tcBorders>
              <w:lef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6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5"/>
          </w:tcPr>
          <w:p>
            <w:pPr>
              <w:spacing w:after="0" w:line="216" w:lineRule="exact"/>
              <w:rPr>
                <w:sz w:val="20"/>
                <w:szCs w:val="20"/>
                <w:color w:val="auto"/>
              </w:rPr>
            </w:pPr>
            <w:r>
              <w:rPr>
                <w:rFonts w:ascii="Arial" w:cs="Arial" w:eastAsia="Arial" w:hAnsi="Arial"/>
                <w:sz w:val="18"/>
                <w:szCs w:val="18"/>
                <w:color w:val="auto"/>
                <w:w w:val="97"/>
              </w:rPr>
              <w:t xml:space="preserve">Equity-indexed compensation expense - operations </w:t>
            </w:r>
            <w:r>
              <w:rPr>
                <w:rFonts w:ascii="Arial" w:cs="Arial" w:eastAsia="Arial" w:hAnsi="Arial"/>
                <w:sz w:val="23"/>
                <w:szCs w:val="23"/>
                <w:color w:val="auto"/>
                <w:w w:val="97"/>
                <w:vertAlign w:val="superscript"/>
              </w:rPr>
              <w:t>(3)</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5"/>
              </w:rPr>
              <w:t>(50)%</w:t>
            </w:r>
          </w:p>
        </w:tc>
        <w:tc>
          <w:tcPr>
            <w:tcW w:w="10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(excluding equity-indexed compensation expense)</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40" w:type="dxa"/>
            <w:vAlign w:val="bottom"/>
            <w:tcBorders>
              <w:lef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520" w:type="dxa"/>
            <w:vAlign w:val="bottom"/>
            <w:tcBorders>
              <w:lef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6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40" w:type="dxa"/>
            <w:vAlign w:val="bottom"/>
            <w:gridSpan w:val="5"/>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5"/>
          </w:tcPr>
          <w:p>
            <w:pPr>
              <w:ind w:left="180"/>
              <w:spacing w:after="0" w:line="231" w:lineRule="exact"/>
              <w:rPr>
                <w:sz w:val="20"/>
                <w:szCs w:val="20"/>
                <w:color w:val="auto"/>
              </w:rPr>
            </w:pPr>
            <w:r>
              <w:rPr>
                <w:rFonts w:ascii="Arial" w:cs="Arial" w:eastAsia="Arial" w:hAnsi="Arial"/>
                <w:sz w:val="18"/>
                <w:szCs w:val="18"/>
                <w:color w:val="auto"/>
              </w:rPr>
              <w:t xml:space="preserve">administrative </w:t>
            </w:r>
            <w:r>
              <w:rPr>
                <w:rFonts w:ascii="Arial" w:cs="Arial" w:eastAsia="Arial" w:hAnsi="Arial"/>
                <w:sz w:val="23"/>
                <w:szCs w:val="23"/>
                <w:color w:val="auto"/>
                <w:vertAlign w:val="superscript"/>
              </w:rPr>
              <w:t>(3)</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5"/>
              </w:rPr>
              <w:t>(14)%</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5"/>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vMerge w:val="continue"/>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vMerge w:val="continue"/>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gridSpan w:val="5"/>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5"/>
              </w:rPr>
              <w:t>(15)%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40" w:type="dxa"/>
            <w:vAlign w:val="bottom"/>
            <w:tcBorders>
              <w:top w:val="single" w:sz="8" w:color="CCEEFF"/>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right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line="190"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24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Favorable (Unfavorable)</w:t>
            </w:r>
          </w:p>
        </w:tc>
        <w:tc>
          <w:tcPr>
            <w:tcW w:w="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Average Daily Volumes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2013-2012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2012-2011</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60" w:type="dxa"/>
            <w:vAlign w:val="bottom"/>
            <w:tcBorders>
              <w:bottom w:val="single" w:sz="8" w:color="CCEEFF"/>
            </w:tcBorders>
            <w:gridSpan w:val="2"/>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8"/>
              </w:rPr>
              <w:t>Volume</w:t>
            </w:r>
          </w:p>
        </w:tc>
        <w:tc>
          <w:tcPr>
            <w:tcW w:w="2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8"/>
              </w:rPr>
              <w:t>Volume</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2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5"/>
          </w:tcPr>
          <w:p>
            <w:pPr>
              <w:spacing w:after="0"/>
              <w:rPr>
                <w:sz w:val="20"/>
                <w:szCs w:val="20"/>
                <w:color w:val="auto"/>
              </w:rPr>
            </w:pPr>
            <w:r>
              <w:rPr>
                <w:rFonts w:ascii="Arial" w:cs="Arial" w:eastAsia="Arial" w:hAnsi="Arial"/>
                <w:sz w:val="18"/>
                <w:szCs w:val="18"/>
                <w:color w:val="auto"/>
              </w:rPr>
              <w:t>NGL sales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4"/>
          </w:tcPr>
          <w:p>
            <w:pPr>
              <w:ind w:left="180"/>
              <w:spacing w:after="0"/>
              <w:rPr>
                <w:sz w:val="20"/>
                <w:szCs w:val="20"/>
                <w:color w:val="auto"/>
              </w:rPr>
            </w:pPr>
            <w:r>
              <w:rPr>
                <w:rFonts w:ascii="Arial" w:cs="Arial" w:eastAsia="Arial" w:hAnsi="Arial"/>
                <w:sz w:val="18"/>
                <w:szCs w:val="18"/>
                <w:color w:val="auto"/>
              </w:rPr>
              <w:t>Supply and Logistics segment total</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37"/>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-1424940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-1424940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crude oil and NGL inventory) of approximately $30 million, $12 million and $20 million for the years ended December 31, 2013, 2012, and 2011, respectively.</w:t>
      </w:r>
    </w:p>
    <w:p>
      <w:pPr>
        <w:spacing w:after="0" w:line="170" w:lineRule="exact"/>
        <w:rPr>
          <w:sz w:val="20"/>
          <w:szCs w:val="20"/>
          <w:color w:val="auto"/>
        </w:rPr>
      </w:pPr>
    </w:p>
    <w:p>
      <w:pPr>
        <w:jc w:val="both"/>
        <w:ind w:left="20" w:right="360" w:hanging="11"/>
        <w:spacing w:after="0" w:line="264" w:lineRule="auto"/>
        <w:rPr>
          <w:sz w:val="20"/>
          <w:szCs w:val="20"/>
          <w:color w:val="auto"/>
        </w:rPr>
      </w:pPr>
      <w:r>
        <w:rPr>
          <w:rFonts w:ascii="Arial" w:cs="Arial" w:eastAsia="Arial" w:hAnsi="Arial"/>
          <w:sz w:val="18"/>
          <w:szCs w:val="18"/>
          <w:color w:val="auto"/>
        </w:rPr>
        <w:t>Equity-indexed compensation expense shown in the table above includes expenses associated with awards that will or may be settled in units and awards that will or may be settled in cash. See Note 15 to our Consolidated Financial Statements for additional discussion regarding our equity-indexed compensation plans.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60" w:space="480"/>
            <w:col w:w="10820"/>
          </w:cols>
          <w:pgMar w:left="240" w:top="125" w:right="199" w:bottom="0" w:gutter="0" w:footer="0" w:header="0"/>
          <w:type w:val="continuous"/>
        </w:sectPr>
      </w:pPr>
    </w:p>
    <w:p>
      <w:pPr>
        <w:spacing w:after="0" w:line="3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NYMEX West Texas Intermediate benchmark price of crude oil ranged from approximately $87 to $111 per barrel, $77 to $111 per barrel, and $75 to $115 per barrel during 2013, 2012, and 2011,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all periods presented, resulting from increases in volumes in the comparative 2013 and 2012 periods. The increase in 2012 over 2011 was further impacted by higher commodity prices.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is a discussion of items impacting Supply and Logistics segment profit and segment profit per barrel for the periods indicated.</w:t>
      </w:r>
    </w:p>
    <w:p>
      <w:pPr>
        <w:sectPr>
          <w:pgSz w:w="11900" w:h="16838" w:orient="portrait"/>
          <w:cols w:equalWidth="0" w:num="1">
            <w:col w:w="11460"/>
          </w:cols>
          <w:pgMar w:left="240" w:top="125" w:right="199" w:bottom="0" w:gutter="0" w:footer="0" w:header="0"/>
          <w:type w:val="continuous"/>
        </w:sectPr>
      </w:pPr>
    </w:p>
    <w:bookmarkStart w:id="62" w:name="page63"/>
    <w:bookmarkEnd w:id="62"/>
    <w:p>
      <w:pPr>
        <w:spacing w:after="0" w:line="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Our Supply and Logistics segment revenues, net of purchases and related costs and excluding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from derivative activities (see the “Impact from Derivative Activities” section below), increased year-over-year for each of the comparative periods presented. The following summarizes the more significant items in the comparative periods:</w:t>
      </w:r>
    </w:p>
    <w:p>
      <w:pPr>
        <w:spacing w:after="0" w:line="181" w:lineRule="exact"/>
        <w:rPr>
          <w:sz w:val="20"/>
          <w:szCs w:val="20"/>
          <w:color w:val="auto"/>
        </w:rPr>
      </w:pPr>
    </w:p>
    <w:p>
      <w:pPr>
        <w:ind w:left="980" w:hanging="324"/>
        <w:spacing w:after="0" w:line="254" w:lineRule="auto"/>
        <w:tabs>
          <w:tab w:leader="none" w:pos="9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NGL Marketing Operations — Revenues from our NGL marketing operations increased during the year ended December 31, 2013 as compared to the year ended December 31, 2012, primarily due to more favorable market prices and higher demand related to (i) increases in export capacity in the U.S. that reduced overall product availability in the market, (ii) increased heating requirements during the extended winter season, (iii) heavy crop drying and (iv) petrochemical demand as well as more favorable supply contracts. Additionally, NGL margins during the 2012 period were negatively impacted by the sale of NGL product at points in time where spot prices were less than our weighted average inventory cost, primarily associated with inventory acquired in the BP NGL Acquisition on April 1, 2012. NGL sales volumes increased over the comparative year ended December 31, 2012 primarily due to increased demand as discussed above, as well as the impact from our BP NGL Acquisition.</w:t>
      </w:r>
    </w:p>
    <w:p>
      <w:pPr>
        <w:spacing w:after="0" w:line="192"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North American Crude Oil Production and Related Market Economics — The increasing production of oil and liquids-rich gas in North America over the last several years generally created supply and demand imbalances that increased the volatility of historical differentials for various grades of crude oil and also impacted the historical pricing relationship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line="273" w:lineRule="auto"/>
        <w:rPr>
          <w:sz w:val="20"/>
          <w:szCs w:val="20"/>
          <w:color w:val="auto"/>
        </w:rPr>
      </w:pPr>
      <w:r>
        <w:rPr>
          <w:rFonts w:ascii="Arial" w:cs="Arial" w:eastAsia="Arial" w:hAnsi="Arial"/>
          <w:sz w:val="17"/>
          <w:szCs w:val="17"/>
          <w:color w:val="auto"/>
        </w:rPr>
        <w:t>between NGL and crude oil. Lack of existing pipeline takeaway capacity and associated logistical challenges in certain of these producing regions created market conditions and opportunities that were favorable to our supply and logistics activities. During 2012 and the first quarter of 2013, these conditions provided opportunities for increased margins. However, infrastructure additions in many of these resource plays during the second and third quarters of 2013 began to relieve certain of the transportation constraints that had created opportunities for these favorable crude oil margins. Therefore, although we experienced higher crude oil lease gathering volumes in 2013 compared to 2012, we experienced fewer opportunities to capture favorable differentials from market dislocations.</w:t>
      </w:r>
    </w:p>
    <w:p>
      <w:pPr>
        <w:spacing w:after="0" w:line="178" w:lineRule="exact"/>
        <w:rPr>
          <w:sz w:val="20"/>
          <w:szCs w:val="20"/>
          <w:color w:val="auto"/>
        </w:rPr>
      </w:pPr>
    </w:p>
    <w:p>
      <w:pPr>
        <w:ind w:left="980" w:right="60"/>
        <w:spacing w:after="0" w:line="276" w:lineRule="auto"/>
        <w:rPr>
          <w:sz w:val="20"/>
          <w:szCs w:val="20"/>
          <w:color w:val="auto"/>
        </w:rPr>
      </w:pPr>
      <w:r>
        <w:rPr>
          <w:rFonts w:ascii="Arial" w:cs="Arial" w:eastAsia="Arial" w:hAnsi="Arial"/>
          <w:sz w:val="17"/>
          <w:szCs w:val="17"/>
          <w:color w:val="auto"/>
        </w:rPr>
        <w:t>We believe the fundamentals of our business remain strong; however, as the midstream infrastructure in these producing regions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for further discussion regarding our business model, including diversification and utilization of our asset base among varying demand- and supply-driven markets.)</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Impact from derivative activities</w:t>
      </w:r>
      <w:r>
        <w:rPr>
          <w:rFonts w:ascii="Arial" w:cs="Arial" w:eastAsia="Arial" w:hAnsi="Arial"/>
          <w:sz w:val="18"/>
          <w:szCs w:val="18"/>
          <w:color w:val="auto"/>
        </w:rPr>
        <w:t>. The mark-to-market valuation of our derivative activities impacted our net revenues as shown in the table below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Twelve Months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79"/>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2013-2012</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98"/>
              </w:rPr>
              <w:t>2012-2011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Gains/(losses) from derivative activities</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tabs>
          <w:tab w:leader="none" w:pos="648"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11 to our Consolidated Financial Statements for a comprehensive discussion regarding our derivatives and risk management activities.</w:t>
      </w:r>
    </w:p>
    <w:p>
      <w:pPr>
        <w:spacing w:after="0" w:line="20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over the year ended December 31, 2011 was primarily related to increased lease gathering volumes, particularly in West Texas, Oklahoma and the Rockies, which required the use of higher cost, third-party transporters to supplement our truck fleet.</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i w:val="1"/>
          <w:iCs w:val="1"/>
          <w:color w:val="auto"/>
        </w:rPr>
        <w:t xml:space="preserve">Equity-Indexed Compensation Expense. </w:t>
      </w:r>
      <w:r>
        <w:rPr>
          <w:rFonts w:ascii="Arial" w:cs="Arial" w:eastAsia="Arial" w:hAnsi="Arial"/>
          <w:sz w:val="17"/>
          <w:szCs w:val="17"/>
          <w:color w:val="auto"/>
        </w:rPr>
        <w:t>On a consolidated basis, equity-indexed compensation expense increased during 2013 as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during 2012 as compared to 2011. See the discussion regarding such variances under “— Transportation Segment” above. Also, see Note 15 to our Consolidated Financial Statements for additional information regarding our equity-indexed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Depreciation and amortization expense was $375 million for the year ended December 31, 2013 compared to $482 million and $249 million for the years ended December 31, 2012 and 2011. Such amounts include losses on impairments of long-lived assets of approximately $20 million, $168 million and $5 million, for the 2013, 2012 and 2011 periods, respectively. The impairments recognized in 2013 and 2011 were predominantly related to assets that were taken out of service. These assets did not support spending the capital necessary to continue service and, in some instances, we utilized other assets to handle these activities. The impairments recognized in 2012 primarily related to our Pier 400 terminal project and the anticipated sale of certain refined products pipeline systems and related assets, which occurred in 2013. See Note 6 to our Consolidated Financial Statements for further discussion of asset impairments.</w:t>
      </w:r>
    </w:p>
    <w:p>
      <w:pPr>
        <w:spacing w:after="0" w:line="16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Excluding the impact of asset impairments, depreciation and amortization expense increased during the 2013 period over the comparable 2012 period primarily due to an increased amount of assets resulting from acquisition activities, as well as various internal growth projects completed in recent years.</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Excluding the impact of asset impairments, the remaining increase for the 2012 as compared to the 2011 period was primarily the result of an increased amount of assets resulting from acquisition activities, including accelerated amortization of certain intangible assets associated with our BP NGL Acquisition, as well as the completion of various internal growth projects. Such increases were</w:t>
      </w:r>
    </w:p>
    <w:p>
      <w:pPr>
        <w:sectPr>
          <w:pgSz w:w="11900" w:h="16904" w:orient="portrait"/>
          <w:cols w:equalWidth="0" w:num="1">
            <w:col w:w="11420"/>
          </w:cols>
          <w:pgMar w:left="240" w:top="341" w:right="239" w:bottom="0" w:gutter="0" w:footer="0" w:header="0"/>
        </w:sectPr>
      </w:pPr>
    </w:p>
    <w:bookmarkStart w:id="63" w:name="page64"/>
    <w:bookmarkEnd w:id="63"/>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partially offset by a decrease in expense of $13 million resulting from extensions of depreciable lives of several of our crude oil and other storage facilities and pipeline systems, as well as a net gain of approximately $6 million recognized upon disposition of certain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Interest expense increased by approximately $15 million and $35 million for the years ended December 31, 2013 and 2012, respectively, over the previous year. Interest expense is primarily impacted by:</w:t>
      </w:r>
    </w:p>
    <w:p>
      <w:pPr>
        <w:spacing w:after="0" w:line="170" w:lineRule="exact"/>
        <w:rPr>
          <w:sz w:val="20"/>
          <w:szCs w:val="20"/>
          <w:color w:val="auto"/>
        </w:rPr>
      </w:pPr>
    </w:p>
    <w:p>
      <w:pPr>
        <w:ind w:left="940" w:hanging="284"/>
        <w:spacing w:after="0"/>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components impacting the interest expense variance for the years ended December 31, 2013 and 2012 (in millions, except for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Average</w:t>
            </w:r>
          </w:p>
        </w:tc>
        <w:tc>
          <w:tcPr>
            <w:tcW w:w="1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LIBOR Rate</w:t>
            </w: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2011</w:t>
            </w:r>
          </w:p>
        </w:tc>
        <w:tc>
          <w:tcPr>
            <w:tcW w:w="11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(2) (4)</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(3) (5)</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Impact of capitalized interest</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credit facilities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interest included in purchases and other costs </w:t>
            </w:r>
            <w:r>
              <w:rPr>
                <w:rFonts w:ascii="Arial" w:cs="Arial" w:eastAsia="Arial" w:hAnsi="Arial"/>
                <w:sz w:val="23"/>
                <w:szCs w:val="23"/>
                <w:color w:val="auto"/>
                <w:vertAlign w:val="superscript"/>
              </w:rPr>
              <w:t>(8)</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gridSpan w:val="2"/>
          </w:tcPr>
          <w:p>
            <w:pPr>
              <w:spacing w:after="0"/>
              <w:rPr>
                <w:sz w:val="20"/>
                <w:szCs w:val="20"/>
                <w:color w:val="auto"/>
              </w:rPr>
            </w:pPr>
            <w:r>
              <w:rPr>
                <w:rFonts w:ascii="Arial" w:cs="Arial" w:eastAsia="Arial" w:hAnsi="Arial"/>
                <w:sz w:val="18"/>
                <w:szCs w:val="18"/>
                <w:color w:val="auto"/>
              </w:rPr>
              <w:t>Interest expense for the year ended December 31, 2012</w:t>
            </w:r>
          </w:p>
        </w:tc>
        <w:tc>
          <w:tcPr>
            <w:tcW w:w="5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21"/>
                <w:szCs w:val="21"/>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Impact of retirement of senior notes </w:t>
            </w:r>
            <w:r>
              <w:rPr>
                <w:rFonts w:ascii="Arial" w:cs="Arial" w:eastAsia="Arial" w:hAnsi="Arial"/>
                <w:sz w:val="22"/>
                <w:szCs w:val="22"/>
                <w:color w:val="auto"/>
                <w:vertAlign w:val="superscript"/>
              </w:rPr>
              <w:t>(4) (7)</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(5) (6)</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ineffective portion of terminated forward-starting swaps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Impact of credit facilities and commercial paper program</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Impact of interest included in purchases and other costs </w:t>
            </w:r>
            <w:r>
              <w:rPr>
                <w:rFonts w:ascii="Arial" w:cs="Arial" w:eastAsia="Arial" w:hAnsi="Arial"/>
                <w:sz w:val="23"/>
                <w:szCs w:val="23"/>
                <w:color w:val="auto"/>
                <w:vertAlign w:val="superscript"/>
              </w:rPr>
              <w:t>(8)</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2013</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9" w:orient="portrait"/>
          <w:cols w:equalWidth="0" w:num="1">
            <w:col w:w="11360"/>
          </w:cols>
          <w:pgMar w:left="240" w:top="341" w:right="2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Excludes commitment and other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2011, we redeemed our outstanding $200 million, 7.75% senior notes due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2011, we completed the issuance of $600 million of 5.00% senior notes due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2012, our $500 million, 4.25% senior notes matured.</w:t>
      </w:r>
    </w:p>
    <w:p>
      <w:pPr>
        <w:spacing w:after="0" w:line="225" w:lineRule="exact"/>
        <w:rPr>
          <w:sz w:val="20"/>
          <w:szCs w:val="20"/>
          <w:color w:val="auto"/>
        </w:rPr>
      </w:pPr>
    </w:p>
    <w:p>
      <w:pPr>
        <w:ind w:left="20" w:hanging="11"/>
        <w:spacing w:after="0" w:line="342" w:lineRule="auto"/>
        <w:rPr>
          <w:sz w:val="20"/>
          <w:szCs w:val="20"/>
          <w:color w:val="auto"/>
        </w:rPr>
      </w:pPr>
      <w:r>
        <w:rPr>
          <w:rFonts w:ascii="Arial" w:cs="Arial" w:eastAsia="Arial" w:hAnsi="Arial"/>
          <w:sz w:val="16"/>
          <w:szCs w:val="16"/>
          <w:color w:val="auto"/>
        </w:rPr>
        <w:t>In March 2012, we completed the issuance of $750 million of 3.65% senior notes due 2022 and $500 million of 5.15% senior notes due 2042, and in December 2012, we completed the issuance of $400 million of 2.85% senior notes due 2023 and $350 million of 4.30% senior notes due 2043.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August 2013, we completed the issuance of $700 million of 3.85% senior notes due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2013, our $250 million, 5.63% senior notes matured.</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29" w:orient="portrait"/>
          <w:cols w:equalWidth="0" w:num="2">
            <w:col w:w="140" w:space="500"/>
            <w:col w:w="10720"/>
          </w:cols>
          <w:pgMar w:left="240" w:top="341" w:right="29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420" w:hanging="652"/>
        <w:spacing w:after="0" w:line="249" w:lineRule="auto"/>
        <w:tabs>
          <w:tab w:leader="none" w:pos="648" w:val="left"/>
        </w:tabs>
        <w:numPr>
          <w:ilvl w:val="0"/>
          <w:numId w:val="68"/>
        </w:numPr>
        <w:rPr>
          <w:rFonts w:ascii="Arial" w:cs="Arial" w:eastAsia="Arial" w:hAnsi="Arial"/>
          <w:sz w:val="22"/>
          <w:szCs w:val="22"/>
          <w:color w:val="auto"/>
          <w:vertAlign w:val="superscript"/>
        </w:rPr>
      </w:pPr>
      <w:r>
        <w:rPr>
          <w:rFonts w:ascii="Arial" w:cs="Arial" w:eastAsia="Arial" w:hAnsi="Arial"/>
          <w:sz w:val="17"/>
          <w:szCs w:val="17"/>
          <w:color w:val="auto"/>
        </w:rPr>
        <w:t>Interest costs attributable to borrowings for hedged crude oil and NGL inventory are included in purchases and related costs in our Supply and Logistics segment profit as we consider interest on these borrowings a direct cost to storing the inventory. These costs were approximately $30 million, $12 million and $20 million for the years ended December 31, 2013, 2012, and 2011, respectively.</w:t>
      </w:r>
    </w:p>
    <w:p>
      <w:pPr>
        <w:spacing w:after="0" w:line="192"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Other income/(expense), net in each of the years ended December 31, 2013 and 2012 was primarily impacted by foreign currency gains or losses related to revaluations of CAD-denominated interest receivables associated with our intercompany notes and the impact of related foreign currency hedges.</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to the impact of such foreign currency gains, the 2011 period also included a loss of approximately $23 million that was recognized in conjunction with the early redemption of our $200 million, 7.75% senior notes in February 2011.</w:t>
      </w:r>
    </w:p>
    <w:p>
      <w:pPr>
        <w:sectPr>
          <w:pgSz w:w="11900" w:h="16929" w:orient="portrait"/>
          <w:cols w:equalWidth="0" w:num="1">
            <w:col w:w="11360"/>
          </w:cols>
          <w:pgMar w:left="240" w:top="341" w:right="299" w:bottom="0" w:gutter="0" w:footer="0" w:header="0"/>
          <w:type w:val="continuous"/>
        </w:sectPr>
      </w:pPr>
    </w:p>
    <w:bookmarkStart w:id="64" w:name="page65"/>
    <w:bookmarkEnd w:id="64"/>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Income tax expense increased for year ended December 31, 2013 compared to the year ended December 31, 2012 primarily as a result of stronger performance from our existing Canadian operations and our operations related to the BP NGL Acquisition, both of which increased the proportion of earnings subject to Canadian federal and provincial taxes.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 expense increased for the year ended December 31, 2012 compared to the year ended December 31, 2011, even with a slight decrease in the combined Canadian federal and provincial rates for 2012, primarily as a result of the BP NGL Acquisition which increased the proportion of earnings subject to Canadian federal and provincial taxes. Canadian withholding taxes also increased on interest and dividends from our Canadian entities to other affiliates. These Canadian withholding taxes are due as payments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20" w:firstLine="648"/>
        <w:spacing w:after="0" w:line="273"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occurring contemporaneously with attractive crude oil and liquids prices, U.S. crude oil and liquids production has increased rapidly in multiple regions in the lower 48 states. This is particularly true for light crudes and condensates. As a result of similar resource development activities in Canada and ongoing oil sands development activities, Canadian crude oil production has also increased. A significant portion of these activities and production increases are concentrated in areas where we have a significant asset presence, increasing the utilization of our existing assets as well as providing multiple opportunities to expand and extend our asset base as well as the services we provide our customers throughout the value chain.</w:t>
      </w:r>
    </w:p>
    <w:p>
      <w:pPr>
        <w:spacing w:after="0" w:line="178" w:lineRule="exact"/>
        <w:rPr>
          <w:sz w:val="20"/>
          <w:szCs w:val="20"/>
          <w:color w:val="auto"/>
        </w:rPr>
      </w:pPr>
    </w:p>
    <w:p>
      <w:pPr>
        <w:ind w:left="40" w:right="20" w:firstLine="648"/>
        <w:spacing w:after="0" w:line="257" w:lineRule="auto"/>
        <w:rPr>
          <w:sz w:val="20"/>
          <w:szCs w:val="20"/>
          <w:color w:val="auto"/>
        </w:rPr>
      </w:pPr>
      <w:r>
        <w:rPr>
          <w:rFonts w:ascii="Arial" w:cs="Arial" w:eastAsia="Arial" w:hAnsi="Arial"/>
          <w:sz w:val="18"/>
          <w:szCs w:val="18"/>
          <w:color w:val="auto"/>
        </w:rPr>
        <w:t>Additionally, the crude oil market has periodically experienced high levels of volatility in location and quality differentials as a result of the confluence of regional infrastructure constraints in North America, rapid and unexpected changes in crude qualities, international supply issues, and regional downstream operating issues. During 2012 and 2013, these market conditions had a positive impact on our profitability as our business strategy and asset base positioned us to capitalize on opportunities created by the volatile environment. As a result of the factors enumerated above we believe current U.S. and Canadian energy industry fundamentals are favorable for our asset base and business model.</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However, despite the prevailing outlook for steady growth in U.S. and Canadian crude oil production and the continuing opportunity to displace waterborne foreign crude imports to balance the North American market, we believe global oil and petroleum products supply and demand balances are such that the potential exists for a disruption that leads to lower than forecasted rates of growth in North American crude oil production. Potential disruption catalysts include a meaningful decrease in crude oil prices and/or capital availability coupled with an overall increase in cost of capital. Accordingly, there can be no assurance that North American production increases will continue unabated or that we will not be negatively impacted by potential volatility or challenging capital markets conditions. Additionally, construction of additional infrastructure by us and our competitors will likely continue to reduce existing infrastructure constraints, which could place downward pressure on unit margins in our various segments, and we cannot be certain that our expansion efforts will generate targeted returns or that any future acquisition activities will be successful. See Item 1A. “Risk Factors - Risks Related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primary sources of liquidity are (i) cash flow from operating activities as further discussed below in the section entitled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products and other expenses and interest payments on our outstanding debt, (ii) maintenance and expansion activities, (iii) acquisitions of assets or businesses,</w:t>
      </w:r>
    </w:p>
    <w:p>
      <w:pPr>
        <w:spacing w:after="0" w:line="46" w:lineRule="exact"/>
        <w:rPr>
          <w:sz w:val="20"/>
          <w:szCs w:val="20"/>
          <w:color w:val="auto"/>
        </w:rPr>
      </w:pPr>
    </w:p>
    <w:p>
      <w:pPr>
        <w:ind w:right="40" w:firstLine="8"/>
        <w:spacing w:after="0" w:line="270" w:lineRule="auto"/>
        <w:tabs>
          <w:tab w:leader="none" w:pos="305"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repayment of principal on our long-term debt and (v) distributions to our unitholders and general partner. We generally expect to fund our short-term cash requirements through cash flow generated from operating activities and/or borrowings under our credit facility or commercial paper program.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December 31, 2013, we had a working capital deficit of approximately $447 million and approximately $1.9 billion of liquidity available to meet our ongoing operating, investing and financing needs as noted below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9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2013</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prior to giving effect to PAA commercial paper program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prior to giving effect to PAA commercial paper program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Less: Amounts outstanding under the PAA commercial paper program</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80" w:hanging="672"/>
        <w:spacing w:after="0"/>
        <w:tabs>
          <w:tab w:leader="none" w:pos="680"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Borrowings under our commercial paper program reduce available capacity under the facility.</w:t>
      </w:r>
    </w:p>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we have and will continue to have the ability to access our credit facilities and commercial paper program,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and commercial paper program is subject to ongoing compliance with covenants. As of December 31, 2013, we were in compliance with all such covenants.</w:t>
      </w:r>
    </w:p>
    <w:p>
      <w:pPr>
        <w:sectPr>
          <w:pgSz w:w="11900" w:h="16838" w:orient="portrait"/>
          <w:cols w:equalWidth="0" w:num="1">
            <w:col w:w="11420"/>
          </w:cols>
          <w:pgMar w:left="240" w:top="337" w:right="239" w:bottom="0" w:gutter="0" w:footer="0" w:header="0"/>
        </w:sectPr>
      </w:pPr>
    </w:p>
    <w:bookmarkStart w:id="65" w:name="page66"/>
    <w:bookmarkEnd w:id="65"/>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or linefill, regardless of market structure, we may rely on our credit facilities or commercial paper program to pay for the inventory or linefill. In addition, cash flow from operating activities may be impacted by the timing of settlement of our derivative activities. Gains and losses from settled instruments that qualify as effective cash flow hedges are deferred in AOCI, but may impact operating cash flow in the period settled.</w:t>
      </w:r>
    </w:p>
    <w:p>
      <w:pPr>
        <w:spacing w:after="0" w:line="18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Net cash provided by operating activities for the year ended December 31, 2013 was approximately $1.95 billion, primarily resulting from earnings from our operations. Additionally, during 2013, we decreased the amount of our inventory, primarily due to the sale of crude oil inventory that had been stored during the contango market, as well as the sale of NGL inventory due to end users’ increased demand for product used for heating and crop drying during the latter half of 2013. The net proceeds received from liquidation of such inventory during the year were used to repay borrowings under our credit facilities or commercial paper program and favorably impacted cash flow from operating activities. These decreases in inventory were partially offset by an increase in natural gas inventory whereby we retained more capacity for our own use. We primarily used borrowings under credit facilities to pay for the stored natural gas, which negatively impacted our cash flow from operating activities. Also, a significant portion of our 2013 natural gas sales occurred in December 2013, with cash collections on these sales occurring in January 2014.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Net cash provided by operating activities for the twelve months ended December 31, 2012 was approximately $1.24 billion. The cash provided by operating activities reflects cash generated by our recurring operations, and is also significantly impacted in periods when we are increasing or decreasing the amount of inventory in storage as discussed above. During 2012, we increased the amount of our crude oil inventory, which was primarily financed through borrowings under our credit facilities as well as through our $250 million senior notes that are currently classified as “Short-term debt” on our Consolidated Balance Sheet. This resulted in a negative impact on our cash flow from operating activities for the period. During the year, we also increased the amount of our NGL inventory; however, these volumetric increases were offset by lower prices for such inventory stored at the end of the year compared to prior year amounts.</w:t>
      </w:r>
    </w:p>
    <w:p>
      <w:pPr>
        <w:spacing w:after="0" w:line="189" w:lineRule="exact"/>
        <w:rPr>
          <w:sz w:val="20"/>
          <w:szCs w:val="20"/>
          <w:color w:val="auto"/>
        </w:rPr>
      </w:pPr>
    </w:p>
    <w:p>
      <w:pPr>
        <w:ind w:right="40" w:firstLine="720"/>
        <w:spacing w:after="0" w:line="257" w:lineRule="auto"/>
        <w:rPr>
          <w:sz w:val="20"/>
          <w:szCs w:val="20"/>
          <w:color w:val="auto"/>
        </w:rPr>
      </w:pPr>
      <w:r>
        <w:rPr>
          <w:rFonts w:ascii="Arial" w:cs="Arial" w:eastAsia="Arial" w:hAnsi="Arial"/>
          <w:sz w:val="18"/>
          <w:szCs w:val="18"/>
          <w:color w:val="auto"/>
        </w:rPr>
        <w:t>Net cash provided by operating activities for the twelve months ended December 31, 2011 was approximately $2.37 billion. During 2011, we reduced our overall inventory levels resulting in a positive impact to operating cash flow. The reduction in our crude oil inventory levels was primarily due to liquidating a certain amount of inventory that had been stored in the contango market, which primarily began liquidating during the latter portion of the second quarter of 2011, as well as liquidating the inventory stored through our waterborne cargo purchase activity, which occurred throughout the third and fourth quarters of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have three primary credit arrangements. These include a $1.6 billion senior unsecured revolving credit facility maturing in 2018 and a $1.4 billion senior secured hedged inventory facility maturing in 2016. Additionally, we have a $1.5 billion unsecured commercial paper program that is backstopped by our revolving credit facility and our hedged inventory facility. Our credit agreements (which impact our ability to access our commercial paper program)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2013. See Note 9 to our Consolidated Financial Statements for additional discussion regarding our credit agreements, commercial paper program and long-term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financing activities primarily relate to funding acquisitions and internal capital projects, and short-term working capital and hedged inventory borrowings related to our NGL business and contango market activities, as well as refinancing of our debt maturities.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Registration Statements</w:t>
      </w:r>
      <w:r>
        <w:rPr>
          <w:rFonts w:ascii="Arial" w:cs="Arial" w:eastAsia="Arial" w:hAnsi="Arial"/>
          <w:sz w:val="16"/>
          <w:szCs w:val="16"/>
          <w:color w:val="auto"/>
        </w:rPr>
        <w:t>. We periodically access the capital markets for both equity and debt financing. We have filed with the SEC a universal shelf</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that, subject to effectiveness at the time of use, allows us to issue up to an aggregate of $2.0 billion of debt or equity securities (“Traditional Shelf”). All issuances of equity securities associated with our continuous offering program have been issued pursuant to the Traditional Shelf.</w:t>
      </w:r>
    </w:p>
    <w:p>
      <w:pPr>
        <w:sectPr>
          <w:pgSz w:w="11900" w:h="16952" w:orient="portrait"/>
          <w:cols w:equalWidth="0" w:num="1">
            <w:col w:w="11400"/>
          </w:cols>
          <w:pgMar w:left="240" w:top="341" w:right="259" w:bottom="0" w:gutter="0" w:footer="0" w:header="0"/>
        </w:sectPr>
      </w:pPr>
    </w:p>
    <w:bookmarkStart w:id="66" w:name="page67"/>
    <w:bookmarkEnd w:id="66"/>
    <w:p>
      <w:pPr>
        <w:ind w:right="160"/>
        <w:spacing w:after="0" w:line="259" w:lineRule="auto"/>
        <w:rPr>
          <w:sz w:val="20"/>
          <w:szCs w:val="20"/>
          <w:color w:val="auto"/>
        </w:rPr>
      </w:pPr>
      <w:r>
        <w:rPr>
          <w:rFonts w:ascii="Arial" w:cs="Arial" w:eastAsia="Arial" w:hAnsi="Arial"/>
          <w:sz w:val="18"/>
          <w:szCs w:val="18"/>
          <w:color w:val="auto"/>
        </w:rPr>
        <w:t>At December 31, 2013, we had approximately $1.5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During 2013, our August offering of $700 million, 3.85% senior notes due 2023 was conducted under the WKSI Shelf.</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Equity Offerings</w:t>
      </w:r>
      <w:r>
        <w:rPr>
          <w:rFonts w:ascii="Arial" w:cs="Arial" w:eastAsia="Arial" w:hAnsi="Arial"/>
          <w:sz w:val="18"/>
          <w:szCs w:val="18"/>
          <w:color w:val="auto"/>
        </w:rPr>
        <w:t>. The following table summarizes our issuance of common units in connection with marketed equity offerings or our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Program during the three years ended December 31, 2013 (net proceeds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3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Type of Offering</w:t>
            </w:r>
          </w:p>
        </w:tc>
        <w:tc>
          <w:tcPr>
            <w:tcW w:w="2000" w:type="dxa"/>
            <w:vAlign w:val="bottom"/>
            <w:gridSpan w:val="2"/>
          </w:tcPr>
          <w:p>
            <w:pPr>
              <w:ind w:left="480"/>
              <w:spacing w:after="0"/>
              <w:rPr>
                <w:sz w:val="20"/>
                <w:szCs w:val="20"/>
                <w:color w:val="auto"/>
              </w:rPr>
            </w:pPr>
            <w:r>
              <w:rPr>
                <w:rFonts w:ascii="Arial" w:cs="Arial" w:eastAsia="Arial" w:hAnsi="Arial"/>
                <w:sz w:val="14"/>
                <w:szCs w:val="14"/>
                <w:b w:val="1"/>
                <w:bCs w:val="1"/>
                <w:color w:val="auto"/>
              </w:rPr>
              <w:t>Units Issued</w:t>
            </w:r>
          </w:p>
        </w:tc>
        <w:tc>
          <w:tcPr>
            <w:tcW w:w="20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(1)(2)</w:t>
            </w:r>
          </w:p>
        </w:tc>
      </w:tr>
      <w:tr>
        <w:trPr>
          <w:trHeight w:val="210"/>
        </w:trPr>
        <w:tc>
          <w:tcPr>
            <w:tcW w:w="3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Continuous Offering Program</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8,644,807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79"/>
              </w:rPr>
              <w:t>477</w:t>
            </w:r>
          </w:p>
        </w:tc>
        <w:tc>
          <w:tcPr>
            <w:tcW w:w="34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w w:val="81"/>
              </w:rPr>
              <w:t>(3)</w:t>
            </w:r>
          </w:p>
        </w:tc>
      </w:tr>
      <w:tr>
        <w:trPr>
          <w:trHeight w:val="250"/>
        </w:trPr>
        <w:tc>
          <w:tcPr>
            <w:tcW w:w="424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2013 Total</w:t>
            </w:r>
          </w:p>
        </w:tc>
        <w:tc>
          <w:tcPr>
            <w:tcW w:w="28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8,644,807</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w w:val="79"/>
              </w:rPr>
              <w:t>477</w:t>
            </w:r>
          </w:p>
        </w:tc>
        <w:tc>
          <w:tcPr>
            <w:tcW w:w="340" w:type="dxa"/>
            <w:vAlign w:val="bottom"/>
            <w:tcBorders>
              <w:bottom w:val="single" w:sz="8" w:color="CCEEFF"/>
            </w:tcBorders>
          </w:tcPr>
          <w:p>
            <w:pPr>
              <w:spacing w:after="0"/>
              <w:rPr>
                <w:sz w:val="21"/>
                <w:szCs w:val="21"/>
                <w:color w:val="auto"/>
              </w:rPr>
            </w:pPr>
          </w:p>
        </w:tc>
      </w:tr>
      <w:tr>
        <w:trPr>
          <w:trHeight w:val="197"/>
        </w:trPr>
        <w:tc>
          <w:tcPr>
            <w:tcW w:w="3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6"/>
        </w:trPr>
        <w:tc>
          <w:tcPr>
            <w:tcW w:w="39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tcPr>
          <w:p>
            <w:pPr>
              <w:spacing w:after="0"/>
              <w:rPr>
                <w:sz w:val="18"/>
                <w:szCs w:val="18"/>
                <w:color w:val="auto"/>
              </w:rPr>
            </w:pPr>
          </w:p>
        </w:tc>
        <w:tc>
          <w:tcPr>
            <w:tcW w:w="31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12,063,707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ind w:left="1220"/>
              <w:spacing w:after="0"/>
              <w:rPr>
                <w:sz w:val="20"/>
                <w:szCs w:val="20"/>
                <w:color w:val="auto"/>
              </w:rPr>
            </w:pPr>
            <w:r>
              <w:rPr>
                <w:rFonts w:ascii="Arial" w:cs="Arial" w:eastAsia="Arial" w:hAnsi="Arial"/>
                <w:sz w:val="18"/>
                <w:szCs w:val="18"/>
                <w:color w:val="auto"/>
              </w:rPr>
              <w:t>524</w:t>
            </w:r>
            <w:r>
              <w:rPr>
                <w:rFonts w:ascii="Arial" w:cs="Arial" w:eastAsia="Arial" w:hAnsi="Arial"/>
                <w:sz w:val="11"/>
                <w:szCs w:val="11"/>
                <w:color w:val="auto"/>
              </w:rPr>
              <w:t>(3)</w:t>
            </w:r>
          </w:p>
        </w:tc>
      </w:tr>
      <w:tr>
        <w:trPr>
          <w:trHeight w:val="216"/>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Marketed Offerings</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11,500,000</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220"/>
              <w:spacing w:after="0" w:line="216" w:lineRule="exact"/>
              <w:rPr>
                <w:sz w:val="20"/>
                <w:szCs w:val="20"/>
                <w:color w:val="auto"/>
              </w:rPr>
            </w:pPr>
            <w:r>
              <w:rPr>
                <w:rFonts w:ascii="Arial" w:cs="Arial" w:eastAsia="Arial" w:hAnsi="Arial"/>
                <w:sz w:val="18"/>
                <w:szCs w:val="18"/>
                <w:color w:val="auto"/>
              </w:rPr>
              <w:t>455</w:t>
            </w:r>
            <w:r>
              <w:rPr>
                <w:rFonts w:ascii="Arial" w:cs="Arial" w:eastAsia="Arial" w:hAnsi="Arial"/>
                <w:sz w:val="23"/>
                <w:szCs w:val="23"/>
                <w:color w:val="auto"/>
                <w:vertAlign w:val="superscript"/>
              </w:rPr>
              <w:t>(4)</w:t>
            </w:r>
          </w:p>
        </w:tc>
      </w:tr>
      <w:tr>
        <w:trPr>
          <w:trHeight w:val="250"/>
        </w:trPr>
        <w:tc>
          <w:tcPr>
            <w:tcW w:w="424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2012 Total</w:t>
            </w:r>
          </w:p>
        </w:tc>
        <w:tc>
          <w:tcPr>
            <w:tcW w:w="28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23,563,707</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b w:val="1"/>
                <w:bCs w:val="1"/>
                <w:color w:val="auto"/>
                <w:w w:val="79"/>
              </w:rPr>
              <w:t>979</w:t>
            </w:r>
          </w:p>
        </w:tc>
        <w:tc>
          <w:tcPr>
            <w:tcW w:w="340" w:type="dxa"/>
            <w:vAlign w:val="bottom"/>
            <w:tcBorders>
              <w:bottom w:val="single" w:sz="8" w:color="CCEEFF"/>
            </w:tcBorders>
          </w:tcPr>
          <w:p>
            <w:pPr>
              <w:spacing w:after="0"/>
              <w:rPr>
                <w:sz w:val="21"/>
                <w:szCs w:val="21"/>
                <w:color w:val="auto"/>
              </w:rPr>
            </w:pPr>
          </w:p>
        </w:tc>
      </w:tr>
      <w:tr>
        <w:trPr>
          <w:trHeight w:val="197"/>
        </w:trPr>
        <w:tc>
          <w:tcPr>
            <w:tcW w:w="3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6"/>
        </w:trPr>
        <w:tc>
          <w:tcPr>
            <w:tcW w:w="39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280" w:type="dxa"/>
            <w:vAlign w:val="bottom"/>
          </w:tcPr>
          <w:p>
            <w:pPr>
              <w:spacing w:after="0"/>
              <w:rPr>
                <w:sz w:val="18"/>
                <w:szCs w:val="18"/>
                <w:color w:val="auto"/>
              </w:rPr>
            </w:pPr>
          </w:p>
        </w:tc>
        <w:tc>
          <w:tcPr>
            <w:tcW w:w="31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Marketed Offerings</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27,870,000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ind w:left="1220"/>
              <w:spacing w:after="0"/>
              <w:rPr>
                <w:sz w:val="20"/>
                <w:szCs w:val="20"/>
                <w:color w:val="auto"/>
              </w:rPr>
            </w:pPr>
            <w:r>
              <w:rPr>
                <w:rFonts w:ascii="Arial" w:cs="Arial" w:eastAsia="Arial" w:hAnsi="Arial"/>
                <w:sz w:val="18"/>
                <w:szCs w:val="18"/>
                <w:color w:val="auto"/>
              </w:rPr>
              <w:t>889</w:t>
            </w:r>
            <w:r>
              <w:rPr>
                <w:rFonts w:ascii="Arial" w:cs="Arial" w:eastAsia="Arial" w:hAnsi="Arial"/>
                <w:sz w:val="11"/>
                <w:szCs w:val="11"/>
                <w:color w:val="auto"/>
              </w:rPr>
              <w:t>(4)</w:t>
            </w:r>
          </w:p>
        </w:tc>
      </w:tr>
      <w:tr>
        <w:trPr>
          <w:trHeight w:val="210"/>
        </w:trPr>
        <w:tc>
          <w:tcPr>
            <w:tcW w:w="4240" w:type="dxa"/>
            <w:vAlign w:val="bottom"/>
            <w:tcBorders>
              <w:top w:val="single" w:sz="8" w:color="CCEEFF"/>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2011 Total</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27,870,000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b w:val="1"/>
                <w:bCs w:val="1"/>
                <w:color w:val="auto"/>
                <w:w w:val="79"/>
              </w:rPr>
              <w:t>889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25" w:lineRule="exact"/>
        <w:rPr>
          <w:sz w:val="20"/>
          <w:szCs w:val="20"/>
          <w:color w:val="auto"/>
        </w:rPr>
      </w:pPr>
    </w:p>
    <w:p>
      <w:pPr>
        <w:ind w:left="20" w:right="360" w:hanging="11"/>
        <w:spacing w:after="0" w:line="277" w:lineRule="auto"/>
        <w:rPr>
          <w:sz w:val="20"/>
          <w:szCs w:val="20"/>
          <w:color w:val="auto"/>
        </w:rPr>
      </w:pPr>
      <w:r>
        <w:rPr>
          <w:rFonts w:ascii="Arial" w:cs="Arial" w:eastAsia="Arial" w:hAnsi="Arial"/>
          <w:sz w:val="18"/>
          <w:szCs w:val="18"/>
          <w:color w:val="auto"/>
        </w:rPr>
        <w:t>Amounts include our general partner’s proportionate capital contributions of approximately $9 million, $20 million and $19 million during 2013, 2012 and 2011, respectively.</w:t>
      </w:r>
    </w:p>
    <w:p>
      <w:pPr>
        <w:spacing w:after="0" w:line="170" w:lineRule="exact"/>
        <w:rPr>
          <w:sz w:val="20"/>
          <w:szCs w:val="20"/>
          <w:color w:val="auto"/>
        </w:rPr>
      </w:pPr>
    </w:p>
    <w:p>
      <w:pPr>
        <w:ind w:left="20" w:right="100" w:hanging="11"/>
        <w:spacing w:after="0" w:line="264" w:lineRule="auto"/>
        <w:rPr>
          <w:sz w:val="20"/>
          <w:szCs w:val="20"/>
          <w:color w:val="auto"/>
        </w:rPr>
      </w:pPr>
      <w:r>
        <w:rPr>
          <w:rFonts w:ascii="Arial" w:cs="Arial" w:eastAsia="Arial" w:hAnsi="Arial"/>
          <w:sz w:val="18"/>
          <w:szCs w:val="18"/>
          <w:color w:val="auto"/>
        </w:rPr>
        <w:t>We pay commissions to our sales agents in connection with common unit issuances under our Continuous Offering Program. We paid approximately $5 million and $6 million of such commissions during 2013 and 2012, respectively. The net proceeds from these offerings were used for general partnership purposes.</w:t>
      </w:r>
    </w:p>
    <w:p>
      <w:pPr>
        <w:spacing w:after="0" w:line="181"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These offerings of our common units were underwritten transactions that required us to pay a gross spread. The net proceeds from these offerings were used to reduce outstanding borrowings under our credit facilities and for general partnership purposes.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During the last three years we issued senior unsecured notes as summarized in the table below (in millions):</w:t>
      </w:r>
    </w:p>
    <w:p>
      <w:pPr>
        <w:spacing w:after="0" w:line="200" w:lineRule="exact"/>
        <w:rPr>
          <w:sz w:val="20"/>
          <w:szCs w:val="20"/>
          <w:color w:val="auto"/>
        </w:rPr>
      </w:pPr>
    </w:p>
    <w:p>
      <w:pPr>
        <w:sectPr>
          <w:pgSz w:w="11900" w:h="16838" w:orient="portrait"/>
          <w:cols w:equalWidth="0" w:num="2">
            <w:col w:w="140" w:space="500"/>
            <w:col w:w="10820"/>
          </w:cols>
          <w:pgMar w:left="240" w:top="125" w:right="199" w:bottom="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3680" w:type="dxa"/>
            <w:vAlign w:val="bottom"/>
          </w:tcPr>
          <w:p>
            <w:pPr>
              <w:ind w:left="1720"/>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ind w:left="42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Face Value</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Proceeds</w:t>
            </w:r>
            <w:r>
              <w:rPr>
                <w:rFonts w:ascii="Arial" w:cs="Arial" w:eastAsia="Arial" w:hAnsi="Arial"/>
                <w:sz w:val="8"/>
                <w:szCs w:val="8"/>
                <w:b w:val="1"/>
                <w:bCs w:val="1"/>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3.85%</w:t>
            </w:r>
          </w:p>
        </w:tc>
        <w:tc>
          <w:tcPr>
            <w:tcW w:w="368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8"/>
                <w:szCs w:val="18"/>
                <w:color w:val="auto"/>
                <w:w w:val="93"/>
              </w:rPr>
              <w:t xml:space="preserve">Senior Notes issued at 99.792% of face value </w:t>
            </w:r>
            <w:r>
              <w:rPr>
                <w:rFonts w:ascii="Arial" w:cs="Arial" w:eastAsia="Arial" w:hAnsi="Arial"/>
                <w:sz w:val="23"/>
                <w:szCs w:val="23"/>
                <w:color w:val="auto"/>
                <w:w w:val="93"/>
                <w:vertAlign w:val="superscript"/>
              </w:rPr>
              <w:t>(2)</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2023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2.85%</w:t>
            </w:r>
          </w:p>
        </w:tc>
        <w:tc>
          <w:tcPr>
            <w:tcW w:w="36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w w:val="93"/>
              </w:rPr>
              <w:t xml:space="preserve">Senior Notes issued at 99.752% of face value </w:t>
            </w:r>
            <w:r>
              <w:rPr>
                <w:rFonts w:ascii="Arial" w:cs="Arial" w:eastAsia="Arial" w:hAnsi="Arial"/>
                <w:sz w:val="23"/>
                <w:szCs w:val="23"/>
                <w:color w:val="auto"/>
                <w:w w:val="93"/>
                <w:vertAlign w:val="superscript"/>
              </w:rPr>
              <w:t>(2)</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January 2023</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4.30%</w:t>
            </w:r>
          </w:p>
        </w:tc>
        <w:tc>
          <w:tcPr>
            <w:tcW w:w="3680" w:type="dxa"/>
            <w:vAlign w:val="bottom"/>
          </w:tcPr>
          <w:p>
            <w:pPr>
              <w:ind w:left="20"/>
              <w:spacing w:after="0" w:line="216" w:lineRule="exact"/>
              <w:rPr>
                <w:sz w:val="20"/>
                <w:szCs w:val="20"/>
                <w:color w:val="auto"/>
              </w:rPr>
            </w:pPr>
            <w:r>
              <w:rPr>
                <w:rFonts w:ascii="Arial" w:cs="Arial" w:eastAsia="Arial" w:hAnsi="Arial"/>
                <w:sz w:val="18"/>
                <w:szCs w:val="18"/>
                <w:color w:val="auto"/>
                <w:w w:val="93"/>
              </w:rPr>
              <w:t xml:space="preserve">Senior Notes issued at 99.925% of face value </w:t>
            </w:r>
            <w:r>
              <w:rPr>
                <w:rFonts w:ascii="Arial" w:cs="Arial" w:eastAsia="Arial" w:hAnsi="Arial"/>
                <w:sz w:val="23"/>
                <w:szCs w:val="23"/>
                <w:color w:val="auto"/>
                <w:w w:val="93"/>
                <w:vertAlign w:val="superscript"/>
              </w:rPr>
              <w:t>(2)</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January 2043</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w:t>
            </w:r>
          </w:p>
        </w:tc>
        <w:tc>
          <w:tcPr>
            <w:tcW w:w="36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w w:val="93"/>
              </w:rPr>
              <w:t xml:space="preserve">Senior Notes issued at 99.823% of face value </w:t>
            </w:r>
            <w:r>
              <w:rPr>
                <w:rFonts w:ascii="Arial" w:cs="Arial" w:eastAsia="Arial" w:hAnsi="Arial"/>
                <w:sz w:val="23"/>
                <w:szCs w:val="23"/>
                <w:color w:val="auto"/>
                <w:w w:val="93"/>
                <w:vertAlign w:val="superscript"/>
              </w:rPr>
              <w:t>(3)</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June 2022</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5.15%</w:t>
            </w:r>
          </w:p>
        </w:tc>
        <w:tc>
          <w:tcPr>
            <w:tcW w:w="3680" w:type="dxa"/>
            <w:vAlign w:val="bottom"/>
          </w:tcPr>
          <w:p>
            <w:pPr>
              <w:ind w:left="20"/>
              <w:spacing w:after="0" w:line="216" w:lineRule="exact"/>
              <w:rPr>
                <w:sz w:val="20"/>
                <w:szCs w:val="20"/>
                <w:color w:val="auto"/>
              </w:rPr>
            </w:pPr>
            <w:r>
              <w:rPr>
                <w:rFonts w:ascii="Arial" w:cs="Arial" w:eastAsia="Arial" w:hAnsi="Arial"/>
                <w:sz w:val="18"/>
                <w:szCs w:val="18"/>
                <w:color w:val="auto"/>
                <w:w w:val="93"/>
              </w:rPr>
              <w:t xml:space="preserve">Senior Notes issued at 99.755% of face value </w:t>
            </w:r>
            <w:r>
              <w:rPr>
                <w:rFonts w:ascii="Arial" w:cs="Arial" w:eastAsia="Arial" w:hAnsi="Arial"/>
                <w:sz w:val="23"/>
                <w:szCs w:val="23"/>
                <w:color w:val="auto"/>
                <w:w w:val="93"/>
                <w:vertAlign w:val="superscript"/>
              </w:rPr>
              <w:t>(3)</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June 2042</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vMerge w:val="continue"/>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5.00%</w:t>
            </w:r>
          </w:p>
        </w:tc>
        <w:tc>
          <w:tcPr>
            <w:tcW w:w="3680" w:type="dxa"/>
            <w:vAlign w:val="bottom"/>
          </w:tcPr>
          <w:p>
            <w:pPr>
              <w:ind w:left="20"/>
              <w:spacing w:after="0"/>
              <w:rPr>
                <w:sz w:val="20"/>
                <w:szCs w:val="20"/>
                <w:color w:val="auto"/>
              </w:rPr>
            </w:pPr>
            <w:r>
              <w:rPr>
                <w:rFonts w:ascii="Arial" w:cs="Arial" w:eastAsia="Arial" w:hAnsi="Arial"/>
                <w:sz w:val="18"/>
                <w:szCs w:val="18"/>
                <w:color w:val="auto"/>
                <w:w w:val="93"/>
              </w:rPr>
              <w:t xml:space="preserve">Senior Notes issued at 99.521% of face value </w:t>
            </w:r>
            <w:r>
              <w:rPr>
                <w:rFonts w:ascii="Arial" w:cs="Arial" w:eastAsia="Arial" w:hAnsi="Arial"/>
                <w:sz w:val="23"/>
                <w:szCs w:val="23"/>
                <w:color w:val="auto"/>
                <w:w w:val="93"/>
                <w:vertAlign w:val="superscript"/>
              </w:rPr>
              <w:t>(4)</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February 2021</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6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248"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We used the net proceeds from this offering to repay outstanding borrowings under our credit facilities or commercial paper program and for general partnership purposes.</w:t>
      </w:r>
    </w:p>
    <w:p>
      <w:pPr>
        <w:spacing w:after="0" w:line="170" w:lineRule="exact"/>
        <w:rPr>
          <w:sz w:val="20"/>
          <w:szCs w:val="20"/>
          <w:color w:val="auto"/>
        </w:rPr>
      </w:pPr>
    </w:p>
    <w:p>
      <w:pPr>
        <w:ind w:left="20" w:right="480" w:hanging="11"/>
        <w:spacing w:after="0" w:line="264" w:lineRule="auto"/>
        <w:rPr>
          <w:sz w:val="20"/>
          <w:szCs w:val="20"/>
          <w:color w:val="auto"/>
        </w:rPr>
      </w:pPr>
      <w:r>
        <w:rPr>
          <w:rFonts w:ascii="Arial" w:cs="Arial" w:eastAsia="Arial" w:hAnsi="Arial"/>
          <w:sz w:val="18"/>
          <w:szCs w:val="18"/>
          <w:color w:val="auto"/>
        </w:rPr>
        <w:t>We used the net proceeds from this offering to repay outstanding borrowings under our credit facilities and for general partnership purposes. In addition, we used a portion of the proceeds to prefund the BP NGL Acquisition. See Note 3 to our Consolidated Financial Statements for a discussion of the BP NGL Acquisition.</w:t>
      </w:r>
    </w:p>
    <w:p>
      <w:pPr>
        <w:spacing w:after="0" w:line="181" w:lineRule="exact"/>
        <w:rPr>
          <w:sz w:val="20"/>
          <w:szCs w:val="20"/>
          <w:color w:val="auto"/>
        </w:rPr>
      </w:pPr>
    </w:p>
    <w:p>
      <w:pPr>
        <w:sectPr>
          <w:pgSz w:w="11900" w:h="16838" w:orient="portrait"/>
          <w:cols w:equalWidth="0" w:num="2">
            <w:col w:w="140" w:space="500"/>
            <w:col w:w="10820"/>
          </w:cols>
          <w:pgMar w:left="240" w:top="125" w:right="199" w:bottom="0" w:gutter="0" w:footer="0" w:header="0"/>
          <w:type w:val="continuous"/>
        </w:sectPr>
      </w:pPr>
    </w:p>
    <w:p>
      <w:pPr>
        <w:ind w:left="660" w:right="180" w:hanging="652"/>
        <w:spacing w:after="0" w:line="267" w:lineRule="auto"/>
        <w:tabs>
          <w:tab w:leader="none" w:pos="648"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We used the net proceeds from this offering to repay outstanding borrowings under our credit facilities and for general partnership purposes. In addition, we used a portion of the proceeds to redeem all of our outstanding $200 million, 7.75% senior notes due 2012, as discussed further below.</w:t>
      </w:r>
    </w:p>
    <w:p>
      <w:pPr>
        <w:spacing w:after="0" w:line="17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In December 2013, our $250 million, 5.63% senior notes matured and were repaid with proceeds from our commercial paper program. In September 2012, our $500 million, 4.25% senior notes matured and were repaid with proceeds from our credit facilities.</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February 2011, our $200 million, 7.75% senior notes due 2012 were redeemed in full. In conjunction with the early redemption, we recognized a loss of approximately $23 million. We utilized cash on hand and available capacity under our credit facilities to redeem these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 and Distributions Paid to Our Unitholders, General Partner and Noncontrolling Interests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to operating needs discussed above, 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“—Acquisitions and Internal Growth Projects” for further discussion of such capital expenditures.</w:t>
      </w:r>
    </w:p>
    <w:p>
      <w:pPr>
        <w:sectPr>
          <w:pgSz w:w="11900" w:h="16838" w:orient="portrait"/>
          <w:cols w:equalWidth="0" w:num="1">
            <w:col w:w="11460"/>
          </w:cols>
          <w:pgMar w:left="240" w:top="125" w:right="199" w:bottom="0" w:gutter="0" w:footer="0" w:header="0"/>
          <w:type w:val="continuous"/>
        </w:sectPr>
      </w:pPr>
    </w:p>
    <w:bookmarkStart w:id="67" w:name="page68"/>
    <w:bookmarkEnd w:id="67"/>
    <w:p>
      <w:pPr>
        <w:spacing w:after="0" w:line="150"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the acquisitions includes cash paid, assumed liabilities and net working capital items. Because of the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total price of the acquisition and the timing of certain cash payments, the net cash paid may differ significantly from the total price of the acquisitions completed during the year.</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2014 Capital Expansion Projects. </w:t>
      </w:r>
      <w:r>
        <w:rPr>
          <w:rFonts w:ascii="Arial" w:cs="Arial" w:eastAsia="Arial" w:hAnsi="Arial"/>
          <w:sz w:val="18"/>
          <w:szCs w:val="18"/>
          <w:color w:val="auto"/>
        </w:rPr>
        <w:t>We expect the majority of funding for our 2014 capital program will be provided by borrowings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commercial paper program and cash flow in excess of partnership distributions as well as through our access to the capital markets for equity and debt as we deem necessary. Our 2014 capital expansion program includes the following projects with the estimated cost for the entire year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400" w:type="dxa"/>
            <w:vAlign w:val="bottom"/>
          </w:tcPr>
          <w:p>
            <w:pPr>
              <w:jc w:val="right"/>
              <w:ind w:right="331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520" w:type="dxa"/>
            <w:vAlign w:val="bottom"/>
            <w:tcBorders>
              <w:bottom w:val="single" w:sz="8" w:color="010101"/>
            </w:tcBorders>
          </w:tcPr>
          <w:p>
            <w:pPr>
              <w:spacing w:after="0"/>
              <w:rPr>
                <w:sz w:val="11"/>
                <w:szCs w:val="11"/>
                <w:color w:val="auto"/>
              </w:rPr>
            </w:pPr>
          </w:p>
        </w:tc>
        <w:tc>
          <w:tcPr>
            <w:tcW w:w="4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48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Projects</w:t>
            </w:r>
          </w:p>
        </w:tc>
        <w:tc>
          <w:tcPr>
            <w:tcW w:w="35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9"/>
              </w:rPr>
              <w:t>$430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Cactus Pipeline</w:t>
            </w: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3"/>
              </w:rPr>
              <w:t>310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Ft. Sask Facility Projects / NGL Pipeline</w:t>
            </w: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3"/>
              </w:rPr>
              <w:t>180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Western Oklahoma Extension</w:t>
            </w: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White Cliffs Expansion</w:t>
            </w: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Gardendale Fractionator and Stabilizer</w:t>
            </w: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Storage (Multiple Projects)</w:t>
            </w: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Projects</w:t>
            </w:r>
          </w:p>
        </w:tc>
        <w:tc>
          <w:tcPr>
            <w:tcW w:w="44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305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$1,700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Potential Adjustments for Timing/Scope Refinement </w:t>
            </w:r>
            <w:r>
              <w:rPr>
                <w:rFonts w:ascii="Arial" w:cs="Arial" w:eastAsia="Arial" w:hAnsi="Arial"/>
                <w:sz w:val="23"/>
                <w:szCs w:val="23"/>
                <w:color w:val="auto"/>
                <w:vertAlign w:val="superscript"/>
              </w:rPr>
              <w:t>(2)</w:t>
            </w:r>
          </w:p>
        </w:tc>
        <w:tc>
          <w:tcPr>
            <w:tcW w:w="54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5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89"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located in or near Bakersfield, CA, Carr, Co, Van Hook, ND and Western Canada.</w:t>
      </w:r>
    </w:p>
    <w:p>
      <w:pPr>
        <w:spacing w:after="0" w:line="225" w:lineRule="exact"/>
        <w:rPr>
          <w:sz w:val="20"/>
          <w:szCs w:val="20"/>
          <w:color w:val="auto"/>
        </w:rPr>
      </w:pPr>
    </w:p>
    <w:p>
      <w:pPr>
        <w:ind w:left="20" w:right="66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70" w:lineRule="exact"/>
        <w:rPr>
          <w:sz w:val="20"/>
          <w:szCs w:val="20"/>
          <w:color w:val="auto"/>
        </w:rPr>
      </w:pPr>
    </w:p>
    <w:p>
      <w:pPr>
        <w:sectPr>
          <w:pgSz w:w="11900" w:h="16989" w:orient="portrait"/>
          <w:cols w:equalWidth="0" w:num="2">
            <w:col w:w="140" w:space="500"/>
            <w:col w:w="10820"/>
          </w:cols>
          <w:pgMar w:left="240" w:top="125" w:right="199" w:bottom="0" w:gutter="0" w:footer="0" w:header="0"/>
          <w:type w:val="continuous"/>
        </w:sect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Distributions to our unitholders and general partner. </w:t>
      </w:r>
      <w:r>
        <w:rPr>
          <w:rFonts w:ascii="Arial" w:cs="Arial" w:eastAsia="Arial" w:hAnsi="Arial"/>
          <w:sz w:val="17"/>
          <w:szCs w:val="17"/>
          <w:color w:val="auto"/>
        </w:rPr>
        <w:t>We distribute 100% of our available cash within 45 days after the end of each quarter to</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of record and to our general partner. Available cash is generally defined as all of our cash and cash equivalents on hand at the end of each quarter less reserves established in the discretion of our general partner for future requirements. On February 14, 2014, we paid a quarterly distribution of $0.6150 per limited partner unit. This distribution represents a year-over-year distribution increase of approximately 9.3%. See Note 10 to our Consolidated Financial Statements for details of distributions paid. Also, see Item 5. “Market for Registrant’s Common Units, Related Unitholder Matters and Issuer Purchases of Equity Securities—Cash Distribution Policy” for additional discussion on distributions.</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Although not required to do so, in response to past requests by our management in connection with our acquisition activities, our general partner has, from time to time, agreed to reduce amounts due to it as incentive distributions. Such modifications were implemented with a view toward enhancing our competitiveness for such acquisitions and managing the overall cost of equity capital while achieving an appropriate balance between short-term and long-term accretion to our limited partners and the holders of our general partner interest and IDRs. Our general partner agreed to reduce the amount of its incentive distribution by $3.75 million per quarter for distributions paid during 2013, $6.75 million for the distribution paid in February 2014, $5.5 million per quarter thereafter through November 2015, $5 million per quarter in 2016 and $3.75 million per quarter thereafter. These reductions were agreed to in connection with our BP NGL Acquisition and the completion of the PNG Merger on December 31, 2013. See Note 3 to our Consolidated Financial Statements for further discussion of the BP NGL Acquisition. See Note 10 to our Consolidated Financial Statements for further discussion of the PNG Merger. During 2013, our general partner’s incentive distributions were reduced by $15 million.</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We paid approximately $49 million and $48 million for distributions to our noncontrolling interests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2013 and 2012, respectively. These amounts represent distributions paid on interests in PNG and SLC that were not owned by us. We completed the PNG Merger on December 31, 2013, through which we purchased all of the noncontrolling interests in PNG. See Note 10 to our Consolidated Financial Statements for further discussion of the PNG Merger.</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16 to our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approximately ten years. We establish a</w:t>
      </w:r>
    </w:p>
    <w:p>
      <w:pPr>
        <w:sectPr>
          <w:pgSz w:w="11900" w:h="16989" w:orient="portrait"/>
          <w:cols w:equalWidth="0" w:num="1">
            <w:col w:w="11460"/>
          </w:cols>
          <w:pgMar w:left="240" w:top="125" w:right="199" w:bottom="0" w:gutter="0" w:footer="0" w:header="0"/>
          <w:type w:val="continuous"/>
        </w:sectPr>
      </w:pPr>
    </w:p>
    <w:bookmarkStart w:id="68" w:name="page69"/>
    <w:bookmarkEnd w:id="68"/>
    <w:p>
      <w:pPr>
        <w:ind w:right="40"/>
        <w:spacing w:after="0" w:line="273" w:lineRule="auto"/>
        <w:rPr>
          <w:sz w:val="20"/>
          <w:szCs w:val="20"/>
          <w:color w:val="auto"/>
        </w:rPr>
      </w:pPr>
      <w:r>
        <w:rPr>
          <w:rFonts w:ascii="Arial" w:cs="Arial" w:eastAsia="Arial" w:hAnsi="Arial"/>
          <w:sz w:val="17"/>
          <w:szCs w:val="17"/>
          <w:color w:val="auto"/>
        </w:rPr>
        <w:t>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2019 and</w:t>
            </w: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related interest</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7"/>
              </w:rPr>
              <w:t>Crude oil, natural gas, NGL and other purchases</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9,952</w:t>
            </w: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3,634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7,503</w:t>
            </w: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32,379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40" w:hanging="11"/>
        <w:spacing w:after="0" w:line="259" w:lineRule="auto"/>
        <w:rPr>
          <w:sz w:val="20"/>
          <w:szCs w:val="20"/>
          <w:color w:val="auto"/>
        </w:rPr>
      </w:pPr>
      <w:r>
        <w:rPr>
          <w:rFonts w:ascii="Arial" w:cs="Arial" w:eastAsia="Arial" w:hAnsi="Arial"/>
          <w:sz w:val="18"/>
          <w:szCs w:val="18"/>
          <w:color w:val="auto"/>
        </w:rPr>
        <w:t>Includes debt service payments, interest payments due on our senior notes and the commitment fee on assumed available capacity under the PAA revolving credit facilities. Although there may be short-term borrowings on the PAA revolving credit facilities, we historically repay and borrow at varying amounts. As such, we have included only the maximum commitment fee (as if no short-term borrowings were outstanding on the facilities) in the amounts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ind w:left="20" w:right="360" w:hanging="11"/>
        <w:spacing w:after="0" w:line="286" w:lineRule="auto"/>
        <w:rPr>
          <w:sz w:val="20"/>
          <w:szCs w:val="20"/>
          <w:color w:val="auto"/>
        </w:rPr>
      </w:pPr>
      <w:r>
        <w:rPr>
          <w:rFonts w:ascii="Arial" w:cs="Arial" w:eastAsia="Arial" w:hAnsi="Arial"/>
          <w:sz w:val="17"/>
          <w:szCs w:val="17"/>
          <w:color w:val="auto"/>
        </w:rPr>
        <w:t>Includes (i) other long-term liabilities, (ii) storage and transportation agreements and (iii) commitments related to our capital expansion projects, including projected contributions for our share of the capital spending of our equity-method investments. Excludes a non-current liability of approximately $1 million related to derivative activity included in Crude oil, natural gas, NGL and other purchases.</w:t>
      </w:r>
    </w:p>
    <w:p>
      <w:pPr>
        <w:spacing w:after="0" w:line="166"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ind w:left="660" w:right="100" w:hanging="652"/>
        <w:spacing w:after="0" w:line="249" w:lineRule="auto"/>
        <w:tabs>
          <w:tab w:leader="none" w:pos="648" w:val="left"/>
        </w:tabs>
        <w:numPr>
          <w:ilvl w:val="0"/>
          <w:numId w:val="72"/>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December 2013.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supply and logistics activities, we provide certain suppliers with irrevocable standby letters of credit to secure</w:t>
      </w:r>
      <w:r>
        <w:rPr>
          <w:rFonts w:ascii="Arial" w:cs="Arial" w:eastAsia="Arial" w:hAnsi="Arial"/>
          <w:sz w:val="17"/>
          <w:szCs w:val="17"/>
          <w:i w:val="1"/>
          <w:iCs w:val="1"/>
          <w:color w:val="auto"/>
        </w:rPr>
        <w:t xml:space="preserve"> </w:t>
      </w:r>
      <w:r>
        <w:rPr>
          <w:rFonts w:ascii="Arial" w:cs="Arial" w:eastAsia="Arial" w:hAnsi="Arial"/>
          <w:sz w:val="17"/>
          <w:szCs w:val="17"/>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and construction activities. At December 31, 2013 and 2012, we had outstanding letters of credit of approximately $41 million and $24 million,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2013 (unaudited,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Our</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Total Cash</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 Entity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Entity</w:t>
            </w:r>
          </w:p>
        </w:tc>
        <w:tc>
          <w:tcPr>
            <w:tcW w:w="0" w:type="dxa"/>
            <w:vAlign w:val="bottom"/>
          </w:tcPr>
          <w:p>
            <w:pPr>
              <w:spacing w:after="0"/>
              <w:rPr>
                <w:sz w:val="1"/>
                <w:szCs w:val="1"/>
                <w:color w:val="auto"/>
              </w:rPr>
            </w:pPr>
          </w:p>
        </w:tc>
      </w:tr>
      <w:tr>
        <w:trPr>
          <w:trHeight w:val="149"/>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300" w:type="dxa"/>
            <w:vAlign w:val="bottom"/>
            <w:vMerge w:val="restart"/>
          </w:tcPr>
          <w:p>
            <w:pPr>
              <w:spacing w:after="0"/>
              <w:rPr>
                <w:sz w:val="12"/>
                <w:szCs w:val="12"/>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300" w:type="dxa"/>
            <w:vAlign w:val="bottom"/>
            <w:vMerge w:val="restart"/>
          </w:tcPr>
          <w:p>
            <w:pPr>
              <w:spacing w:after="0"/>
              <w:rPr>
                <w:sz w:val="12"/>
                <w:szCs w:val="12"/>
                <w:color w:val="auto"/>
              </w:rPr>
            </w:pPr>
          </w:p>
        </w:tc>
        <w:tc>
          <w:tcPr>
            <w:tcW w:w="8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Ownership</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Cash</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3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Eagle Ford Pipeline LLC</w:t>
            </w:r>
          </w:p>
        </w:tc>
        <w:tc>
          <w:tcPr>
            <w:tcW w:w="3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ectPr>
          <w:pgSz w:w="11900" w:h="16838" w:orient="portrait"/>
          <w:cols w:equalWidth="0" w:num="1">
            <w:col w:w="11420"/>
          </w:cols>
          <w:pgMar w:left="240" w:top="125" w:right="239" w:bottom="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1260" w:hanging="280"/>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 and refined products</w:t>
      </w:r>
    </w:p>
    <w:p>
      <w:pPr>
        <w:spacing w:after="0" w:line="225"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87" w:lineRule="exact"/>
        <w:rPr>
          <w:sz w:val="20"/>
          <w:szCs w:val="20"/>
          <w:color w:val="auto"/>
        </w:rPr>
      </w:pPr>
    </w:p>
    <w:p>
      <w:pPr>
        <w:ind w:left="1260" w:hanging="280"/>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1300" w:right="200"/>
        <w:spacing w:after="0" w:line="286" w:lineRule="auto"/>
        <w:rPr>
          <w:sz w:val="20"/>
          <w:szCs w:val="20"/>
          <w:color w:val="auto"/>
        </w:rPr>
      </w:pPr>
      <w:r>
        <w:rPr>
          <w:rFonts w:ascii="Arial" w:cs="Arial" w:eastAsia="Arial" w:hAnsi="Arial"/>
          <w:sz w:val="17"/>
          <w:szCs w:val="17"/>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66" w:lineRule="exact"/>
        <w:rPr>
          <w:sz w:val="20"/>
          <w:szCs w:val="20"/>
          <w:color w:val="auto"/>
        </w:rPr>
      </w:pPr>
    </w:p>
    <w:p>
      <w:pPr>
        <w:ind w:left="1260" w:hanging="280"/>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i w:val="1"/>
          <w:iCs w:val="1"/>
          <w:u w:val="single" w:color="auto"/>
          <w:color w:val="auto"/>
        </w:rPr>
        <w:t>NGL</w:t>
      </w:r>
    </w:p>
    <w:p>
      <w:pPr>
        <w:spacing w:after="0" w:line="225" w:lineRule="exact"/>
        <w:rPr>
          <w:sz w:val="20"/>
          <w:szCs w:val="20"/>
          <w:color w:val="auto"/>
        </w:rPr>
      </w:pPr>
    </w:p>
    <w:p>
      <w:pPr>
        <w:ind w:left="1300" w:right="12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to our Consolidated Financial Statements for further discussion regarding our hedging strategies and objectives.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2013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8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Price Increase</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3"/>
              </w:rPr>
              <w:t>Price Decrease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Crude oil and related products</w:t>
            </w:r>
          </w:p>
        </w:tc>
        <w:tc>
          <w:tcPr>
            <w:tcW w:w="1080" w:type="dxa"/>
            <w:vAlign w:val="bottom"/>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December 31, 2013, approximately $1.1 billion, is subject to interest rate re-sets, which range from one week to three months. The average interest rate of approximately 1.4% is based upon rates in effect during the year ended December 31, 2013. The fair value of our interest rate derivatives is an asset of approximately $26 million as of December 31, 2013. A 10% increase in the forward LIBOR curve as of December 31, 2013 would result in an increase of approximately $19 million to the fair value of our interest rate derivatives. A 10% decrease in the forward LIBOR curve as of December 31, 2013 would result in a decrease of approximately $19 million to the fair value of our interest rate derivatives. See Note 11 to our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approximately $4 million as of December 31, 2013. A 10% increase in the exchange rate (USD-to-CAD) would result in a decrease of approximately $27 million to the fair value of our foreign currency derivatives. A 10% decrease in the exchange rate (USD-to-CAD) would result in an increase of approximately $28 million to the fair value of our foreign currency derivatives. See Note 11 to our Consolidated Financial Statements for a discussion of our currency exchange rate risk hedging.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2013. See Management’s Report on Internal Control Over Financial Reporting on page F-2 of our Consolidated Financial Statements.</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2013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and Governance</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Plains Midstream Canada ULC (“PMC” or “Plains Midstream Canada”)). GP LLC is the general partner of Plains AAP, L.P. (“AAP”), which is the sole member of PAA GP LLC, our general partner. Plains GP Holdings, L.P. (“PAGP”) is the sole member of GP LLC, and PAA GP Holdings LLC (“Holdings GP”) is the general partner of PAGP. References to our officers, directors and employees are references to the officers, directors and employees of GP LLC (or, in the case of our Canadian operations, Plains Midstream Canada).</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GP LLC manages our operations and activities; however, PAGP effectively controls our business and affairs through the exercise of its rights as the sole and managing member of GP LLC, including its right to appoint certain members to the board of directors of GP LLC. The business and affairs of GP LLC are managed by or under the direction of its Board of Directors, which we refer to as our “Board of Directors”. As provided in the Sixth Amended and Restated Limited Liability Company Agreement of GP LLC (the “GP LLC Agreement”), our Board of Directors consists of eight members, appointed as follows:</w:t>
      </w:r>
    </w:p>
    <w:p>
      <w:pPr>
        <w:spacing w:after="0" w:line="188" w:lineRule="exact"/>
        <w:rPr>
          <w:sz w:val="20"/>
          <w:szCs w:val="20"/>
          <w:color w:val="auto"/>
        </w:rPr>
      </w:pPr>
    </w:p>
    <w:p>
      <w:pPr>
        <w:ind w:left="980" w:right="180" w:hanging="324"/>
        <w:spacing w:after="0" w:line="256" w:lineRule="auto"/>
        <w:tabs>
          <w:tab w:leader="none" w:pos="9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Three of the members are the same individuals designated to serve on the board of directors of Holdings GP by the three members of Holdings GP that currently hold board designation rights for the Holdings GP board of directors (affiliates of Occidental Petroleum Corporation, Energy &amp; Minerals Group and Kayne Anderson Investment Management Inc.);</w:t>
      </w:r>
    </w:p>
    <w:p>
      <w:pPr>
        <w:ind w:left="980" w:right="200" w:hanging="324"/>
        <w:spacing w:after="0" w:line="250" w:lineRule="auto"/>
        <w:tabs>
          <w:tab w:leader="none" w:pos="9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Four of the members (three of whom must be independent directors eligible to serve on the audit committee) are elected, and may be removed, by PAGP, acting by majority vote through the board of directors of its general partner, Holdings GP; and</w:t>
      </w: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One of the members is the Chief Executive Officer of GP LLC.</w:t>
      </w:r>
    </w:p>
    <w:p>
      <w:pPr>
        <w:sectPr>
          <w:pgSz w:w="11900" w:h="16838" w:orient="portrait"/>
          <w:cols w:equalWidth="0" w:num="1">
            <w:col w:w="11420"/>
          </w:cols>
          <w:pgMar w:left="240" w:top="121" w:right="239" w:bottom="0" w:gutter="0" w:footer="0" w:header="0"/>
        </w:sectPr>
      </w:pPr>
    </w:p>
    <w:bookmarkStart w:id="71" w:name="page72"/>
    <w:bookmarkEnd w:id="71"/>
    <w:p>
      <w:pPr>
        <w:spacing w:after="0" w:line="255" w:lineRule="auto"/>
        <w:rPr>
          <w:sz w:val="20"/>
          <w:szCs w:val="20"/>
          <w:color w:val="auto"/>
        </w:rPr>
      </w:pPr>
      <w:r>
        <w:rPr>
          <w:rFonts w:ascii="Arial" w:cs="Arial" w:eastAsia="Arial" w:hAnsi="Arial"/>
          <w:sz w:val="18"/>
          <w:szCs w:val="18"/>
          <w:color w:val="auto"/>
        </w:rPr>
        <w:t>Any member of Holdings GP that accumulates an interest in AAP greater than 20% and does not otherwise have a Holdings GP board designation right may designate a Holdings GP director, except that there may be no more than three designated directors serving on the Holdings GP board at any one time. In the event a designated director ceases to serve as a director of the Holdings GP board of directors, such director will be automatically removed as a director of our board; the replacement for such director shall either be (i) the director appointed to the Holdings GP board by a subsequent designating member of Holdings GP or (ii) if there is no such subsequent designating member, an individual elected by PAGP acting by majority vote through the board of directors of Holdings GP.</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In addition,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CEO also serves as Chairman of the Board. The board has no policy with respect to the separation of the offices of chairman and CEO; rather, that relationship is currently defined and governed by the GP LLC Agreement and the employment agreement with the CEO, which currently require coincidence of the offices. However, pursuant to the terms of the GP LLC Agreement, if and when our Board of Directors elects a successor to our current CEO, by majority vote our Board of Directors may determine to separate the offices of CEO and Chairman of the Board. We do not have a lead independent director.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an ELR assessment to the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Non-management directors meet in executive session in connection with each regular board meeting. Each non-management director acts as presiding director at the regularly scheduled executive sessions, rotating alphabetically by last name.</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Because we are a limited partnership, the listing standards of the NYSE do not require that we or our general partner have a majority of independent directors on the board, nor that we establish or maintain a nominating or compensation committee of the board. We are, however, required to have an audit committee consisting of at least three members, all of whom are required to be “independent” as defined by the NYSE.</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has determined that Messrs. Goyanes, Petersen, Symonds and Temple are independent under applicable NYSE rules.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Goyanes, Symonds and Temple) is (i) “independent” under applicable NYSE rules and (ii) an “Audit Committee Financial Expert,” as that term is defined in Item 407 of Regulation S-K.</w:t>
      </w:r>
    </w:p>
    <w:p>
      <w:pPr>
        <w:spacing w:after="0" w:line="188"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None of the members of our audit committee has any relationships with either GP LLC or us, other than as a director and unitholder. Mr. Goyanes also serves as a director and member of the audit committee of the board of directors of Holdings GP. For additional information regarding the experience and qualifications of our directors, please read the biographical descriptions under “—Directors, Executive Officers and Other Officers”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and Ms. Sutil.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2013. The compensation committee has delegated limited authority to the CEO to administer our long-term incentive plans with respect to employees other than executive officers.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Other Committees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Although not required by the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and Symonds, both of whom (although not required in this context) are independent under the NYSE’s listing standards. As discussed above, three of the owners of Holdings GP each have the right to designate a member of the Board of Directors of Holdings GP, and by virtue of such designation such individual shall automatically serve as a member of our board of directors. In addition, Mr. Armstrong is a director by virtue of his office. In the event of a vacancy in the three required independent director seats, the governance committee will assist in identifying and screening potential candidates. Upon request of PAGP as the sole member of GP LLC, the governance committee is also available to assist in identifying and screening potential candidates for any vacant “at large” seats. The governance committee will base its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the GP LLC Agreement and our partnership agreement.</w:t>
      </w:r>
    </w:p>
    <w:p>
      <w:pPr>
        <w:spacing w:after="0" w:line="16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addition, our partnership agreement allows for the establishment or activation of a conflicts committee as circumstances warrant to review conflicts of interest between us and our general partner or the owners of our general partner. Such a committee will typically consist of a minimum of two members, none of whom can be (i) security holders, officers or employees of GP LLC, or (ii) directors, officers or employees of any affiliates of GP LLC. Our partnership agreement provides that any matters approved by the conflicts committee will be conclusively deemed to be fair and reasonable to us, approved by all of our partners, and not a breach by our general partner of any duties owed to us or our unitholders. See Item 13. “Certain Relationships and Related Transactions, and Director Independence—Review, Approval or Ratification of Transactions with Related Persons.”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last fiscal year, our board of directors had five meetings, our audit committee had nine meetings, our compensation committee had one meeting and our governance committee had one meeting. All directors have access to members of management, and a substantial amount of information transfer and informal communication occurs between meetings. None of our directors attended fewer than 75% of the aggregate number of meetings of the board of directors and committees of the board on which the director served.</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discussed above, GP LLC manages our operations and activities, and GP LLC is managed by or under the direction of its board of directors, whose members are either designated by certain members of Holdings GP or appointed by PAGP, as the sole member of GP LLC acting through the Holdings GP board of directors. Accordingly, unlike holders of common stock in a corporation, our unitholders have only limited voting rights on matters affecting our business or governance, subject in all cases to any specific unitholder rights contained in our partnership agreement. As a result, we do not hold regular annual meetings of unitholders for the purpose of electing directors or soliciting approval of any other routine matters. In November 2013, we held a special meeting of unitholders for the purpose of approving a new long-term incentive plan as required by NYSE listing standards.</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All of our standing committees have charters. Our committee charters and governance guidelines, as well as our Code of Business Conduct and our Code of Ethics for Senior Financial Officers, which apply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http://www.plainsallamerican.com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audit committee of our Board of Directors oversees the Partnership’s financial reporting process on behalf of the board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systems of internal controls.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discussed with PricewaterhouseCoopers LLP the matters required to be discussed by Public Company Accounting Oversight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Auditing Standard No. 16, Communications with Audit Committees. The committee received written disclosures and the letter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required by applicable requirements of the Public Company Accounting Oversight Board regarding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LLP’s communications with the audit committee concerning independence, and has discussed with PricewaterhouseCoopers LLP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independence from management and the Partnership.</w:t>
      </w:r>
    </w:p>
    <w:p>
      <w:pPr>
        <w:spacing w:after="0" w:line="211"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2013 for filing with the SEC.</w:t>
      </w:r>
    </w:p>
    <w:p>
      <w:pPr>
        <w:spacing w:after="0" w:line="1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 Taft Symonds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Christopher M. Temple</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Other Officers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As discussed above, three of the owners of membership interests in Holdings GP each have the right to separately designate a member of the board of directors of Holdings GP, and such designee in turn automatically becomes a member of our board. Such designees are indicated in footnote 2 to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ind w:left="560"/>
              <w:spacing w:after="0"/>
              <w:rPr>
                <w:sz w:val="20"/>
                <w:szCs w:val="20"/>
                <w:color w:val="auto"/>
              </w:rPr>
            </w:pPr>
            <w:r>
              <w:rPr>
                <w:rFonts w:ascii="Arial" w:cs="Arial" w:eastAsia="Arial" w:hAnsi="Arial"/>
                <w:sz w:val="14"/>
                <w:szCs w:val="14"/>
                <w:b w:val="1"/>
                <w:bCs w:val="1"/>
                <w:color w:val="auto"/>
              </w:rPr>
              <w:t>Age (as of</w:t>
            </w:r>
          </w:p>
        </w:tc>
        <w:tc>
          <w:tcPr>
            <w:tcW w:w="220" w:type="dxa"/>
            <w:vAlign w:val="bottom"/>
          </w:tcPr>
          <w:p>
            <w:pPr>
              <w:spacing w:after="0"/>
              <w:rPr>
                <w:sz w:val="14"/>
                <w:szCs w:val="14"/>
                <w:color w:val="auto"/>
              </w:rPr>
            </w:pPr>
          </w:p>
        </w:tc>
        <w:tc>
          <w:tcPr>
            <w:tcW w:w="692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8"/>
                <w:szCs w:val="8"/>
                <w:b w:val="1"/>
                <w:bCs w:val="1"/>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gridSpan w:val="4"/>
            <w:vMerge w:val="continue"/>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12/31/13)</w:t>
            </w:r>
          </w:p>
        </w:tc>
        <w:tc>
          <w:tcPr>
            <w:tcW w:w="220" w:type="dxa"/>
            <w:vAlign w:val="bottom"/>
          </w:tcPr>
          <w:p>
            <w:pPr>
              <w:spacing w:after="0"/>
              <w:rPr>
                <w:sz w:val="14"/>
                <w:szCs w:val="14"/>
                <w:color w:val="auto"/>
              </w:rPr>
            </w:pPr>
          </w:p>
        </w:tc>
        <w:tc>
          <w:tcPr>
            <w:tcW w:w="6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Borders>
              <w:top w:val="single" w:sz="8" w:color="CCEEFF"/>
            </w:tcBorders>
            <w:shd w:val="clear" w:color="auto" w:fill="CCEEFF"/>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Harry N. Pefanis*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President and Chief Operating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J. Gorman*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President—Operations and Business Development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Phillip D. Kramer*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K. McGee*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John R. Rutherford*</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 Swanson*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John P. vonBerg*</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President—Commercial Activities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Lawrence J. Dreyfuss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w w:val="95"/>
              </w:rPr>
              <w:t>Senior Vice President, General Counsel—Commercial &amp; Litigation and Assistant Secretary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Alfred A. Lindseth</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President—Technology, Process &amp; Risk Management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Daniel J. Nerbonne</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President—Engineering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Jason Balasch</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LPG Commercial and Facilities,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Samuel N. Brown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President—Pipeline Business Development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L. Cantrell</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President—Internal Audit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David Craig</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Chief Financial Officer,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Ralph R. Cross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Corporate Development,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Brad Deets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LPG Commercial,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Patrick Diamond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Roger D. Everett</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President—Human Resources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Ferrell</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President—Supply Chain Management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Bill Forward</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Finance,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B. Fryfogle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President—Refinery Supply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M.D. (Mike) Hallahan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Crude Oil and Truck Transportation,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 Herbold*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President—Accounting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Jim G. Hester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President—Natural Gas Gathering and Processing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Jensen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Christopher M. Kean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Engineering,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Keffer</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President—Terminals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Charles Kingswell-Smith</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Sterling Koch</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Health, Safety, Environment &amp; Regulatory,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Dwayne Koehn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President—Engineering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Mike Mikuska</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Pipelines Development and Logistics,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George N. Polydoros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President—Land and Office Services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M. Sanford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President—Lease Supply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David Schwarz</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Human Resources,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Sill</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Phil Smith</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President—Operations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Troy E. Valenzuela</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President—Environmental, Health and Safety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Walter van Zanten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President—Tax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Sandi Wingert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Corporate Services,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140" w:type="dxa"/>
            <w:vAlign w:val="bottom"/>
            <w:gridSpan w:val="2"/>
          </w:tcPr>
          <w:p>
            <w:pPr>
              <w:jc w:val="right"/>
              <w:ind w:right="5499"/>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280" w:type="dxa"/>
            <w:vAlign w:val="bottom"/>
            <w:tcBorders>
              <w:bottom w:val="single" w:sz="8" w:color="010101"/>
            </w:tcBorders>
            <w:gridSpan w:val="2"/>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Audit**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Gary R. Petersen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Director and Member of Compensation and Governance Committees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(2)</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line="216" w:lineRule="exact"/>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(2)</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Vicky Sutil</w:t>
            </w:r>
            <w:r>
              <w:rPr>
                <w:rFonts w:ascii="Arial" w:cs="Arial" w:eastAsia="Arial" w:hAnsi="Arial"/>
                <w:sz w:val="23"/>
                <w:szCs w:val="23"/>
                <w:color w:val="auto"/>
                <w:vertAlign w:val="superscript"/>
              </w:rPr>
              <w:t>(2)</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J. Taft Symonds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Director and Member of Audit and Governance** Committees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Audit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Indicates an “executive officer” for purposes of Item 401(b) of Regulation S-K.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chairman of committee.</w:t>
      </w:r>
    </w:p>
    <w:p>
      <w:pPr>
        <w:spacing w:after="0" w:line="191"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Unless otherwise described, the position indicates the position held with Plains All American GP LLC.</w:t>
      </w:r>
    </w:p>
    <w:p>
      <w:pPr>
        <w:sectPr>
          <w:pgSz w:w="11900" w:h="16838" w:orient="portrait"/>
          <w:cols w:equalWidth="0" w:num="1">
            <w:col w:w="11460"/>
          </w:cols>
          <w:pgMar w:left="240" w:top="517" w:right="199" w:bottom="9" w:gutter="0" w:footer="0" w:header="0"/>
        </w:sectPr>
      </w:pPr>
    </w:p>
    <w:bookmarkStart w:id="74" w:name="page75"/>
    <w:bookmarkEnd w:id="74"/>
    <w:p>
      <w:pPr>
        <w:spacing w:after="0" w:line="27" w:lineRule="exact"/>
        <w:rPr>
          <w:sz w:val="20"/>
          <w:szCs w:val="20"/>
          <w:color w:val="auto"/>
        </w:rPr>
      </w:pPr>
    </w:p>
    <w:p>
      <w:pPr>
        <w:ind w:left="660" w:right="80" w:hanging="652"/>
        <w:spacing w:after="0" w:line="279" w:lineRule="auto"/>
        <w:tabs>
          <w:tab w:leader="none" w:pos="648" w:val="left"/>
        </w:tabs>
        <w:numPr>
          <w:ilvl w:val="0"/>
          <w:numId w:val="79"/>
        </w:numPr>
        <w:rPr>
          <w:rFonts w:ascii="Arial" w:cs="Arial" w:eastAsia="Arial" w:hAnsi="Arial"/>
          <w:sz w:val="21"/>
          <w:szCs w:val="21"/>
          <w:color w:val="auto"/>
          <w:vertAlign w:val="superscript"/>
        </w:rPr>
      </w:pPr>
      <w:r>
        <w:rPr>
          <w:rFonts w:ascii="Arial" w:cs="Arial" w:eastAsia="Arial" w:hAnsi="Arial"/>
          <w:sz w:val="16"/>
          <w:szCs w:val="16"/>
          <w:color w:val="auto"/>
        </w:rPr>
        <w:t>The GP LLC Agreement specifies that the Chief Executive Officer of the general partner will be a member of the board of directors. Under the GP LLC Agreement, three of the members of Holdings GP each have the right to appoint one director each to the Holdings GP board of directors and each such appointee is automatically appointed as a member of our board of directors. Mr. Raymond is serving as a member of our board of directors by virtue of his appointment as a member of the board of directors of Holdings GP by EMG Investment, LLC (“EMG”), of which he is the sole member of the general partner of its manager. Mr. Sinnott is serving as a member of our board of directors by virtue of his appointment as a member of the board of directors of Holdings GP by KAFU Holdings, L.P., which is affiliated with Kayne Anderson Investment Management, Inc., of which he is President. Ms. Sutil is serving as a member of our board of directors by virtue of her appointment as a member of the board of directors of Holdings GP by Occidental Holding Company (Pipeline), Inc., a subsidiary of Occidental Petroleum Corporation (“Oxy”), of which she is Director, Corporate Development Midstream and Director, Business Development, Rockies. The remaining directors were elected by PAGP, as the sole member of GP LLC acting through the board of Holdings GP. See Item 12. “Security Ownership of Certain Beneficial Owners and Management and Related Unitholder Matters—Beneficial Ownership of General Partner Interest.”</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Greg L. Armstrong </w:t>
      </w:r>
      <w:r>
        <w:rPr>
          <w:rFonts w:ascii="Arial" w:cs="Arial" w:eastAsia="Arial" w:hAnsi="Arial"/>
          <w:sz w:val="17"/>
          <w:szCs w:val="17"/>
          <w:color w:val="auto"/>
        </w:rPr>
        <w:t>has served as Chairman of the Board and Chief Executive Officer since our formation in 1998. He has also served as a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Chairman of the Federal Reserve Bank of Dallas, Houston Branch, and a director of National Oilwell Varco, Inc. Mr. Armstrong previously served as a director of BreitBurn Energy Partners, L.P. Mr. Armstrong is Chairman, Chief Executive and a director of PNGS GP LLC, the general partner of PAA Natural Gas Storage, L.P., which, as of December 31, 2013, is no longer a publicly traded entity. Mr. Armstrong is also Chairman, Chief Executive Officer and Director of PAA GP Holdings LLC, which is the general partner of Plains GP Holdings, L.P.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8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 xml:space="preserve">Harry N. Pefanis </w:t>
      </w:r>
      <w:r>
        <w:rPr>
          <w:rFonts w:ascii="Arial" w:cs="Arial" w:eastAsia="Arial" w:hAnsi="Arial"/>
          <w:sz w:val="16"/>
          <w:szCs w:val="16"/>
          <w:color w:val="auto"/>
        </w:rPr>
        <w:t>has served as President and Chief Operating Officer since our formation in 1998. He was also a director of our former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 director of Settoon Towing. Mr. Pefanis is Vice Chairman and a director of PNGS GP LLC, the general partner of PAA Natural Gas Storage, L.P., which, as of December 31, 2013, is no longer a publicly traded entity. Mr. Pefanis is also President and Chief Operating Officer of PAA GP Holdings LLC, which is the general partner of Plains GP Holdings, L.P.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Mark J. Gorman </w:t>
      </w:r>
      <w:r>
        <w:rPr>
          <w:rFonts w:ascii="Arial" w:cs="Arial" w:eastAsia="Arial" w:hAnsi="Arial"/>
          <w:sz w:val="17"/>
          <w:szCs w:val="17"/>
          <w:color w:val="auto"/>
        </w:rPr>
        <w:t>has served as Executive Vice President—Operations and Business Development since February 2013 and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President—Operations and Business Development from August 2008 until February 2013. He previously served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 and a managing director of Eagle Ford Pipeline, LLC. Mr. Gorman also serves as Executive Vice President — Operations and Business Development of PAA GP Holdings LLC, which is the general partner of Plains GP Holdings, L.P.</w:t>
      </w:r>
    </w:p>
    <w:p>
      <w:pPr>
        <w:spacing w:after="0" w:line="17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 xml:space="preserve">Phillip D. Kramer </w:t>
      </w:r>
      <w:r>
        <w:rPr>
          <w:rFonts w:ascii="Arial" w:cs="Arial" w:eastAsia="Arial" w:hAnsi="Arial"/>
          <w:sz w:val="16"/>
          <w:szCs w:val="16"/>
          <w:color w:val="auto"/>
        </w:rPr>
        <w:t>has served as Executive Vice President since November 2008 and previously served as Executive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from our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 Mr. Kramer also serves as Executive Vice President of PAA GP Holdings LLC, which is the general partner of Plains GP Holdings, L.P.</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Richard K. McGee </w:t>
      </w:r>
      <w:r>
        <w:rPr>
          <w:rFonts w:ascii="Arial" w:cs="Arial" w:eastAsia="Arial" w:hAnsi="Arial"/>
          <w:sz w:val="17"/>
          <w:szCs w:val="17"/>
          <w:color w:val="auto"/>
        </w:rPr>
        <w:t>has served as Executive Vice President, General Counsel and Secretary since February 2013. He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and Secretary from March 2012 until February 2013 and served as Vice President and Deputy General Counsel from August 2011 through March 2012. He also serves as Executive Vice President, General Counsel and Secretary for PAA’s natural gas storage business, where he was Vice President —Legal and Business Development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PAA GP Holdings LLC, which is the general partner of Plains GP Holdings, L.P.</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John R. Rutherford </w:t>
      </w:r>
      <w:r>
        <w:rPr>
          <w:rFonts w:ascii="Arial" w:cs="Arial" w:eastAsia="Arial" w:hAnsi="Arial"/>
          <w:sz w:val="18"/>
          <w:szCs w:val="18"/>
          <w:color w:val="auto"/>
        </w:rPr>
        <w:t>has served as Executive Vice President since October 2010. Mr. Rutherford has 25 years of energy and investment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most recently serving 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 Mr. Rutherford also serves as Executive Vice President of PAA GP Holdings LLC, which is the general partner of Plains GP Holdings, L.P.</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Al Swanson </w:t>
      </w:r>
      <w:r>
        <w:rPr>
          <w:rFonts w:ascii="Arial" w:cs="Arial" w:eastAsia="Arial" w:hAnsi="Arial"/>
          <w:sz w:val="16"/>
          <w:szCs w:val="16"/>
          <w:color w:val="auto"/>
        </w:rPr>
        <w:t>has served as Executive Vice President and Chief Financial Officer since February 2011. He previously served as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is Executive Vice President,</w:t>
      </w:r>
    </w:p>
    <w:p>
      <w:pPr>
        <w:sectPr>
          <w:pgSz w:w="11900" w:h="16866" w:orient="portrait"/>
          <w:cols w:equalWidth="0" w:num="1">
            <w:col w:w="11400"/>
          </w:cols>
          <w:pgMar w:left="240" w:top="125" w:right="259" w:bottom="0" w:gutter="0" w:footer="0" w:header="0"/>
        </w:sectPr>
      </w:pPr>
    </w:p>
    <w:bookmarkStart w:id="75" w:name="page76"/>
    <w:bookmarkEnd w:id="75"/>
    <w:p>
      <w:pPr>
        <w:spacing w:after="0" w:line="1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Chief Financial Officer and Director of PNGS GP LLC, the general partner of PAA Natural Gas Storage, L.P., which, as of December 31, 2013, is no longer a publicly traded entity. Mr. Swanson also serves as Executive Vice President and Chief Financial Officer of PAA GP Holdings LLC, which is the general partner of Plains GP Holdings, L.P.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John P. vonBerg </w:t>
      </w:r>
      <w:r>
        <w:rPr>
          <w:rFonts w:ascii="Arial" w:cs="Arial" w:eastAsia="Arial" w:hAnsi="Arial"/>
          <w:sz w:val="18"/>
          <w:szCs w:val="18"/>
          <w:color w:val="auto"/>
        </w:rPr>
        <w:t>has served as Executive Vice President—Commercial Activities since February 2014. Previously he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Activities from August 2008 until February 2014, as Vice President—Commercial Activities from August 2007 until August 2008 and as Vice President—Trading from May 2003 until August 2007. He served as Director of these activities 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 Mr. vonBerg also serves as Executive Vice President — Commercial Activities of PAA GP Holdings LLC, which is the general partner of Plains GP Holdings, L.P.</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President of Plains Midstream Canada since June 2003, and served as Executive Vice President of Plains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Canada from July 2001 to June 2003. Mr. Duckett was with CANPET Energy Group Inc. (“CANPET”) from 1985 to 2001, where he served in various capacities, including most recently as President, Chief Executive Officer and Chairman of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Lawrence J. Dreyfuss </w:t>
      </w:r>
      <w:r>
        <w:rPr>
          <w:rFonts w:ascii="Arial" w:cs="Arial" w:eastAsia="Arial" w:hAnsi="Arial"/>
          <w:sz w:val="17"/>
          <w:szCs w:val="17"/>
          <w:color w:val="auto"/>
        </w:rPr>
        <w:t>has served as Senior Vice President, General Counsel—Commercial and Litigation and Assistant Secretary since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2013, and served as Vice President, General Counsel—Commercial &amp; Litigation and Assistant Secretary from August 2006 until February 2013.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Dreyfuss was Vice President, Associate General Counsel and Assistant Secretary of our general partner from February 2004 to August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 General Counsel and Assistant Secretary of our general partner from June 2001 to February 2004 and held a senior management position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 Department since May 1999. In addition, he was a Vice President of Scurlock Permian LLC from 1987 to 1999.</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from March 2001 to 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Daniel J. Nerbonne </w:t>
      </w:r>
      <w:r>
        <w:rPr>
          <w:rFonts w:ascii="Arial" w:cs="Arial" w:eastAsia="Arial" w:hAnsi="Arial"/>
          <w:sz w:val="16"/>
          <w:szCs w:val="16"/>
          <w:color w:val="auto"/>
        </w:rPr>
        <w:t>has served as Senior Vice President—Engineering since February 2013 and as Vice President—Engineering from February 2005</w:t>
      </w:r>
      <w:r>
        <w:rPr>
          <w:rFonts w:ascii="Arial" w:cs="Arial" w:eastAsia="Arial" w:hAnsi="Arial"/>
          <w:sz w:val="16"/>
          <w:szCs w:val="16"/>
          <w:i w:val="1"/>
          <w:iCs w:val="1"/>
          <w:color w:val="auto"/>
        </w:rPr>
        <w:t xml:space="preserve"> </w:t>
      </w:r>
      <w:r>
        <w:rPr>
          <w:rFonts w:ascii="Arial" w:cs="Arial" w:eastAsia="Arial" w:hAnsi="Arial"/>
          <w:sz w:val="16"/>
          <w:szCs w:val="16"/>
          <w:color w:val="auto"/>
        </w:rPr>
        <w:t>until February 2013. Prior to joining us, Mr. Nerbonne was General Manager of Portfolio Projects for Shell Oil Products US from January 2004 to</w:t>
      </w:r>
    </w:p>
    <w:p>
      <w:pPr>
        <w:ind w:right="20"/>
        <w:spacing w:after="0" w:line="302" w:lineRule="auto"/>
        <w:rPr>
          <w:sz w:val="20"/>
          <w:szCs w:val="20"/>
          <w:color w:val="auto"/>
        </w:rPr>
      </w:pPr>
      <w:r>
        <w:rPr>
          <w:rFonts w:ascii="Arial" w:cs="Arial" w:eastAsia="Arial" w:hAnsi="Arial"/>
          <w:sz w:val="16"/>
          <w:szCs w:val="16"/>
          <w:color w:val="auto"/>
        </w:rPr>
        <w:t>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spacing w:after="0" w:line="15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Jason Balasch </w:t>
      </w:r>
      <w:r>
        <w:rPr>
          <w:rFonts w:ascii="Arial" w:cs="Arial" w:eastAsia="Arial" w:hAnsi="Arial"/>
          <w:sz w:val="18"/>
          <w:szCs w:val="18"/>
          <w:color w:val="auto"/>
        </w:rPr>
        <w:t>has served as Senior Vice President, LPG Commercial and Facilities of Plains Midstream Canada since September 2013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overseeing all commercial activities associated with PMC’s LPG business including supply, logistics, facilities, business development and joint ventures. He served as Vice President of LPG of PMC from September 2011 until September 2013. Prior to joining PMC, he was with Enterprise Products Partners L.P. from June 2000 to August 2011, where he served in various capacities, most recently as Vice President, U.S. Gulf Coast Gathering &amp; Processing in their Houston, Texas office. Mr. Balasch has also worked for Chevron and TransCanada Corporation in both engineering and business development roles.</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Samuel N. Brown </w:t>
      </w:r>
      <w:r>
        <w:rPr>
          <w:rFonts w:ascii="Arial" w:cs="Arial" w:eastAsia="Arial" w:hAnsi="Arial"/>
          <w:sz w:val="18"/>
          <w:szCs w:val="18"/>
          <w:color w:val="auto"/>
        </w:rPr>
        <w:t>has served as Vice President—Pipeline Business Development since October 2009. Prior to joining PAA, Mr. Brown served</w:t>
      </w:r>
      <w:r>
        <w:rPr>
          <w:rFonts w:ascii="Arial" w:cs="Arial" w:eastAsia="Arial" w:hAnsi="Arial"/>
          <w:sz w:val="18"/>
          <w:szCs w:val="18"/>
          <w:i w:val="1"/>
          <w:iCs w:val="1"/>
          <w:color w:val="auto"/>
        </w:rPr>
        <w:t xml:space="preserve"> </w:t>
      </w:r>
      <w:r>
        <w:rPr>
          <w:rFonts w:ascii="Arial" w:cs="Arial" w:eastAsia="Arial" w:hAnsi="Arial"/>
          <w:sz w:val="18"/>
          <w:szCs w:val="18"/>
          <w:color w:val="auto"/>
        </w:rPr>
        <w:t>TEPPCO for over 10 years, most recently as Vice President—Commercial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Downstream and previously as Vice President—Pipeline Marketing and Business Development for the Upstream segment. Prior to joining TEPPCO, Mr. Brown was with Duke Energy Transport and Trading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Kevin L. Cantrell </w:t>
      </w:r>
      <w:r>
        <w:rPr>
          <w:rFonts w:ascii="Arial" w:cs="Arial" w:eastAsia="Arial" w:hAnsi="Arial"/>
          <w:sz w:val="17"/>
          <w:szCs w:val="17"/>
          <w:color w:val="auto"/>
        </w:rPr>
        <w:t>has served as Vice President—Internal Audit since February 2011 and served as Managing Director of Internal Audit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2009 to February 2011. Prior to joining PAA, Mr. Cantrell was a managing director and founding member of Protiviti, Inc., a global risk consulting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internal audit firm, from May 2002 to April 2009, and a manager in Andersen’s Risk Consulting practice in Houston, Texas, from February 1999 to</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May 2002, where he lead internal audit, risk management, and Sarbanes-Oxley compliance projects for clients in the Energy industry. Mr. Cantrell began his professional career at J.P. Morgan Chase, where he held positions of increasing responsibilities in the internal audit and capital markets compliance groups from July 1986 through February 1999.</w:t>
      </w:r>
    </w:p>
    <w:p>
      <w:pPr>
        <w:spacing w:after="0" w:line="1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David Craig </w:t>
      </w:r>
      <w:r>
        <w:rPr>
          <w:rFonts w:ascii="Arial" w:cs="Arial" w:eastAsia="Arial" w:hAnsi="Arial"/>
          <w:sz w:val="18"/>
          <w:szCs w:val="18"/>
          <w:color w:val="auto"/>
        </w:rPr>
        <w:t>has served as Executive Vice President and Chief Financial Officer of Plains Midstream Canada since June 2008.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operations, Mr. Craig 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Ralph R. Cross </w:t>
      </w:r>
      <w:r>
        <w:rPr>
          <w:rFonts w:ascii="Arial" w:cs="Arial" w:eastAsia="Arial" w:hAnsi="Arial"/>
          <w:sz w:val="17"/>
          <w:szCs w:val="17"/>
          <w:color w:val="auto"/>
        </w:rPr>
        <w:t>has served as Vice President, Corporate Development of Plains Midstream Canada since July 2012. He previously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President—Corporate Development and Transportation Services of Plains Midstream Canada from July 2001 until July 2012. Mr. Cross was previously with CANPET since 1992, where he served in various capacities, including most recently as Vice President of Business Development.</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Brad Deets </w:t>
      </w:r>
      <w:r>
        <w:rPr>
          <w:rFonts w:ascii="Arial" w:cs="Arial" w:eastAsia="Arial" w:hAnsi="Arial"/>
          <w:sz w:val="16"/>
          <w:szCs w:val="16"/>
          <w:color w:val="auto"/>
        </w:rPr>
        <w:t>has served as Vice President, LPG Commercial of Plains Midstream Canada since September 2013. He served as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Planning from June 2013 through August 2013, and previously served as Director of Strategic Planning. He has served in a number of roles at PMC</w:t>
      </w:r>
    </w:p>
    <w:p>
      <w:pPr>
        <w:sectPr>
          <w:pgSz w:w="11900" w:h="16975" w:orient="portrait"/>
          <w:cols w:equalWidth="0" w:num="1">
            <w:col w:w="11400"/>
          </w:cols>
          <w:pgMar w:left="240" w:top="125" w:right="259" w:bottom="0" w:gutter="0" w:footer="0" w:header="0"/>
        </w:sectPr>
      </w:pPr>
    </w:p>
    <w:bookmarkStart w:id="76" w:name="page77"/>
    <w:bookmarkEnd w:id="76"/>
    <w:p>
      <w:pPr>
        <w:spacing w:after="0" w:line="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including butane trading, risk management and acquisitions. Prior to joining PMC, Brad worked with CANPET Energy Group Inc. for a number of years, focusing on crude oil trading.</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 Patrick Diamond </w:t>
      </w:r>
      <w:r>
        <w:rPr>
          <w:rFonts w:ascii="Arial" w:cs="Arial" w:eastAsia="Arial" w:hAnsi="Arial"/>
          <w:sz w:val="18"/>
          <w:szCs w:val="18"/>
          <w:color w:val="auto"/>
        </w:rPr>
        <w:t>has served as Vice President since August 2007. He previously served as Director, Strategic Planning from July 2005 to</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2007 and as Manager—Special Projects from June 2001 to July 2005. In addition, he was Manager—Special Projects of Plains Resources from August 1999 to June 2001. Prior to joining Plains Resources, Mr. Diamond served Salomon Smith Barney in its Global Energy Investment Banking Group as an Associate from July 1997 to May 1999 and as a Financial Analyst from July 1994 to June 1997.</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Roger D. Everett </w:t>
      </w:r>
      <w:r>
        <w:rPr>
          <w:rFonts w:ascii="Arial" w:cs="Arial" w:eastAsia="Arial" w:hAnsi="Arial"/>
          <w:sz w:val="17"/>
          <w:szCs w:val="17"/>
          <w:color w:val="auto"/>
        </w:rPr>
        <w:t>has served as Vice President—Human Resources since November 2006 and as Director of Human Resources from August 2006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James Ferrell </w:t>
      </w:r>
      <w:r>
        <w:rPr>
          <w:rFonts w:ascii="Arial" w:cs="Arial" w:eastAsia="Arial" w:hAnsi="Arial"/>
          <w:sz w:val="18"/>
          <w:szCs w:val="18"/>
          <w:color w:val="auto"/>
        </w:rPr>
        <w:t>has served as Vice President—Supply Chain Management since August 2011. He joined Plains in 2006 from ConocoPhillips. He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functions all along the supply chain, including the majority of all purchasing requirements, all vendor contract negotiations, and fleet management.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Bill Forward </w:t>
      </w:r>
      <w:r>
        <w:rPr>
          <w:rFonts w:ascii="Arial" w:cs="Arial" w:eastAsia="Arial" w:hAnsi="Arial"/>
          <w:sz w:val="18"/>
          <w:szCs w:val="18"/>
          <w:color w:val="auto"/>
        </w:rPr>
        <w:t>has served as Vice President, Finance of Plains Midstream Canada since September 2013. Prior to joining PMC, he held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positions in accounting and finance for several midstream energy companies, most recently serving as Corporate Controller for Pembina Pipelines Corp. Previously, he was Vice-President at Provident Energy Ltd. and served in financial reporting and accounting roles at ENMAX, TransCanada and PricewaterhouseCoopers.</w:t>
      </w:r>
    </w:p>
    <w:p>
      <w:pPr>
        <w:spacing w:after="0" w:line="18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 xml:space="preserve">James B. Fryfogle </w:t>
      </w:r>
      <w:r>
        <w:rPr>
          <w:rFonts w:ascii="Arial" w:cs="Arial" w:eastAsia="Arial" w:hAnsi="Arial"/>
          <w:sz w:val="18"/>
          <w:szCs w:val="18"/>
          <w:color w:val="auto"/>
        </w:rPr>
        <w:t>has served as Vice President—Refinery Supply since March 2005. He served as Vice President—Lease Operations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2004 until March 2005. Prior to joining Plains in January 2004, Mr. Fryfogle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served as Manager of Crude Supply and Trading for Marathon Ashland Petroleum. Mr. Fryfogle had held numerous positions of increasing responsibility with Marathon Ashland Petroleum or its affiliates or predecessors since 1975.</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M.D. (Mike) Hallahan </w:t>
      </w:r>
      <w:r>
        <w:rPr>
          <w:rFonts w:ascii="Arial" w:cs="Arial" w:eastAsia="Arial" w:hAnsi="Arial"/>
          <w:sz w:val="18"/>
          <w:szCs w:val="18"/>
          <w:color w:val="auto"/>
        </w:rPr>
        <w:t>has served as Vice President, Crude Oil and Truck Transportation of Plains Midstream Canada since February 2004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Facilities from July 2001 to February 2004. He was previously with CANPET where he served in various capacities since 1996, most recently as General Manager, Facilities.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since August 2010. He served as Controller of PAA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Vice President — Accounting and Chief Accounting Officer of PAA GP Holdings LLC, which is the general partner of Plains GP Holdings, L.P.</w:t>
      </w:r>
    </w:p>
    <w:p>
      <w:pPr>
        <w:spacing w:after="0" w:line="18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i w:val="1"/>
          <w:iCs w:val="1"/>
          <w:color w:val="auto"/>
        </w:rPr>
        <w:t xml:space="preserve">Jim G. Hester </w:t>
      </w:r>
      <w:r>
        <w:rPr>
          <w:rFonts w:ascii="Arial" w:cs="Arial" w:eastAsia="Arial" w:hAnsi="Arial"/>
          <w:sz w:val="16"/>
          <w:szCs w:val="16"/>
          <w:color w:val="auto"/>
        </w:rPr>
        <w:t>has served as Vice President—Natural Gas Gathering and Processing since August 2011. He previously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since March 2002. Prior to joining PAA, Mr. Hester was Senior Vice President—Special Projects 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May 1999, Manager of Corporate Development from 1995 to 1997 and Manager of Special Projects from 1993 to 1995. He was Assistant Controller from 1991 to 1993, Accounting Manager from 1990 to 1991 and Revenue Accounting Supervisor from 1988 to 1990.</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Richard Jensen </w:t>
      </w:r>
      <w:r>
        <w:rPr>
          <w:rFonts w:ascii="Arial" w:cs="Arial" w:eastAsia="Arial" w:hAnsi="Arial"/>
          <w:sz w:val="18"/>
          <w:szCs w:val="18"/>
          <w:color w:val="auto"/>
        </w:rPr>
        <w:t>has served as Executive Vice President, Operations of Plains Midstream Canada since October 2012. Prior to joining PMC,</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Mr. Jensen worked with Nexen Petroleum for over 27 years, where he served in various leadership capacities, most recently as Vice President, Middle East, South America and Africa. Mr. Jensen has also worked in executive leadership roles at Canadian Occidental Petroleum and Canadian Nexen Chemicals.</w:t>
      </w:r>
    </w:p>
    <w:p>
      <w:pPr>
        <w:spacing w:after="0" w:line="13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Christopher M. Kean </w:t>
      </w:r>
      <w:r>
        <w:rPr>
          <w:rFonts w:ascii="Arial" w:cs="Arial" w:eastAsia="Arial" w:hAnsi="Arial"/>
          <w:sz w:val="18"/>
          <w:szCs w:val="18"/>
          <w:color w:val="auto"/>
        </w:rPr>
        <w:t>has served as Vice President, Engineering of Plains Midstream Canada since September 2012. He has over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global projects and operations across the oil and gas, chemical and oil sands sectors. Prior to joining PMC, Mr. Kean worked with Enbridge Pipelines for over four years, where he served in various capacities, most recently as Project Director for the Cabin Gas Plant project. Mr. Kean has also worked in both engineering and project management leadership roles for Canadian Natural Resources Limited (11 years), Petro-Canada, and Amoco Chemical and Production Companies.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John Keffer </w:t>
      </w:r>
      <w:r>
        <w:rPr>
          <w:rFonts w:ascii="Arial" w:cs="Arial" w:eastAsia="Arial" w:hAnsi="Arial"/>
          <w:sz w:val="16"/>
          <w:szCs w:val="16"/>
          <w:color w:val="auto"/>
        </w:rPr>
        <w:t>has served as Vice President—Terminals since November 2006. Mr. Keffer joined Plains Marketing, L.P. in October 1998 and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his appointment as Vice President, he served as Managing Director—Refinery Supply, Director of Trading and Manager of Sales and Trading. Prior to joining Plains, Mr. Keffer was with Prebon Energy, an energy brokerage firm, from January 1996 through September 1998. Mr. Keffer was with the Permian Corporation/Scurlock Permian from January 1990 through December 1995, where he served in several capacities in the marketing department including Director of Crude Oil Trading. Mr. Keffer began his career with Amoco Production Company and served in various capacities beginning in June 1982.</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Charles Kingswell-Smith </w:t>
      </w:r>
      <w:r>
        <w:rPr>
          <w:rFonts w:ascii="Arial" w:cs="Arial" w:eastAsia="Arial" w:hAnsi="Arial"/>
          <w:sz w:val="18"/>
          <w:szCs w:val="18"/>
          <w:color w:val="auto"/>
        </w:rPr>
        <w:t>has served as Vice President and Treasurer since August 2008. Mr. Kingswell-Smith previously served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GE Energy Financial Services from January 2008 to July 2008 and as Managing Director with Merrill Lynch Capital from March 2007 until January 2008. Prior to joining Merrill Lynch Capital, Mr. Kingswell-Smith spent 12 years in the energy banking business with JPMorgan Chase and BankOne. Mr. Kingswell-Smith also serves as Vice President and Treasurer of PAA GP Holdings LLC, which is the general partner of Plains GP Holdings, L.P.</w:t>
      </w:r>
    </w:p>
    <w:p>
      <w:pPr>
        <w:spacing w:after="0" w:line="188"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i w:val="1"/>
          <w:iCs w:val="1"/>
          <w:color w:val="auto"/>
        </w:rPr>
        <w:t xml:space="preserve">Sterling Koch </w:t>
      </w:r>
      <w:r>
        <w:rPr>
          <w:rFonts w:ascii="Arial" w:cs="Arial" w:eastAsia="Arial" w:hAnsi="Arial"/>
          <w:sz w:val="16"/>
          <w:szCs w:val="16"/>
          <w:color w:val="auto"/>
        </w:rPr>
        <w:t>has served as Vice President, Health, Safety, Environment &amp; Regulatory of Plains Midstream Canada since January 2013. He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providing strategic direction and oversight to the environment, health &amp; safety, regulatory and land activities of our Canadian operations. Mr. Koch brings over 20 years of energy industry experience, including regulatory and legal affairs, commercial operations, compliance and</w:t>
      </w:r>
    </w:p>
    <w:p>
      <w:pPr>
        <w:sectPr>
          <w:pgSz w:w="11900" w:h="16885" w:orient="portrait"/>
          <w:cols w:equalWidth="0" w:num="1">
            <w:col w:w="11400"/>
          </w:cols>
          <w:pgMar w:left="240" w:top="125" w:right="259" w:bottom="0" w:gutter="0" w:footer="0" w:header="0"/>
        </w:sectPr>
      </w:pPr>
    </w:p>
    <w:bookmarkStart w:id="77" w:name="page78"/>
    <w:bookmarkEnd w:id="77"/>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security. Prior to joining PMC, Mr. Koch worked with TransAlta for over 14 years, where he served in various vice president roles including regulatory and legal affairs, commercial management and business development. He also brings to PMC a background as legal counsel, originating from his days with Western Gas Marketing, Northridge Petroleum and TransCanada.</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Dwayne Koehn </w:t>
      </w:r>
      <w:r>
        <w:rPr>
          <w:rFonts w:ascii="Arial" w:cs="Arial" w:eastAsia="Arial" w:hAnsi="Arial"/>
          <w:sz w:val="18"/>
          <w:szCs w:val="18"/>
          <w:color w:val="auto"/>
        </w:rPr>
        <w:t>has served as Vice President—Engineering since February 2014. Mr. Koehn previously served as Managing Director of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2008 to February 2014, and as Director of Engineering from September 2005 to June 2008. He initially joined Plains in 2004 in connection with the acquisition of Link Energy where he was a Manager of Engineering. Mr. Koehn has also served in various manager and director roles with Koch Industries and PF Net Construction.</w:t>
      </w:r>
    </w:p>
    <w:p>
      <w:pPr>
        <w:spacing w:after="0" w:line="18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i w:val="1"/>
          <w:iCs w:val="1"/>
          <w:color w:val="auto"/>
        </w:rPr>
        <w:t xml:space="preserve">Mike Mikuska </w:t>
      </w:r>
      <w:r>
        <w:rPr>
          <w:rFonts w:ascii="Arial" w:cs="Arial" w:eastAsia="Arial" w:hAnsi="Arial"/>
          <w:sz w:val="17"/>
          <w:szCs w:val="17"/>
          <w:color w:val="auto"/>
        </w:rPr>
        <w:t>has served as Vice President, Pipelines Development and Logistics of Plains Midstream Canada since August 2012. He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Vice President of Business Development—Crude Oil of Plains Midstream Canada from September 2008 to August 2012. Mr. Mikuska has been with PMC and its predecessor CANPET since 1995 and has served in various commercial and development roles over that time.</w:t>
      </w:r>
    </w:p>
    <w:p>
      <w:pPr>
        <w:spacing w:after="0" w:line="166"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i w:val="1"/>
          <w:iCs w:val="1"/>
          <w:color w:val="auto"/>
        </w:rPr>
        <w:t xml:space="preserve">George N. Polydoros </w:t>
      </w:r>
      <w:r>
        <w:rPr>
          <w:rFonts w:ascii="Arial" w:cs="Arial" w:eastAsia="Arial" w:hAnsi="Arial"/>
          <w:sz w:val="17"/>
          <w:szCs w:val="17"/>
          <w:color w:val="auto"/>
        </w:rPr>
        <w:t>has served as Vice President—Land and Office Services since February 2013. He served as Managing Director—Land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 Services from April 2011 until February 2013. Prior to joining PAA, Mr. Polydoros was a partner at the law firm of Mayer Brown. Before joining Mayer Brown, he worked as an attorney at American General Corporation (now part of AIG) and Bracewell &amp; Giuliani.</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Robert M. Sanford </w:t>
      </w:r>
      <w:r>
        <w:rPr>
          <w:rFonts w:ascii="Arial" w:cs="Arial" w:eastAsia="Arial" w:hAnsi="Arial"/>
          <w:sz w:val="17"/>
          <w:szCs w:val="17"/>
          <w:color w:val="auto"/>
        </w:rPr>
        <w:t>has served as Vice President—Lease Supply since June 2006. He served as Managing Director—Lease Acquisitions and Trucking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2005 to June 2006 and as Director of South Texas and Mid Continent Business Units from April 2004 to July 2005. Mr. Sanford was with Link Energy/EOTT Energy from 1994 to April 2004, where he held various positions of increasing responsibility.</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David Schwarz </w:t>
      </w:r>
      <w:r>
        <w:rPr>
          <w:rFonts w:ascii="Arial" w:cs="Arial" w:eastAsia="Arial" w:hAnsi="Arial"/>
          <w:sz w:val="18"/>
          <w:szCs w:val="18"/>
          <w:color w:val="auto"/>
        </w:rPr>
        <w:t>has served as Vice President, Human Resources of Plains Midstream Canada since October 2012. He previously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Human Resources and Corporate Communications of Plains Midstream Canada from February 2011 to October 2012. He joined Plains Midstream Canada in August 2009 and brings over 18 years of experience to this role. Prior to joining PMC, Mr. Schwarz held various senior human resources roles in Calgary, and most recently served as Senior Manager, Human Resources in the ATCO Group of Companies. He has also gained experience working for such companies as Fluor Daniel, Manalta Coal and Superior Propane.</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i w:val="1"/>
          <w:iCs w:val="1"/>
          <w:color w:val="auto"/>
        </w:rPr>
        <w:t xml:space="preserve">Scott Sill </w:t>
      </w:r>
      <w:r>
        <w:rPr>
          <w:rFonts w:ascii="Arial" w:cs="Arial" w:eastAsia="Arial" w:hAnsi="Arial"/>
          <w:sz w:val="16"/>
          <w:szCs w:val="16"/>
          <w:color w:val="auto"/>
        </w:rPr>
        <w:t>has served as Vice President, Operations of Plains Midstream Canada since September 2013 and is responsible for PMC’s crude oil, NGL</w:t>
      </w:r>
      <w:r>
        <w:rPr>
          <w:rFonts w:ascii="Arial" w:cs="Arial" w:eastAsia="Arial" w:hAnsi="Arial"/>
          <w:sz w:val="16"/>
          <w:szCs w:val="16"/>
          <w:i w:val="1"/>
          <w:iCs w:val="1"/>
          <w:color w:val="auto"/>
        </w:rPr>
        <w:t xml:space="preserve"> </w:t>
      </w:r>
      <w:r>
        <w:rPr>
          <w:rFonts w:ascii="Arial" w:cs="Arial" w:eastAsia="Arial" w:hAnsi="Arial"/>
          <w:sz w:val="16"/>
          <w:szCs w:val="16"/>
          <w:color w:val="auto"/>
        </w:rPr>
        <w:t>and LPG operations. He previously served as Vice President of LPG Operations from March 2010 until September 2013. He joined Plains Midstream Canada in April 2006 through PAA’s acquisition of the Shafter gas liquids processing facility. Prior to his most recent role as Managing Director of U.S. and Canadian LPG Operations, Mr. Sill performed the role of West Coast District Superintendent, overseeing an LPG isomerization/hydrotreating facility, salt cavern terminal, fractionation plant and various storage terminals. Mr. Sill brings over 25 years of LPG operations experience to this role.</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Phil Smith </w:t>
      </w:r>
      <w:r>
        <w:rPr>
          <w:rFonts w:ascii="Arial" w:cs="Arial" w:eastAsia="Arial" w:hAnsi="Arial"/>
          <w:sz w:val="18"/>
          <w:szCs w:val="18"/>
          <w:color w:val="auto"/>
        </w:rPr>
        <w:t>has served as Vice President—Operations since April 2010. He joined PAA in 2002 from Shell Pipeline. Mr. Smith is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operations and maintenance activities on its domestic pipeline and terminal facilities.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Troy E. Valenzuela </w:t>
      </w:r>
      <w:r>
        <w:rPr>
          <w:rFonts w:ascii="Arial" w:cs="Arial" w:eastAsia="Arial" w:hAnsi="Arial"/>
          <w:sz w:val="18"/>
          <w:szCs w:val="18"/>
          <w:color w:val="auto"/>
        </w:rPr>
        <w:t>has served as Vice President—Environmental, Health and Safety, or EH&amp;S, since July 2002, and has had oversight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environmental, safety and regulatory compliance 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Walter van Zanten </w:t>
      </w:r>
      <w:r>
        <w:rPr>
          <w:rFonts w:ascii="Arial" w:cs="Arial" w:eastAsia="Arial" w:hAnsi="Arial"/>
          <w:sz w:val="18"/>
          <w:szCs w:val="18"/>
          <w:color w:val="auto"/>
        </w:rPr>
        <w:t>has served as Vice President—Tax since February 2013. He served as Director of Tax from December 2008 until February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Before joining PAA, Mr. van Zanten worked in various leadership and functional capacities for Chimerical, Inc., El Paso Corp., Tenneco Energy, The Coastal Corporation, Tangram Transmission Corp. and Arthur Young.</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Sandi Wingert </w:t>
      </w:r>
      <w:r>
        <w:rPr>
          <w:rFonts w:ascii="Arial" w:cs="Arial" w:eastAsia="Arial" w:hAnsi="Arial"/>
          <w:sz w:val="18"/>
          <w:szCs w:val="18"/>
          <w:color w:val="auto"/>
        </w:rPr>
        <w:t>has served as Vice President, Corporate Services of Plains Midstream Canada since September 2013. She served 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 PMC from February 2008 until September 2013. She has been with PMC and its predecessor CANPET acting as Controller since 2000. Prior to joining our Canadian operations, she held various accounting roles with Koch Petroleum and Ernst &amp; Young.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our general partner or former general partner since May 1999. He is Founder of Ex Cathedra LLC (a</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also serves as a director and as chairman of the audit committee of PAA GP Holdings LLC, which is the general partner of Plains GP Holdings, L.P.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Gary R. Petersen </w:t>
      </w:r>
      <w:r>
        <w:rPr>
          <w:rFonts w:ascii="Arial" w:cs="Arial" w:eastAsia="Arial" w:hAnsi="Arial"/>
          <w:sz w:val="16"/>
          <w:szCs w:val="16"/>
          <w:color w:val="auto"/>
        </w:rPr>
        <w:t>has served as a director of our general partner since June 2001. Mr. Petersen is a Managing Partner of EnCap Investments L.P.,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management firm which he co-founded in 1988. He is also a director of EV Energy Partners, L.P. and Canacol Energy Ltd. He had previously served as Senior Vice President and Manager of the Corporate Finance Division of the Energy Banking Group for RepublicBank Corporation. Prior to his</w:t>
      </w:r>
    </w:p>
    <w:p>
      <w:pPr>
        <w:sectPr>
          <w:pgSz w:w="11900" w:h="16952" w:orient="portrait"/>
          <w:cols w:equalWidth="0" w:num="1">
            <w:col w:w="11420"/>
          </w:cols>
          <w:pgMar w:left="240" w:top="341" w:right="239" w:bottom="0" w:gutter="0" w:footer="0" w:header="0"/>
        </w:sectPr>
      </w:pPr>
    </w:p>
    <w:bookmarkStart w:id="78" w:name="page79"/>
    <w:bookmarkEnd w:id="78"/>
    <w:p>
      <w:pPr>
        <w:ind w:right="20"/>
        <w:spacing w:after="0" w:line="286" w:lineRule="auto"/>
        <w:rPr>
          <w:sz w:val="20"/>
          <w:szCs w:val="20"/>
          <w:color w:val="auto"/>
        </w:rPr>
      </w:pPr>
      <w:r>
        <w:rPr>
          <w:rFonts w:ascii="Arial" w:cs="Arial" w:eastAsia="Arial" w:hAnsi="Arial"/>
          <w:sz w:val="16"/>
          <w:szCs w:val="16"/>
          <w:color w:val="auto"/>
        </w:rPr>
        <w:t>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of Directors has determined that Mr. Petersen is “independent” under applicable NYSE rules.</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5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December 2010. Mr. Raymond is an owner and founder of EMG, a diversified</w:t>
      </w:r>
      <w:r>
        <w:rPr>
          <w:rFonts w:ascii="Arial" w:cs="Arial" w:eastAsia="Arial" w:hAnsi="Arial"/>
          <w:sz w:val="16"/>
          <w:szCs w:val="16"/>
          <w:i w:val="1"/>
          <w:iCs w:val="1"/>
          <w:color w:val="auto"/>
        </w:rPr>
        <w:t xml:space="preserve"> </w:t>
      </w:r>
      <w:r>
        <w:rPr>
          <w:rFonts w:ascii="Arial" w:cs="Arial" w:eastAsia="Arial" w:hAnsi="Arial"/>
          <w:sz w:val="16"/>
          <w:szCs w:val="16"/>
          <w:color w:val="auto"/>
        </w:rPr>
        <w:t>natural resource private equity fund manager with approximately $8.4 billion of total investor commitments (including co-investments), and has been Managing Partner and CEO since EMG’s inception in 2006.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also serves as a director of PAA GP Holdings LLC, which is the general partner of Plains GP Holdings, L.P. He serves on numerous other boards, including NGL Energy Holdings LLC, the general partner of NGL Energy Partners, L.P., and Tallgrass MLP GP, LLC, the general partner of Tallgrass Energy Partners,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Robert V. Sinnott </w:t>
      </w:r>
      <w:r>
        <w:rPr>
          <w:rFonts w:ascii="Arial" w:cs="Arial" w:eastAsia="Arial" w:hAnsi="Arial"/>
          <w:sz w:val="18"/>
          <w:szCs w:val="18"/>
          <w:color w:val="auto"/>
        </w:rPr>
        <w:t>has served as a director of our general partner or former general partner since September 1998. Mr. Sinnott is President,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Senior Managing Director of energy investments,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Mr. Sinnott also serves as a director of PAA GP Holdings LLC, which is the general partner of Plains GP Holdings, L.P. Mr. Sinnott received a BA from the University of Virginia and an MBA from Harvard. Mr. Sinnott’s extensive investment management background includes his current role of managing approximately $22 billion of energy-related investments. Coupled with his direct involvement in the energy sector,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Vicky Sutil </w:t>
      </w:r>
      <w:r>
        <w:rPr>
          <w:rFonts w:ascii="Arial" w:cs="Arial" w:eastAsia="Arial" w:hAnsi="Arial"/>
          <w:sz w:val="17"/>
          <w:szCs w:val="17"/>
          <w:color w:val="auto"/>
        </w:rPr>
        <w:t>has served as a director of our general partner since December 2010. Ms. Sutil is Director, Corporate Development Midstream, and</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Business Development Rockies, for Oxy, where she has led and worked on a variety of international and domestic oil and gas acquisitions. Her prior positions at Oxy have included Senior Manager, Corporate Development, Manager, Financial Planning and Analysis, and Senior Business Analyst. Before joining Oxy in 2000, Ms. Sutil worked for ARCO Products Company as a Business Analyst for the Refining and Retail Marketing divisions, and Senior Project Manager for the Refining Division. Earlier, she held a variety of engineering positions at Mobil Oil Corporation. Ms. Sutil served as Oxy’s designated board observer from 2008, when Oxy acquired its initial interest in PAA’s general partner, until December 2010. Ms. Sutil also serves as a director of PAA GP Holdings LLC, which is the general partner of Plains GP Holdings, L.P. Ms. Sutil received a BS in Mechanical Engineering — Petroleum Emphasis from the University of California, Berkeley, and an MBA from Pepperdine University. We believe that Ms. Sutil’s financial and analytical background, coupled with her knowledge of engineering, provides the Board a distinctive and valuable perspective.</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J. Taft Symonds </w:t>
      </w:r>
      <w:r>
        <w:rPr>
          <w:rFonts w:ascii="Arial" w:cs="Arial" w:eastAsia="Arial" w:hAnsi="Arial"/>
          <w:sz w:val="17"/>
          <w:szCs w:val="17"/>
          <w:color w:val="auto"/>
        </w:rPr>
        <w:t>has served as a director of our general partner since June 2001. Mr. Symonds is Chairman of the Board of Symonds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Christopher M. Temple </w:t>
      </w:r>
      <w:r>
        <w:rPr>
          <w:rFonts w:ascii="Arial" w:cs="Arial" w:eastAsia="Arial" w:hAnsi="Arial"/>
          <w:sz w:val="16"/>
          <w:szCs w:val="16"/>
          <w:color w:val="auto"/>
        </w:rPr>
        <w:t>has served as a director of our general partner since May 2009. He is President of DelTex Capital LLC (a private investment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firm) and Chairman of Brawler Industries Holdco, LLC, a Midland, Texas based distributor of engineered plastics used in the exploration and production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oil and gas. Mr. Temple served as the President of Vulcan Capital, the private investment group of Vulcan Inc., from May 2009 until December 2009 and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Vulcan Capital from September 2008 to May 2009. Mr. Temple has served on the board of directors and audit committee of Clear Channel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Outdoor Holdings since April 2011. Mr. Temple previously served on the board of directors and audit committee of Charter Communications, Inc.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2009 through January 2011. Prior to joining Vulcan in September 2008, Mr. Temple served as a managing director at Tailwind Capital LLC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to August 2008. Prior to joining Tailwind, Mr. Temple was a managing director at Friend Skoler &amp; Co., Inc. from May 2005 to May 2008.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1996 to December 2004, Mr. Temple was a managing director at Thayer Capital Partners. Additionally, Mr. Temple was a licensed CPA serving clients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energy sector with KPMG in Houston, Texas from 1989 to 1993. Mr. Temple holds a BBA, magna cum laude, from the University of Texas and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MBA from Harvard. The Board of Directors has determined that Mr. Temple is “independent” under applicable NYSE rules and qualifies as an “Audit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Financial Expert.” Mr. Temple has a broad investment management background across a variety of business sectors, as well as experience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energy sector. We believe that this background, along with the leadership attributes indicated by his executive experience, provide an important source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insight and perspective to the Board.</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2013, except as follows:</w:t>
      </w:r>
    </w:p>
    <w:p>
      <w:pPr>
        <w:spacing w:after="0" w:line="181" w:lineRule="exact"/>
        <w:rPr>
          <w:sz w:val="20"/>
          <w:szCs w:val="20"/>
          <w:color w:val="auto"/>
        </w:rPr>
      </w:pPr>
    </w:p>
    <w:p>
      <w:pPr>
        <w:jc w:val="both"/>
        <w:ind w:left="1300" w:right="260" w:hanging="320"/>
        <w:spacing w:after="0" w:line="256" w:lineRule="auto"/>
        <w:tabs>
          <w:tab w:leader="none" w:pos="1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Gorman was late in filing three Forms 4 in connection with the purchase of 372 common units on September 28, 2012, the sale of 34 common units on April 11, 2013, and the sale of 338 common units on August 20, 2013. These transactions were associated with third-party managed accounts and were reported on a Form 4 filed on January 14, 2014.</w:t>
      </w:r>
    </w:p>
    <w:p>
      <w:pPr>
        <w:ind w:left="1300" w:right="140" w:hanging="320"/>
        <w:spacing w:after="0" w:line="255" w:lineRule="auto"/>
        <w:tabs>
          <w:tab w:leader="none" w:pos="1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Sinnott was late in filing one Form 4 in connection with the acquisition of 212,083 common units on October 9, 2013 as the result of a pro rata distribution from KAFU Holdings, L.P., in which he holds a limited partner interest. The acquisition was reported on a Form 4 filed on October 16, 2013.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compensation committee of Plains All American GP LLC reviews and makes recommendations to the board of directors regarding the compensation for the executive officers and directors.</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2013 for filing with the SEC.</w:t>
      </w:r>
    </w:p>
    <w:p>
      <w:pPr>
        <w:spacing w:after="0" w:line="1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Vicky Sutil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Messrs. Petersen, Raymond and Sinnott and Ms. Sutil served on the compensation committee throughout 2013. No other persons served on the compensation committee during 2013. During 2013,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Mr. Sinnott is associated with Kayne Anderson and its affiliates, and Ms. Sutil is associated with Oxy. We have relationships with these entities. See Item 13. “Certain Relationships and Related Transactions, and Director Independence—Transactions with Related Persons — Other.”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All of our officers and employees (other than our Canadian personnel) are employed by Plains All American GP LLC. Our Canadian personnel are employed by Plains Midstream Canada, which is a wholly owned subsidiary. Under our partnership agreement, we are required to reimburse our general partner and its affiliates for all employment-related costs, including compensation for executive officers, other than expenses related to the AAP Management Units (which are borne entirely by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We do not maintain a defined</w:t>
      </w:r>
    </w:p>
    <w:p>
      <w:pPr>
        <w:sectPr>
          <w:pgSz w:w="11900" w:h="16838" w:orient="portrait"/>
          <w:cols w:equalWidth="0" w:num="1">
            <w:col w:w="11400"/>
          </w:cols>
          <w:pgMar w:left="240" w:top="368" w:right="259" w:bottom="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00"/>
          </w:cols>
          <w:pgMar w:left="240" w:top="368" w:right="259" w:bottom="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“benchmark” our salary or bonus amounts. In practice, we believe our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Our cash bonuses include annual discretionary bonuses in which all of our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our Canadian personnel.</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primary long-term measure of our performance is our ability to increase our sustainable quarterly distribution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our unitholders. Historically, we have used performance-indexed phantom unit grants issued under our Long-Term Incentive Plans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spacing w:after="0" w:line="18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2007, the owners of AAP authorized the creation of “Class B” units of AAP (the “AAP Management Units”) and authorized GP LLC’s compensation committee to issue grants of AAP Management Units to create additional long-term incentives for our management designed to attract talent and encourage retention over an extended period of time. The entire economic burden of the AAP Management Units is borne solely by AAP, and does not impact our cash or units outstanding.</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AAP Management Units are subject to restrictions on transfer and generally become incrementally “earned” (entitled to receive a portion of the distributions that would otherwise be paid to our general partner) upon achievement of certain performance thresholds, which are aligned with the interests of our common unitholders. As of February 15, 2014, 100% of the outstanding AAP Management Units granted in 2007, 2009, 2010 and 2011 had been earned (or will be earned within 180 days), and 25% of the AAP Management Units granted in 2013 had been earned. No AAP Management Units were granted in 2008 or 2012.</w:t>
      </w:r>
    </w:p>
    <w:p>
      <w:pPr>
        <w:spacing w:after="0" w:line="1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 AAP Management Units granted in 2007 to January 1, 2021 for AAP Management Units granted in 2013. In order to encourage retention,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elects not to timely exercise its call right.</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If at any time after December 31, 2015 the PAGP Class A shares are publicly traded, each vested AAP Management Unit may be converted into AAP Class A units and a like number of PAGP Class B shares based on a conversion ratio calculated in accordance with the AAP limited partnership agreement (which conversion ratio will not be more than one-to-one and was approximately 0.90 AAP Class A units and PAGP Class B shares for each AAP Management Unit as of December 31, 2013 and approximately 0.91 as of February 15, 2014). Following any such conversion, the resulting AAP Class A units and PAGP Class B shares are exchangeable for PAGP Class A shares on a one-for-one basis as provided in the PAGP limited partnership agreement. See Item 13. “Certain Relationships and Related Transactions, and Director Independence—Our General Partner—AAP Management Units.”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Transaction/Transition Grants. </w:t>
      </w:r>
      <w:r>
        <w:rPr>
          <w:rFonts w:ascii="Arial" w:cs="Arial" w:eastAsia="Arial" w:hAnsi="Arial"/>
          <w:sz w:val="17"/>
          <w:szCs w:val="17"/>
          <w:color w:val="auto"/>
        </w:rPr>
        <w:t>In connection with the initial public offering of PNG in 2010, we created a plan based on PNG equity,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reward and create incentive for certain of our officers who were instrumental in developing the natural gas storage business and bringing it to the point of the IPO, and who would continue to allocate meaningful amounts of time to the business. In September 2010, we entered into transaction/transition grant agreements with Messrs. Armstrong, Pefanis and Swanson, pursuant to which they acquired, in equal proportion, phantom common units, phantom series A subordinated units and phantom series B subordinated units representing a portion of the limited partner interest of PNG issued to PAA in connection with PNG’s IPO. The phantom common units vested in equal one-half increments in May 2011 and May 2012. Messrs. Armstrong, Pefanis and Swanson unilaterally surrendered the unvested portion of these grants, which consisted of all of the phantom series A subordinated units and phantom series B subordinated units, on December 31, 2013 in connection with the closing of the PNG Merger.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ectPr>
          <w:pgSz w:w="11900" w:h="16838" w:orient="portrait"/>
          <w:cols w:equalWidth="0" w:num="1">
            <w:col w:w="11420"/>
          </w:cols>
          <w:pgMar w:left="240" w:top="517" w:right="239" w:bottom="0" w:gutter="0" w:footer="0" w:header="0"/>
        </w:sectPr>
      </w:pPr>
    </w:p>
    <w:bookmarkStart w:id="81" w:name="page82"/>
    <w:bookmarkEnd w:id="81"/>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GP LLC’s compensation committee in reviewing and making recommendations, a compensation “tally sheet” is prepared by GP LLC’s CEO and General Counsel and provided to the compensation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stress performance-based compensation elements to attempt to create a performance-driven environment in which our executive officers are</w:t>
      </w:r>
    </w:p>
    <w:p>
      <w:pPr>
        <w:spacing w:after="0" w:line="46" w:lineRule="exact"/>
        <w:rPr>
          <w:sz w:val="20"/>
          <w:szCs w:val="20"/>
          <w:color w:val="auto"/>
        </w:rPr>
      </w:pPr>
    </w:p>
    <w:p>
      <w:pPr>
        <w:ind w:right="40" w:firstLine="8"/>
        <w:spacing w:after="0" w:line="288" w:lineRule="auto"/>
        <w:tabs>
          <w:tab w:leader="none" w:pos="2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We believe our compensation program has been instrumental in our achievement of stated objectives. Over the five-year period ended December 31, 2013, our annual distribution per common unit has grown at a compound annual rate of 6.10% and the total return realized by our unitholders for that period averaged approximately 32.1% per annum. During this period, we have enjoyed a very high rate of retention among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make systematic annual adjustments to the salaries of our Named Executive Officers. We do, however, make salary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as necessary to maintain hierarchical relationships among senior management levels after new senior management members are added to keep pace with our overall growth. Since the date of our initial public offering in 1998 (or date of employment, if later) through December 31, 2013,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our performance relative to our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w:t>
      </w:r>
    </w:p>
    <w:p>
      <w:pPr>
        <w:spacing w:after="0" w:line="16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resulting document and supporting detail is submitted to the board of directors of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Accordingly,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consensus on the appropriate bonus amount for the CEO. The preliminary draft 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then revised to include any changes or adjustments, as well as an amount for the CEO, in the formal submittal to the compensation committee for review and recommendation to the board.</w:t>
      </w:r>
    </w:p>
    <w:p>
      <w:pPr>
        <w:sectPr>
          <w:pgSz w:w="11900" w:h="16929" w:orient="portrait"/>
          <w:cols w:equalWidth="0" w:num="1">
            <w:col w:w="11400"/>
          </w:cols>
          <w:pgMar w:left="240" w:top="125" w:right="259" w:bottom="0" w:gutter="0" w:footer="0" w:header="0"/>
        </w:sectPr>
      </w:pPr>
    </w:p>
    <w:bookmarkStart w:id="82" w:name="page83"/>
    <w:bookmarkEnd w:id="82"/>
    <w:p>
      <w:pPr>
        <w:spacing w:after="0" w:line="2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our U.S.-based senior management team are directly involved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generate 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9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We do not make systematic annual phantom unit awards to our Named Executive Officers. Instead, our objective is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an additional means of providing longer-term, performance-based officer incentives that require extended periods of employment to realize the full benefit, in 2007 the owners of AAP authorized the creation of AAP Management Units, which the compensation committee of GP LLC is authorized to administer. See “—Elements of Compensation—Long-Term Incentives.” These AAP Management Units are limited to 52,125,935 authorized units, of which approximately 48,642,830 were outstanding as of December 31, 2013 pursuant to individual restricted units agreements between AAP and certain members of management. As of December 31, 2013 our Named Executive Officers held 28,931,571 of the restricted AAP Management Units. The remaining available AAP Management Units are administered at the discretion of the compensation committee and may be awarded upon advancement, exceptional performance or other change in circumstance of an existing member of management, or upon the addition of a new individual to the management team.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the beginning of 2013, we established four public goals with paraphrased versions of these goals overlapping two of our five internal goals.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four public goals for the year were to:</w:t>
      </w:r>
    </w:p>
    <w:p>
      <w:pPr>
        <w:spacing w:after="0" w:line="225"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guidance;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Successfully execute our 2013 capital program and set the stage for growth in 2014 and beyond;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Increase our November 2013 annualized distribution level by approximately 9% to 10% over the November 2012 annualized distribution level;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Selectively pursue strategic and accretive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Additionally, our internal qualitative goals included (a) advancing multi-year programs and initiatives and preparing the organization for future growth,</w:t>
      </w:r>
    </w:p>
    <w:p>
      <w:pPr>
        <w:spacing w:after="0" w:line="35" w:lineRule="exact"/>
        <w:rPr>
          <w:sz w:val="20"/>
          <w:szCs w:val="20"/>
          <w:color w:val="auto"/>
        </w:rPr>
      </w:pPr>
    </w:p>
    <w:p>
      <w:pPr>
        <w:ind w:right="840" w:firstLine="8"/>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continuing to promote a culture of safety and environmental responsibility throughout the organization, and (c) realizing targeted synergies and opportunities from the BP NGL Acquisition and completing remaining material integration activities.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we substantially achieved or exceeded all of these goals.</w:t>
      </w:r>
    </w:p>
    <w:p>
      <w:pPr>
        <w:spacing w:after="0" w:line="225" w:lineRule="exact"/>
        <w:rPr>
          <w:sz w:val="20"/>
          <w:szCs w:val="20"/>
          <w:color w:val="auto"/>
        </w:rPr>
      </w:pPr>
    </w:p>
    <w:p>
      <w:pPr>
        <w:ind w:left="1300" w:right="1000" w:hanging="320"/>
        <w:spacing w:after="0" w:line="277" w:lineRule="auto"/>
        <w:tabs>
          <w:tab w:leader="none" w:pos="1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adjusted EBITDA and distributable cash flow exceeded our 2013 guidance furnished in the February 6, 2013 Form 8-K by approximately 13% and 15%, respectively;</w:t>
      </w:r>
    </w:p>
    <w:p>
      <w:pPr>
        <w:spacing w:after="0" w:line="170" w:lineRule="exact"/>
        <w:rPr>
          <w:rFonts w:ascii="Arial" w:cs="Arial" w:eastAsia="Arial" w:hAnsi="Arial"/>
          <w:sz w:val="18"/>
          <w:szCs w:val="18"/>
          <w:color w:val="auto"/>
        </w:rPr>
      </w:pPr>
    </w:p>
    <w:p>
      <w:pPr>
        <w:ind w:left="1300" w:right="140" w:hanging="320"/>
        <w:spacing w:after="0" w:line="277" w:lineRule="auto"/>
        <w:tabs>
          <w:tab w:leader="none" w:pos="1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executed a $1.62 billion expansion capital program generally on time and on budget, and refined and expanded our portfolio of organic growth projects, setting up a 2014 program of approximately $1.7 billion;</w:t>
      </w:r>
    </w:p>
    <w:p>
      <w:pPr>
        <w:spacing w:after="0" w:line="170" w:lineRule="exact"/>
        <w:rPr>
          <w:rFonts w:ascii="Arial" w:cs="Arial" w:eastAsia="Arial" w:hAnsi="Arial"/>
          <w:sz w:val="18"/>
          <w:szCs w:val="18"/>
          <w:color w:val="auto"/>
        </w:rPr>
      </w:pPr>
    </w:p>
    <w:p>
      <w:pPr>
        <w:jc w:val="both"/>
        <w:ind w:left="1300" w:right="140" w:hanging="320"/>
        <w:spacing w:after="0" w:line="264" w:lineRule="auto"/>
        <w:tabs>
          <w:tab w:leader="none" w:pos="1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completed integration of the BP NGL Acquisition and generated/exceeded our acquisition model EBITDA forecasts for 2013. We also continued to focus on extracting further commercial synergies and identifying additional organic growth opportunities associated with the acquired assets;</w:t>
      </w:r>
    </w:p>
    <w:p>
      <w:pPr>
        <w:spacing w:after="0" w:line="181" w:lineRule="exact"/>
        <w:rPr>
          <w:rFonts w:ascii="Arial" w:cs="Arial" w:eastAsia="Arial" w:hAnsi="Arial"/>
          <w:sz w:val="18"/>
          <w:szCs w:val="18"/>
          <w:color w:val="auto"/>
        </w:rPr>
      </w:pPr>
    </w:p>
    <w:p>
      <w:pPr>
        <w:ind w:left="1300" w:hanging="320"/>
        <w:spacing w:after="0" w:line="277" w:lineRule="auto"/>
        <w:tabs>
          <w:tab w:leader="none" w:pos="1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increased our annualized distribution rate by 10.6% to $2.40 per common unit, while maintaining distribution coverage of approximately 143%;</w:t>
      </w:r>
    </w:p>
    <w:p>
      <w:pPr>
        <w:sectPr>
          <w:pgSz w:w="11900" w:h="16861" w:orient="portrait"/>
          <w:cols w:equalWidth="0" w:num="1">
            <w:col w:w="11420"/>
          </w:cols>
          <w:pgMar w:left="240" w:top="341" w:right="239" w:bottom="0" w:gutter="0" w:footer="0" w:header="0"/>
        </w:sectPr>
      </w:pPr>
    </w:p>
    <w:bookmarkStart w:id="83" w:name="page84"/>
    <w:bookmarkEnd w:id="83"/>
    <w:p>
      <w:pPr>
        <w:ind w:left="1300" w:right="80" w:hanging="320"/>
        <w:spacing w:after="0" w:line="259" w:lineRule="auto"/>
        <w:tabs>
          <w:tab w:leader="none" w:pos="12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executed multiple financings that enabled us to fund our expansion capital expenditures while maintaining solid financial strength and high liquidity, including raising an aggregate of approximately $1.15 billion of long-term debt and equity capital, extending and lowering pricing on $3 billion of bank credit facilities, initiating a $1.5 billion commercial paper program and retaining $500 million of cash flow in excess of distributions;</w:t>
      </w:r>
    </w:p>
    <w:p>
      <w:pPr>
        <w:spacing w:after="0" w:line="186" w:lineRule="exact"/>
        <w:rPr>
          <w:rFonts w:ascii="Arial" w:cs="Arial" w:eastAsia="Arial" w:hAnsi="Arial"/>
          <w:sz w:val="18"/>
          <w:szCs w:val="18"/>
          <w:color w:val="auto"/>
        </w:rPr>
      </w:pPr>
    </w:p>
    <w:p>
      <w:pPr>
        <w:ind w:left="1260" w:hanging="280"/>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initiated and executed the IPO of our general partner and completed the acquisition of all of the publicly held units of PNG; and</w:t>
      </w:r>
    </w:p>
    <w:p>
      <w:pPr>
        <w:spacing w:after="0" w:line="236" w:lineRule="exact"/>
        <w:rPr>
          <w:rFonts w:ascii="Arial" w:cs="Arial" w:eastAsia="Arial" w:hAnsi="Arial"/>
          <w:sz w:val="17"/>
          <w:szCs w:val="17"/>
          <w:color w:val="auto"/>
        </w:rPr>
      </w:pPr>
    </w:p>
    <w:p>
      <w:pPr>
        <w:ind w:left="1300" w:right="120" w:hanging="320"/>
        <w:spacing w:after="0" w:line="277" w:lineRule="auto"/>
        <w:tabs>
          <w:tab w:leader="none" w:pos="12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executed multiple initiatives to sustain the organization, prepare it for future growth and promote a culture of safety and environmental responsibility.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2013, the elements of compensation were applied as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Cash Bonuses. </w:t>
      </w:r>
      <w:r>
        <w:rPr>
          <w:rFonts w:ascii="Arial" w:cs="Arial" w:eastAsia="Arial" w:hAnsi="Arial"/>
          <w:sz w:val="16"/>
          <w:szCs w:val="16"/>
          <w:color w:val="auto"/>
        </w:rPr>
        <w:t>Based on the CEO’s annual performance review and the individual performance of each of our Named Executive Officers,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recommended to the board of directors and the board of directors approved the annual bonuses reflected in the Summary Compensation Table and notes thereto. Such amounts take into account the performance relative to our 2013 goals; the absence of shortfalls relative to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As noted in the CEO’s annual performance review, although performance in 2013 was very solid, our performance during 2012 was considered outstanding and thus superior to 2013 on a relative basis. As a result, overall bonuses for 2013 for our Named Executive Officers as a group were, on average, approximately 10% below 2012 bonus levels. In the case of Mr. Duckett, the aggregate bonus amount reflected in the Summary Compensation Table for 2013 represented 40% of his participation level for the first three fiscal quarters and an annual payment consisting of 60% of his participation for the first three quarters and 100% of his participation for the fourth quarter. For Mr. vonBerg, the aggregate bonus amount reflected in the Summary Compensation Table for 2013 represented approximately 36% in annual bonus and 64% in quarterly bonus.</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Prior to 2013, the last grant cycle of equity awards to Named Executive Officers occurred in 2010.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thresholds for vesting of the 2010 awards had been met as of December 31, 2012, however, vesting under such awards remained subject to minimum service periods that extend to May 2015. Consistent with our policy of issuing new grants with extended time-vesting periods when attainment of the distribution performance thresholds of existing grants has occurred, in February 2013, the board of directors of our general partner granted new awards to our Named Executive Officers designed to incentivize continued growth and fundamental performance, as well as encourage retention. The phantom units covered by these awards will vest in one-third increments as follows: (i) one-third will vest upon the later of the August 2016 distribution date and the date we pay a quarterly distribution of at least $0.5875 ($2.35 annualized) per common unit, (ii) one third will vest upon the later of the August 2017 distribution date and the date we pay a quarterly distribution of at least $0.6250 ($2.50 annualized) per common unit, and (iii) one-third will vest upon the later of the August 2018 distribution date and the date we pay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 The 2013 awards included grants to our Named Executive Officers as follows: Mr. Armstrong — 150,000; Mr. Pefanis — 135,000; Mr. Swanson — 100,000; Mr. Duckett — 100,000; and Mr. vonBerg — 75,000.</w:t>
      </w:r>
    </w:p>
    <w:p>
      <w:pPr>
        <w:spacing w:after="0" w:line="17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connection with the closing of the PNG Merger on December 31, 2013, Messrs. Armstrong, Pefanis and Swanson unilaterally surrendered</w:t>
      </w:r>
      <w:r>
        <w:rPr>
          <w:rFonts w:ascii="Arial" w:cs="Arial" w:eastAsia="Arial" w:hAnsi="Arial"/>
          <w:sz w:val="18"/>
          <w:szCs w:val="18"/>
          <w:i w:val="1"/>
          <w:iCs w:val="1"/>
          <w:color w:val="auto"/>
        </w:rPr>
        <w:t xml:space="preserve"> </w:t>
      </w:r>
      <w:r>
        <w:rPr>
          <w:rFonts w:ascii="Arial" w:cs="Arial" w:eastAsia="Arial" w:hAnsi="Arial"/>
          <w:sz w:val="18"/>
          <w:szCs w:val="18"/>
          <w:color w:val="auto"/>
        </w:rPr>
        <w:t>the unvested portion of their respective Transaction/Transition Grants, which consisted of all of the previously granted phantom series A subordinated units and phantom series B subordinated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Equity Ownership in PAA. </w:t>
      </w:r>
      <w:r>
        <w:rPr>
          <w:rFonts w:ascii="Arial" w:cs="Arial" w:eastAsia="Arial" w:hAnsi="Arial"/>
          <w:sz w:val="17"/>
          <w:szCs w:val="17"/>
          <w:color w:val="auto"/>
        </w:rPr>
        <w:t>As of December 31, 2013, our Named Executive Officers collectively owned substantial equity in the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December 31, 2013, our Named Executive Officers beneficially owned, in the aggregate, (i) approximately 2.4 million of our common units (excluding any unvested equity awards), (ii) through their ownership of interests in PAA Management, L.P., an approximate 2.0% indirect ownership interest (approximate 1.9% economic interest including the dilutive effect of the AAP Management Units) in AAP, which directly owns all of our IDRs and indirectly owns a 2% general partner interest in us, and (iii) 28,931,571 AAP Management Units, which represent an approximate 4.1% economic interest in AAP. Based on the market price of our common units and PAGP’s Class A shares at December 31, 2013 and assuming the conversion of all earned AAP Management Units into AAP Class A units at a conversion factor of approximately 0.90 and the exchange of such AAP Class A units for an equivalent number of PAGP Class A shares, the value of the equity ownership of these individuals was significantly greater than the combined aggregate salaries and bonuses of these individuals for 2013.</w:t>
      </w:r>
    </w:p>
    <w:p>
      <w:pPr>
        <w:spacing w:after="0" w:line="1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 with respect to adjustment or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or payments if relevant company performance measures upon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which previous awards were based are restated or otherwise adjusted in a manner that would have reduced the size of such award or payment if previously known.</w:t>
      </w:r>
    </w:p>
    <w:p>
      <w:pPr>
        <w:sectPr>
          <w:pgSz w:w="11900" w:h="16838" w:orient="portrait"/>
          <w:cols w:equalWidth="0" w:num="1">
            <w:col w:w="11380"/>
          </w:cols>
          <w:pgMar w:left="240" w:top="341" w:right="279" w:bottom="0" w:gutter="0" w:footer="0" w:header="0"/>
        </w:sectPr>
      </w:pPr>
    </w:p>
    <w:bookmarkStart w:id="84" w:name="page85"/>
    <w:bookmarkEnd w:id="84"/>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we are a limited partnership and do not fall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“corporation” under Section 162(m).</w:t>
      </w:r>
    </w:p>
    <w:p>
      <w:pPr>
        <w:spacing w:after="0" w:line="170"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and Pefanis, the long-term incentive plan grants to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the AAP Management Unit grant agreements to which our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and with respect to the completion of the initial public offering of PAGP in October 2013. The AAP Management Unit grant agreements generally call for vesting upon a change in control of any units that have already been earned, plus the next increment of units that could be earned at the next distribution threshold. Any remaining AAP Management Units would be forfeited (unless waived at the discretion of the general partner or acquirer as the case may be). As a result of significant participation by existing general partner owners or their affiliates in the December 2010 sale of Vulcan Energy’s</w:t>
      </w:r>
    </w:p>
    <w:p>
      <w:pPr>
        <w:spacing w:after="0" w:line="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50.1% ownership in the general partner, the change of control provisions of the AAP Management Unit grant agreements were not triggered. In addition, the completion of the initial public offering of PAGP in October 2013 did not constitute a change of control pursuant to the terms of the AAP Management Unit grant agreements.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158" w:lineRule="exact"/>
        <w:rPr>
          <w:sz w:val="20"/>
          <w:szCs w:val="20"/>
          <w:color w:val="auto"/>
        </w:rPr>
      </w:pPr>
    </w:p>
    <w:p>
      <w:pPr>
        <w:ind w:right="520" w:firstLine="648"/>
        <w:spacing w:after="0" w:line="279"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We also routinely monitor and measure the execution and performance of our capital projects and acquisitions relative to expectations.</w:t>
      </w:r>
    </w:p>
    <w:p>
      <w:pPr>
        <w:spacing w:after="0" w:line="1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Business Conduct. In addition, our long-term incentive awards typically include vesting criteria based on payment of distributions from currently available cash. See “Compensation Discussion and Analysis—Relation of Compensation Elements to Compensation Objectives.”</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combination with our risk-management practices, we do not believe that risks arising from our compensation policies and practices for our employees are reasonably likely to have a material adverse effect on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following table sets forth certain compensation information for our Chief Executive Officer, Chief Financial Officer, and the three other most highly compensated executive officers in 2013 (our “Named Executive Officers”). We reimburse our general partner and its affiliates for expenses incurred on our behalf, including the costs of officer compensation (excluding the costs of the obligations represented by the AAP Management Units).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Bonus</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(2)</w:t>
            </w:r>
          </w:p>
        </w:tc>
        <w:tc>
          <w:tcPr>
            <w:tcW w:w="220" w:type="dxa"/>
            <w:vAlign w:val="bottom"/>
          </w:tcPr>
          <w:p>
            <w:pPr>
              <w:spacing w:after="0"/>
              <w:rPr>
                <w:sz w:val="14"/>
                <w:szCs w:val="14"/>
                <w:color w:val="auto"/>
              </w:rPr>
            </w:pPr>
          </w:p>
        </w:tc>
        <w:tc>
          <w:tcPr>
            <w:tcW w:w="11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2,662,378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7,454,118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Chief Executive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5,591,320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5,390,900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4,250,000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2,396,140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6,962,880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Operating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5,316,320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4,800,000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5,115,900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1,800,000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3,841,659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2,266,320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1,750,000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2,015,900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3,887,652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102,936</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6,042,173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President—Plains Midstream</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4,080,876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115,433</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4,481,689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4,017,220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106,744</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4,412,763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5,255,000</w:t>
            </w:r>
            <w:r>
              <w:rPr>
                <w:rFonts w:ascii="Arial" w:cs="Arial" w:eastAsia="Arial" w:hAnsi="Arial"/>
                <w:sz w:val="11"/>
                <w:szCs w:val="11"/>
                <w:color w:val="auto"/>
                <w:w w:val="98"/>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1,331,189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6,852,929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6,315,000</w:t>
            </w:r>
            <w:r>
              <w:rPr>
                <w:rFonts w:ascii="Arial" w:cs="Arial" w:eastAsia="Arial" w:hAnsi="Arial"/>
                <w:sz w:val="11"/>
                <w:szCs w:val="11"/>
                <w:color w:val="auto"/>
                <w:w w:val="98"/>
              </w:rPr>
              <w:t>(4)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6,581,320</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85" w:name="page86"/>
    <w:bookmarkEnd w:id="85"/>
    <w:p>
      <w:pPr>
        <w:spacing w:after="0" w:line="12" w:lineRule="exact"/>
        <w:rPr>
          <w:sz w:val="20"/>
          <w:szCs w:val="20"/>
          <w:color w:val="auto"/>
        </w:rPr>
      </w:pPr>
    </w:p>
    <w:p>
      <w:pPr>
        <w:ind w:left="360"/>
        <w:spacing w:after="0"/>
        <w:tabs>
          <w:tab w:leader="none" w:pos="4100" w:val="left"/>
          <w:tab w:leader="none" w:pos="5260" w:val="left"/>
          <w:tab w:leader="none" w:pos="6500" w:val="left"/>
          <w:tab w:leader="none" w:pos="8420" w:val="left"/>
          <w:tab w:leader="none" w:pos="9440" w:val="left"/>
          <w:tab w:leader="none" w:pos="10580" w:val="left"/>
        </w:tabs>
        <w:rPr>
          <w:sz w:val="20"/>
          <w:szCs w:val="20"/>
          <w:color w:val="auto"/>
        </w:rPr>
      </w:pPr>
      <w:r>
        <w:rPr>
          <w:rFonts w:ascii="Arial" w:cs="Arial" w:eastAsia="Arial" w:hAnsi="Arial"/>
          <w:sz w:val="18"/>
          <w:szCs w:val="18"/>
          <w:color w:val="auto"/>
        </w:rPr>
        <w:t>Commercial Activities</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250,000</w:t>
      </w:r>
      <w:r>
        <w:rPr>
          <w:sz w:val="20"/>
          <w:szCs w:val="20"/>
          <w:color w:val="auto"/>
        </w:rPr>
        <w:tab/>
      </w:r>
      <w:r>
        <w:rPr>
          <w:rFonts w:ascii="Arial" w:cs="Arial" w:eastAsia="Arial" w:hAnsi="Arial"/>
          <w:sz w:val="18"/>
          <w:szCs w:val="18"/>
          <w:color w:val="auto"/>
        </w:rPr>
        <w:t>5,220,000</w:t>
      </w:r>
      <w:r>
        <w:rPr>
          <w:rFonts w:ascii="Arial" w:cs="Arial" w:eastAsia="Arial" w:hAnsi="Arial"/>
          <w:sz w:val="23"/>
          <w:szCs w:val="23"/>
          <w:color w:val="auto"/>
          <w:vertAlign w:val="superscript"/>
        </w:rPr>
        <w:t>(4)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15,900</w:t>
      </w:r>
      <w:r>
        <w:rPr>
          <w:sz w:val="20"/>
          <w:szCs w:val="20"/>
          <w:color w:val="auto"/>
        </w:rPr>
        <w:tab/>
      </w:r>
      <w:r>
        <w:rPr>
          <w:rFonts w:ascii="Arial" w:cs="Arial" w:eastAsia="Arial" w:hAnsi="Arial"/>
          <w:sz w:val="16"/>
          <w:szCs w:val="16"/>
          <w:color w:val="auto"/>
        </w:rPr>
        <w:t>5,485,900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1826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0" w:orient="portrait"/>
          <w:cols w:equalWidth="0" w:num="1">
            <w:col w:w="11420"/>
          </w:cols>
          <w:pgMar w:left="240" w:top="80" w:right="239" w:bottom="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Grant date fair values are presented for LTIP phantom unit grants awarded to Messrs. Armstrong, Pefanis, Swanson, Duckett and vonBerg in 2013.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Dollar amounts represent the aggregate grant date fair value of phantom units awarded based on the probable outcome of underlying performance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conditions pursuant to FASB ASC Topic 718. The performance threshold for the first tranche of vesting was deemed probable of occurring on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 date. The maximum grant date fair values of phantom unit grants awarded in 2013 assuming that the highest level of performance conditions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will be met are: $7,562,664 for Mr. Armstrong; $6,806,398 for Mr. Pefanis; $5,041,776 for Mr. Swanson; $5,041,776 for Mr. Duckett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$3,781,332 for Mr. vonBerg. See Note 15 to our Consolidated Financial Statements for further discussion regarding the calculation of grant date fair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values.</w:t>
      </w:r>
    </w:p>
    <w:p>
      <w:pPr>
        <w:spacing w:after="0" w:line="211" w:lineRule="exact"/>
        <w:rPr>
          <w:sz w:val="20"/>
          <w:szCs w:val="20"/>
          <w:color w:val="auto"/>
        </w:rPr>
      </w:pPr>
    </w:p>
    <w:p>
      <w:pPr>
        <w:ind w:left="20" w:right="40" w:hanging="11"/>
        <w:spacing w:after="0" w:line="257" w:lineRule="auto"/>
        <w:rPr>
          <w:sz w:val="20"/>
          <w:szCs w:val="20"/>
          <w:color w:val="auto"/>
        </w:rPr>
      </w:pPr>
      <w:r>
        <w:rPr>
          <w:rFonts w:ascii="Arial" w:cs="Arial" w:eastAsia="Arial" w:hAnsi="Arial"/>
          <w:sz w:val="18"/>
          <w:szCs w:val="18"/>
          <w:color w:val="auto"/>
        </w:rPr>
        <w:t>GP LLC matches 100% of employees’ contributions to its 401(k) plan in cash, subject to certain limitations in the plan. All Other Compensation for each of Messrs. Armstrong, Pefanis, Swanson and vonBerg includes $15,300 in such contributions for 2013. The remaining amount for each represents premium payments on behalf of such Named Executive Officer for group term life insurance. All Other Compensation for Mr. Duckett includes, for 2013, employer contributions to the Plains Midstream Canada savings plan of $35,967, group term life insurance premiums of $29,314, automobile lease payments of $30,369 and club dues of $7,286.</w:t>
      </w:r>
    </w:p>
    <w:p>
      <w:pPr>
        <w:spacing w:after="0" w:line="188"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spacing w:after="0" w:line="170" w:lineRule="exact"/>
        <w:rPr>
          <w:sz w:val="20"/>
          <w:szCs w:val="20"/>
          <w:color w:val="auto"/>
        </w:rPr>
      </w:pPr>
    </w:p>
    <w:p>
      <w:pPr>
        <w:ind w:left="20" w:right="300" w:hanging="11"/>
        <w:spacing w:after="0" w:line="342" w:lineRule="auto"/>
        <w:rPr>
          <w:sz w:val="20"/>
          <w:szCs w:val="20"/>
          <w:color w:val="auto"/>
        </w:rPr>
      </w:pPr>
      <w:r>
        <w:rPr>
          <w:rFonts w:ascii="Arial" w:cs="Arial" w:eastAsia="Arial" w:hAnsi="Arial"/>
          <w:sz w:val="16"/>
          <w:szCs w:val="16"/>
          <w:color w:val="auto"/>
        </w:rPr>
        <w:t>Includes quarterly bonuses aggregating $3,355,000, $4,115,000 and $3,220,000 and annual bonuses of $1,900,000, $2,200,000 and $2,000,000 in 2013, 2012 and 2011, respectively. The annual bonuses are payable 60% at the time of award and 20% in each of the two succeeding years.</w:t>
      </w:r>
    </w:p>
    <w:p>
      <w:pPr>
        <w:spacing w:after="0" w:line="12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50" w:orient="portrait"/>
          <w:cols w:equalWidth="0" w:num="2">
            <w:col w:w="140" w:space="500"/>
            <w:col w:w="10780"/>
          </w:cols>
          <w:pgMar w:left="240" w:top="8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rPr>
              <w:t>All Other</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02"/>
              <w:spacing w:after="0" w:line="149" w:lineRule="exact"/>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8"/>
              </w:rPr>
              <w:t>Number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rPr>
              <w:t>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0"/>
              </w:rPr>
              <w:t>Shares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2"/>
              </w:rPr>
              <w:t>Stock or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1"/>
              </w:rPr>
              <w:t>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8"/>
                <w:szCs w:val="8"/>
                <w:b w:val="1"/>
                <w:bCs w:val="1"/>
                <w:color w:val="auto"/>
                <w:w w:val="96"/>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81"/>
              </w:rPr>
              <w:t>(1)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2,662,378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135,000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2,396,140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1,774,919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1,774,919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75,000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960" w:hanging="628"/>
        <w:spacing w:after="0"/>
        <w:tabs>
          <w:tab w:leader="none" w:pos="960"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color w:val="auto"/>
        </w:rPr>
        <w:t>The phantom units covered by these awards will vest in one-third increments as follows: (i) one-third will vest upon the later of the</w:t>
      </w:r>
    </w:p>
    <w:p>
      <w:pPr>
        <w:spacing w:after="0" w:line="1" w:lineRule="exact"/>
        <w:rPr>
          <w:rFonts w:ascii="Arial" w:cs="Arial" w:eastAsia="Arial" w:hAnsi="Arial"/>
          <w:sz w:val="23"/>
          <w:szCs w:val="23"/>
          <w:color w:val="auto"/>
          <w:vertAlign w:val="superscript"/>
        </w:rPr>
      </w:pPr>
    </w:p>
    <w:p>
      <w:pPr>
        <w:ind w:left="980" w:right="60"/>
        <w:spacing w:after="0" w:line="268" w:lineRule="auto"/>
        <w:rPr>
          <w:rFonts w:ascii="Arial" w:cs="Arial" w:eastAsia="Arial" w:hAnsi="Arial"/>
          <w:sz w:val="23"/>
          <w:szCs w:val="23"/>
          <w:color w:val="auto"/>
          <w:vertAlign w:val="superscript"/>
        </w:rPr>
      </w:pPr>
      <w:r>
        <w:rPr>
          <w:rFonts w:ascii="Arial" w:cs="Arial" w:eastAsia="Arial" w:hAnsi="Arial"/>
          <w:sz w:val="17"/>
          <w:szCs w:val="17"/>
          <w:color w:val="auto"/>
        </w:rPr>
        <w:t>August 2016 distribution date and the date we pay a quarterly distribution of at least $0.5875 ($2.35 annualized) per common unit, (ii) one third will vest upon the later of the August 2017 distribution date and the date we pay a quarterly distribution of at least $0.6250 ($2.50 annualized) per common unit, and (iii) one-third will vest upon the later of the August 2018 distribution date and the date we pay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w:t>
      </w:r>
    </w:p>
    <w:p>
      <w:pPr>
        <w:spacing w:after="0" w:line="182" w:lineRule="exact"/>
        <w:rPr>
          <w:rFonts w:ascii="Arial" w:cs="Arial" w:eastAsia="Arial" w:hAnsi="Arial"/>
          <w:sz w:val="23"/>
          <w:szCs w:val="23"/>
          <w:color w:val="auto"/>
          <w:vertAlign w:val="superscript"/>
        </w:rPr>
      </w:pPr>
    </w:p>
    <w:p>
      <w:pPr>
        <w:ind w:left="980" w:right="100" w:hanging="648"/>
        <w:spacing w:after="0" w:line="249" w:lineRule="auto"/>
        <w:tabs>
          <w:tab w:leader="none" w:pos="968" w:val="left"/>
        </w:tabs>
        <w:numPr>
          <w:ilvl w:val="0"/>
          <w:numId w:val="86"/>
        </w:numPr>
        <w:rPr>
          <w:rFonts w:ascii="Arial" w:cs="Arial" w:eastAsia="Arial" w:hAnsi="Arial"/>
          <w:sz w:val="22"/>
          <w:szCs w:val="22"/>
          <w:color w:val="auto"/>
          <w:vertAlign w:val="superscript"/>
        </w:rPr>
      </w:pPr>
      <w:r>
        <w:rPr>
          <w:rFonts w:ascii="Arial" w:cs="Arial" w:eastAsia="Arial" w:hAnsi="Arial"/>
          <w:sz w:val="17"/>
          <w:szCs w:val="17"/>
          <w:color w:val="auto"/>
        </w:rPr>
        <w:t>Represents the grant date fair values of phantom units based on the probable outcome of underlying performance conditions pursuant to FASB ASC Topic 718. The performance threshold for the first tranche of vesting was deemed probable of occurring on the grant date. See footnote 1 to the Summary Compensation Table for the maximum grant date fair values of these phantom unit awards.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Plan-Based Awards Table</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 narrative description of all material factors necessary to an understanding of the information included in the above Summary Compensation Table and Grant of Plan-Based Awards Table is included in “—Compensation Discussion and Analysis” and in the footnotes to such tables.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w:t>
      </w:r>
    </w:p>
    <w:p>
      <w:pPr>
        <w:sectPr>
          <w:pgSz w:w="11900" w:h="16850" w:orient="portrait"/>
          <w:cols w:equalWidth="0" w:num="1">
            <w:col w:w="11420"/>
          </w:cols>
          <w:pgMar w:left="240" w:top="80" w:right="239" w:bottom="0" w:gutter="0" w:footer="0" w:header="0"/>
          <w:type w:val="continuous"/>
        </w:sectPr>
      </w:pPr>
    </w:p>
    <w:bookmarkStart w:id="86" w:name="page87"/>
    <w:bookmarkEnd w:id="86"/>
    <w:p>
      <w:pPr>
        <w:ind w:right="280"/>
        <w:spacing w:after="0" w:line="342" w:lineRule="auto"/>
        <w:rPr>
          <w:sz w:val="20"/>
          <w:szCs w:val="20"/>
          <w:color w:val="auto"/>
        </w:rPr>
      </w:pPr>
      <w:r>
        <w:rPr>
          <w:rFonts w:ascii="Arial" w:cs="Arial" w:eastAsia="Arial" w:hAnsi="Arial"/>
          <w:sz w:val="16"/>
          <w:szCs w:val="16"/>
          <w:color w:val="auto"/>
        </w:rPr>
        <w:t>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we use salary and bonus to achieve compensation objectives. See “— Potential Payments upon Termination or Change-In-Control” for a discussion of the provisions in Messrs. Armstrong’s and Pefanis’ employment agreements related to termination, change of control and related payment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outstanding equity awards at December 31, 2013 with respect to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2"/>
              </w:rPr>
              <w:t>Unit Awards</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Equity</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880" w:type="dxa"/>
            <w:vAlign w:val="bottom"/>
            <w:gridSpan w:val="3"/>
            <w:vMerge w:val="continue"/>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Not</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Vested (#)</w:t>
            </w:r>
          </w:p>
        </w:tc>
        <w:tc>
          <w:tcPr>
            <w:tcW w:w="18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8"/>
                <w:szCs w:val="8"/>
                <w:b w:val="1"/>
                <w:bCs w:val="1"/>
                <w:color w:val="auto"/>
                <w:w w:val="93"/>
              </w:rPr>
              <w:t>(1)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Vested (#)</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10,425,791</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252,288,377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240,000</w:t>
            </w:r>
            <w:r>
              <w:rPr>
                <w:rFonts w:ascii="Arial" w:cs="Arial" w:eastAsia="Arial" w:hAnsi="Arial"/>
                <w:sz w:val="11"/>
                <w:szCs w:val="11"/>
                <w:color w:val="auto"/>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12,424,800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7,819,344</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189,216,276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8,283,200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2,606,448</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63,072,101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4,141,600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4,430,961</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107,222,550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3,649,027</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88,300,925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0" w:hanging="11"/>
        <w:spacing w:after="0" w:line="272" w:lineRule="auto"/>
        <w:rPr>
          <w:sz w:val="20"/>
          <w:szCs w:val="20"/>
          <w:color w:val="auto"/>
        </w:rPr>
      </w:pPr>
      <w:r>
        <w:rPr>
          <w:rFonts w:ascii="Arial" w:cs="Arial" w:eastAsia="Arial" w:hAnsi="Arial"/>
          <w:sz w:val="17"/>
          <w:szCs w:val="17"/>
          <w:color w:val="auto"/>
        </w:rPr>
        <w:t>Market value of phantom units reported in these columns is calculated by multiplying the closing market price ($51.77) of our common units at December 31, 2013 (the last trading day of the fiscal year) by the number of units. No discount is applied for remaining performance threshold or service period requirements. Market value of AAP Management Units is calculated by (i) assuming that such AAP Management Units are converted into AAP Class A units based on the December 31, 2013 conversion factor of approximately 0.90 AAP Class A units and PAGP Class B shares for each AAP Management Unit, (ii) assuming the exchange of the resulting AAP Class A units and PAGP Class B shares for PAGP Class A shares on a one-for-one basis, and (iii) multiplying such resulting number of PAGP Class A shares by the closing market price ($26.77) of PAGP’s Class A shares at December 31, 2013 (the last trading day of the fiscal year).</w:t>
      </w:r>
    </w:p>
    <w:p>
      <w:pPr>
        <w:spacing w:after="0" w:line="178" w:lineRule="exact"/>
        <w:rPr>
          <w:sz w:val="20"/>
          <w:szCs w:val="20"/>
          <w:color w:val="auto"/>
        </w:rPr>
      </w:pPr>
    </w:p>
    <w:p>
      <w:pPr>
        <w:ind w:right="20" w:hanging="11"/>
        <w:spacing w:after="0" w:line="273" w:lineRule="auto"/>
        <w:rPr>
          <w:sz w:val="20"/>
          <w:szCs w:val="20"/>
          <w:color w:val="auto"/>
        </w:rPr>
      </w:pPr>
      <w:r>
        <w:rPr>
          <w:rFonts w:ascii="Arial" w:cs="Arial" w:eastAsia="Arial" w:hAnsi="Arial"/>
          <w:sz w:val="17"/>
          <w:szCs w:val="17"/>
          <w:color w:val="auto"/>
        </w:rPr>
        <w:t>Represents the pre-conversion number of AAP Management Units held by the applicable individual, each of which represents a “profits interest” in AAP, entitling the holder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Despite the fact that 100% of the AAP Management Units held by our Named Executive Officers had been earned as of December 31, 2013 (i.e., all relevant performance benchmarks have been satisfied), all such AAP Management Units are treated as stock that has not vested for purposes of this table due to the fact that, as of December 31, 2013, they remained</w:t>
      </w:r>
    </w:p>
    <w:p>
      <w:pPr>
        <w:spacing w:after="0" w:line="178"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87" w:name="page88"/>
    <w:bookmarkEnd w:id="87"/>
    <w:p>
      <w:pPr>
        <w:spacing w:after="0" w:line="8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subject to a “call right” held by AAP. Such call right gives AAP the right to purchase such AAP Management Units for an amount equal to 75% of the fair market value of such AAP Management Units upon the termination of the applicable Named Executive Officer’s employment with GP LLC and its affiliates prior to January 1, 2016 (subject to certain exceptions as set forth in the AAP Management Unit Grant Agreements). If at any time after December 31, 2015 the PAGP Class A shares are publicly traded, each vested AAP Management Unit may be converted into AAP Class A units and a like number of PAGP Class B shares based on a conversion ratio calculated in accordance with the AAP limited partnership agreement (which conversion ratio will not be more than one-to-one and was approximately 0.90 AAP Class A units and PAGP Class B shares for each AAP Management Unit as of December 31, 2013). Following any such conversion, the resulting AAP Class A units and PAGP Class B shares are exchangeable for PAGP Class A shares on a one-for-one basis as provided in the PAGP limited partnership agreement. For additional information regarding the AAP Management Units, please read Item 13. “Certain Relationships and Related Transactions, and Director Independence—Our General Partner—AAP Management Units.”</w:t>
      </w:r>
    </w:p>
    <w:p>
      <w:pPr>
        <w:spacing w:after="0" w:line="178" w:lineRule="exact"/>
        <w:rPr>
          <w:sz w:val="20"/>
          <w:szCs w:val="20"/>
          <w:color w:val="auto"/>
        </w:rPr>
      </w:pPr>
    </w:p>
    <w:p>
      <w:pPr>
        <w:ind w:left="660" w:right="260" w:hanging="652"/>
        <w:spacing w:after="0" w:line="234" w:lineRule="auto"/>
        <w:tabs>
          <w:tab w:leader="none" w:pos="648"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Represents phantom units granted in 2010 under our Long-Term Incentive Plan. As of December 31, 2013, all of these phantom units had been earned and will vest one-half on each of the May 2014 and May 2015 distribution dates. All of the DERs associated with these phantom units are currently payable.</w:t>
      </w:r>
    </w:p>
    <w:p>
      <w:pPr>
        <w:spacing w:after="0" w:line="191"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87"/>
        </w:numPr>
        <w:rPr>
          <w:rFonts w:ascii="Arial" w:cs="Arial" w:eastAsia="Arial" w:hAnsi="Arial"/>
          <w:sz w:val="21"/>
          <w:szCs w:val="21"/>
          <w:color w:val="auto"/>
          <w:vertAlign w:val="superscript"/>
        </w:rPr>
      </w:pPr>
      <w:r>
        <w:rPr>
          <w:rFonts w:ascii="Arial" w:cs="Arial" w:eastAsia="Arial" w:hAnsi="Arial"/>
          <w:sz w:val="16"/>
          <w:szCs w:val="16"/>
          <w:color w:val="auto"/>
        </w:rPr>
        <w:t>Represents phantom units granted in 2013 under our Long-Term Incentive Plan. These phantom units will vest in one-third increments as follows:</w:t>
      </w:r>
    </w:p>
    <w:p>
      <w:pPr>
        <w:spacing w:after="0" w:line="1" w:lineRule="exact"/>
        <w:rPr>
          <w:rFonts w:ascii="Arial" w:cs="Arial" w:eastAsia="Arial" w:hAnsi="Arial"/>
          <w:sz w:val="21"/>
          <w:szCs w:val="21"/>
          <w:color w:val="auto"/>
          <w:vertAlign w:val="superscript"/>
        </w:rPr>
      </w:pPr>
    </w:p>
    <w:p>
      <w:pPr>
        <w:ind w:left="660" w:right="140" w:hanging="4"/>
        <w:spacing w:after="0" w:line="268" w:lineRule="auto"/>
        <w:tabs>
          <w:tab w:leader="none" w:pos="875" w:val="left"/>
        </w:tabs>
        <w:numPr>
          <w:ilvl w:val="1"/>
          <w:numId w:val="87"/>
        </w:numPr>
        <w:rPr>
          <w:rFonts w:ascii="Arial" w:cs="Arial" w:eastAsia="Arial" w:hAnsi="Arial"/>
          <w:sz w:val="17"/>
          <w:szCs w:val="17"/>
          <w:color w:val="auto"/>
        </w:rPr>
      </w:pPr>
      <w:r>
        <w:rPr>
          <w:rFonts w:ascii="Arial" w:cs="Arial" w:eastAsia="Arial" w:hAnsi="Arial"/>
          <w:sz w:val="17"/>
          <w:szCs w:val="17"/>
          <w:color w:val="auto"/>
        </w:rPr>
        <w:t>one-third will vest on the August 2016 distribution date as the quarterly distribution threshold of $0.5875 ($2.35 annualized) has already been satisfied, (ii) one third will vest upon the later of the August 2017 distribution date and the date we pay a quarterly distribution of at least $0.6250 ($2.50 annualized) per common unit, and (iii) one-third will vest upon the later of the August 2018 distribution date and the date we pay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2013 with respect to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w w:val="90"/>
              </w:rPr>
              <w:t>Unit Awards</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2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Number of Units</w:t>
            </w: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9"/>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2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Vesting (#)</w:t>
            </w: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7,042,800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4,695,200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2,347,600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23,336</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1,369,590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2,934,500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2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2,112,840</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328"/>
        <w:spacing w:after="0" w:line="227" w:lineRule="auto"/>
        <w:tabs>
          <w:tab w:leader="none" w:pos="648" w:val="left"/>
        </w:tabs>
        <w:numPr>
          <w:ilvl w:val="0"/>
          <w:numId w:val="88"/>
        </w:numPr>
        <w:rPr>
          <w:rFonts w:ascii="Arial" w:cs="Arial" w:eastAsia="Arial" w:hAnsi="Arial"/>
          <w:sz w:val="23"/>
          <w:szCs w:val="23"/>
          <w:color w:val="auto"/>
          <w:vertAlign w:val="superscript"/>
        </w:rPr>
      </w:pPr>
      <w:r>
        <w:rPr>
          <w:rFonts w:ascii="Arial" w:cs="Arial" w:eastAsia="Arial" w:hAnsi="Arial"/>
          <w:sz w:val="18"/>
          <w:szCs w:val="18"/>
          <w:color w:val="auto"/>
        </w:rPr>
        <w:t>Represents the gross number of phantom units that vested during the year ended December 31, 2013. The actual number of units delivered was net of income tax withholding.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80" w:hanging="328"/>
        <w:spacing w:after="0" w:line="238" w:lineRule="auto"/>
        <w:tabs>
          <w:tab w:leader="none" w:pos="648" w:val="left"/>
        </w:tabs>
        <w:numPr>
          <w:ilvl w:val="0"/>
          <w:numId w:val="89"/>
        </w:numPr>
        <w:rPr>
          <w:rFonts w:ascii="Arial" w:cs="Arial" w:eastAsia="Arial" w:hAnsi="Arial"/>
          <w:sz w:val="22"/>
          <w:szCs w:val="22"/>
          <w:color w:val="auto"/>
          <w:vertAlign w:val="superscript"/>
        </w:rPr>
      </w:pPr>
      <w:r>
        <w:rPr>
          <w:rFonts w:ascii="Arial" w:cs="Arial" w:eastAsia="Arial" w:hAnsi="Arial"/>
          <w:sz w:val="17"/>
          <w:szCs w:val="17"/>
          <w:color w:val="auto"/>
        </w:rPr>
        <w:t>Consistent with the terms of our 2005 Long-Term Incentive Plan, the value realized upon vesting is computed by multiplying the closing market price ($58.69) of our common units on May 14, 2013 (the date preceding the vesting date) by the number of units that vested.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sponsor a 401(k) plan that is available to all U.S. employees, but we do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 nonqualified deferred compensation plan or program for our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31, 2013.</w:t>
      </w:r>
    </w:p>
    <w:p>
      <w:pPr>
        <w:spacing w:after="0" w:line="150"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1120" w:type="dxa"/>
            <w:vAlign w:val="bottom"/>
          </w:tcPr>
          <w:p>
            <w:pPr>
              <w:jc w:val="center"/>
              <w:ind w:right="248"/>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By Company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By Executive</w:t>
            </w: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rPr>
              <w:t>In</w:t>
            </w:r>
          </w:p>
        </w:tc>
      </w:tr>
      <w:tr>
        <w:trPr>
          <w:trHeight w:val="149"/>
        </w:trPr>
        <w:tc>
          <w:tcPr>
            <w:tcW w:w="112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2"/>
              </w:rPr>
              <w:t>Death</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Disability</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 Good</w:t>
            </w: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Connection</w:t>
            </w:r>
          </w:p>
        </w:tc>
      </w:tr>
      <w:tr>
        <w:trPr>
          <w:trHeight w:val="149"/>
        </w:trPr>
        <w:tc>
          <w:tcPr>
            <w:tcW w:w="112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Cause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Reason</w:t>
            </w: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with a</w:t>
            </w:r>
          </w:p>
        </w:tc>
      </w:tr>
      <w:tr>
        <w:trPr>
          <w:trHeight w:val="186"/>
        </w:trPr>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Change</w:t>
            </w:r>
          </w:p>
        </w:tc>
      </w:tr>
    </w:tbl>
    <w:p>
      <w:pPr>
        <w:sectPr>
          <w:pgSz w:w="11900" w:h="16926" w:orient="portrait"/>
          <w:cols w:equalWidth="0" w:num="1">
            <w:col w:w="11420"/>
          </w:cols>
          <w:pgMar w:left="240" w:top="368" w:right="23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Bonus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16,725,000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15,013,300</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74"/>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15,013,300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20,190,300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20,190,300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20,190,300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 Benefits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1,339,190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63,072,094</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63,072,094</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63,072,094</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26,163,300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26,193,324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94,442,418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94,442,418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101,356,608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Harry N. Pefanis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Bonus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10,612,850</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74"/>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10,612,850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15,272,150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15,272,150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15,272,150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 Benefits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1,629,547</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47,304,069</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47,304,069</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47,304,069</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21,212,850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21,259,538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73,222,907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73,222,907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80,152,454</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3"/>
                <w:szCs w:val="23"/>
                <w:color w:val="auto"/>
                <w:vertAlign w:val="superscript"/>
              </w:rPr>
              <w:t>(10)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5,867,249</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5,867,249</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5,867,249</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9,318,600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15,768,025</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15,768,025</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15,768,025</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5,867,249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5,867,249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21,635,274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15,768,025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25,086,625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W. David Duckett </w:t>
            </w:r>
            <w:r>
              <w:rPr>
                <w:rFonts w:ascii="Arial" w:cs="Arial" w:eastAsia="Arial" w:hAnsi="Arial"/>
                <w:sz w:val="23"/>
                <w:szCs w:val="23"/>
                <w:color w:val="auto"/>
                <w:vertAlign w:val="superscript"/>
              </w:rPr>
              <w:t>(10)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6,902,649</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6,902,649</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6,902,649</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10,354,000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26,805,638</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26,805,638</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26,805,638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6,902,649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6,902,649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33,708,287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26,805,638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37,159,638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John P. vonBerg </w:t>
            </w:r>
            <w:r>
              <w:rPr>
                <w:rFonts w:ascii="Arial" w:cs="Arial" w:eastAsia="Arial" w:hAnsi="Arial"/>
                <w:sz w:val="23"/>
                <w:szCs w:val="23"/>
                <w:color w:val="auto"/>
                <w:vertAlign w:val="superscript"/>
              </w:rPr>
              <w:t>(10)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5,021,690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5,021,690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5,021,690</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7,610,190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22,075,231</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22,075,231</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22,075,231</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5,021,690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5,021,690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27,096,921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22,075,231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29,685,421</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200" w:hanging="652"/>
        <w:spacing w:after="0" w:line="251" w:lineRule="auto"/>
        <w:tabs>
          <w:tab w:leader="none" w:pos="648"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w:t>
      </w:r>
    </w:p>
    <w:p>
      <w:pPr>
        <w:spacing w:after="0" w:line="1" w:lineRule="exact"/>
        <w:rPr>
          <w:rFonts w:ascii="Arial" w:cs="Arial" w:eastAsia="Arial" w:hAnsi="Arial"/>
          <w:sz w:val="21"/>
          <w:szCs w:val="21"/>
          <w:color w:val="auto"/>
          <w:vertAlign w:val="superscript"/>
        </w:rPr>
      </w:pPr>
    </w:p>
    <w:p>
      <w:pPr>
        <w:ind w:left="660"/>
        <w:spacing w:after="0"/>
        <w:rPr>
          <w:rFonts w:ascii="Arial" w:cs="Arial" w:eastAsia="Arial" w:hAnsi="Arial"/>
          <w:sz w:val="21"/>
          <w:szCs w:val="21"/>
          <w:color w:val="auto"/>
          <w:vertAlign w:val="superscript"/>
        </w:rPr>
      </w:pPr>
      <w:r>
        <w:rPr>
          <w:rFonts w:ascii="Arial" w:cs="Arial" w:eastAsia="Arial" w:hAnsi="Arial"/>
          <w:sz w:val="18"/>
          <w:szCs w:val="18"/>
          <w:color w:val="auto"/>
        </w:rPr>
        <w:t>(b) for good reason (as defined below), or (iii) GP LLC terminates their employment without cause (as defined below), they 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entitled to a lump-sum amount equal to the product of (1) the sum of their (a) highest annual base salary paid prior to their date of termination and</w:t>
      </w:r>
    </w:p>
    <w:p>
      <w:pPr>
        <w:spacing w:after="0" w:line="46" w:lineRule="exact"/>
        <w:rPr>
          <w:sz w:val="20"/>
          <w:szCs w:val="20"/>
          <w:color w:val="auto"/>
        </w:rPr>
      </w:pPr>
    </w:p>
    <w:p>
      <w:pPr>
        <w:ind w:left="660" w:right="160" w:hanging="4"/>
        <w:spacing w:after="0" w:line="273" w:lineRule="auto"/>
        <w:tabs>
          <w:tab w:leader="none" w:pos="9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2013, and also assumes a highest annual base salary of $375,000 and highest annual bonus of $5,200,000 for Mr. Armstrong, and a highest annual base salary of $300,000 and highest annual bonus of $5,000,000 for Mr. Pefanis.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agreements between GP LLC and Messrs. Armstrong and Pefanis define “cause” as (i) willfully engaging in gross misconduct, or</w:t>
      </w:r>
    </w:p>
    <w:p>
      <w:pPr>
        <w:spacing w:after="0" w:line="46" w:lineRule="exact"/>
        <w:rPr>
          <w:sz w:val="20"/>
          <w:szCs w:val="20"/>
          <w:color w:val="auto"/>
        </w:rPr>
      </w:pPr>
    </w:p>
    <w:p>
      <w:pPr>
        <w:ind w:left="660" w:right="60" w:hanging="4"/>
        <w:spacing w:after="0" w:line="288" w:lineRule="auto"/>
        <w:tabs>
          <w:tab w:leader="none" w:pos="925"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of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69"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Plains All American GP LLC.</w:t>
      </w:r>
    </w:p>
    <w:p>
      <w:pPr>
        <w:spacing w:after="0" w:line="178" w:lineRule="exact"/>
        <w:rPr>
          <w:sz w:val="20"/>
          <w:szCs w:val="20"/>
          <w:color w:val="auto"/>
        </w:rPr>
      </w:pPr>
    </w:p>
    <w:p>
      <w:pPr>
        <w:ind w:left="660" w:right="160" w:hanging="652"/>
        <w:spacing w:after="0" w:line="251" w:lineRule="auto"/>
        <w:tabs>
          <w:tab w:leader="none" w:pos="648"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w:t>
      </w:r>
    </w:p>
    <w:p>
      <w:pPr>
        <w:spacing w:after="0" w:line="1" w:lineRule="exact"/>
        <w:rPr>
          <w:rFonts w:ascii="Arial" w:cs="Arial" w:eastAsia="Arial" w:hAnsi="Arial"/>
          <w:sz w:val="21"/>
          <w:szCs w:val="21"/>
          <w:color w:val="auto"/>
          <w:vertAlign w:val="superscript"/>
        </w:rPr>
      </w:pPr>
    </w:p>
    <w:p>
      <w:pPr>
        <w:ind w:left="660" w:right="160"/>
        <w:spacing w:after="0" w:line="254" w:lineRule="auto"/>
        <w:rPr>
          <w:rFonts w:ascii="Arial" w:cs="Arial" w:eastAsia="Arial" w:hAnsi="Arial"/>
          <w:sz w:val="21"/>
          <w:szCs w:val="21"/>
          <w:color w:val="auto"/>
          <w:vertAlign w:val="superscript"/>
        </w:rPr>
      </w:pPr>
      <w:r>
        <w:rPr>
          <w:rFonts w:ascii="Arial" w:cs="Arial" w:eastAsia="Arial" w:hAnsi="Arial"/>
          <w:sz w:val="18"/>
          <w:szCs w:val="18"/>
          <w:color w:val="auto"/>
        </w:rPr>
        <w:t>(a) their highest annual base salary previously paid to them and (b) their highest annual bonus paid or payable for any of the three years prior to the date of such termination. The amount provided in the table assumes a change in control and termination date of December 31, 2013, and also assumes a highest annual base salary of $375,000 and highest annual bonus of $5,200,000 for Mr. Armstrong, and a highest annual base salary of $300,000 and highest annual bonus of $5,000,000 for Mr. Pefanis.</w:t>
      </w:r>
    </w:p>
    <w:p>
      <w:pPr>
        <w:sectPr>
          <w:pgSz w:w="11900" w:h="16838" w:orient="portrait"/>
          <w:cols w:equalWidth="0" w:num="1">
            <w:col w:w="11420"/>
          </w:cols>
          <w:pgMar w:left="240" w:top="104" w:right="239" w:bottom="0" w:gutter="0" w:footer="0" w:header="0"/>
        </w:sectPr>
      </w:pPr>
    </w:p>
    <w:bookmarkStart w:id="89" w:name="page90"/>
    <w:bookmarkEnd w:id="89"/>
    <w:p>
      <w:pPr>
        <w:ind w:left="660" w:right="120"/>
        <w:spacing w:after="0" w:line="259" w:lineRule="auto"/>
        <w:rPr>
          <w:sz w:val="20"/>
          <w:szCs w:val="20"/>
          <w:color w:val="auto"/>
        </w:rPr>
      </w:pPr>
      <w:r>
        <w:rPr>
          <w:rFonts w:ascii="Arial" w:cs="Arial" w:eastAsia="Arial" w:hAnsi="Arial"/>
          <w:sz w:val="18"/>
          <w:szCs w:val="18"/>
          <w:color w:val="auto"/>
        </w:rPr>
        <w:t>“Change in control” was originally defined in their employment agreements to mean (i) the acquisition by a person or group (other than Vulcan Energy or a wholly owned subsidiary thereof) of beneficial ownership, directly or indirectly, of 50% or more of the membership interest of GP LLC or (ii) the owners of the membership interests of GP LLC on June 30, 2001 ceasing to beneficially own, directly or indirectly, more than 50% of the membership interests of GP LLC.</w:t>
      </w:r>
    </w:p>
    <w:p>
      <w:pPr>
        <w:spacing w:after="0" w:line="187"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In August 2005, Vulcan Energy increased its interest in GP LLC from approximately 44% to greater than 50%. The consummation of the transaction constituted a change in control under the employment agreements with Messrs. Armstrong and Pefanis. However, Messrs. Armstrong and Pefanis entered into agreements with GP LLC waiving their rights to payments under their employment agreements in connection with the change in control, contingent on the execution and performance by Vulcan Energy of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240"/>
        <w:spacing w:after="0" w:line="259" w:lineRule="auto"/>
        <w:rPr>
          <w:sz w:val="20"/>
          <w:szCs w:val="20"/>
          <w:color w:val="auto"/>
        </w:rPr>
      </w:pPr>
      <w:r>
        <w:rPr>
          <w:rFonts w:ascii="Arial" w:cs="Arial" w:eastAsia="Arial" w:hAnsi="Arial"/>
          <w:sz w:val="18"/>
          <w:szCs w:val="18"/>
          <w:color w:val="auto"/>
        </w:rPr>
        <w:t>voting agreement with GP LLC that restricted certain of Vulcan’s voting rights. The December 2010 sale by Vulcan Energy of its interest in our general partner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w:t>
      </w:r>
    </w:p>
    <w:p>
      <w:pPr>
        <w:spacing w:after="0" w:line="187" w:lineRule="exact"/>
        <w:rPr>
          <w:sz w:val="20"/>
          <w:szCs w:val="20"/>
          <w:color w:val="auto"/>
        </w:rPr>
      </w:pPr>
    </w:p>
    <w:p>
      <w:pPr>
        <w:ind w:left="20"/>
        <w:spacing w:after="0" w:line="285" w:lineRule="auto"/>
        <w:rPr>
          <w:sz w:val="20"/>
          <w:szCs w:val="20"/>
          <w:color w:val="auto"/>
        </w:rPr>
      </w:pPr>
      <w:r>
        <w:rPr>
          <w:rFonts w:ascii="Arial" w:cs="Arial" w:eastAsia="Arial" w:hAnsi="Arial"/>
          <w:sz w:val="16"/>
          <w:szCs w:val="16"/>
          <w:color w:val="auto"/>
        </w:rPr>
        <w:t>The initial public offering of PAGP and certain related transactions also would have constituted a change in control under the employment agreements, which would have allowed Messrs. Armstrong and Pefanis to terminate their employment and become entitled to certain separation benefits. Messrs. Armstrong and Pefanis executed agreements waiving their rights to terminate employment and receive such benefits. In connection with such waiver,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interests of 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(iii) PAGP ceases to beneficially own, directly or indirectly, more than 50% of the membership interest in GP LLC; (iv) KAFU Holdings, L.P. and its affiliates, Lynx Holdings I, LLC and its affiliates, Oxy Holding Company (Pipeline), Inc. and its affiliates, Mark Strome and his affiliates, Windy, LLC and its affiliates, PAA Management, L.P. and its affiliates, PAGP and its affiliates, and various individual investors (collectively, the “Owner Affiliates”),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Plains All American Pipeline, L.P.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91" w:lineRule="exact"/>
        <w:rPr>
          <w:sz w:val="20"/>
          <w:szCs w:val="20"/>
          <w:color w:val="auto"/>
        </w:rPr>
      </w:pPr>
    </w:p>
    <w:p>
      <w:pPr>
        <w:ind w:left="20" w:right="60" w:hanging="11"/>
        <w:spacing w:after="0" w:line="273" w:lineRule="auto"/>
        <w:rPr>
          <w:sz w:val="20"/>
          <w:szCs w:val="20"/>
          <w:color w:val="auto"/>
        </w:rPr>
      </w:pPr>
      <w:r>
        <w:rPr>
          <w:rFonts w:ascii="Arial" w:cs="Arial" w:eastAsia="Arial" w:hAnsi="Arial"/>
          <w:sz w:val="17"/>
          <w:szCs w:val="17"/>
          <w:color w:val="auto"/>
        </w:rPr>
        <w:t>The letters evidencing phantom unit grants to our Named Executive Officers in 2010 and 2013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spacing w:after="0" w:line="178" w:lineRule="exact"/>
        <w:rPr>
          <w:sz w:val="20"/>
          <w:szCs w:val="20"/>
          <w:color w:val="auto"/>
        </w:rPr>
      </w:pPr>
    </w:p>
    <w:p>
      <w:pPr>
        <w:ind w:left="20" w:right="80"/>
        <w:spacing w:after="0" w:line="257" w:lineRule="auto"/>
        <w:rPr>
          <w:sz w:val="20"/>
          <w:szCs w:val="20"/>
          <w:color w:val="auto"/>
        </w:rPr>
      </w:pPr>
      <w:r>
        <w:rPr>
          <w:rFonts w:ascii="Arial" w:cs="Arial" w:eastAsia="Arial" w:hAnsi="Arial"/>
          <w:sz w:val="18"/>
          <w:szCs w:val="18"/>
          <w:color w:val="auto"/>
        </w:rPr>
        <w:t>Assuming death or disability occurred on December 31, 2013, all of the 2010 phantom unit grants and associated DERs and one-third of the 2013 phantom unit grants and associated DERs of our Named Executive Officers would have become nonforfeitable effective as of December 31, 2013, and would vest on the February 2014 distribution date. For the 2013 grants, any units not vested by August 2019 would expire. That portion of the dollar value given that is attributable to PAA phantom units is based on the market value of PAA’s common units on December 31, 2013 ($51.77 per unit) without discount for service period.</w:t>
      </w:r>
    </w:p>
    <w:p>
      <w:pPr>
        <w:spacing w:after="0" w:line="188" w:lineRule="exact"/>
        <w:rPr>
          <w:sz w:val="20"/>
          <w:szCs w:val="20"/>
          <w:color w:val="auto"/>
        </w:rPr>
      </w:pPr>
    </w:p>
    <w:p>
      <w:pPr>
        <w:ind w:left="20" w:right="60" w:hanging="11"/>
        <w:spacing w:after="0" w:line="255" w:lineRule="auto"/>
        <w:rPr>
          <w:sz w:val="20"/>
          <w:szCs w:val="20"/>
          <w:color w:val="auto"/>
        </w:rPr>
      </w:pPr>
      <w:r>
        <w:rPr>
          <w:rFonts w:ascii="Arial" w:cs="Arial" w:eastAsia="Arial" w:hAnsi="Arial"/>
          <w:sz w:val="18"/>
          <w:szCs w:val="18"/>
          <w:color w:val="auto"/>
        </w:rPr>
        <w:t>Pursuant to the phantom unit grants to our Named Executive Officers in 2010 and 2013,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w:t>
      </w:r>
    </w:p>
    <w:p>
      <w:pPr>
        <w:spacing w:after="0" w:line="19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80"/>
        <w:spacing w:after="0" w:line="288" w:lineRule="auto"/>
        <w:rPr>
          <w:sz w:val="20"/>
          <w:szCs w:val="20"/>
          <w:color w:val="auto"/>
        </w:rPr>
      </w:pPr>
      <w:r>
        <w:rPr>
          <w:rFonts w:ascii="Arial" w:cs="Arial" w:eastAsia="Arial" w:hAnsi="Arial"/>
          <w:sz w:val="16"/>
          <w:szCs w:val="16"/>
          <w:color w:val="auto"/>
        </w:rPr>
        <w:t>deemed nonforfeitable and would vest on the next following distribution date. The dollar value amount provided assumes that our Named Executive Officers were terminated without cause on December 31, 2013. As a result, all of the 2010 phantom unit grants and one-third of the 2013 phantom unit grants held by Messrs. Armstrong, Pefanis, Swanson, Duckett and vonBerg would be deemed nonforfeitable and would vest on the</w:t>
      </w:r>
    </w:p>
    <w:p>
      <w:pPr>
        <w:ind w:left="660" w:right="60"/>
        <w:spacing w:after="0" w:line="277" w:lineRule="auto"/>
        <w:rPr>
          <w:sz w:val="20"/>
          <w:szCs w:val="20"/>
          <w:color w:val="auto"/>
        </w:rPr>
      </w:pPr>
      <w:r>
        <w:rPr>
          <w:rFonts w:ascii="Arial" w:cs="Arial" w:eastAsia="Arial" w:hAnsi="Arial"/>
          <w:sz w:val="17"/>
          <w:szCs w:val="17"/>
          <w:color w:val="auto"/>
        </w:rPr>
        <w:t>February 2014 distribution date. That portion of the dollar value given that is attributable to PAA phantom units is based on the market value of PAA’s common units on December 31, 2013 ($51.77 per unit), without discount for service period. In addition to the foregoing, under Canadian law, Mr. Duckett could have a claim for additional payment if inadequate notice were given for a termination without cause.</w:t>
      </w:r>
    </w:p>
    <w:p>
      <w:pPr>
        <w:spacing w:after="0" w:line="173"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2005 Long-Term Incentive Plan would immediately vest.</w:t>
      </w:r>
    </w:p>
    <w:p>
      <w:pPr>
        <w:sectPr>
          <w:pgSz w:w="11900" w:h="16838" w:orient="portrait"/>
          <w:cols w:equalWidth="0" w:num="1">
            <w:col w:w="11420"/>
          </w:cols>
          <w:pgMar w:left="240" w:top="125" w:right="239" w:bottom="0" w:gutter="0" w:footer="0" w:header="0"/>
          <w:type w:val="continuous"/>
        </w:sectPr>
      </w:pPr>
    </w:p>
    <w:bookmarkStart w:id="90" w:name="page91"/>
    <w:bookmarkEnd w:id="90"/>
    <w:p>
      <w:pPr>
        <w:spacing w:after="0" w:line="12" w:lineRule="exact"/>
        <w:rPr>
          <w:sz w:val="20"/>
          <w:szCs w:val="20"/>
          <w:color w:val="auto"/>
        </w:rPr>
      </w:pPr>
    </w:p>
    <w:p>
      <w:pPr>
        <w:ind w:left="660" w:right="140" w:hanging="652"/>
        <w:spacing w:after="0" w:line="260" w:lineRule="auto"/>
        <w:tabs>
          <w:tab w:leader="none" w:pos="648" w:val="left"/>
        </w:tabs>
        <w:numPr>
          <w:ilvl w:val="0"/>
          <w:numId w:val="94"/>
        </w:numPr>
        <w:rPr>
          <w:rFonts w:ascii="Arial" w:cs="Arial" w:eastAsia="Arial" w:hAnsi="Arial"/>
          <w:sz w:val="21"/>
          <w:szCs w:val="21"/>
          <w:color w:val="auto"/>
          <w:vertAlign w:val="superscript"/>
        </w:rPr>
      </w:pPr>
      <w:r>
        <w:rPr>
          <w:rFonts w:ascii="Arial" w:cs="Arial" w:eastAsia="Arial" w:hAnsi="Arial"/>
          <w:sz w:val="16"/>
          <w:szCs w:val="16"/>
          <w:color w:val="auto"/>
        </w:rPr>
        <w:t>The letters evidencing the phantom unit grants to our Named Executive Officers in 2010 and 2013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w:t>
      </w:r>
    </w:p>
    <w:p>
      <w:pPr>
        <w:spacing w:after="0" w:line="2" w:lineRule="exact"/>
        <w:rPr>
          <w:rFonts w:ascii="Arial" w:cs="Arial" w:eastAsia="Arial" w:hAnsi="Arial"/>
          <w:sz w:val="21"/>
          <w:szCs w:val="21"/>
          <w:color w:val="auto"/>
          <w:vertAlign w:val="superscript"/>
        </w:rPr>
      </w:pPr>
    </w:p>
    <w:p>
      <w:pPr>
        <w:ind w:left="660" w:right="120"/>
        <w:spacing w:after="0" w:line="254" w:lineRule="auto"/>
        <w:rPr>
          <w:rFonts w:ascii="Arial" w:cs="Arial" w:eastAsia="Arial" w:hAnsi="Arial"/>
          <w:sz w:val="21"/>
          <w:szCs w:val="21"/>
          <w:color w:val="auto"/>
          <w:vertAlign w:val="superscript"/>
        </w:rPr>
      </w:pPr>
      <w:r>
        <w:rPr>
          <w:rFonts w:ascii="Arial" w:cs="Arial" w:eastAsia="Arial" w:hAnsi="Arial"/>
          <w:sz w:val="18"/>
          <w:szCs w:val="18"/>
          <w:color w:val="auto"/>
        </w:rPr>
        <w:t>Assuming the change in status occurred on December 31, 2013, all outstanding phantom units and the associated DERs would have become nonforfeitable as of December 31, 2013, and such phantom units would vest on the February 2014 distribution date. That portion of the dollar value given that is attributable to PAA phantom units is based on the market value of PAA’s common units on December 31, 2013 ($51.77 per unit), without discount for service period.</w:t>
      </w:r>
    </w:p>
    <w:p>
      <w:pPr>
        <w:spacing w:after="0" w:line="189" w:lineRule="exact"/>
        <w:rPr>
          <w:rFonts w:ascii="Arial" w:cs="Arial" w:eastAsia="Arial" w:hAnsi="Arial"/>
          <w:sz w:val="21"/>
          <w:szCs w:val="21"/>
          <w:color w:val="auto"/>
          <w:vertAlign w:val="superscript"/>
        </w:rPr>
      </w:pPr>
    </w:p>
    <w:p>
      <w:pPr>
        <w:ind w:left="660" w:right="60"/>
        <w:spacing w:after="0" w:line="291" w:lineRule="auto"/>
        <w:rPr>
          <w:rFonts w:ascii="Arial" w:cs="Arial" w:eastAsia="Arial" w:hAnsi="Arial"/>
          <w:sz w:val="21"/>
          <w:szCs w:val="21"/>
          <w:color w:val="auto"/>
          <w:vertAlign w:val="superscript"/>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w:t>
      </w:r>
    </w:p>
    <w:p>
      <w:pPr>
        <w:ind w:left="660"/>
        <w:spacing w:after="0" w:line="254" w:lineRule="auto"/>
        <w:rPr>
          <w:rFonts w:ascii="Arial" w:cs="Arial" w:eastAsia="Arial" w:hAnsi="Arial"/>
          <w:sz w:val="21"/>
          <w:szCs w:val="21"/>
          <w:color w:val="auto"/>
          <w:vertAlign w:val="superscript"/>
        </w:rPr>
      </w:pPr>
      <w:r>
        <w:rPr>
          <w:rFonts w:ascii="Arial" w:cs="Arial" w:eastAsia="Arial" w:hAnsi="Arial"/>
          <w:sz w:val="18"/>
          <w:szCs w:val="18"/>
          <w:color w:val="auto"/>
        </w:rPr>
        <w:t>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89" w:lineRule="exact"/>
        <w:rPr>
          <w:rFonts w:ascii="Arial" w:cs="Arial" w:eastAsia="Arial" w:hAnsi="Arial"/>
          <w:sz w:val="21"/>
          <w:szCs w:val="21"/>
          <w:color w:val="auto"/>
          <w:vertAlign w:val="superscript"/>
        </w:rPr>
      </w:pPr>
    </w:p>
    <w:p>
      <w:pPr>
        <w:ind w:left="660" w:right="60"/>
        <w:spacing w:after="0" w:line="268" w:lineRule="auto"/>
        <w:rPr>
          <w:rFonts w:ascii="Arial" w:cs="Arial" w:eastAsia="Arial" w:hAnsi="Arial"/>
          <w:sz w:val="21"/>
          <w:szCs w:val="21"/>
          <w:color w:val="auto"/>
          <w:vertAlign w:val="superscript"/>
        </w:rPr>
      </w:pPr>
      <w:r>
        <w:rPr>
          <w:rFonts w:ascii="Arial" w:cs="Arial" w:eastAsia="Arial" w:hAnsi="Arial"/>
          <w:sz w:val="17"/>
          <w:szCs w:val="17"/>
          <w:color w:val="auto"/>
        </w:rPr>
        <w:t>The phrase “change of control” means, and is deemed to have occurred upon the occurrence of, one or more of the following events: (i) GP LLC ceasing to be the general partner of our general partner; (ii) any sale, lease, exchange or other transfer (in one transaction or a series of related transactions) of all or substantially all of the assets of our partnership or GP LLC to any person and/or its affiliates, other than to us or GP LLC, including any employee benefit plan thereof; (iii) the consolidation, reorganization, merger, or any other similar transaction involving (A) a person other than us or GP LLC and (B) us,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means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hanging="652"/>
        <w:spacing w:after="0" w:line="257" w:lineRule="auto"/>
        <w:tabs>
          <w:tab w:leader="none" w:pos="648" w:val="left"/>
        </w:tabs>
        <w:numPr>
          <w:ilvl w:val="0"/>
          <w:numId w:val="95"/>
        </w:numPr>
        <w:rPr>
          <w:rFonts w:ascii="Arial" w:cs="Arial" w:eastAsia="Arial" w:hAnsi="Arial"/>
          <w:sz w:val="22"/>
          <w:szCs w:val="22"/>
          <w:color w:val="auto"/>
          <w:vertAlign w:val="superscript"/>
        </w:rPr>
      </w:pPr>
      <w:r>
        <w:rPr>
          <w:rFonts w:ascii="Arial" w:cs="Arial" w:eastAsia="Arial" w:hAnsi="Arial"/>
          <w:sz w:val="17"/>
          <w:szCs w:val="17"/>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2013.</w:t>
      </w:r>
    </w:p>
    <w:p>
      <w:pPr>
        <w:spacing w:after="0" w:line="188" w:lineRule="exact"/>
        <w:rPr>
          <w:rFonts w:ascii="Arial" w:cs="Arial" w:eastAsia="Arial" w:hAnsi="Arial"/>
          <w:sz w:val="22"/>
          <w:szCs w:val="22"/>
          <w:color w:val="auto"/>
          <w:vertAlign w:val="superscript"/>
        </w:rPr>
      </w:pPr>
    </w:p>
    <w:p>
      <w:pPr>
        <w:jc w:val="both"/>
        <w:ind w:left="660" w:right="80" w:hanging="634"/>
        <w:spacing w:after="0" w:line="269" w:lineRule="auto"/>
        <w:tabs>
          <w:tab w:leader="none" w:pos="652" w:val="left"/>
        </w:tabs>
        <w:numPr>
          <w:ilvl w:val="1"/>
          <w:numId w:val="95"/>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2013.</w:t>
      </w:r>
    </w:p>
    <w:p>
      <w:pPr>
        <w:spacing w:after="0" w:line="181" w:lineRule="exact"/>
        <w:rPr>
          <w:sz w:val="20"/>
          <w:szCs w:val="20"/>
          <w:color w:val="auto"/>
        </w:rPr>
      </w:pPr>
    </w:p>
    <w:p>
      <w:pPr>
        <w:ind w:left="660" w:right="60" w:hanging="652"/>
        <w:spacing w:after="0" w:line="280" w:lineRule="auto"/>
        <w:tabs>
          <w:tab w:leader="none" w:pos="648" w:val="left"/>
        </w:tabs>
        <w:numPr>
          <w:ilvl w:val="0"/>
          <w:numId w:val="96"/>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of each of our Named Executive Officers, to encourage retention following the achievement of applicable performance benchmarks, AAP retained a call right to purchase any earned AAP Management Units for an amount equal to 75% of fair market value (which is referred to in the AAP Management Unit grant agreements as the “Call Value” as defined below) of such AAP Management Units, which call right is exercisable upon the termination of such Named Executive Officer’s employment with GP LLC and its affiliates prior to January 1, 2016; provided, however, that such call right is not applicable in the case of the termination of such Named Executive Officer’s employment without cause (defined below) or in the event of a resignation by such Named Executive Officer with good reason (defined below). In either such event, or if such Named Executive Officer remains employed past December 31, 2015, any earned AAP Management Units are no longer subject to the call right and are deemed to have “vested.” As of December 31, 2013, 100% of the AAP Management Units held by Messrs. Armstrong, Pefanis, Swanson, Duckett and vonBerg had been earned, but all of such AAP Management Units remained subject to AAP’s call right. Assuming a termination of employment without cause or for good reason on December 31, 2013, all of the AAP Management Units held by Messrs. Armstrong, Pefanis, Swanson, Duckett and vonBerg would become vested and would no longer be subject to the call right. Because the call right provides for a discounted purchase price equal to 75% of fair market value, in such event the applicable Named Executive Officer would “benefit” by virtue of the fact that such officer’s AAP Management Units could no longer be purchased by AAP at a 25% discount. The value reflected in the table above represents the implied value of such “benefit” to the applicable Named Executive Officer, calculated as of December 31, 2013 by (i) assuming that such officer’s AAP Management Units are converted into AAP Class A units based on the December 31, 2013 conversion factor of approximately 0.90 AAP Class A units and PAGP Class B shares for each AAP Management Unit, (ii) assuming the exchange of the resulting AAP Class A units and PAGP Class B shares for PAGP Class A shares on a one-for-one basis, and (iii) multiplying such resulting number of PAGP Class A shares by an amount equal to 25% of the closing market price ($26.77) of PAGP’s Class A shares at December 31, 2013 (the last trading day of the fiscal year). The entire economic burden of the AAP Management Units is borne solely by AAP.</w:t>
      </w:r>
    </w:p>
    <w:p>
      <w:pPr>
        <w:spacing w:after="0" w:line="176" w:lineRule="exact"/>
        <w:rPr>
          <w:rFonts w:ascii="Arial" w:cs="Arial" w:eastAsia="Arial" w:hAnsi="Arial"/>
          <w:sz w:val="21"/>
          <w:szCs w:val="21"/>
          <w:color w:val="auto"/>
          <w:vertAlign w:val="superscript"/>
        </w:rPr>
      </w:pPr>
    </w:p>
    <w:p>
      <w:pPr>
        <w:ind w:left="660" w:right="20"/>
        <w:spacing w:after="0" w:line="273" w:lineRule="auto"/>
        <w:rPr>
          <w:rFonts w:ascii="Arial" w:cs="Arial" w:eastAsia="Arial" w:hAnsi="Arial"/>
          <w:sz w:val="21"/>
          <w:szCs w:val="21"/>
          <w:color w:val="auto"/>
          <w:vertAlign w:val="superscript"/>
        </w:rPr>
      </w:pPr>
      <w:r>
        <w:rPr>
          <w:rFonts w:ascii="Arial" w:cs="Arial" w:eastAsia="Arial" w:hAnsi="Arial"/>
          <w:sz w:val="17"/>
          <w:szCs w:val="17"/>
          <w:color w:val="auto"/>
        </w:rPr>
        <w:t>“Cause” is defined in the AAP Management Unit grant agreements as (i) a finding by the board of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GP LLC or its affiliates.</w:t>
      </w:r>
    </w:p>
    <w:p>
      <w:pPr>
        <w:spacing w:after="0" w:line="178" w:lineRule="exact"/>
        <w:rPr>
          <w:rFonts w:ascii="Arial" w:cs="Arial" w:eastAsia="Arial" w:hAnsi="Arial"/>
          <w:sz w:val="21"/>
          <w:szCs w:val="21"/>
          <w:color w:val="auto"/>
          <w:vertAlign w:val="superscript"/>
        </w:rPr>
      </w:pPr>
    </w:p>
    <w:p>
      <w:pPr>
        <w:jc w:val="both"/>
        <w:ind w:left="660" w:right="60"/>
        <w:spacing w:after="0" w:line="264" w:lineRule="auto"/>
        <w:rPr>
          <w:rFonts w:ascii="Arial" w:cs="Arial" w:eastAsia="Arial" w:hAnsi="Arial"/>
          <w:sz w:val="21"/>
          <w:szCs w:val="21"/>
          <w:color w:val="auto"/>
          <w:vertAlign w:val="superscript"/>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ectPr>
          <w:pgSz w:w="11900" w:h="16850" w:orient="portrait"/>
          <w:cols w:equalWidth="0" w:num="1">
            <w:col w:w="11420"/>
          </w:cols>
          <w:pgMar w:left="240" w:top="125" w:right="239" w:bottom="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pacing w:after="0" w:line="170" w:lineRule="exact"/>
        <w:rPr>
          <w:sz w:val="20"/>
          <w:szCs w:val="20"/>
          <w:color w:val="auto"/>
        </w:rPr>
      </w:pPr>
    </w:p>
    <w:p>
      <w:pPr>
        <w:ind w:left="660" w:right="40" w:hanging="652"/>
        <w:spacing w:after="0" w:line="279" w:lineRule="auto"/>
        <w:tabs>
          <w:tab w:leader="none" w:pos="648" w:val="left"/>
        </w:tabs>
        <w:numPr>
          <w:ilvl w:val="0"/>
          <w:numId w:val="97"/>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becomes vested. As of December 31, 2013, 100% of the AAP Management Units held by Messrs. Armstrong, Pefanis, Swanson, Duckett and vonBerg had been earned. Accordingly, assuming a Change in Control on December 31, 2013, all of the AAP Management Units held by Messrs. Armstrong, Pefanis, Swanson, Duckett and vonBerg would become vested and would no longer be subject to the call right. Because the call right provides for a discounted purchase price equal to 75% of fair market value as described above, the applicable Named Executive Officer would “benefit” from a Change in Control by virtue of the fact that such officer’s AAP Management Units could no longer be purchased by AAP at a 25% discount. The value reflected in the table above represents the implied value of such “benefit” to the applicable Named Executive Officer, calculated as of December 31, 2013 by (i) assuming that such officer’s AAP Management Units are converted into AAP Class A units based on the December 31, 2013 conversion factor of approximately 0.90 AAP Class A units and PAGP Class B shares for each AAP Management Unit, (ii) assuming the exchange of the resulting AAP Class A units and PAGP Class B shares for PAGP Class A shares on a one-for-one basis, and (iii) multiplying such resulting number of PAGP Class A shares by an amount equal to 25% of the closing market price ($26.77) of PAGP’s Class A shares at December 31, 2013 (the last trading day of the fiscal year). The entire economic burden of the AAP Management Units is borne solely by AAP.</w:t>
      </w:r>
    </w:p>
    <w:p>
      <w:pPr>
        <w:spacing w:after="0" w:line="180" w:lineRule="exact"/>
        <w:rPr>
          <w:rFonts w:ascii="Arial" w:cs="Arial" w:eastAsia="Arial" w:hAnsi="Arial"/>
          <w:sz w:val="21"/>
          <w:szCs w:val="21"/>
          <w:color w:val="auto"/>
          <w:vertAlign w:val="superscript"/>
        </w:rPr>
      </w:pPr>
    </w:p>
    <w:p>
      <w:pPr>
        <w:ind w:left="660" w:right="20"/>
        <w:spacing w:after="0" w:line="270" w:lineRule="auto"/>
        <w:rPr>
          <w:rFonts w:ascii="Arial" w:cs="Arial" w:eastAsia="Arial" w:hAnsi="Arial"/>
          <w:sz w:val="21"/>
          <w:szCs w:val="21"/>
          <w:color w:val="auto"/>
          <w:vertAlign w:val="superscript"/>
        </w:rPr>
      </w:pPr>
      <w:r>
        <w:rPr>
          <w:rFonts w:ascii="Arial" w:cs="Arial" w:eastAsia="Arial" w:hAnsi="Arial"/>
          <w:sz w:val="17"/>
          <w:szCs w:val="17"/>
          <w:color w:val="auto"/>
        </w:rPr>
        <w:t xml:space="preserve">“Change in Control” means the determination by the Board that one of the following events has occurred: (i) the Persons who own member interests in PAA GP Holdings, LLC immediately following the closing of the GP IPO,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77" w:lineRule="exact"/>
        <w:rPr>
          <w:rFonts w:ascii="Arial" w:cs="Arial" w:eastAsia="Arial" w:hAnsi="Arial"/>
          <w:sz w:val="21"/>
          <w:szCs w:val="21"/>
          <w:color w:val="auto"/>
          <w:vertAlign w:val="superscript"/>
        </w:rPr>
      </w:pPr>
    </w:p>
    <w:p>
      <w:pPr>
        <w:ind w:left="660" w:right="160" w:hanging="634"/>
        <w:spacing w:after="0" w:line="227" w:lineRule="auto"/>
        <w:tabs>
          <w:tab w:leader="none" w:pos="643" w:val="left"/>
        </w:tabs>
        <w:numPr>
          <w:ilvl w:val="1"/>
          <w:numId w:val="97"/>
        </w:numPr>
        <w:rPr>
          <w:rFonts w:ascii="Arial" w:cs="Arial" w:eastAsia="Arial" w:hAnsi="Arial"/>
          <w:sz w:val="23"/>
          <w:szCs w:val="23"/>
          <w:color w:val="auto"/>
          <w:vertAlign w:val="superscript"/>
        </w:rPr>
      </w:pPr>
      <w:r>
        <w:rPr>
          <w:rFonts w:ascii="Arial" w:cs="Arial" w:eastAsia="Arial" w:hAnsi="Arial"/>
          <w:sz w:val="18"/>
          <w:szCs w:val="18"/>
          <w:color w:val="auto"/>
        </w:rPr>
        <w:t>If Messrs. Swanson, Duckett or vonBerg were terminated for cause, GP LLC would be obligated to pay base salary through the date of termination, with no other payment obligation triggered by the termination under any employment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jc w:val="both"/>
        <w:ind w:right="140"/>
        <w:spacing w:after="0" w:line="255" w:lineRule="auto"/>
        <w:rPr>
          <w:sz w:val="20"/>
          <w:szCs w:val="20"/>
          <w:color w:val="auto"/>
        </w:rPr>
      </w:pPr>
      <w:r>
        <w:rPr>
          <w:rFonts w:ascii="Arial" w:cs="Arial" w:eastAsia="Arial" w:hAnsi="Arial"/>
          <w:sz w:val="18"/>
          <w:szCs w:val="18"/>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paid to each person who served as a non-employee director of GP LLC in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or Paid in</w:t>
            </w:r>
          </w:p>
        </w:tc>
        <w:tc>
          <w:tcPr>
            <w:tcW w:w="164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Awards ($)</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2"/>
        </w:trPr>
        <w:tc>
          <w:tcPr>
            <w:tcW w:w="6640" w:type="dxa"/>
            <w:vAlign w:val="bottom"/>
            <w:gridSpan w:val="2"/>
            <w:vMerge w:val="continue"/>
          </w:tcPr>
          <w:p>
            <w:pPr>
              <w:spacing w:after="0"/>
              <w:rPr>
                <w:sz w:val="10"/>
                <w:szCs w:val="10"/>
                <w:color w:val="auto"/>
              </w:rPr>
            </w:pPr>
          </w:p>
        </w:tc>
        <w:tc>
          <w:tcPr>
            <w:tcW w:w="166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0"/>
              </w:rPr>
              <w:t>Cash ($)</w:t>
            </w:r>
          </w:p>
        </w:tc>
        <w:tc>
          <w:tcPr>
            <w:tcW w:w="136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2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132,850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177,850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177,850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47,000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132,850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179,850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Vicky Sutil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62,000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265,700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327,700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265,700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44" w:lineRule="auto"/>
        <w:tabs>
          <w:tab w:leader="none" w:pos="648"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The dollar value of LTIPs granted during 2013 is based on the grant date fair value computed in accordance with FASB ASC Topic 718. See Note 15 to our Consolidated Financial Statements for additional discussion regarding the calculation of grant date fair values. In connection with the August 2013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2013 (other than the incremental audit committee awards), a cash payment of $107,688 was made to Oxy as directed by Ms. Sutil. Such cash payment was based on the unit value of Mr. Sinnott’s award on the previous year’s vesting date. As of December 31, 2013, the number of outstanding LTIPs held by our directors was as follows: Goyanes - 20,000 ; Petersen - 10,000; Raymond - 10,000; Sinnott - 10,000; Symonds - 20,000; and Temple - 20,000.</w:t>
      </w:r>
    </w:p>
    <w:p>
      <w:pPr>
        <w:sectPr>
          <w:pgSz w:w="11900" w:h="16838" w:orient="portrait"/>
          <w:cols w:equalWidth="0" w:num="1">
            <w:col w:w="11420"/>
          </w:cols>
          <w:pgMar w:left="240" w:top="341" w:right="239" w:bottom="0" w:gutter="0" w:footer="0" w:header="0"/>
        </w:sectPr>
      </w:pPr>
    </w:p>
    <w:bookmarkStart w:id="92" w:name="page93"/>
    <w:bookmarkEnd w:id="92"/>
    <w:p>
      <w:pPr>
        <w:spacing w:after="0" w:line="87"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23"/>
          <w:szCs w:val="23"/>
          <w:color w:val="auto"/>
          <w:vertAlign w:val="superscript"/>
        </w:rPr>
      </w:pPr>
      <w:r>
        <w:rPr>
          <w:rFonts w:ascii="Arial" w:cs="Arial" w:eastAsia="Arial" w:hAnsi="Arial"/>
          <w:sz w:val="18"/>
          <w:szCs w:val="18"/>
          <w:color w:val="auto"/>
        </w:rPr>
        <w:t>Ms. Sutil’s compensation is assigned to Oxy.</w:t>
      </w:r>
    </w:p>
    <w:p>
      <w:pPr>
        <w:spacing w:after="0" w:line="20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Each director of GP LLC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2013, Messrs. Sinnott, Goyanes and Symonds served as chairmen of the compensation, audit and governance committees, respectively.</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AAP Management Units)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Limited Partner Interest</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15,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18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Common</w:t>
            </w:r>
          </w:p>
        </w:tc>
        <w:tc>
          <w:tcPr>
            <w:tcW w:w="17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786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Owner</w:t>
            </w:r>
          </w:p>
        </w:tc>
        <w:tc>
          <w:tcPr>
            <w:tcW w:w="18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Units</w:t>
            </w: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95"/>
        </w:trPr>
        <w:tc>
          <w:tcPr>
            <w:tcW w:w="7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7"/>
                <w:szCs w:val="17"/>
                <w:color w:val="auto"/>
              </w:rPr>
              <w:t>Tortoise Capital Advisors, L.L.C.</w:t>
            </w:r>
            <w:r>
              <w:rPr>
                <w:rFonts w:ascii="Arial" w:cs="Arial" w:eastAsia="Arial" w:hAnsi="Arial"/>
                <w:sz w:val="22"/>
                <w:szCs w:val="22"/>
                <w:color w:val="auto"/>
                <w:vertAlign w:val="superscript"/>
              </w:rPr>
              <w:t>(1)</w:t>
            </w:r>
          </w:p>
        </w:tc>
        <w:tc>
          <w:tcPr>
            <w:tcW w:w="2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11550 Ash Street, Suite 300</w:t>
            </w: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Leawood, KS 66211</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18,617,985</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Richard Kayne/Kayne Anderson Capital Advisors, L.P.</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13,522,707</w:t>
            </w:r>
            <w:r>
              <w:rPr>
                <w:rFonts w:ascii="Arial" w:cs="Arial" w:eastAsia="Arial" w:hAnsi="Arial"/>
                <w:sz w:val="11"/>
                <w:szCs w:val="11"/>
                <w:color w:val="auto"/>
              </w:rPr>
              <w:t>(2)</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1,128,030</w:t>
            </w:r>
            <w:r>
              <w:rPr>
                <w:rFonts w:ascii="Arial" w:cs="Arial" w:eastAsia="Arial" w:hAnsi="Arial"/>
                <w:sz w:val="11"/>
                <w:szCs w:val="11"/>
                <w:color w:val="auto"/>
              </w:rPr>
              <w:t>(3)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724,941</w:t>
            </w:r>
            <w:r>
              <w:rPr>
                <w:rFonts w:ascii="Arial" w:cs="Arial" w:eastAsia="Arial" w:hAnsi="Arial"/>
                <w:sz w:val="11"/>
                <w:szCs w:val="11"/>
                <w:color w:val="auto"/>
              </w:rPr>
              <w:t>(3)</w:t>
            </w:r>
          </w:p>
        </w:tc>
        <w:tc>
          <w:tcPr>
            <w:tcW w:w="1740" w:type="dxa"/>
            <w:vAlign w:val="bottom"/>
            <w:gridSpan w:val="2"/>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344,607</w:t>
            </w:r>
            <w:r>
              <w:rPr>
                <w:rFonts w:ascii="Arial" w:cs="Arial" w:eastAsia="Arial" w:hAnsi="Arial"/>
                <w:sz w:val="11"/>
                <w:szCs w:val="11"/>
                <w:color w:val="auto"/>
              </w:rPr>
              <w:t>(3)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122,359</w:t>
            </w:r>
            <w:r>
              <w:rPr>
                <w:rFonts w:ascii="Arial" w:cs="Arial" w:eastAsia="Arial" w:hAnsi="Arial"/>
                <w:sz w:val="11"/>
                <w:szCs w:val="11"/>
                <w:color w:val="auto"/>
              </w:rPr>
              <w:t>(3)</w:t>
            </w:r>
          </w:p>
        </w:tc>
        <w:tc>
          <w:tcPr>
            <w:tcW w:w="1740" w:type="dxa"/>
            <w:vAlign w:val="bottom"/>
            <w:gridSpan w:val="2"/>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123,429</w:t>
            </w:r>
            <w:r>
              <w:rPr>
                <w:rFonts w:ascii="Arial" w:cs="Arial" w:eastAsia="Arial" w:hAnsi="Arial"/>
                <w:sz w:val="11"/>
                <w:szCs w:val="11"/>
                <w:color w:val="auto"/>
              </w:rPr>
              <w:t>(3)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73,400</w:t>
            </w:r>
            <w:r>
              <w:rPr>
                <w:rFonts w:ascii="Arial" w:cs="Arial" w:eastAsia="Arial" w:hAnsi="Arial"/>
                <w:sz w:val="11"/>
                <w:szCs w:val="11"/>
                <w:color w:val="auto"/>
              </w:rPr>
              <w:t>(3)</w:t>
            </w:r>
          </w:p>
        </w:tc>
        <w:tc>
          <w:tcPr>
            <w:tcW w:w="1740" w:type="dxa"/>
            <w:vAlign w:val="bottom"/>
            <w:gridSpan w:val="2"/>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R. Petersen</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31,950</w:t>
            </w:r>
            <w:r>
              <w:rPr>
                <w:rFonts w:ascii="Arial" w:cs="Arial" w:eastAsia="Arial" w:hAnsi="Arial"/>
                <w:sz w:val="11"/>
                <w:szCs w:val="11"/>
                <w:color w:val="auto"/>
              </w:rPr>
              <w:t>(3)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John T. Raymond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1,682,531</w:t>
            </w:r>
            <w:r>
              <w:rPr>
                <w:rFonts w:ascii="Arial" w:cs="Arial" w:eastAsia="Arial" w:hAnsi="Arial"/>
                <w:sz w:val="11"/>
                <w:szCs w:val="11"/>
                <w:color w:val="auto"/>
              </w:rPr>
              <w:t>(3)</w:t>
            </w:r>
          </w:p>
        </w:tc>
        <w:tc>
          <w:tcPr>
            <w:tcW w:w="1740" w:type="dxa"/>
            <w:vAlign w:val="bottom"/>
            <w:gridSpan w:val="2"/>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338,893</w:t>
            </w:r>
            <w:r>
              <w:rPr>
                <w:rFonts w:ascii="Arial" w:cs="Arial" w:eastAsia="Arial" w:hAnsi="Arial"/>
                <w:sz w:val="11"/>
                <w:szCs w:val="11"/>
                <w:color w:val="auto"/>
              </w:rPr>
              <w:t>(3)(5)</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Vicky Sutil</w:t>
            </w: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Taft Symonds</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89,050</w:t>
            </w:r>
            <w:r>
              <w:rPr>
                <w:rFonts w:ascii="Arial" w:cs="Arial" w:eastAsia="Arial" w:hAnsi="Arial"/>
                <w:sz w:val="11"/>
                <w:szCs w:val="11"/>
                <w:color w:val="auto"/>
              </w:rPr>
              <w:t>(3)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Christopher M. Temple</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16,250</w:t>
            </w:r>
            <w:r>
              <w:rPr>
                <w:rFonts w:ascii="Arial" w:cs="Arial" w:eastAsia="Arial" w:hAnsi="Arial"/>
                <w:sz w:val="11"/>
                <w:szCs w:val="11"/>
                <w:color w:val="auto"/>
              </w:rPr>
              <w:t>(3)</w:t>
            </w:r>
          </w:p>
        </w:tc>
        <w:tc>
          <w:tcPr>
            <w:tcW w:w="1740" w:type="dxa"/>
            <w:vAlign w:val="bottom"/>
            <w:gridSpan w:val="2"/>
          </w:tcPr>
          <w:p>
            <w:pPr>
              <w:jc w:val="right"/>
              <w:ind w:right="2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5,233,621</w:t>
            </w:r>
            <w:r>
              <w:rPr>
                <w:rFonts w:ascii="Arial" w:cs="Arial" w:eastAsia="Arial" w:hAnsi="Arial"/>
                <w:sz w:val="11"/>
                <w:szCs w:val="11"/>
                <w:color w:val="auto"/>
              </w:rPr>
              <w:t>(3)(6)</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5"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has been derived from a Schedule 13G filed with the SEC on February 11, 2014.</w:t>
      </w:r>
    </w:p>
    <w:p>
      <w:pPr>
        <w:spacing w:after="0" w:line="225" w:lineRule="exact"/>
        <w:rPr>
          <w:sz w:val="20"/>
          <w:szCs w:val="20"/>
          <w:color w:val="auto"/>
        </w:rPr>
      </w:pPr>
    </w:p>
    <w:p>
      <w:pPr>
        <w:ind w:left="20" w:right="140" w:hanging="11"/>
        <w:spacing w:after="0" w:line="312" w:lineRule="auto"/>
        <w:rPr>
          <w:sz w:val="20"/>
          <w:szCs w:val="20"/>
          <w:color w:val="auto"/>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12,293,852 common units. Mr. Kayne may be deemed to beneficially own such units. In</w:t>
      </w:r>
    </w:p>
    <w:p>
      <w:pPr>
        <w:sectPr>
          <w:pgSz w:w="11900" w:h="16925" w:orient="portrait"/>
          <w:cols w:equalWidth="0" w:num="2">
            <w:col w:w="140" w:space="500"/>
            <w:col w:w="10780"/>
          </w:cols>
          <w:pgMar w:left="240" w:top="91" w:right="239"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left="20"/>
        <w:spacing w:after="0" w:line="259" w:lineRule="auto"/>
        <w:rPr>
          <w:sz w:val="20"/>
          <w:szCs w:val="20"/>
          <w:color w:val="auto"/>
        </w:rPr>
      </w:pPr>
      <w:r>
        <w:rPr>
          <w:rFonts w:ascii="Arial" w:cs="Arial" w:eastAsia="Arial" w:hAnsi="Arial"/>
          <w:sz w:val="18"/>
          <w:szCs w:val="18"/>
          <w:color w:val="auto"/>
        </w:rPr>
        <w:t>addition, Mr. Kayne directly owns or has sole voting and dispositive power over 1,228,855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pacing w:after="0" w:line="187" w:lineRule="exact"/>
        <w:rPr>
          <w:sz w:val="20"/>
          <w:szCs w:val="20"/>
          <w:color w:val="auto"/>
        </w:rPr>
      </w:pPr>
    </w:p>
    <w:p>
      <w:pPr>
        <w:ind w:left="20" w:right="220" w:hanging="11"/>
        <w:spacing w:after="0" w:line="308" w:lineRule="auto"/>
        <w:rPr>
          <w:sz w:val="20"/>
          <w:szCs w:val="20"/>
          <w:color w:val="auto"/>
        </w:rPr>
      </w:pPr>
      <w:r>
        <w:rPr>
          <w:rFonts w:ascii="Arial" w:cs="Arial" w:eastAsia="Arial" w:hAnsi="Arial"/>
          <w:sz w:val="17"/>
          <w:szCs w:val="17"/>
          <w:color w:val="auto"/>
        </w:rPr>
        <w:t>Does not include unvested phantom units granted under our Long-Term Incentive Plans, none of which will vest within 60 days of the date hereof. See Item 11. “Executive Compensation—Outstanding Equity Awards at Fiscal Year-End” and “— Director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jc w:val="both"/>
        <w:ind w:left="20" w:hanging="11"/>
        <w:spacing w:after="0" w:line="288" w:lineRule="auto"/>
        <w:rPr>
          <w:sz w:val="20"/>
          <w:szCs w:val="20"/>
          <w:color w:val="auto"/>
        </w:rPr>
      </w:pPr>
      <w:r>
        <w:rPr>
          <w:rFonts w:ascii="Arial" w:cs="Arial" w:eastAsia="Arial" w:hAnsi="Arial"/>
          <w:sz w:val="16"/>
          <w:szCs w:val="16"/>
          <w:color w:val="auto"/>
        </w:rPr>
        <w:t>Pursuant to the GP LLC Agreement, Mr. Sinnott is one of our directors by virtue of his designation as a member of the board of directors of Holdings GP by KAFU Holdings, L.P., which is controlled by Kayne Anderson Investment Management, Inc., of which he is President. Mr. Sinnott disclaims any deemed beneficial ownership of the interests owned by KAFU Holdings, L.P. or its affiliates, beyond his pecuniary interest therein, if any.</w:t>
      </w:r>
    </w:p>
    <w:p>
      <w:pPr>
        <w:jc w:val="both"/>
        <w:ind w:left="20" w:right="260"/>
        <w:spacing w:after="0" w:line="255" w:lineRule="auto"/>
        <w:rPr>
          <w:sz w:val="20"/>
          <w:szCs w:val="20"/>
          <w:color w:val="auto"/>
        </w:rPr>
      </w:pPr>
      <w:r>
        <w:rPr>
          <w:rFonts w:ascii="Arial" w:cs="Arial" w:eastAsia="Arial" w:hAnsi="Arial"/>
          <w:sz w:val="18"/>
          <w:szCs w:val="18"/>
          <w:color w:val="auto"/>
        </w:rPr>
        <w:t>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15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60" w:hanging="652"/>
        <w:spacing w:after="0" w:line="227" w:lineRule="auto"/>
        <w:tabs>
          <w:tab w:leader="none" w:pos="648"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As of February 15, 2014, no units were pledged by directors or Named Executive Officers. Certain of the directors and Named Executive Officers hold units in marginable broker’s accounts, but none of the units were margined as of February 15,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AAP owns all of our incentive distribution rights and, through its 100% member interest in PAA GP LLC, our 2% general partner interest. GP LLC owns a non-economic general partner interest in AAP. Thus, GP LLC has responsibility for conducting our business and managing our operations and the Class A limited partners of AAP, together with the holders of the AAP Management Units, collectively own 100% of the economic interests in AAP. The following table sets forth the percentage ownership of each of the Class A limited partners of AAP and the resulting economic interest of each such limited partner and the holders of the AAP Management Units as a group, in each case as of February 15, 2014:</w:t>
      </w:r>
    </w:p>
    <w:p>
      <w:pPr>
        <w:spacing w:after="0" w:line="15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Ownership of</w:t>
            </w: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Class A LP</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Plains</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 xml:space="preserve">AAP, L.P.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95"/>
        </w:trPr>
        <w:tc>
          <w:tcPr>
            <w:tcW w:w="6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Plains GP Holdings, L.P.</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10889 Wilshire Boulevard</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Los Angeles, CA 90024</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24.56%</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EMG Investment, LLC</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811 Main, Suite 4200</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KAFU Holdings, L.P. and Affiliates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1800 Avenue of the Stars, 3rd Floor</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Los Angeles, CA 90067</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18.54%</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 First Reserve XII, LLC</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PAA Management, L.P. </w:t>
            </w:r>
            <w:r>
              <w:rPr>
                <w:rFonts w:ascii="Arial" w:cs="Arial" w:eastAsia="Arial" w:hAnsi="Arial"/>
                <w:sz w:val="23"/>
                <w:szCs w:val="23"/>
                <w:color w:val="auto"/>
                <w:vertAlign w:val="superscript"/>
              </w:rPr>
              <w:t>(2)</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Strome PAA, L.P. and Affiliate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Windy, L.L.C.</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Lynx Holdings I, LLC</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Various Individual Investors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AAP Management Unitholders</w:t>
            </w:r>
            <w:r>
              <w:rPr>
                <w:rFonts w:ascii="Arial" w:cs="Arial" w:eastAsia="Arial" w:hAnsi="Arial"/>
                <w:sz w:val="23"/>
                <w:szCs w:val="23"/>
                <w:color w:val="auto"/>
                <w:vertAlign w:val="superscript"/>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5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1120"/>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20"/>
        <w:spacing w:after="0"/>
        <w:rPr>
          <w:sz w:val="20"/>
          <w:szCs w:val="20"/>
          <w:color w:val="auto"/>
        </w:rPr>
      </w:pP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40" w:hanging="11"/>
        <w:spacing w:after="0" w:line="257" w:lineRule="auto"/>
        <w:rPr>
          <w:sz w:val="20"/>
          <w:szCs w:val="20"/>
          <w:color w:val="auto"/>
        </w:rPr>
      </w:pPr>
      <w:r>
        <w:rPr>
          <w:rFonts w:ascii="Arial" w:cs="Arial" w:eastAsia="Arial" w:hAnsi="Arial"/>
          <w:sz w:val="18"/>
          <w:szCs w:val="18"/>
          <w:color w:val="auto"/>
        </w:rPr>
        <w:t>AAP owns a 100% member interest in PAA GP LLC, which owns our 2% general partner interest. AAP has pledged its member interest, as well as its interest in our incentive distribution rights, as security for its obligations under the Second Amended and Restated Credit Agreement dated as of September 26, 2013 among AAP, Citibank, N.A. and the lenders party thereto (the “Plains AAP Credit Agreement”). A default by AAP under the Plains AAP Credit Agreement could result in a change in control of our general partner.</w:t>
      </w:r>
    </w:p>
    <w:p>
      <w:pPr>
        <w:spacing w:after="0" w:line="188" w:lineRule="exact"/>
        <w:rPr>
          <w:sz w:val="20"/>
          <w:szCs w:val="20"/>
          <w:color w:val="auto"/>
        </w:rPr>
      </w:pPr>
    </w:p>
    <w:p>
      <w:pPr>
        <w:ind w:hanging="11"/>
        <w:spacing w:after="0" w:line="297" w:lineRule="auto"/>
        <w:rPr>
          <w:sz w:val="20"/>
          <w:szCs w:val="20"/>
          <w:color w:val="auto"/>
        </w:rPr>
      </w:pPr>
      <w:r>
        <w:rPr>
          <w:rFonts w:ascii="Arial" w:cs="Arial" w:eastAsia="Arial" w:hAnsi="Arial"/>
          <w:sz w:val="16"/>
          <w:szCs w:val="16"/>
          <w:color w:val="auto"/>
        </w:rPr>
        <w:t>PAA Management, L.P. is owned entirely by certain current and former members of senior management, including Messrs. Armstrong (approximately 25%), Pefanis (approximately 14%), Duckett (approximately 6%), vonBerg (approximately 4%) and Swanson (approximately 5%). Other than Mr. Armstrong, none of our directors own any interest in PAA Management, L.P. Executive officers as a group own approximately 65% of PAA Management, L.P. Mr. Armstrong disclaims any beneficial ownership of the general partner interest owned by AAP, except to the extent of his ownership interest in PAA Management, L.P.</w:t>
      </w: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520"/>
            <w:col w:w="9660"/>
          </w:cols>
          <w:pgMar w:left="240" w:top="125" w:right="239" w:bottom="15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50" w:gutter="0" w:footer="0" w:header="0"/>
          <w:type w:val="continuous"/>
        </w:sectPr>
      </w:pPr>
    </w:p>
    <w:bookmarkStart w:id="94" w:name="page95"/>
    <w:bookmarkEnd w:id="94"/>
    <w:p>
      <w:pPr>
        <w:ind w:left="1760" w:right="180" w:hanging="650"/>
        <w:spacing w:after="0" w:line="238" w:lineRule="auto"/>
        <w:tabs>
          <w:tab w:leader="none" w:pos="1748"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Represents profits interest in AAP in the form of AAP Management Units owned by certain members of management. Named Executive Officers and executive officers as a group own the following AAP Management Units: Mr. Armstrong — 10,425,791; Mr. Pefanis — 7,819,344; Mr. Swanson — 2,606,448; Mr. Duckett — 4,430,961; Mr. vonBerg — 3,649,027, and executive officers as a group — 37,793,493. None of our directors own any AAP Management Units.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table sets forth certain information with respect to our equity compensation plans as of December 31, 2013. For a description of these plans, see Item 13. “Certain Relationships and Related Transactions, and Director Independence—Equity-Based Long-Term Incentive Plans.”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240" w:type="dxa"/>
            <w:vAlign w:val="bottom"/>
          </w:tcPr>
          <w:p>
            <w:pPr>
              <w:jc w:val="center"/>
              <w:ind w:left="2548"/>
              <w:spacing w:after="0"/>
              <w:rPr>
                <w:sz w:val="20"/>
                <w:szCs w:val="20"/>
                <w:color w:val="auto"/>
              </w:rPr>
            </w:pPr>
            <w:r>
              <w:rPr>
                <w:rFonts w:ascii="Arial" w:cs="Arial" w:eastAsia="Arial" w:hAnsi="Arial"/>
                <w:sz w:val="14"/>
                <w:szCs w:val="14"/>
                <w:b w:val="1"/>
                <w:bCs w:val="1"/>
                <w:color w:val="auto"/>
                <w:w w:val="93"/>
              </w:rPr>
              <w:t>Number of Units</w:t>
            </w:r>
          </w:p>
        </w:tc>
        <w:tc>
          <w:tcPr>
            <w:tcW w:w="1680" w:type="dxa"/>
            <w:vAlign w:val="bottom"/>
          </w:tcPr>
          <w:p>
            <w:pPr>
              <w:spacing w:after="0"/>
              <w:rPr>
                <w:sz w:val="14"/>
                <w:szCs w:val="14"/>
                <w:color w:val="auto"/>
              </w:rPr>
            </w:pPr>
          </w:p>
        </w:tc>
        <w:tc>
          <w:tcPr>
            <w:tcW w:w="132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3"/>
              </w:rPr>
              <w:t>Number of Units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240" w:type="dxa"/>
            <w:vAlign w:val="bottom"/>
          </w:tcPr>
          <w:p>
            <w:pPr>
              <w:jc w:val="center"/>
              <w:ind w:left="2528"/>
              <w:spacing w:after="0" w:line="149" w:lineRule="exact"/>
              <w:rPr>
                <w:sz w:val="20"/>
                <w:szCs w:val="20"/>
                <w:color w:val="auto"/>
              </w:rPr>
            </w:pPr>
            <w:r>
              <w:rPr>
                <w:rFonts w:ascii="Arial" w:cs="Arial" w:eastAsia="Arial" w:hAnsi="Arial"/>
                <w:sz w:val="14"/>
                <w:szCs w:val="14"/>
                <w:b w:val="1"/>
                <w:bCs w:val="1"/>
                <w:color w:val="auto"/>
                <w:w w:val="90"/>
              </w:rPr>
              <w:t>to</w:t>
            </w:r>
          </w:p>
        </w:tc>
        <w:tc>
          <w:tcPr>
            <w:tcW w:w="16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240" w:type="dxa"/>
            <w:vAlign w:val="bottom"/>
          </w:tcPr>
          <w:p>
            <w:pPr>
              <w:jc w:val="center"/>
              <w:ind w:left="2528"/>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240" w:type="dxa"/>
            <w:vAlign w:val="bottom"/>
          </w:tcPr>
          <w:p>
            <w:pPr>
              <w:jc w:val="center"/>
              <w:ind w:left="2548"/>
              <w:spacing w:after="0" w:line="149" w:lineRule="exact"/>
              <w:rPr>
                <w:sz w:val="20"/>
                <w:szCs w:val="20"/>
                <w:color w:val="auto"/>
              </w:rPr>
            </w:pPr>
            <w:r>
              <w:rPr>
                <w:rFonts w:ascii="Arial" w:cs="Arial" w:eastAsia="Arial" w:hAnsi="Arial"/>
                <w:sz w:val="14"/>
                <w:szCs w:val="14"/>
                <w:b w:val="1"/>
                <w:bCs w:val="1"/>
                <w:color w:val="auto"/>
                <w:w w:val="90"/>
              </w:rPr>
              <w:t>Exercise/Vesting</w:t>
            </w:r>
          </w:p>
        </w:tc>
        <w:tc>
          <w:tcPr>
            <w:tcW w:w="1680" w:type="dxa"/>
            <w:vAlign w:val="bottom"/>
            <w:vMerge w:val="continue"/>
          </w:tcPr>
          <w:p>
            <w:pPr>
              <w:spacing w:after="0"/>
              <w:rPr>
                <w:sz w:val="12"/>
                <w:szCs w:val="12"/>
                <w:color w:val="auto"/>
              </w:rPr>
            </w:pP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240" w:type="dxa"/>
            <w:vAlign w:val="bottom"/>
          </w:tcPr>
          <w:p>
            <w:pPr>
              <w:jc w:val="center"/>
              <w:ind w:left="2528"/>
              <w:spacing w:after="0" w:line="149" w:lineRule="exact"/>
              <w:rPr>
                <w:sz w:val="20"/>
                <w:szCs w:val="20"/>
                <w:color w:val="auto"/>
              </w:rPr>
            </w:pPr>
            <w:r>
              <w:rPr>
                <w:rFonts w:ascii="Arial" w:cs="Arial" w:eastAsia="Arial" w:hAnsi="Arial"/>
                <w:sz w:val="14"/>
                <w:szCs w:val="14"/>
                <w:b w:val="1"/>
                <w:bCs w:val="1"/>
                <w:color w:val="auto"/>
                <w:w w:val="90"/>
              </w:rPr>
              <w:t>of</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3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240" w:type="dxa"/>
            <w:vAlign w:val="bottom"/>
          </w:tcPr>
          <w:p>
            <w:pPr>
              <w:jc w:val="center"/>
              <w:ind w:left="254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240" w:type="dxa"/>
            <w:vAlign w:val="bottom"/>
          </w:tcPr>
          <w:p>
            <w:pPr>
              <w:jc w:val="center"/>
              <w:ind w:left="2548"/>
              <w:spacing w:after="0" w:line="149" w:lineRule="exact"/>
              <w:rPr>
                <w:sz w:val="20"/>
                <w:szCs w:val="20"/>
                <w:color w:val="auto"/>
              </w:rPr>
            </w:pPr>
            <w:r>
              <w:rPr>
                <w:rFonts w:ascii="Arial" w:cs="Arial" w:eastAsia="Arial" w:hAnsi="Arial"/>
                <w:sz w:val="14"/>
                <w:szCs w:val="14"/>
                <w:b w:val="1"/>
                <w:bCs w:val="1"/>
                <w:color w:val="auto"/>
                <w:w w:val="95"/>
              </w:rPr>
              <w:t>Options,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4240" w:type="dxa"/>
            <w:vAlign w:val="bottom"/>
          </w:tcPr>
          <w:p>
            <w:pPr>
              <w:jc w:val="center"/>
              <w:ind w:left="254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3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3500" w:type="dxa"/>
            <w:vAlign w:val="bottom"/>
            <w:vMerge w:val="continue"/>
          </w:tcPr>
          <w:p>
            <w:pPr>
              <w:spacing w:after="0"/>
              <w:rPr>
                <w:sz w:val="12"/>
                <w:szCs w:val="12"/>
                <w:color w:val="auto"/>
              </w:rPr>
            </w:pPr>
          </w:p>
        </w:tc>
        <w:tc>
          <w:tcPr>
            <w:tcW w:w="4240" w:type="dxa"/>
            <w:vAlign w:val="bottom"/>
          </w:tcPr>
          <w:p>
            <w:pPr>
              <w:jc w:val="center"/>
              <w:ind w:left="2528"/>
              <w:spacing w:after="0" w:line="149" w:lineRule="exact"/>
              <w:rPr>
                <w:sz w:val="20"/>
                <w:szCs w:val="20"/>
                <w:color w:val="auto"/>
              </w:rPr>
            </w:pPr>
            <w:r>
              <w:rPr>
                <w:rFonts w:ascii="Arial" w:cs="Arial" w:eastAsia="Arial" w:hAnsi="Arial"/>
                <w:sz w:val="14"/>
                <w:szCs w:val="14"/>
                <w:b w:val="1"/>
                <w:bCs w:val="1"/>
                <w:color w:val="auto"/>
                <w:w w:val="91"/>
              </w:rPr>
              <w:t>Rights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4240" w:type="dxa"/>
            <w:vAlign w:val="bottom"/>
          </w:tcPr>
          <w:p>
            <w:pPr>
              <w:jc w:val="center"/>
              <w:ind w:left="2548"/>
              <w:spacing w:after="0"/>
              <w:rPr>
                <w:sz w:val="20"/>
                <w:szCs w:val="20"/>
                <w:color w:val="auto"/>
              </w:rPr>
            </w:pPr>
            <w:r>
              <w:rPr>
                <w:rFonts w:ascii="Arial" w:cs="Arial" w:eastAsia="Arial" w:hAnsi="Arial"/>
                <w:sz w:val="14"/>
                <w:szCs w:val="14"/>
                <w:b w:val="1"/>
                <w:bCs w:val="1"/>
                <w:color w:val="auto"/>
              </w:rPr>
              <w:t>(a)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32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 unitholders:</w:t>
            </w: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2013 Long Term Incentive Plan</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4,237,801</w:t>
            </w:r>
            <w:r>
              <w:rPr>
                <w:rFonts w:ascii="Arial" w:cs="Arial" w:eastAsia="Arial" w:hAnsi="Arial"/>
                <w:sz w:val="11"/>
                <w:szCs w:val="11"/>
                <w:color w:val="auto"/>
              </w:rPr>
              <w:t>(1)</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8,836,885</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 unitholders: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PNG Successor LTIP</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384,919</w:t>
            </w:r>
            <w:r>
              <w:rPr>
                <w:rFonts w:ascii="Arial" w:cs="Arial" w:eastAsia="Arial" w:hAnsi="Arial"/>
                <w:sz w:val="11"/>
                <w:szCs w:val="11"/>
                <w:color w:val="auto"/>
              </w:rPr>
              <w:t>(4)</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935,064</w:t>
            </w:r>
            <w:r>
              <w:rPr>
                <w:rFonts w:ascii="Arial" w:cs="Arial" w:eastAsia="Arial" w:hAnsi="Arial"/>
                <w:sz w:val="11"/>
                <w:szCs w:val="1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Phantom unit awards under the 2013 Plan and PNG Successor Plan vest without payment by recipients.</w:t>
      </w:r>
    </w:p>
    <w:p>
      <w:pPr>
        <w:spacing w:after="0" w:line="225" w:lineRule="exact"/>
        <w:rPr>
          <w:sz w:val="20"/>
          <w:szCs w:val="20"/>
          <w:color w:val="auto"/>
        </w:rPr>
      </w:pPr>
    </w:p>
    <w:p>
      <w:pPr>
        <w:ind w:left="20" w:right="260" w:hanging="11"/>
        <w:spacing w:after="0" w:line="342" w:lineRule="auto"/>
        <w:rPr>
          <w:sz w:val="20"/>
          <w:szCs w:val="20"/>
          <w:color w:val="auto"/>
        </w:rPr>
      </w:pPr>
      <w:r>
        <w:rPr>
          <w:rFonts w:ascii="Arial" w:cs="Arial" w:eastAsia="Arial" w:hAnsi="Arial"/>
          <w:sz w:val="16"/>
          <w:szCs w:val="16"/>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124"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ind w:left="660" w:right="20" w:hanging="598"/>
        <w:spacing w:after="0" w:line="261" w:lineRule="auto"/>
        <w:tabs>
          <w:tab w:leader="none" w:pos="648" w:val="left"/>
        </w:tabs>
        <w:numPr>
          <w:ilvl w:val="0"/>
          <w:numId w:val="102"/>
        </w:numPr>
        <w:rPr>
          <w:rFonts w:ascii="Arial" w:cs="Arial" w:eastAsia="Arial" w:hAnsi="Arial"/>
          <w:sz w:val="22"/>
          <w:szCs w:val="22"/>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2013 were approximately $567 million.</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general partner owns the 2% general partner interest and all of the incentive distribution rights. In addition to distributions on its 2% general partner interest, our general partner is entitled to receive incentive distributions if the amount we distribute with respect to any quarter exceeds levels specified in our partnership agreement. Under the quarterly distribution provisions, generally our general partner is entitled, without duplication and except for the agreed upon adjustments discussed below, to 2% of amounts we distribute up to $0.2250 ($0.90 annualized) per unit, 15% of amounts we distribute in excess of $0.2250 ($0.90 annualized) per unit, 25% of the amounts we distribute in excess of $0.2475 ($0.99 annualized) per unit and 50% of amounts we distribute in excess of $0.3375 ($1.35 annualized) per unit. Effective upon closing of the BP NGL Acquisition and the PNG Merger, our general partner</w:t>
      </w:r>
    </w:p>
    <w:p>
      <w:pPr>
        <w:sectPr>
          <w:pgSz w:w="11900" w:h="16838" w:orient="portrait"/>
          <w:cols w:equalWidth="0" w:num="1">
            <w:col w:w="11420"/>
          </w:cols>
          <w:pgMar w:left="240" w:top="125" w:right="239" w:bottom="0" w:gutter="0" w:footer="0" w:header="0"/>
          <w:type w:val="continuous"/>
        </w:sectPr>
      </w:pPr>
    </w:p>
    <w:bookmarkStart w:id="95" w:name="page96"/>
    <w:bookmarkEnd w:id="95"/>
    <w:p>
      <w:pPr>
        <w:spacing w:after="0" w:line="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agreed to reduce the amount of its incentive distribution by $3.75 million per quarter for distributions paid during 2013, $6.75 million for the distribution paid in February 2014, $5.5 million per quarter thereafter through November 2015, $5 million per quarter in 2016 and $3.75 million per quarter thereafter.</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illustrates the allocation of aggregate distributions at different per-unit levels, excluding the effect of the incentive distribution reductions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Annual LP Distribution Per</w:t>
            </w:r>
          </w:p>
        </w:tc>
        <w:tc>
          <w:tcPr>
            <w:tcW w:w="320" w:type="dxa"/>
            <w:vAlign w:val="bottom"/>
          </w:tcPr>
          <w:p>
            <w:pPr>
              <w:spacing w:after="0"/>
              <w:rPr>
                <w:sz w:val="14"/>
                <w:szCs w:val="14"/>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Distribution</w:t>
            </w:r>
          </w:p>
        </w:tc>
        <w:tc>
          <w:tcPr>
            <w:tcW w:w="340" w:type="dxa"/>
            <w:vAlign w:val="bottom"/>
          </w:tcPr>
          <w:p>
            <w:pPr>
              <w:spacing w:after="0"/>
              <w:rPr>
                <w:sz w:val="14"/>
                <w:szCs w:val="14"/>
                <w:color w:val="auto"/>
              </w:rPr>
            </w:pPr>
          </w:p>
        </w:tc>
        <w:tc>
          <w:tcPr>
            <w:tcW w:w="186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Distribution</w:t>
            </w:r>
          </w:p>
        </w:tc>
        <w:tc>
          <w:tcPr>
            <w:tcW w:w="280" w:type="dxa"/>
            <w:vAlign w:val="bottom"/>
          </w:tcPr>
          <w:p>
            <w:pPr>
              <w:spacing w:after="0"/>
              <w:rPr>
                <w:sz w:val="14"/>
                <w:szCs w:val="14"/>
                <w:color w:val="auto"/>
              </w:rPr>
            </w:pPr>
          </w:p>
        </w:tc>
        <w:tc>
          <w:tcPr>
            <w:tcW w:w="192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rPr>
              <w:t>Total</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GP %</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to LP</w:t>
            </w:r>
          </w:p>
        </w:tc>
        <w:tc>
          <w:tcPr>
            <w:tcW w:w="3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Unit</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8"/>
                <w:szCs w:val="8"/>
                <w:b w:val="1"/>
                <w:bCs w:val="1"/>
                <w:color w:val="auto"/>
                <w:w w:val="93"/>
              </w:rPr>
              <w:t>(1)</w:t>
            </w: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to GP</w:t>
            </w:r>
            <w:r>
              <w:rPr>
                <w:rFonts w:ascii="Arial" w:cs="Arial" w:eastAsia="Arial" w:hAnsi="Arial"/>
                <w:sz w:val="8"/>
                <w:szCs w:val="8"/>
                <w:b w:val="1"/>
                <w:bCs w:val="1"/>
                <w:color w:val="auto"/>
              </w:rPr>
              <w:t>(1)(2)</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8"/>
                <w:szCs w:val="8"/>
                <w:b w:val="1"/>
                <w:bCs w:val="1"/>
                <w:color w:val="auto"/>
              </w:rPr>
              <w:t>(1)(2)</w:t>
            </w:r>
          </w:p>
        </w:tc>
        <w:tc>
          <w:tcPr>
            <w:tcW w:w="28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329,694</w:t>
            </w: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0.99</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355,410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12,296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367,706</w:t>
            </w:r>
          </w:p>
        </w:tc>
        <w:tc>
          <w:tcPr>
            <w:tcW w:w="22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484,650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55,376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540,026</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879,550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450,276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1,329,826</w:t>
            </w:r>
          </w:p>
        </w:tc>
        <w:tc>
          <w:tcPr>
            <w:tcW w:w="222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951,350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522,076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1,473,426</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1,023,150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593,876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1,617,026</w:t>
            </w:r>
          </w:p>
        </w:tc>
        <w:tc>
          <w:tcPr>
            <w:tcW w:w="222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380" w:hanging="634"/>
        <w:spacing w:after="0" w:line="234" w:lineRule="auto"/>
        <w:tabs>
          <w:tab w:leader="none" w:pos="652" w:val="left"/>
        </w:tabs>
        <w:numPr>
          <w:ilvl w:val="0"/>
          <w:numId w:val="103"/>
        </w:numPr>
        <w:rPr>
          <w:rFonts w:ascii="Arial" w:cs="Arial" w:eastAsia="Arial" w:hAnsi="Arial"/>
          <w:sz w:val="23"/>
          <w:szCs w:val="23"/>
          <w:color w:val="auto"/>
          <w:vertAlign w:val="superscript"/>
        </w:rPr>
      </w:pPr>
      <w:r>
        <w:rPr>
          <w:rFonts w:ascii="Arial" w:cs="Arial" w:eastAsia="Arial" w:hAnsi="Arial"/>
          <w:sz w:val="18"/>
          <w:szCs w:val="18"/>
          <w:color w:val="auto"/>
        </w:rPr>
        <w:t>Assumes 359,000,000 units outstanding. The actual number of units outstanding as of December 31, 2013 was 359,133,200. An increase in the number of units outstanding would increase both the distribution to unitholders and the distribution to the general partner for any given level of distribution per unit.</w:t>
      </w:r>
    </w:p>
    <w:p>
      <w:pPr>
        <w:spacing w:after="0" w:line="168" w:lineRule="exact"/>
        <w:rPr>
          <w:rFonts w:ascii="Arial" w:cs="Arial" w:eastAsia="Arial" w:hAnsi="Arial"/>
          <w:sz w:val="23"/>
          <w:szCs w:val="23"/>
          <w:color w:val="auto"/>
          <w:vertAlign w:val="superscript"/>
        </w:rPr>
      </w:pPr>
    </w:p>
    <w:p>
      <w:pPr>
        <w:ind w:left="640" w:hanging="614"/>
        <w:spacing w:after="0"/>
        <w:tabs>
          <w:tab w:leader="none" w:pos="640" w:val="left"/>
        </w:tabs>
        <w:numPr>
          <w:ilvl w:val="0"/>
          <w:numId w:val="103"/>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attributable to the 2% general partner interest and the incentive distribution rights.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Long-Term Incentive Plans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 appreciation rights, restricted units, and unit options. The 2013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authorizes the grant of awards covering an aggregate of 13,074,686 common units deliverable upon vesting or exercise (as applicable) of such awards. The PNG Successor Plan authorizes the grant of awards covering an aggregate of 1,319,983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7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Phantom Units. </w:t>
      </w:r>
      <w:r>
        <w:rPr>
          <w:rFonts w:ascii="Arial" w:cs="Arial" w:eastAsia="Arial" w:hAnsi="Arial"/>
          <w:sz w:val="17"/>
          <w:szCs w:val="17"/>
          <w:color w:val="auto"/>
        </w:rPr>
        <w:t>A phantom unit entitles the grantee to receive, upon the vesting of the phantom unit, a common unit (or cash equivalent, depending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of December 31, 2013, grants of approximately 5,268,900 and 445,036 unvested phantom units were outstanding under the 2013 Plan and PNG Successor Plan, respectively, and approximately 8,836,885 and 935,064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 xml:space="preserve">Unit Appreciation Rights. </w:t>
      </w:r>
      <w:r>
        <w:rPr>
          <w:rFonts w:ascii="Arial" w:cs="Arial" w:eastAsia="Arial" w:hAnsi="Arial"/>
          <w:sz w:val="17"/>
          <w:szCs w:val="17"/>
          <w:color w:val="auto"/>
        </w:rPr>
        <w:t>A unit appreciation right is an award that, upon exercise, entitles the holder to receive the excess, if any, of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a common unit on the exercise date over the grant price of the unit appreciation right. The excess may be paid in cash and/or common units as determined by the plan administrator in its discretion. No unit appreciation rights have been granted under the Plans to date.</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Restricted Unit Awards. </w:t>
      </w:r>
      <w:r>
        <w:rPr>
          <w:rFonts w:ascii="Arial" w:cs="Arial" w:eastAsia="Arial" w:hAnsi="Arial"/>
          <w:sz w:val="16"/>
          <w:szCs w:val="16"/>
          <w:color w:val="auto"/>
        </w:rPr>
        <w:t>A restricted unit is a common unit granted under the Plan that is subject to a risk of forfeiture, restrictions on transferability,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other restrictions that may be imposed by the plan administrator in its discretion. No restricted unit awards have been granted under the Plans to date.</w:t>
      </w:r>
    </w:p>
    <w:p>
      <w:pPr>
        <w:spacing w:after="0" w:line="124"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Unit Options. </w:t>
      </w:r>
      <w:r>
        <w:rPr>
          <w:rFonts w:ascii="Arial" w:cs="Arial" w:eastAsia="Arial" w:hAnsi="Arial"/>
          <w:sz w:val="16"/>
          <w:szCs w:val="16"/>
          <w:color w:val="auto"/>
        </w:rPr>
        <w:t>Options may be granted under the Plan to purchase a specific number of common units at a set exercise price. The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option granted under the Plan will be determined by the plan administrator at the time the option is granted, provided that each option may not have an exercise price that is less than the fair market value of the common units on the date of grant. No options have been granted under the Plans to date.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In August 2007, the owners of AAP authorized the creation and issuance of AAP Management Units and authorized the compensation committee of GP LLC to issue grants of AAP Management Units to create long-term incentives for our management. The entire economic burden of the AAP Management Units, which are equity classified, is borne solely by AAP and does not impact our cash or units outstanding. We are not obligated to reimburse AAP for any costs attributable to the AAP Management Units, and any distributions made on the AAP Management Units will not reduce the amount of cash available for</w:t>
      </w:r>
    </w:p>
    <w:p>
      <w:pPr>
        <w:sectPr>
          <w:pgSz w:w="11900" w:h="16918" w:orient="portrait"/>
          <w:cols w:equalWidth="0" w:num="1">
            <w:col w:w="11420"/>
          </w:cols>
          <w:pgMar w:left="240" w:top="125" w:right="239" w:bottom="0" w:gutter="0" w:footer="0" w:header="0"/>
        </w:sectPr>
      </w:pPr>
    </w:p>
    <w:bookmarkStart w:id="96" w:name="page97"/>
    <w:bookmarkEnd w:id="96"/>
    <w:p>
      <w:pPr>
        <w:spacing w:after="0" w:line="312" w:lineRule="auto"/>
        <w:rPr>
          <w:sz w:val="20"/>
          <w:szCs w:val="20"/>
          <w:color w:val="auto"/>
        </w:rPr>
      </w:pPr>
      <w:r>
        <w:rPr>
          <w:rFonts w:ascii="Arial" w:cs="Arial" w:eastAsia="Arial" w:hAnsi="Arial"/>
          <w:sz w:val="16"/>
          <w:szCs w:val="16"/>
          <w:color w:val="auto"/>
        </w:rPr>
        <w:t>distribution to our unitholders. Each AAP Management Unit represents a “profits interest” in AAP, which entitles the holder to participate in future profits and losses from operations, current distributions from operations, and an interest in future appreciation or depreciation in AAP’s asset values. Up to 52,125,935 AAP Management Units are authorized for issuance. As of December 31, 2013, 48,642,830 AAP Management Units were issued and outstanding.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a portion of the distributions that would otherwise be paid to our general partner) in percentage increments when the annualized quarterly distributions on our common units equal or exceed certain thresholds. Upon achievement of these performance thresholds (or, in some cases, within six months thereafter), the AAP Management Units will be entitled to their proportionate share of all quarterly cash distributions made by AAP in excess of $11 million per quarter (as adjusted for debt service costs and excluding special distributions funded by debt). Assuming all authorized AAP Management Units are issued, the maximum participation would be approximately 8% of the amount in excess of $11 million per quarter, as adjusted. As of February 14, 2014, approximately 98% of the outstanding AAP Management Units had been earned or will be earned within 180 days. The remaining AAP Management Units will be earned in 25% increments 180 days after payment of annualized quarterly distributions of $2.55, $2.70 and $2.85 per unit, respectively.</w:t>
      </w:r>
    </w:p>
    <w:p>
      <w:pPr>
        <w:spacing w:after="0" w:line="16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 AAP Management Units granted in 2007 to January 1, 2021 for AAP Management Units granted in 2013. If the call right of AAP becomes exercisable, in order to encourage retention, the size of the discount to fair market value reflected in the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elects not to timely exercise its call right.</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at any time after December 31, 2015 the PAGP Class A shares are publicly traded, each vested AAP Management Unit may be converted into AAP Class A units and a like number of PAGP Class B shares based on a conversion ratio calculated in accordance with the AAP limited partnership agreement (which conversion ratio will not be more than one-to-one and was approximately 0.91 AAP Class A units and PAGP Class B shares for each AAP Management Unit as of February 15, 2014). Following any such conversion, the resulting AAP Class A units and PAGP Class B shares are exchangeable for PAGP Class A shares on a one-for-one basis as provided in the PAGP limited partnership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the closing of the initial public offering of PAGP, PAA entered into an administrative agreement (the “Administrative Agreement”) with PAGP, GP Holdings, AAP, PAA GP LLC and GP LLC to address, among other things, potential conflicts with respect to business opportunities that may arise among PAGP, GP Holdings, AAP, PAA, PAA GP LLC and GP LLC. The agreement provides that if any business opportunity is presented to PAGP, GP Holdings, AAP, PAA, PAA GP LLC or GP LLC, then PAA will have the first right to pursue such business opportunity. PAGP will have the right to pursue and/or participate in such business opportunity if invited to do so by PAA, or if PAA abandons the business opportunity and GP LLC so notifies GP Holdings.</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Pursuant to the Administrative Agreement, all of PAGP’s officers and other personnel necessary for its business to function (to the extent not out-sourced) are employed by GP LLC, and AAP pays GP LLC an annual fee for general and administrative services performed on behalf of PAGP. The initial fee is $1.5 million per year and is subject to adjustment on an annual basis, beginning on January 1, 2015, based on the Consumer Price Index. The fee is also subject to adjustment if a material event occurs that impacts the general and administrative services provided to PAGP, such as acquisitions, entering into new lines of business or changes in laws, regulations, listing requirements or accounting rules.</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addition, the Administrative Agreement provides that any direct expenses incurred by PAGP, GP Holdings and AAP (other than income taxes payable by PAGP) are borne by AAP. These direct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include costs related to (i) compensation for new directors, (ii) incremental director and officer liability insurance, (iii) listing on the NYSE, (iv) investor relations, (v) legal, (vi) tax and (vii) accounting.</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to the fee and expenses described above, the Administrative Agreement requires AAP to reimburse GP LLC for any additional expenses incurred by GP LLC and certain of its affiliates (i) on PAGP’s behalf, (ii) on behalf of GP Holdings, or (iii) for any other purpose related to PAGP’s business and activities or those of GP Holdings. AAP is also required to reimburse GP Holdings for any additional expenses incurred by it on PAGP’s behalf or to maintain PAGP’s legal existence and good standing. There is no limit on the amount of fees and expenses AAP may be required to pay to affiliates of GP Holdings on PAGP’s behalf pursuant to the Administrative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Administrative Agreement, PAA has also granted PAGP a license to use the names “PAA” and “Plains” and any associated or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2013, we purchased approximately $3.9 million of oil from companies owned and controlled by funds managed by KACALP. We pay the same amount per barrel to these companies that we pay to other producers in the area.</w:t>
      </w:r>
    </w:p>
    <w:p>
      <w:pPr>
        <w:sectPr>
          <w:pgSz w:w="11900" w:h="16838" w:orient="portrait"/>
          <w:cols w:equalWidth="0" w:num="1">
            <w:col w:w="11420"/>
          </w:cols>
          <w:pgMar w:left="240" w:top="125" w:right="239" w:bottom="0" w:gutter="0" w:footer="0" w:header="0"/>
        </w:sectPr>
      </w:pPr>
    </w:p>
    <w:bookmarkStart w:id="97" w:name="page98"/>
    <w:bookmarkEnd w:id="97"/>
    <w:p>
      <w:pPr>
        <w:jc w:val="both"/>
        <w:ind w:right="60" w:firstLine="648"/>
        <w:spacing w:after="0" w:line="264" w:lineRule="auto"/>
        <w:rPr>
          <w:sz w:val="20"/>
          <w:szCs w:val="20"/>
          <w:color w:val="auto"/>
        </w:rPr>
      </w:pPr>
      <w:r>
        <w:rPr>
          <w:rFonts w:ascii="Arial" w:cs="Arial" w:eastAsia="Arial" w:hAnsi="Arial"/>
          <w:sz w:val="18"/>
          <w:szCs w:val="18"/>
          <w:color w:val="auto"/>
        </w:rPr>
        <w:t>During 2013, we recognized sales and transportation and storage revenues of approximately $1.3 billion from companies affiliated with Oxy. During 2013, we also purchased approximately $0.9 billion of petroleum products from companies affiliated with Oxy. These transactions were conducted at posted tariff rates or prices that we believe approximate market.</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An employee in our marketing department is the son of Phil Kramer, one of our executive officers. His total compensation for 2013 (which amount includes the grant date fair value of LTIPs awarded to him on terms consistent with all eligible employees) was approximately $275,000.</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An employee with our Canadian operations is the son of W. David Duckett, one of our executive officers. His total compensation for 2013 (which amount includes the grant date fair value of LTIPs awarded to him on terms consistent with all eligible employees) was approximately $225,000.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of directors of our general partner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is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consolidated subsidiaries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79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(2)</w:t>
            </w: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900" w:type="dxa"/>
            <w:vAlign w:val="bottom"/>
          </w:tcPr>
          <w:p>
            <w:pPr>
              <w:spacing w:after="0" w:line="21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9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0"/>
        </w:trPr>
        <w:tc>
          <w:tcPr>
            <w:tcW w:w="7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hanging="11"/>
        <w:spacing w:after="0" w:line="342" w:lineRule="auto"/>
        <w:rPr>
          <w:sz w:val="20"/>
          <w:szCs w:val="20"/>
          <w:color w:val="auto"/>
        </w:rPr>
      </w:pPr>
      <w:r>
        <w:rPr>
          <w:rFonts w:ascii="Arial" w:cs="Arial" w:eastAsia="Arial" w:hAnsi="Arial"/>
          <w:sz w:val="16"/>
          <w:szCs w:val="16"/>
          <w:color w:val="auto"/>
        </w:rPr>
        <w:t>Audit fees include those related to (a) our annual audit (including internal control evaluation and reporting); (b) the annual audit of PNG; (c) the audit of certain joint ventures of which we are the operator, and (d) work performed on our registration of publicly held debt and equity.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are for an audit of our benefit plan.</w:t>
      </w:r>
    </w:p>
    <w:p>
      <w:pPr>
        <w:spacing w:after="0" w:line="225"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Tax fees are related to tax processing as well as the preparation of Forms K-1 for our unitholders and international tax planning work associated with the structure of our Canadian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other fees primarily consist of those associated with due diligence performed on our behalf and evaluating potential acquisitions.</w:t>
      </w:r>
    </w:p>
    <w:p>
      <w:pPr>
        <w:spacing w:after="0" w:line="200" w:lineRule="exact"/>
        <w:rPr>
          <w:sz w:val="20"/>
          <w:szCs w:val="20"/>
          <w:color w:val="auto"/>
        </w:rPr>
      </w:pPr>
    </w:p>
    <w:p>
      <w:pPr>
        <w:sectPr>
          <w:pgSz w:w="11900" w:h="16838" w:orient="portrait"/>
          <w:cols w:equalWidth="0" w:num="2">
            <w:col w:w="540" w:space="500"/>
            <w:col w:w="10380"/>
          </w:cols>
          <w:pgMar w:left="240" w:top="125" w:right="239" w:bottom="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discussed above, we have an audit committee that reviews our external financial reporting, engages our independent auditors and reviews the adequacy of our internal accounting controls. Prior to the PNG Merger on December 31, 2013, our consolidated subsidiary, PNG, also had an audit committee that performed similar functions on PNG’s behalf. All services provided by our independent auditor are subject to pre-approval by our audit committee (or the audit committee of PNG (for services provided to PNG)). 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All services provided by our independent auditor during the years ended December 31, 2013 and 2012 were approved in advance by the applicable audit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ectPr>
          <w:pgSz w:w="11900" w:h="16838" w:orient="portrait"/>
          <w:cols w:equalWidth="0" w:num="1">
            <w:col w:w="11420"/>
          </w:cols>
          <w:pgMar w:left="240" w:top="125" w:right="239" w:bottom="0" w:gutter="0" w:footer="0" w:header="0"/>
          <w:type w:val="continuous"/>
        </w:sectPr>
      </w:pPr>
    </w:p>
    <w:bookmarkStart w:id="98" w:name="page99"/>
    <w:bookmarkEnd w:id="98"/>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i w:val="1"/>
          <w:i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25" w:lineRule="exact"/>
        <w:rPr>
          <w:sz w:val="20"/>
          <w:szCs w:val="20"/>
          <w:color w:val="auto"/>
        </w:rPr>
      </w:pPr>
    </w:p>
    <w:p>
      <w:pPr>
        <w:ind w:left="1220" w:hanging="564"/>
        <w:spacing w:after="0"/>
        <w:tabs>
          <w:tab w:leader="none" w:pos="1220" w:val="left"/>
        </w:tabs>
        <w:numPr>
          <w:ilvl w:val="0"/>
          <w:numId w:val="105"/>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220" w:hanging="564"/>
        <w:spacing w:after="0"/>
        <w:tabs>
          <w:tab w:leader="none" w:pos="1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55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PAA GP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80" w:type="dxa"/>
            <w:vAlign w:val="bottom"/>
          </w:tcPr>
          <w:p>
            <w:pPr>
              <w:ind w:left="55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its sole member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80" w:type="dxa"/>
            <w:vAlign w:val="bottom"/>
          </w:tcPr>
          <w:p>
            <w:pPr>
              <w:ind w:left="554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tcPr>
          <w:p>
            <w:pPr>
              <w:ind w:left="55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L. Armstrong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b w:val="1"/>
                <w:bCs w:val="1"/>
                <w:color w:val="auto"/>
              </w:rPr>
              <w:t>Greg L. Armstrong,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Chairman of the Board,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and Director of Plains All American GP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February 27, 2014</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tcPr>
          <w:p>
            <w:pPr>
              <w:ind w:left="55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b w:val="1"/>
                <w:bCs w:val="1"/>
                <w:color w:val="auto"/>
              </w:rPr>
              <w:t>Al Swanson,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of Plains All American GP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(Principal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February 27, 2014</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180" w:type="dxa"/>
            <w:vAlign w:val="bottom"/>
          </w:tcPr>
          <w:p>
            <w:pPr>
              <w:ind w:left="55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Herbold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b w:val="1"/>
                <w:bCs w:val="1"/>
                <w:color w:val="auto"/>
              </w:rPr>
              <w:t>Chris Herbold,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Vice President —Accounting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of Plains All American GP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vMerge w:val="restart"/>
          </w:tcPr>
          <w:p>
            <w:pPr>
              <w:spacing w:after="0"/>
              <w:rPr>
                <w:sz w:val="20"/>
                <w:szCs w:val="20"/>
                <w:color w:val="auto"/>
              </w:rPr>
            </w:pPr>
            <w:r>
              <w:rPr>
                <w:rFonts w:ascii="Arial" w:cs="Arial" w:eastAsia="Arial" w:hAnsi="Arial"/>
                <w:sz w:val="18"/>
                <w:szCs w:val="18"/>
                <w:color w:val="auto"/>
              </w:rPr>
              <w:t>February 27, 2014</w:t>
            </w: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(Principal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vMerge w:val="continue"/>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80" w:type="dxa"/>
            <w:vAlign w:val="bottom"/>
          </w:tcPr>
          <w:p>
            <w:pPr>
              <w:ind w:left="5580"/>
              <w:spacing w:after="0"/>
              <w:rPr>
                <w:sz w:val="20"/>
                <w:szCs w:val="20"/>
                <w:color w:val="auto"/>
              </w:rPr>
            </w:pPr>
            <w:r>
              <w:rPr>
                <w:rFonts w:ascii="Arial" w:cs="Arial" w:eastAsia="Arial" w:hAnsi="Arial"/>
                <w:sz w:val="18"/>
                <w:szCs w:val="18"/>
                <w:color w:val="auto"/>
              </w:rPr>
              <w:t>141</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18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300" w:type="dxa"/>
            <w:vAlign w:val="bottom"/>
          </w:tcPr>
          <w:p>
            <w:pPr>
              <w:spacing w:after="0"/>
              <w:rPr>
                <w:sz w:val="14"/>
                <w:szCs w:val="14"/>
                <w:color w:val="auto"/>
              </w:rPr>
            </w:pPr>
          </w:p>
        </w:tc>
        <w:tc>
          <w:tcPr>
            <w:tcW w:w="51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L. Armstrong</w:t>
            </w:r>
          </w:p>
        </w:tc>
        <w:tc>
          <w:tcPr>
            <w:tcW w:w="30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7"/>
              </w:rPr>
              <w:t>Chairman of the Board, Chief Executive Officer and Director of Plains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2014</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4"/>
              </w:rPr>
              <w:t>Greg L. Armstrong</w:t>
            </w:r>
          </w:p>
        </w:tc>
        <w:tc>
          <w:tcPr>
            <w:tcW w:w="30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All American GP LLC (Principal Executive Officer)</w:t>
            </w:r>
          </w:p>
        </w:tc>
        <w:tc>
          <w:tcPr>
            <w:tcW w:w="2060" w:type="dxa"/>
            <w:vAlign w:val="bottom"/>
          </w:tcPr>
          <w:p>
            <w:pPr>
              <w:spacing w:after="0"/>
              <w:rPr>
                <w:sz w:val="19"/>
                <w:szCs w:val="19"/>
                <w:color w:val="auto"/>
              </w:rPr>
            </w:pPr>
          </w:p>
        </w:tc>
      </w:tr>
    </w:tbl>
    <w:p>
      <w:pPr>
        <w:spacing w:after="0" w:line="200" w:lineRule="exact"/>
        <w:rPr>
          <w:sz w:val="20"/>
          <w:szCs w:val="20"/>
          <w:color w:val="auto"/>
        </w:rPr>
      </w:pPr>
    </w:p>
    <w:p>
      <w:pPr>
        <w:sectPr>
          <w:pgSz w:w="11900" w:h="16874" w:orient="portrait"/>
          <w:cols w:equalWidth="0" w:num="1">
            <w:col w:w="11460"/>
          </w:cols>
          <w:pgMar w:left="240" w:top="121" w:right="199" w:bottom="0" w:gutter="0" w:footer="0" w:header="0"/>
        </w:sectPr>
      </w:pPr>
    </w:p>
    <w:p>
      <w:pPr>
        <w:spacing w:after="0" w:line="204" w:lineRule="exact"/>
        <w:rPr>
          <w:sz w:val="20"/>
          <w:szCs w:val="20"/>
          <w:color w:val="auto"/>
        </w:rPr>
      </w:pPr>
    </w:p>
    <w:p>
      <w:pPr>
        <w:ind w:left="1120"/>
        <w:spacing w:after="0"/>
        <w:tabs>
          <w:tab w:leader="none" w:pos="3940" w:val="left"/>
          <w:tab w:leader="none" w:pos="9720" w:val="left"/>
        </w:tabs>
        <w:rPr>
          <w:sz w:val="20"/>
          <w:szCs w:val="20"/>
          <w:color w:val="auto"/>
        </w:rPr>
      </w:pPr>
      <w:r>
        <w:rPr>
          <w:rFonts w:ascii="Arial" w:cs="Arial" w:eastAsia="Arial" w:hAnsi="Arial"/>
          <w:sz w:val="18"/>
          <w:szCs w:val="18"/>
          <w:color w:val="auto"/>
        </w:rPr>
        <w:t>/s/ Harry N. Pefanis</w:t>
      </w:r>
      <w:r>
        <w:rPr>
          <w:sz w:val="20"/>
          <w:szCs w:val="20"/>
          <w:color w:val="auto"/>
        </w:rPr>
        <w:tab/>
      </w:r>
      <w:r>
        <w:rPr>
          <w:rFonts w:ascii="Arial" w:cs="Arial" w:eastAsia="Arial" w:hAnsi="Arial"/>
          <w:sz w:val="18"/>
          <w:szCs w:val="18"/>
          <w:color w:val="auto"/>
        </w:rPr>
        <w:t>President and Chief Operating Officer of Plains All American GP LLC</w:t>
      </w:r>
      <w:r>
        <w:rPr>
          <w:sz w:val="20"/>
          <w:szCs w:val="20"/>
          <w:color w:val="auto"/>
        </w:rPr>
        <w:tab/>
      </w:r>
      <w:r>
        <w:rPr>
          <w:rFonts w:ascii="Arial" w:cs="Arial" w:eastAsia="Arial" w:hAnsi="Arial"/>
          <w:sz w:val="16"/>
          <w:szCs w:val="16"/>
          <w:color w:val="auto"/>
        </w:rPr>
        <w:t>February 27, 2014</w:t>
      </w:r>
    </w:p>
    <w:p>
      <w:pPr>
        <w:spacing w:after="0" w:line="20" w:lineRule="exact"/>
        <w:rPr>
          <w:sz w:val="20"/>
          <w:szCs w:val="20"/>
          <w:color w:val="auto"/>
        </w:rPr>
      </w:pPr>
    </w:p>
    <w:p>
      <w:pPr>
        <w:sectPr>
          <w:pgSz w:w="11900" w:h="16874" w:orient="portrait"/>
          <w:cols w:equalWidth="0" w:num="1">
            <w:col w:w="11460"/>
          </w:cols>
          <w:pgMar w:left="240" w:top="121" w:right="199"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18"/>
          </w:tcPr>
          <w:p>
            <w:pPr>
              <w:jc w:val="center"/>
              <w:ind w:right="1460"/>
              <w:spacing w:after="0"/>
              <w:rPr>
                <w:sz w:val="20"/>
                <w:szCs w:val="20"/>
                <w:color w:val="auto"/>
              </w:rPr>
            </w:pPr>
            <w:r>
              <w:rPr>
                <w:rFonts w:ascii="Arial" w:cs="Arial" w:eastAsia="Arial" w:hAnsi="Arial"/>
                <w:sz w:val="18"/>
                <w:szCs w:val="18"/>
                <w:color w:val="auto"/>
                <w:w w:val="90"/>
              </w:rPr>
              <w:t>Harry N. Pefanis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17"/>
          </w:tcPr>
          <w:p>
            <w:pPr>
              <w:jc w:val="center"/>
              <w:ind w:right="1520"/>
              <w:spacing w:after="0"/>
              <w:rPr>
                <w:sz w:val="20"/>
                <w:szCs w:val="20"/>
                <w:color w:val="auto"/>
              </w:rPr>
            </w:pPr>
            <w:r>
              <w:rPr>
                <w:rFonts w:ascii="Arial" w:cs="Arial" w:eastAsia="Arial" w:hAnsi="Arial"/>
                <w:sz w:val="18"/>
                <w:szCs w:val="18"/>
                <w:color w:val="auto"/>
                <w:w w:val="90"/>
              </w:rPr>
              <w:t>/s/ Al Swanson</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Executive Vice President and Chief Financial Officer of Plains All</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14"/>
          </w:tcPr>
          <w:p>
            <w:pPr>
              <w:jc w:val="center"/>
              <w:ind w:right="1260"/>
              <w:spacing w:after="0"/>
              <w:rPr>
                <w:sz w:val="20"/>
                <w:szCs w:val="20"/>
                <w:color w:val="auto"/>
              </w:rPr>
            </w:pPr>
            <w:r>
              <w:rPr>
                <w:rFonts w:ascii="Arial" w:cs="Arial" w:eastAsia="Arial" w:hAnsi="Arial"/>
                <w:sz w:val="18"/>
                <w:szCs w:val="18"/>
                <w:color w:val="auto"/>
                <w:w w:val="92"/>
              </w:rPr>
              <w:t>Al Swanson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American GP LLC (Principal Financial Officer)</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gridSpan w:val="19"/>
          </w:tcPr>
          <w:p>
            <w:pPr>
              <w:jc w:val="center"/>
              <w:ind w:right="1140"/>
              <w:spacing w:after="0"/>
              <w:rPr>
                <w:sz w:val="20"/>
                <w:szCs w:val="20"/>
                <w:color w:val="auto"/>
              </w:rPr>
            </w:pPr>
            <w:r>
              <w:rPr>
                <w:rFonts w:ascii="Arial" w:cs="Arial" w:eastAsia="Arial" w:hAnsi="Arial"/>
                <w:sz w:val="18"/>
                <w:szCs w:val="18"/>
                <w:color w:val="auto"/>
                <w:w w:val="92"/>
              </w:rPr>
              <w:t>/s/ Chris Herbold</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Vice President—Accounting and Chief Accounting Officer of Plains</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14"/>
          </w:tcPr>
          <w:p>
            <w:pPr>
              <w:jc w:val="center"/>
              <w:ind w:right="1260"/>
              <w:spacing w:after="0"/>
              <w:rPr>
                <w:sz w:val="20"/>
                <w:szCs w:val="20"/>
                <w:color w:val="auto"/>
              </w:rPr>
            </w:pPr>
            <w:r>
              <w:rPr>
                <w:rFonts w:ascii="Arial" w:cs="Arial" w:eastAsia="Arial" w:hAnsi="Arial"/>
                <w:sz w:val="18"/>
                <w:szCs w:val="18"/>
                <w:color w:val="auto"/>
                <w:w w:val="94"/>
              </w:rPr>
              <w:t>Chris Herbold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All American GP LLC (Principal Accounting Officer)</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gridSpan w:val="19"/>
          </w:tcPr>
          <w:p>
            <w:pPr>
              <w:jc w:val="center"/>
              <w:ind w:right="1140"/>
              <w:spacing w:after="0"/>
              <w:rPr>
                <w:sz w:val="20"/>
                <w:szCs w:val="20"/>
                <w:color w:val="auto"/>
              </w:rPr>
            </w:pPr>
            <w:r>
              <w:rPr>
                <w:rFonts w:ascii="Arial" w:cs="Arial" w:eastAsia="Arial" w:hAnsi="Arial"/>
                <w:sz w:val="18"/>
                <w:szCs w:val="18"/>
                <w:color w:val="auto"/>
                <w:w w:val="89"/>
              </w:rPr>
              <w:t>/s/ Everardo Goyanes</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Director of Plains All American GP LLC</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16"/>
          </w:tcPr>
          <w:p>
            <w:pPr>
              <w:jc w:val="center"/>
              <w:ind w:right="880"/>
              <w:spacing w:after="0"/>
              <w:rPr>
                <w:sz w:val="20"/>
                <w:szCs w:val="20"/>
                <w:color w:val="auto"/>
              </w:rPr>
            </w:pPr>
            <w:r>
              <w:rPr>
                <w:rFonts w:ascii="Arial" w:cs="Arial" w:eastAsia="Arial" w:hAnsi="Arial"/>
                <w:sz w:val="18"/>
                <w:szCs w:val="18"/>
                <w:color w:val="auto"/>
                <w:w w:val="87"/>
              </w:rPr>
              <w:t>Everardo Goyanes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gridSpan w:val="19"/>
          </w:tcPr>
          <w:p>
            <w:pPr>
              <w:jc w:val="center"/>
              <w:ind w:right="1140"/>
              <w:spacing w:after="0"/>
              <w:rPr>
                <w:sz w:val="20"/>
                <w:szCs w:val="20"/>
                <w:color w:val="auto"/>
              </w:rPr>
            </w:pPr>
            <w:r>
              <w:rPr>
                <w:rFonts w:ascii="Arial" w:cs="Arial" w:eastAsia="Arial" w:hAnsi="Arial"/>
                <w:sz w:val="18"/>
                <w:szCs w:val="18"/>
                <w:color w:val="auto"/>
                <w:w w:val="88"/>
              </w:rPr>
              <w:t>/s/ Gary R. Petersen</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Director of Plains All American GP LLC</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16"/>
          </w:tcPr>
          <w:p>
            <w:pPr>
              <w:jc w:val="center"/>
              <w:ind w:right="880"/>
              <w:spacing w:after="0"/>
              <w:rPr>
                <w:sz w:val="20"/>
                <w:szCs w:val="20"/>
                <w:color w:val="auto"/>
              </w:rPr>
            </w:pPr>
            <w:r>
              <w:rPr>
                <w:rFonts w:ascii="Arial" w:cs="Arial" w:eastAsia="Arial" w:hAnsi="Arial"/>
                <w:sz w:val="18"/>
                <w:szCs w:val="18"/>
                <w:color w:val="auto"/>
                <w:w w:val="89"/>
              </w:rPr>
              <w:t>Gary R. Petersen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gridSpan w:val="19"/>
          </w:tcPr>
          <w:p>
            <w:pPr>
              <w:jc w:val="center"/>
              <w:ind w:right="1140"/>
              <w:spacing w:after="0"/>
              <w:rPr>
                <w:sz w:val="20"/>
                <w:szCs w:val="20"/>
                <w:color w:val="auto"/>
              </w:rPr>
            </w:pPr>
            <w:r>
              <w:rPr>
                <w:rFonts w:ascii="Arial" w:cs="Arial" w:eastAsia="Arial" w:hAnsi="Arial"/>
                <w:sz w:val="18"/>
                <w:szCs w:val="18"/>
                <w:color w:val="auto"/>
                <w:w w:val="89"/>
              </w:rPr>
              <w:t>/s/ John T. Raymond</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Director of Plains All American GP LLC</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16"/>
          </w:tcPr>
          <w:p>
            <w:pPr>
              <w:jc w:val="center"/>
              <w:ind w:right="880"/>
              <w:spacing w:after="0"/>
              <w:rPr>
                <w:sz w:val="20"/>
                <w:szCs w:val="20"/>
                <w:color w:val="auto"/>
              </w:rPr>
            </w:pPr>
            <w:r>
              <w:rPr>
                <w:rFonts w:ascii="Arial" w:cs="Arial" w:eastAsia="Arial" w:hAnsi="Arial"/>
                <w:sz w:val="18"/>
                <w:szCs w:val="18"/>
                <w:color w:val="auto"/>
                <w:w w:val="90"/>
              </w:rPr>
              <w:t>John T. Raymond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gridSpan w:val="19"/>
          </w:tcPr>
          <w:p>
            <w:pPr>
              <w:jc w:val="center"/>
              <w:ind w:right="1140"/>
              <w:spacing w:after="0"/>
              <w:rPr>
                <w:sz w:val="20"/>
                <w:szCs w:val="20"/>
                <w:color w:val="auto"/>
              </w:rPr>
            </w:pPr>
            <w:r>
              <w:rPr>
                <w:rFonts w:ascii="Arial" w:cs="Arial" w:eastAsia="Arial" w:hAnsi="Arial"/>
                <w:sz w:val="18"/>
                <w:szCs w:val="18"/>
                <w:color w:val="auto"/>
                <w:w w:val="91"/>
              </w:rPr>
              <w:t>/s/ Robert V. Sinnott</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Director of Plains All American GP LLC</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16"/>
          </w:tcPr>
          <w:p>
            <w:pPr>
              <w:jc w:val="center"/>
              <w:ind w:right="880"/>
              <w:spacing w:after="0"/>
              <w:rPr>
                <w:sz w:val="20"/>
                <w:szCs w:val="20"/>
                <w:color w:val="auto"/>
              </w:rPr>
            </w:pPr>
            <w:r>
              <w:rPr>
                <w:rFonts w:ascii="Arial" w:cs="Arial" w:eastAsia="Arial" w:hAnsi="Arial"/>
                <w:sz w:val="18"/>
                <w:szCs w:val="18"/>
                <w:color w:val="auto"/>
                <w:w w:val="90"/>
              </w:rPr>
              <w:t>Robert V. Sinnott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17"/>
          </w:tcPr>
          <w:p>
            <w:pPr>
              <w:jc w:val="center"/>
              <w:ind w:right="1520"/>
              <w:spacing w:after="0"/>
              <w:rPr>
                <w:sz w:val="20"/>
                <w:szCs w:val="20"/>
                <w:color w:val="auto"/>
              </w:rPr>
            </w:pPr>
            <w:r>
              <w:rPr>
                <w:rFonts w:ascii="Arial" w:cs="Arial" w:eastAsia="Arial" w:hAnsi="Arial"/>
                <w:sz w:val="18"/>
                <w:szCs w:val="18"/>
                <w:color w:val="auto"/>
                <w:w w:val="97"/>
              </w:rPr>
              <w:t>/s/ Vicky Sutil</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Director of Plains All American GP LLC</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14"/>
          </w:tcPr>
          <w:p>
            <w:pPr>
              <w:jc w:val="center"/>
              <w:ind w:right="1260"/>
              <w:spacing w:after="0"/>
              <w:rPr>
                <w:sz w:val="20"/>
                <w:szCs w:val="20"/>
                <w:color w:val="auto"/>
              </w:rPr>
            </w:pPr>
            <w:r>
              <w:rPr>
                <w:rFonts w:ascii="Arial" w:cs="Arial" w:eastAsia="Arial" w:hAnsi="Arial"/>
                <w:sz w:val="18"/>
                <w:szCs w:val="18"/>
                <w:color w:val="auto"/>
                <w:w w:val="96"/>
              </w:rPr>
              <w:t>Vicky Sutil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gridSpan w:val="19"/>
          </w:tcPr>
          <w:p>
            <w:pPr>
              <w:jc w:val="center"/>
              <w:ind w:right="1160"/>
              <w:spacing w:after="0"/>
              <w:rPr>
                <w:sz w:val="20"/>
                <w:szCs w:val="20"/>
                <w:color w:val="auto"/>
              </w:rPr>
            </w:pPr>
            <w:r>
              <w:rPr>
                <w:rFonts w:ascii="Arial" w:cs="Arial" w:eastAsia="Arial" w:hAnsi="Arial"/>
                <w:sz w:val="18"/>
                <w:szCs w:val="18"/>
                <w:color w:val="auto"/>
                <w:w w:val="89"/>
              </w:rPr>
              <w:t>/s/ J. Taft Symonds</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Director of Plains All American GP LLC</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15"/>
          </w:tcPr>
          <w:p>
            <w:pPr>
              <w:jc w:val="center"/>
              <w:ind w:right="1200"/>
              <w:spacing w:after="0"/>
              <w:rPr>
                <w:sz w:val="20"/>
                <w:szCs w:val="20"/>
                <w:color w:val="auto"/>
              </w:rPr>
            </w:pPr>
            <w:r>
              <w:rPr>
                <w:rFonts w:ascii="Arial" w:cs="Arial" w:eastAsia="Arial" w:hAnsi="Arial"/>
                <w:sz w:val="18"/>
                <w:szCs w:val="18"/>
                <w:color w:val="auto"/>
                <w:w w:val="89"/>
              </w:rPr>
              <w:t>J. Taft Symonds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3560" w:type="dxa"/>
            <w:vAlign w:val="bottom"/>
            <w:gridSpan w:val="20"/>
          </w:tcPr>
          <w:p>
            <w:pPr>
              <w:jc w:val="center"/>
              <w:ind w:right="620"/>
              <w:spacing w:after="0"/>
              <w:rPr>
                <w:sz w:val="20"/>
                <w:szCs w:val="20"/>
                <w:color w:val="auto"/>
              </w:rPr>
            </w:pPr>
            <w:r>
              <w:rPr>
                <w:rFonts w:ascii="Arial" w:cs="Arial" w:eastAsia="Arial" w:hAnsi="Arial"/>
                <w:sz w:val="18"/>
                <w:szCs w:val="18"/>
                <w:color w:val="auto"/>
                <w:w w:val="91"/>
              </w:rPr>
              <w:t>/s/ Christopher M. Temple</w:t>
            </w:r>
          </w:p>
        </w:tc>
        <w:tc>
          <w:tcPr>
            <w:tcW w:w="5400" w:type="dxa"/>
            <w:vAlign w:val="bottom"/>
            <w:gridSpan w:val="10"/>
          </w:tcPr>
          <w:p>
            <w:pPr>
              <w:ind w:left="40"/>
              <w:spacing w:after="0"/>
              <w:rPr>
                <w:sz w:val="20"/>
                <w:szCs w:val="20"/>
                <w:color w:val="auto"/>
              </w:rPr>
            </w:pPr>
            <w:r>
              <w:rPr>
                <w:rFonts w:ascii="Arial" w:cs="Arial" w:eastAsia="Arial" w:hAnsi="Arial"/>
                <w:sz w:val="18"/>
                <w:szCs w:val="18"/>
                <w:color w:val="auto"/>
              </w:rPr>
              <w:t>Director of Plains All American GP LLC</w:t>
            </w:r>
          </w:p>
        </w:tc>
        <w:tc>
          <w:tcPr>
            <w:tcW w:w="1740" w:type="dxa"/>
            <w:vAlign w:val="bottom"/>
            <w:gridSpan w:val="3"/>
          </w:tcPr>
          <w:p>
            <w:pPr>
              <w:ind w:left="420"/>
              <w:spacing w:after="0"/>
              <w:rPr>
                <w:sz w:val="20"/>
                <w:szCs w:val="20"/>
                <w:color w:val="auto"/>
              </w:rPr>
            </w:pPr>
            <w:r>
              <w:rPr>
                <w:rFonts w:ascii="Arial" w:cs="Arial" w:eastAsia="Arial" w:hAnsi="Arial"/>
                <w:sz w:val="18"/>
                <w:szCs w:val="18"/>
                <w:color w:val="auto"/>
                <w:w w:val="88"/>
              </w:rPr>
              <w:t>February 27, 2014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16"/>
          </w:tcPr>
          <w:p>
            <w:pPr>
              <w:jc w:val="center"/>
              <w:ind w:right="880"/>
              <w:spacing w:after="0"/>
              <w:rPr>
                <w:sz w:val="20"/>
                <w:szCs w:val="20"/>
                <w:color w:val="auto"/>
              </w:rPr>
            </w:pPr>
            <w:r>
              <w:rPr>
                <w:rFonts w:ascii="Arial" w:cs="Arial" w:eastAsia="Arial" w:hAnsi="Arial"/>
                <w:sz w:val="18"/>
                <w:szCs w:val="18"/>
                <w:color w:val="auto"/>
                <w:w w:val="91"/>
              </w:rPr>
              <w:t>Christopher M. Temple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6"/>
          </w:tcPr>
          <w:p>
            <w:pPr>
              <w:jc w:val="center"/>
              <w:ind w:left="550"/>
              <w:spacing w:after="0"/>
              <w:rPr>
                <w:sz w:val="20"/>
                <w:szCs w:val="20"/>
                <w:color w:val="auto"/>
              </w:rPr>
            </w:pPr>
            <w:r>
              <w:rPr>
                <w:rFonts w:ascii="Arial" w:cs="Arial" w:eastAsia="Arial" w:hAnsi="Arial"/>
                <w:sz w:val="18"/>
                <w:szCs w:val="18"/>
                <w:color w:val="auto"/>
                <w:w w:val="86"/>
              </w:rPr>
              <w:t>142</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920" w:type="dxa"/>
            <w:vAlign w:val="bottom"/>
            <w:gridSpan w:val="2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80" w:type="dxa"/>
            <w:vAlign w:val="bottom"/>
            <w:gridSpan w:val="20"/>
          </w:tcPr>
          <w:p>
            <w:pPr>
              <w:jc w:val="center"/>
              <w:ind w:right="940"/>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gridSpan w:val="19"/>
          </w:tcPr>
          <w:p>
            <w:pPr>
              <w:jc w:val="center"/>
              <w:ind w:right="102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920" w:type="dxa"/>
            <w:vAlign w:val="bottom"/>
            <w:gridSpan w:val="21"/>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3920" w:type="dxa"/>
            <w:vAlign w:val="bottom"/>
            <w:gridSpan w:val="21"/>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0000EE"/>
            </w:tcBorders>
            <w:gridSpan w:val="26"/>
          </w:tcPr>
          <w:p>
            <w:pPr>
              <w:spacing w:after="0" w:line="190"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Management’s Report on Internal Control Over Financial Reporting</w:t>
              </w:r>
            </w:hyperlink>
          </w:p>
        </w:tc>
        <w:tc>
          <w:tcPr>
            <w:tcW w:w="4400" w:type="dxa"/>
            <w:vAlign w:val="bottom"/>
            <w:gridSpan w:val="5"/>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9320" w:type="dxa"/>
            <w:vAlign w:val="bottom"/>
            <w:gridSpan w:val="3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Consolidated Balance Sheets as of December 31, 2013 and 2012</w:t>
              </w:r>
            </w:hyperlink>
          </w:p>
        </w:tc>
        <w:tc>
          <w:tcPr>
            <w:tcW w:w="466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Consolidated Statements of Operations for the years ended December 31, 2013, 2012 and 2011</w:t>
              </w:r>
            </w:hyperlink>
          </w:p>
        </w:tc>
        <w:tc>
          <w:tcPr>
            <w:tcW w:w="246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Consolidated Statements of Comprehensive Income for the years ended December 31, 2013, 2012 and 2011</w:t>
              </w:r>
            </w:hyperlink>
          </w:p>
        </w:tc>
        <w:tc>
          <w:tcPr>
            <w:tcW w:w="15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w w:val="98"/>
              </w:rPr>
            </w:pPr>
            <w:hyperlink w:anchor="page103">
              <w:r>
                <w:rPr>
                  <w:rFonts w:ascii="Arial" w:cs="Arial" w:eastAsia="Arial" w:hAnsi="Arial"/>
                  <w:sz w:val="18"/>
                  <w:szCs w:val="18"/>
                  <w:color w:val="0000EE"/>
                  <w:w w:val="98"/>
                </w:rPr>
                <w:t>Consolidated Statements of Changes in Accumulated Other Comprehensive Income for the years ended December 31, 2013, 2012 and 2011</w:t>
              </w:r>
            </w:hyperlink>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93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Statements of Cash Flows for the years ended December 31, 2013, 2012 and 2011</w:t>
              </w:r>
            </w:hyperlink>
          </w:p>
        </w:tc>
        <w:tc>
          <w:tcPr>
            <w:tcW w:w="7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gridSpan w:val="3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Changes in Partners’ Capital for the years ended December 31, 2013, 2012 and 2011</w:t>
              </w:r>
            </w:hyperlink>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Notes to the Consolidated Financial Statements:</w:t>
              </w:r>
            </w:hyperlink>
          </w:p>
        </w:tc>
        <w:tc>
          <w:tcPr>
            <w:tcW w:w="440" w:type="dxa"/>
            <w:vAlign w:val="bottom"/>
            <w:tcBorders>
              <w:top w:val="single" w:sz="8" w:color="0000EE"/>
            </w:tcBorders>
            <w:gridSpan w:val="4"/>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0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1. Organization and Basis of Presentation</w:t>
              </w:r>
            </w:hyperlink>
          </w:p>
        </w:tc>
        <w:tc>
          <w:tcPr>
            <w:tcW w:w="56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2. Summary of Significant Accounting Policies</w:t>
              </w:r>
            </w:hyperlink>
          </w:p>
        </w:tc>
        <w:tc>
          <w:tcPr>
            <w:tcW w:w="1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3. Acquisitions and Dispositions</w:t>
              </w:r>
            </w:hyperlink>
          </w:p>
        </w:tc>
        <w:tc>
          <w:tcPr>
            <w:tcW w:w="1220" w:type="dxa"/>
            <w:vAlign w:val="bottom"/>
            <w:gridSpan w:val="11"/>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gridSpan w:val="2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4. Net Income Per Limited Partner Unit</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3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5. Inventory, Linefill and Base Gas and Long-term Inventory</w:t>
              </w:r>
            </w:hyperlink>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6. Property and Equipment</w:t>
              </w:r>
            </w:hyperlink>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7. Goodwill</w:t>
              </w:r>
            </w:hyperlink>
          </w:p>
        </w:tc>
        <w:tc>
          <w:tcPr>
            <w:tcW w:w="1620" w:type="dxa"/>
            <w:vAlign w:val="bottom"/>
            <w:gridSpan w:val="13"/>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8. Other Assets, Net</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9. Debt</w:t>
              </w:r>
            </w:hyperlink>
          </w:p>
        </w:tc>
        <w:tc>
          <w:tcPr>
            <w:tcW w:w="920" w:type="dxa"/>
            <w:vAlign w:val="bottom"/>
            <w:tcBorders>
              <w:top w:val="single" w:sz="8" w:color="0000EE"/>
            </w:tcBorders>
            <w:gridSpan w:val="4"/>
          </w:tcPr>
          <w:p>
            <w:pPr>
              <w:spacing w:after="0"/>
              <w:rPr>
                <w:sz w:val="17"/>
                <w:szCs w:val="17"/>
                <w:color w:val="auto"/>
              </w:rPr>
            </w:pPr>
          </w:p>
        </w:tc>
        <w:tc>
          <w:tcPr>
            <w:tcW w:w="2100" w:type="dxa"/>
            <w:vAlign w:val="bottom"/>
            <w:gridSpan w:val="15"/>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gridSpan w:val="2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10. Partners’ Capital and Distributions</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F-27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11. Derivatives and Risk Management Activities</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gridSpan w:val="20"/>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 Income Taxes</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30"/>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13. Major Customers and Concentration of Credit Risk</w:t>
              </w:r>
            </w:hyperlink>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F-39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14. Related Party Transactions</w:t>
              </w:r>
            </w:hyperlink>
          </w:p>
        </w:tc>
        <w:tc>
          <w:tcPr>
            <w:tcW w:w="1340" w:type="dxa"/>
            <w:vAlign w:val="bottom"/>
            <w:tcBorders>
              <w:top w:val="single" w:sz="8" w:color="0000EE"/>
            </w:tcBorders>
            <w:gridSpan w:val="12"/>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F-39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20" w:type="dxa"/>
            <w:vAlign w:val="bottom"/>
            <w:tcBorders>
              <w:bottom w:val="single" w:sz="8" w:color="0000EE"/>
            </w:tcBorders>
            <w:gridSpan w:val="13"/>
          </w:tcPr>
          <w:p>
            <w:pPr>
              <w:jc w:val="cente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15. Equity-Indexed Compensation Plans</w:t>
              </w:r>
            </w:hyperlink>
          </w:p>
        </w:tc>
        <w:tc>
          <w:tcPr>
            <w:tcW w:w="64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16. Commitments and Contingencies</w:t>
              </w:r>
            </w:hyperlink>
          </w:p>
        </w:tc>
        <w:tc>
          <w:tcPr>
            <w:tcW w:w="880" w:type="dxa"/>
            <w:vAlign w:val="bottom"/>
            <w:gridSpan w:val="10"/>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F-45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gridSpan w:val="20"/>
          </w:tcPr>
          <w:p>
            <w:pPr>
              <w:jc w:val="center"/>
              <w:ind w:right="580"/>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17. Quarterly Financial Data (Unaudited)</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F-48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18. Operating Segments</w:t>
              </w:r>
            </w:hyperlink>
          </w:p>
        </w:tc>
        <w:tc>
          <w:tcPr>
            <w:tcW w:w="58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F-48</w:t>
            </w: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5"/>
          </w:tcPr>
          <w:p>
            <w:pPr>
              <w:jc w:val="center"/>
              <w:ind w:right="2820"/>
              <w:spacing w:after="0"/>
              <w:rPr>
                <w:sz w:val="20"/>
                <w:szCs w:val="20"/>
                <w:color w:val="auto"/>
              </w:rPr>
            </w:pPr>
            <w:r>
              <w:rPr>
                <w:rFonts w:ascii="Arial" w:cs="Arial" w:eastAsia="Arial" w:hAnsi="Arial"/>
                <w:sz w:val="18"/>
                <w:szCs w:val="18"/>
                <w:color w:val="auto"/>
                <w:w w:val="96"/>
              </w:rPr>
              <w:t>F-1</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-5380355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-5380355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 w:lineRule="exact"/>
        <w:rPr>
          <w:sz w:val="20"/>
          <w:szCs w:val="20"/>
          <w:color w:val="auto"/>
        </w:rPr>
      </w:pPr>
    </w:p>
    <w:p>
      <w:pPr>
        <w:sectPr>
          <w:pgSz w:w="11900" w:h="16838" w:orient="portrait"/>
          <w:cols w:equalWidth="0" w:num="1">
            <w:col w:w="11460"/>
          </w:cols>
          <w:pgMar w:left="240" w:top="125" w:right="199" w:bottom="0" w:gutter="0" w:footer="0" w:header="0"/>
        </w:sectPr>
      </w:pPr>
    </w:p>
    <w:bookmarkStart w:id="100" w:name="page101"/>
    <w:bookmarkEnd w:id="100"/>
    <w:p>
      <w:pPr>
        <w:spacing w:after="0" w:line="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(1992)”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2013.</w:t>
      </w:r>
    </w:p>
    <w:p>
      <w:pPr>
        <w:spacing w:after="0" w:line="147" w:lineRule="exact"/>
        <w:rPr>
          <w:sz w:val="20"/>
          <w:szCs w:val="20"/>
          <w:color w:val="auto"/>
        </w:rPr>
      </w:pPr>
    </w:p>
    <w:p>
      <w:pPr>
        <w:jc w:val="both"/>
        <w:ind w:right="184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2013 has been audited by PricewaterhouseCoopers LLP, an independent registered public accounting firm, as stated in their report which appears on Page F-3.</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Chief Executive Officer and Director of Plains All</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accumulated other comprehensive income, of changes in partners’ capital, and of cash flows present fairly, in all material respects, the financial position of Plains All American Pipeline, L.P. and subsidiaries (the “Partnership”) at December 31, 2013 and 2012, and the results of their operations and their cash flows for each of the three years in the period ended December 31, 2013 in conformity with accounting principles generally accepted in the United States of America. Also in our opinion, the Partnership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48" w:orient="portrait"/>
          <w:cols w:equalWidth="0" w:num="1">
            <w:col w:w="11420"/>
          </w:cols>
          <w:pgMar w:left="240" w:top="341" w:right="239" w:bottom="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Inventory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12,473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(1,654)</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Linefill and base gas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debt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1,113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$15 and $15, respectively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(359,133,200 and 335,283,874 units outstanding, respectively)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40,692</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36,438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33,065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42,249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1">
            <w:col w:w="11420"/>
          </w:cols>
          <w:pgMar w:left="240" w:top="341" w:right="239" w:bottom="0" w:gutter="0" w:footer="0" w:header="0"/>
        </w:sectPr>
      </w:pPr>
    </w:p>
    <w:bookmarkStart w:id="102" w:name="page103"/>
    <w:bookmarkEnd w:id="10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38,465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34,368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40,521</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1,728</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(net of capitalized interest of $38, $36 and $25, respectively)</w:t>
            </w:r>
          </w:p>
        </w:tc>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340"/>
              <w:spacing w:after="0"/>
              <w:rPr>
                <w:sz w:val="20"/>
                <w:szCs w:val="20"/>
                <w:color w:val="auto"/>
              </w:rPr>
            </w:pPr>
            <w:r>
              <w:rPr>
                <w:rFonts w:ascii="Arial" w:cs="Arial" w:eastAsia="Arial" w:hAnsi="Arial"/>
                <w:sz w:val="18"/>
                <w:szCs w:val="18"/>
                <w:b w:val="1"/>
                <w:bCs w:val="1"/>
                <w:color w:val="auto"/>
              </w:rPr>
              <w:t>LIMITED PARTNERS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GENERAL PARTNER</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BASIC NET INCOME PER LIMITED PARTNER UNIT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DILUTED NET INCOME PER LIMITED PARTNER UNIT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BASIC WEIGHTED AVERAGE UNITS OUTSTANDING</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UNITS OUTSTANDING</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PAA</w:t>
            </w: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94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Instruments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Proportionate share of our unconsolidated entities’ other</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2011 Activity</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70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Reclassification adjustments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cash flow hedges, net of tax</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40" w:right="239" w:bottom="0" w:gutter="0" w:footer="0" w:header="0"/>
        </w:sectPr>
      </w:pPr>
    </w:p>
    <w:bookmarkStart w:id="103" w:name="page104"/>
    <w:bookmarkEnd w:id="10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 Activity</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1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Reclassification adjustments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cash flow hedges, net of tax</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2013 Activity</w:t>
            </w:r>
          </w:p>
        </w:tc>
        <w:tc>
          <w:tcPr>
            <w:tcW w:w="1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110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valuation adjustments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Equity-indexed compensation expense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 of linefill and base gas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w w:val="93"/>
              </w:rPr>
              <w:t>Settlement of terminated interest rate and foreign currency hedging instruments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receivable and other</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 (Note 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received for sales of linefill and base gas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linefill and base gas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received upon formation of equity-method investment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borrowings/(repayments) under PAA senior secured hedged inventory facility</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9)</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6"/>
              </w:rPr>
              <w:t>Net borrowings/(repayments) under PAA senior unsecured revolving credit facility</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(Note 9)</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PNG credit agreement (Note 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borrowings under PAA commercial paper program (Note 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Repayments of senior notes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common units (Note 10)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proceeds from the issuance of PNG common units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10)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Distributions paid to general partner (Note 10)</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net of amounts capitalized</w:t>
            </w:r>
          </w:p>
        </w:tc>
        <w:tc>
          <w:tcPr>
            <w:tcW w:w="10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420"/>
          </w:cols>
          <w:pgMar w:left="240" w:top="140" w:right="239" w:bottom="0" w:gutter="0" w:footer="0" w:header="0"/>
        </w:sectPr>
      </w:pPr>
    </w:p>
    <w:bookmarkStart w:id="104" w:name="page105"/>
    <w:bookmarkEnd w:id="104"/>
    <w:p>
      <w:pPr>
        <w:spacing w:after="0"/>
        <w:tabs>
          <w:tab w:leader="none" w:pos="6460" w:val="left"/>
          <w:tab w:leader="none" w:pos="7660" w:val="left"/>
          <w:tab w:leader="none" w:pos="8140" w:val="left"/>
          <w:tab w:leader="none" w:pos="9300" w:val="left"/>
          <w:tab w:leader="none" w:pos="9760" w:val="left"/>
          <w:tab w:leader="none" w:pos="10940" w:val="left"/>
        </w:tabs>
        <w:rPr>
          <w:sz w:val="20"/>
          <w:szCs w:val="20"/>
          <w:color w:val="auto"/>
        </w:rPr>
      </w:pPr>
      <w:r>
        <w:rPr>
          <w:rFonts w:ascii="Arial" w:cs="Arial" w:eastAsia="Arial" w:hAnsi="Arial"/>
          <w:sz w:val="18"/>
          <w:szCs w:val="18"/>
          <w:color w:val="auto"/>
        </w:rPr>
        <w:t>Income taxes, net of amounts refunded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w:t>
        <w:tab/>
        <w:t>$</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Partners’ Capital</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520" w:type="dxa"/>
            <w:vAlign w:val="bottom"/>
            <w:gridSpan w:val="6"/>
            <w:vMerge w:val="restart"/>
          </w:tcPr>
          <w:p>
            <w:pPr>
              <w:jc w:val="right"/>
              <w:ind w:right="900"/>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2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2"/>
                <w:szCs w:val="12"/>
                <w:color w:val="auto"/>
              </w:rPr>
            </w:pPr>
          </w:p>
        </w:tc>
        <w:tc>
          <w:tcPr>
            <w:tcW w:w="12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Distributions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units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common units under LTIP</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PNG common units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Equity-indexed compensation expense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5,249</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5,450</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common units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units under LTIP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Equity-indexed compensation expense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equivalent right payments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Distributions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common units under LTIP</w:t>
            </w: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Units tendered by employees to satisfy tax</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withholding obligations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PNG common units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Distribution equivalent right payments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PNG Merger (Note 10)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 When used in this Form 10-K, NGL refers to all NGL products including LPG.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18 for further discussion of our operating segments.</w:t>
      </w:r>
    </w:p>
    <w:p>
      <w:pPr>
        <w:sectPr>
          <w:pgSz w:w="11900" w:h="16838" w:orient="portrait"/>
          <w:cols w:equalWidth="0" w:num="1">
            <w:col w:w="11420"/>
          </w:cols>
          <w:pgMar w:left="240" w:top="125" w:right="239" w:bottom="0" w:gutter="0" w:footer="0" w:header="0"/>
        </w:sectPr>
      </w:pPr>
    </w:p>
    <w:bookmarkStart w:id="105" w:name="page106"/>
    <w:bookmarkEnd w:id="105"/>
    <w:p>
      <w:pPr>
        <w:ind w:right="200" w:firstLine="648"/>
        <w:spacing w:after="0" w:line="253" w:lineRule="auto"/>
        <w:rPr>
          <w:sz w:val="20"/>
          <w:szCs w:val="20"/>
          <w:color w:val="auto"/>
        </w:rPr>
      </w:pPr>
      <w:r>
        <w:rPr>
          <w:rFonts w:ascii="Arial" w:cs="Arial" w:eastAsia="Arial" w:hAnsi="Arial"/>
          <w:sz w:val="18"/>
          <w:szCs w:val="18"/>
          <w:color w:val="auto"/>
        </w:rPr>
        <w:t>Our 2% general partner interest is held by PAA GP LLC, a Delaware limited liability company, whose sole member is Plains AAP, L.P. (“AAP”), a Delaware limited partnership. In October 2013, Plains GP Holdings, L.P. (“PAGP”), a Delaware limited partnership that has elected to be treated as a corporation for U.S. federal income tax purposes, completed its initial public offering, and at December 31, 2013, owned a 22.1% limited partner interest in AAP. The remaining limited partner interests in AAP continue to be held by the owners of AAP immediately prior to PAGP’s initial public offering. In addition to its ownership of PAA GP LLC, AAP also owns all of our incentive distribution rights. Plains All American GP LLC (“GP LLC”), a Delaware limited liability company, is AAP’s general partner. GP LLC manages our operations and activities and employs our domestic officers and personnel. Our Canadian officers and personnel are employed by our subsidiary, Plains Midstream Canada ULC. PAGP is the sole member of GP LLC, and PAA GP Holdings LLC is the general partner of PAGP. References to our “general partner,” as the context requires, include any or all of PAA GP LLC, AAP and GP LLC.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AOCI</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Bcf</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Billion cubic feet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Btu</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British thermal unit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CAD</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Canadian dollar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CERCLA</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Comprehensive Environmental Response, Compensation and Liability Act, as amended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CME</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Chicago Mercantile Exchange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DERs</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equivalent rights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Earnings before interest, taxes, depreciation and amortization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FASB</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Accounting Standards Board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FERC</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Federal Energy Regulatory Commission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Generally accepted accounting principles in the 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ICE</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Intercontinental Exchange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IPO</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public offering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LIBOR</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LLS</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Light Louisiana Sweet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LTIP</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Long-term incentive plan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Mcf</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Thousand cubic feet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MLP</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Master limited partnership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MQD</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Minimum quarterly distribution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NGL</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Natural gas liquids including ethane, natural gasoline products, propane and butane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NYMEX</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Mercantile Exchange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NYSE</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New York Stock Exchange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Pacific</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Pacific Energy Partners,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80" w:type="dxa"/>
            <w:vAlign w:val="bottom"/>
          </w:tcPr>
          <w:p>
            <w:pPr>
              <w:ind w:left="3640"/>
              <w:spacing w:after="0"/>
              <w:rPr>
                <w:sz w:val="20"/>
                <w:szCs w:val="20"/>
                <w:color w:val="auto"/>
              </w:rPr>
            </w:pPr>
            <w:r>
              <w:rPr>
                <w:rFonts w:ascii="Arial" w:cs="Arial" w:eastAsia="Arial" w:hAnsi="Arial"/>
                <w:sz w:val="18"/>
                <w:szCs w:val="18"/>
                <w:color w:val="auto"/>
              </w:rPr>
              <w:t>F-9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6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Pipeline loss allowance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PNG</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PAA Natural Gas Storage,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PNGS</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PAA Natural Gas Storage,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Rainbow</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Rainbow Pipe Line Company, Ltd.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RCRA</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Resource Conservation and Recovery Act, as amended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SG Resources</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SG Resources Mississippi,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SLC Pipeline</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SLC Pipeline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SOP</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Shell Oil Products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USD</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 dollar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Velocity</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Velocity South Texas Gathering,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 Pipeline,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WTI</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rPr>
              <w:t>West Texas Intermediate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WTS</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 Texas Sour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-2308225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2013 and 2012, and the consolidated results of our operations, cash flows, changes in partners’ capital, comprehensive income and changes in accumulated other comprehensive income for the years ended December 31, 2013, 2012 and 2011. All significant intercompany transactions have been eliminated in consolidation, and certain reclassifications have been made to information from previous years to conform to the current presentation. These reclassifications do not affect net income attributable to PAA. The accompanying consolidated financial statements include PAA and all of its wholly owned subsidiaries.</w:t>
      </w:r>
    </w:p>
    <w:p>
      <w:pPr>
        <w:spacing w:after="0" w:line="15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Investments in entities over which we have significant influence but not control are accounted for by the equity method.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Completion of PNG Merger</w:t>
      </w:r>
    </w:p>
    <w:p>
      <w:pPr>
        <w:sectPr>
          <w:pgSz w:w="11900" w:h="16838" w:orient="portrait"/>
          <w:cols w:equalWidth="0" w:num="1">
            <w:col w:w="11460"/>
          </w:cols>
          <w:pgMar w:left="240" w:top="125" w:right="199" w:bottom="104" w:gutter="0" w:footer="0" w:header="0"/>
        </w:sectPr>
      </w:pPr>
    </w:p>
    <w:bookmarkStart w:id="106" w:name="page107"/>
    <w:bookmarkEnd w:id="106"/>
    <w:p>
      <w:pPr>
        <w:ind w:right="220" w:firstLine="648"/>
        <w:spacing w:after="0" w:line="257" w:lineRule="auto"/>
        <w:rPr>
          <w:sz w:val="20"/>
          <w:szCs w:val="20"/>
          <w:color w:val="auto"/>
        </w:rPr>
      </w:pPr>
      <w:r>
        <w:rPr>
          <w:rFonts w:ascii="Arial" w:cs="Arial" w:eastAsia="Arial" w:hAnsi="Arial"/>
          <w:sz w:val="18"/>
          <w:szCs w:val="18"/>
          <w:color w:val="auto"/>
        </w:rPr>
        <w:t>On October 21, 2013, we entered into a definitive agreement and plan of merger (the “PNG Merger Agreement”) with PNG that provided for a merger whereby PNG would become our wholly-owned subsidiary through a unit-for-unit exchange. On December 31, 2013, PNG’s common unitholders approved the PNG Merger Agreement, with PNG surviving the transactions as our wholly-owned subsidiary (referred to herein as the “PNG Merger”). See Note 10 for further discussion. Since we historically consolidated PNG for financial reporting purposes, the PNG Merger did not change the basis of consolidation of our historical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Two-for-One Unit Split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 two-for-one split of our common units was completed on October 1, 2012. The effect of the two-for one split has been retroactively applied to all unit and per-unit amounts presented in this Form 10-K. In addition, our partnership agreement was amended to modify certain definitions related to target distribution amounts and minimum distribution amounts to reflect the unit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equity-indexed compensation plan accruals,</w:t>
      </w:r>
    </w:p>
    <w:p>
      <w:pPr>
        <w:spacing w:after="0" w:line="2" w:lineRule="exact"/>
        <w:rPr>
          <w:sz w:val="20"/>
          <w:szCs w:val="20"/>
          <w:color w:val="auto"/>
        </w:rPr>
      </w:pPr>
    </w:p>
    <w:p>
      <w:pPr>
        <w:ind w:right="160" w:firstLine="8"/>
        <w:spacing w:after="0" w:line="261" w:lineRule="auto"/>
        <w:tabs>
          <w:tab w:leader="none" w:pos="3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property and equipment and depreciation expense and (vii) allowance for doubtful accounts. Although we believe these estimates are reasonable,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and NGL are recognized at the time title to the product sold transfers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i w:val="1"/>
          <w:iCs w:val="1"/>
          <w:color w:val="auto"/>
        </w:rPr>
        <w:t xml:space="preserve">Transportation Segment Revenues. </w:t>
      </w:r>
      <w:r>
        <w:rPr>
          <w:rFonts w:ascii="Arial" w:cs="Arial" w:eastAsia="Arial" w:hAnsi="Arial"/>
          <w:sz w:val="16"/>
          <w:szCs w:val="16"/>
          <w:color w:val="auto"/>
        </w:rPr>
        <w:t>Revenues from pipeline tariffs and fees are associated with the transportation of crude oil and NGL at a</w:t>
      </w:r>
      <w:r>
        <w:rPr>
          <w:rFonts w:ascii="Arial" w:cs="Arial" w:eastAsia="Arial" w:hAnsi="Arial"/>
          <w:sz w:val="16"/>
          <w:szCs w:val="16"/>
          <w:i w:val="1"/>
          <w:iCs w:val="1"/>
          <w:color w:val="auto"/>
        </w:rPr>
        <w:t xml:space="preserve"> </w:t>
      </w:r>
      <w:r>
        <w:rPr>
          <w:rFonts w:ascii="Arial" w:cs="Arial" w:eastAsia="Arial" w:hAnsi="Arial"/>
          <w:sz w:val="16"/>
          <w:szCs w:val="16"/>
          <w:color w:val="auto"/>
        </w:rPr>
        <w:t>published tariff, as well as revenues associated with leases and other agreements for committed space on various assets. Tariff revenues are recognized either at the point of delivery or at the point of receipt pursuant to specifications outlined in the regulated and non-regulated tariffs. Revenues associated with lease fees are recognized in the month to which the lease applies. The majority of our pipeline tariff and fee revenues are based on actual volumes and rates.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spacing w:after="0" w:line="167" w:lineRule="exact"/>
        <w:rPr>
          <w:sz w:val="20"/>
          <w:szCs w:val="20"/>
          <w:color w:val="auto"/>
        </w:rPr>
      </w:pPr>
    </w:p>
    <w:p>
      <w:pPr>
        <w:ind w:firstLine="693"/>
        <w:spacing w:after="0" w:line="284" w:lineRule="auto"/>
        <w:rPr>
          <w:sz w:val="20"/>
          <w:szCs w:val="20"/>
          <w:color w:val="auto"/>
        </w:rPr>
      </w:pPr>
      <w:r>
        <w:rPr>
          <w:rFonts w:ascii="Arial" w:cs="Arial" w:eastAsia="Arial" w:hAnsi="Arial"/>
          <w:sz w:val="16"/>
          <w:szCs w:val="16"/>
          <w:i w:val="1"/>
          <w:iCs w:val="1"/>
          <w:color w:val="auto"/>
        </w:rPr>
        <w:t xml:space="preserve">Facilities Segment Revenues. </w:t>
      </w:r>
      <w:r>
        <w:rPr>
          <w:rFonts w:ascii="Arial" w:cs="Arial" w:eastAsia="Arial" w:hAnsi="Arial"/>
          <w:sz w:val="16"/>
          <w:szCs w:val="16"/>
          <w:color w:val="auto"/>
        </w:rPr>
        <w:t>Our Facilities segment operations generally consist of fee-based activities associated with providing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terminalling and throughput services for crude oil, refined products, NGL and natural gas, NGL fractionation and isomerization services and natural gas and condensate processing services. 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rail terminal loading and unloading fees, (iv) hub service fees associated with natural gas park and loan activities, interruptible storage services and wheeling and balancing services, (v) revenues from the sale of natural gas, (vi) fees from NGL fractionation and isomerization and</w:t>
      </w:r>
    </w:p>
    <w:p>
      <w:pPr>
        <w:spacing w:after="0" w:line="5" w:lineRule="exact"/>
        <w:rPr>
          <w:sz w:val="20"/>
          <w:szCs w:val="20"/>
          <w:color w:val="auto"/>
        </w:rPr>
      </w:pPr>
    </w:p>
    <w:p>
      <w:pPr>
        <w:ind w:right="120" w:firstLine="8"/>
        <w:spacing w:after="0" w:line="287" w:lineRule="auto"/>
        <w:tabs>
          <w:tab w:leader="none" w:pos="3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fees from gas processing services. We generate revenue through a combination of month-to-month and multi-year leases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 Revenues associated with the sale of natural gas are recognized at the time title to the product sold transfers to the purchaser or its designee. In addition, we have certain agreements that require counterparties to throughput a minimum volume over an agreed upon period. Revenue is recognized at the latter of when the volume exits the terminal or when the counterparty’s ability to make up the minimum volume has expired.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Purchases and related costs include (i) the cost of crude oil, NGL, natural gas and refined products obtained in outright purchases, (ii) fees incurred for third-party transportation and storage, whether by pipeline, truck, rail, ship or barge, (iii) interest cost attributable to borrowings for inventory stored in a contango market and (iv) performance-related bonus costs. These costs are recognized when incurred except in the case of products purchased, which are recognized at the time title transfers to us. Purchases that are part of exchanges under buy/sell transactions are netted with the related sales, with any margin presented in “Purchases and related costs” in our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ectPr>
          <w:pgSz w:w="11900" w:h="16838" w:orient="portrait"/>
          <w:cols w:equalWidth="0" w:num="1">
            <w:col w:w="11400"/>
          </w:cols>
          <w:pgMar w:left="240" w:top="125" w:right="259" w:bottom="0" w:gutter="0" w:footer="0" w:header="0"/>
        </w:sectPr>
      </w:pPr>
    </w:p>
    <w:bookmarkStart w:id="107" w:name="page108"/>
    <w:bookmarkEnd w:id="107"/>
    <w:p>
      <w:pPr>
        <w:ind w:right="260" w:firstLine="648"/>
        <w:spacing w:after="0" w:line="276" w:lineRule="auto"/>
        <w:rPr>
          <w:sz w:val="20"/>
          <w:szCs w:val="20"/>
          <w:color w:val="auto"/>
        </w:rPr>
      </w:pPr>
      <w:r>
        <w:rPr>
          <w:rFonts w:ascii="Arial" w:cs="Arial" w:eastAsia="Arial" w:hAnsi="Arial"/>
          <w:sz w:val="17"/>
          <w:szCs w:val="17"/>
          <w:color w:val="auto"/>
        </w:rPr>
        <w:t>Field operating costs consist of various field operating expenses, including fuel and power costs, telecommunications, payroll and benefit costs (including equity-indexed compensation expense) for truck drivers and field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gain of approximately $1 million for the year ended December 31, 2013 and losses of approximately $2 million for each of the years ended December 31, 2012 and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2013 and 2012, accounts payable included approximately $70 million and $72 million, respectively, of outstanding checks that were reclassified from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December 31, 2013 and 2012, we had received approximately $117 million and $173 million, respectively, of advance cash payments from third parties to mitigate credit risk. Furthermore, at December 31, 2013 and 2012, we had received approximately $426 million and $343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9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2013 and 2012, substantially all of our accounts receivable (net of allowance for doubtful accounts) were less than 30 days past their scheduled invoice date. Our allowance for doubtful accounts receivable totaled approximately $5 million and $4 million at December 31, 2013 and 2012, respectively. Although we consider our allowance for doubtful trade accounts receivable to be adequate, actual amounts could vary significantly from estimated amounts.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of Accounting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following entities are accounted for under the equity method of accounting: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20" w:type="dxa"/>
            <w:vAlign w:val="bottom"/>
            <w:vMerge w:val="restart"/>
          </w:tcPr>
          <w:p>
            <w:pPr>
              <w:spacing w:after="0"/>
              <w:rPr>
                <w:sz w:val="14"/>
                <w:szCs w:val="14"/>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220" w:type="dxa"/>
            <w:vAlign w:val="bottom"/>
            <w:vMerge w:val="restart"/>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Our Ownership</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Eagle Ford Pipeline LLC</w:t>
            </w:r>
          </w:p>
        </w:tc>
        <w:tc>
          <w:tcPr>
            <w:tcW w:w="3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Crude Oil Pipeline</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Crude Oil Pipeline</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Crude Oil Pipeline</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Crude Oil Pipeline</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the balance sheet. In addition, as applicable, we include a proportionate share of our equity method investees’ unrealized gains and losses in other comprehensive income on our Consolidated Balance Sheet. We also adjust our investment balances in these investees by the like amount. Distributions we receive reduce the carrying value of our investments and will be reflected in our Consolidated Statements of Cash Flows in operating activities. In turn, contributions will increase the carrying value of our investments and will be reflected in our Consolidated Statements of Cash Flows in investing activities.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year ended December 31, 2013, we contributed approximately $133 million to our equity method investees. Such contributions were primarily to Eagle Ford Pipeline LLC and White Cliffs Pipeline LLC for construction and expansion activities.</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August 2012, we formed Eagle Ford Pipeline LLC with Enterprise Products Partners (“Enterprise”) for the purpose of developing a crude oil pipeline system in the Eagle Ford Area of South Texas. In conjunction with the formation, we and Enterprise contributed fixed assets with estimated book values of approximately $134 million and $15 million, respectively. In addition, Enterprise contributed cash of $59 million, which we received from Eagle Ford Pipeline LLC. Subsequent to the formation and through December 31, 2012, we and Enterprise contributed $75 million each to fund continued development of the pipeline system.</w:t>
      </w:r>
    </w:p>
    <w:p>
      <w:pPr>
        <w:spacing w:after="0" w:line="18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received distributions of approximately $55 million, $40 million and $23 million from our equity method investees during the years ended December 31,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10 for additional discussion regarding our noncontrolling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$34 million and $31 million, respectively, at December 31, 2013 and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Notes 9 and 11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See the respective footnotes for our accounting policies regarding (i) net income per limited partner unit, (ii) inventory, linefill and base gas and long-term inventory, (iii) property and equipment, (iv) other assets, (v) goodwill, (vi) derivatives and risk management activities, (vii) income taxes, (viii) equity-indexed compensation and (ix) environmental matters.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becomes effective beginning after December 15, 2013. We adopted this guidance on January 1, 2014. Our adoption is not expected to have a material impact on our financial position, results of operations or cash flows.</w:t>
      </w:r>
    </w:p>
    <w:p>
      <w:pPr>
        <w:spacing w:after="0" w:line="18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For the years ended December 31, 2013, 2012 and 2011, all reclassifications out of AOCI were related to derivative instruments. Other than requiring additional disclosure, which is included in Note 11, our adoption did not have an impact on our financial position, results of operations or cash flows.</w:t>
      </w:r>
    </w:p>
    <w:p>
      <w:pPr>
        <w:sectPr>
          <w:pgSz w:w="11900" w:h="16838" w:orient="portrait"/>
          <w:cols w:equalWidth="0" w:num="1">
            <w:col w:w="11420"/>
          </w:cols>
          <w:pgMar w:left="240" w:top="368" w:right="239" w:bottom="0" w:gutter="0" w:footer="0" w:header="0"/>
        </w:sectPr>
      </w:pPr>
    </w:p>
    <w:bookmarkStart w:id="109" w:name="page110"/>
    <w:bookmarkEnd w:id="109"/>
    <w:p>
      <w:pPr>
        <w:spacing w:after="0" w:line="15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is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w:t>
      </w:r>
    </w:p>
    <w:p>
      <w:pPr>
        <w:spacing w:after="0" w:line="17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December 2011, the FASB issued guidance requiring disclosures of both gross and net information about recognized financial instruments and derivative instruments that are either (i) offset in accordance with the specified sections of GAAP or (ii) subject to an enforceable master netting arrangement or similar agreement. In January 2013, the FASB amended and clarified the scope of these disclosures to include only (i) derivative instruments,</w:t>
      </w:r>
    </w:p>
    <w:p>
      <w:pPr>
        <w:ind w:right="100" w:firstLine="8"/>
        <w:spacing w:after="0" w:line="302" w:lineRule="auto"/>
        <w:tabs>
          <w:tab w:leader="none" w:pos="26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repurchase agreements and reverse repurchase agreements and (iii) securities lending transactions. This guidance is effective for annual reporting periods beginning on or after January 1, 2013, and interim periods within those annual periods. We adopted this guidance on January 1, 2013. Other than requiring additional disclosure, which is included in Note 11, our adoption did not have an impact on our financial position, results of operations or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 and Dispositions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During the year ended December 31, 2013, we completed an acquisition for aggregate consideration of approximately $19 million. The assets acquired included a trucking business included in our Transportation segment. We recognized goodwill of approximately $6 million related to this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 NGL Acquisition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April 1, 2012, we acquired all of the outstanding shares of BP Canada Energy Company (“BPCEC”), a wholly owned subsidiary of BP Corporation North America Inc. (“BP North America”) from Amoco Canada International Holdings B.V. (the “Seller”). Total consideration for this acquisition (referred to herein as the “BP NGL Acquisition”), which was based on an October 1, 2011 effective date, was approximately $1.68 billion in cash, including $17 million of imputed interest, subject to working capital and other adjustments.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determination of the fair value of the assets and liabilities acquired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4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8"/>
                <w:szCs w:val="18"/>
                <w:color w:val="auto"/>
              </w:rPr>
              <w:t>5 - 70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(contract)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Environmental liability</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spacing w:after="0" w:line="16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Intangible assets above consisted of a contract with a 13 year life. Amortization of this contract under the declining balance method was approximately $31 million and $41 million during the years ended December 31, 2013 and 2012, respectively, and the future amortization through 2017 is estimated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jc w:val="right"/>
              <w:ind w:right="4710"/>
              <w:spacing w:after="0"/>
              <w:rPr>
                <w:sz w:val="20"/>
                <w:szCs w:val="20"/>
                <w:color w:val="auto"/>
              </w:rPr>
            </w:pPr>
            <w:r>
              <w:rPr>
                <w:rFonts w:ascii="Arial" w:cs="Arial" w:eastAsia="Arial" w:hAnsi="Arial"/>
                <w:sz w:val="18"/>
                <w:szCs w:val="18"/>
                <w:color w:val="auto"/>
                <w:w w:val="84"/>
              </w:rPr>
              <w:t>2014</w:t>
            </w:r>
          </w:p>
        </w:tc>
        <w:tc>
          <w:tcPr>
            <w:tcW w:w="5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160" w:type="dxa"/>
            <w:vAlign w:val="bottom"/>
          </w:tcPr>
          <w:p>
            <w:pPr>
              <w:jc w:val="right"/>
              <w:ind w:right="4710"/>
              <w:spacing w:after="0"/>
              <w:rPr>
                <w:sz w:val="20"/>
                <w:szCs w:val="20"/>
                <w:color w:val="auto"/>
              </w:rPr>
            </w:pPr>
            <w:r>
              <w:rPr>
                <w:rFonts w:ascii="Arial" w:cs="Arial" w:eastAsia="Arial" w:hAnsi="Arial"/>
                <w:sz w:val="18"/>
                <w:szCs w:val="18"/>
                <w:color w:val="auto"/>
                <w:w w:val="84"/>
              </w:rPr>
              <w:t>2015</w:t>
            </w:r>
          </w:p>
        </w:tc>
        <w:tc>
          <w:tcPr>
            <w:tcW w:w="54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5160" w:type="dxa"/>
            <w:vAlign w:val="bottom"/>
            <w:shd w:val="clear" w:color="auto" w:fill="CCEEFF"/>
          </w:tcPr>
          <w:p>
            <w:pPr>
              <w:jc w:val="right"/>
              <w:ind w:right="4710"/>
              <w:spacing w:after="0"/>
              <w:rPr>
                <w:sz w:val="20"/>
                <w:szCs w:val="20"/>
                <w:color w:val="auto"/>
              </w:rPr>
            </w:pPr>
            <w:r>
              <w:rPr>
                <w:rFonts w:ascii="Arial" w:cs="Arial" w:eastAsia="Arial" w:hAnsi="Arial"/>
                <w:sz w:val="18"/>
                <w:szCs w:val="18"/>
                <w:color w:val="auto"/>
                <w:w w:val="84"/>
              </w:rPr>
              <w:t>2016</w:t>
            </w:r>
          </w:p>
        </w:tc>
        <w:tc>
          <w:tcPr>
            <w:tcW w:w="5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0"/>
        </w:trPr>
        <w:tc>
          <w:tcPr>
            <w:tcW w:w="5160" w:type="dxa"/>
            <w:vAlign w:val="bottom"/>
          </w:tcPr>
          <w:p>
            <w:pPr>
              <w:jc w:val="right"/>
              <w:ind w:right="4710"/>
              <w:spacing w:after="0"/>
              <w:rPr>
                <w:sz w:val="20"/>
                <w:szCs w:val="20"/>
                <w:color w:val="auto"/>
              </w:rPr>
            </w:pPr>
            <w:r>
              <w:rPr>
                <w:rFonts w:ascii="Arial" w:cs="Arial" w:eastAsia="Arial" w:hAnsi="Arial"/>
                <w:sz w:val="18"/>
                <w:szCs w:val="18"/>
                <w:color w:val="auto"/>
                <w:w w:val="84"/>
              </w:rPr>
              <w:t>2017</w:t>
            </w:r>
          </w:p>
        </w:tc>
        <w:tc>
          <w:tcPr>
            <w:tcW w:w="54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w:t>
            </w: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BP NGL Acquisition was pre-funded through various means, including the issuance of common units and senior notes in March 2012 for net proceeds of approximately $1.69 billion. During the year ended December 31, 2012, we incurred approximately $13 million of acquisition-related costs associated with the BP NGL Acquisition. Such costs are reflected as a component of “General and administrative expenses” in our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Rail Terminal Acquisition</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On December 12, 2012, we completed a transaction with U.S. Development Group (referred to herein as the “USD Rail Terminal Acquisition”) for an aggregate consideration of approximately $503 million, paid in cash. Through the USD Rail Terminal Acquisition, we acquired four operating crude oil</w:t>
      </w:r>
    </w:p>
    <w:p>
      <w:pPr>
        <w:sectPr>
          <w:pgSz w:w="11900" w:h="16989" w:orient="portrait"/>
          <w:cols w:equalWidth="0" w:num="1">
            <w:col w:w="11420"/>
          </w:cols>
          <w:pgMar w:left="240" w:top="125" w:right="239" w:bottom="0" w:gutter="0" w:footer="0" w:header="0"/>
        </w:sectPr>
      </w:pPr>
    </w:p>
    <w:bookmarkStart w:id="110" w:name="page111"/>
    <w:bookmarkEnd w:id="110"/>
    <w:p>
      <w:pPr>
        <w:ind w:right="100"/>
        <w:spacing w:after="0" w:line="259" w:lineRule="auto"/>
        <w:rPr>
          <w:sz w:val="20"/>
          <w:szCs w:val="20"/>
          <w:color w:val="auto"/>
        </w:rPr>
      </w:pPr>
      <w:r>
        <w:rPr>
          <w:rFonts w:ascii="Arial" w:cs="Arial" w:eastAsia="Arial" w:hAnsi="Arial"/>
          <w:sz w:val="18"/>
          <w:szCs w:val="18"/>
          <w:color w:val="auto"/>
        </w:rPr>
        <w:t>rail terminals and one terminal under development. The determination of the fair value of the assets and liabilities acquired was approximately $1 million of working capital, $76 million of property and equipment and $426 million of goodwill. The goodwill arising from the USD Rail Terminal Acquisition represents anticipated opportunities to generate future cash flows from the rail facilities by utilizing them to reduce capacity constraints in certain geographic market areas.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2012 Acquisitions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During the year ended December 31, 2012, we completed several additional acquisitions for an aggregate consideration of approximately $150 million. The assets acquired primarily included crude oil and condensate gathering pipelines, a truck unloading terminal and trailers that are utilized in our Transportation segment, and terminal facilities included in our Facilities segment. We recognized goodwill of approximately $10 million related to these acquisitions.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Disclosure of the revenues and earnings from the BP NGL Acquisition, USD Rail Terminal Acquisition and our other 2012 acquisitions in our results for the year ended December 31, 2012 is not practicable as they are not being operated as standalone subsidiaries. Selected unaudited pro forma results of operations for the years ended December 31, 2012 and 2011, assuming our 2012 acquisitions had occurred on January 1, 2011, are presented below (in millions, except per unit amounts):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4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 interest in net income attributable to PAA</w:t>
            </w: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income per limited partner unit: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Pines Acquisition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February 9, 2011, we acquired 100% of the equity interests in SG Resources from SGR Holdings, L.L.C. (the “Southern Pines Acquisition”) for an aggregate purchase price of approximately $765 million in cash (approximately $750 million, net of cash and other working capital acquired). The purchase price included the release of restricted cash of approximately $20 million held in escrow prior to the closing of the acquisition. The primary asset of SG Resources is the Southern Pines Energy Center (“Southern Pines”), a FERC-regulated, salt-cavern natural gas storage facility located in Greene County, Mississippi.</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assets acquired and liabilities assumed was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71"/>
        </w:trPr>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5 - 70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Base gas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working capital (including approximately $13 million of cash acquired)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allocation of fair value to intangible assets above was comprised of a tax abatement valued at approximately $15 million and contracts valued at approximately $77 million. Goodwill or indefinite lived intangible assets will not be subject to depreciation or amortization, but will be subject to periodic impairment testing and, if necessary, will be written down to fair value should circumstances warrant.</w:t>
      </w:r>
    </w:p>
    <w:p>
      <w:pPr>
        <w:spacing w:after="0" w:line="18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Several factors contributed to a purchase price in excess of the fair value of the net tangible and intangible assets acquired. Such factors included the strategic location of the Southern Pines facility, the limited alternative locations and the extended lead times required to develop and construct such facility, along with its operational flexibility, organic expansion capabilities and synergies anticipated to be obtained from combining Southern Pines with our existing asset base. This acquisition is reflected in our Facilities segment.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2011 Acquisitions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Western Acquisition. </w:t>
      </w:r>
      <w:r>
        <w:rPr>
          <w:rFonts w:ascii="Arial" w:cs="Arial" w:eastAsia="Arial" w:hAnsi="Arial"/>
          <w:sz w:val="16"/>
          <w:szCs w:val="16"/>
          <w:color w:val="auto"/>
        </w:rPr>
        <w:t>On December 29, 2011, we completed two transactions with Western Refining for a combined consideration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$220 million in cash. Through the first transaction, we acquired crude oil, refined products and NGL storage and the associated manifold and pumping equipment located at Western’s Yorktown, Virginia refinery site, which we operate as a terminal, as well as certain intangible assets. The second transaction</w:t>
      </w:r>
    </w:p>
    <w:p>
      <w:pPr>
        <w:sectPr>
          <w:pgSz w:w="11900" w:h="16838" w:orient="portrait"/>
          <w:cols w:equalWidth="0" w:num="1">
            <w:col w:w="11420"/>
          </w:cols>
          <w:pgMar w:left="240" w:top="125" w:right="239" w:bottom="0" w:gutter="0" w:footer="0" w:header="0"/>
        </w:sectPr>
      </w:pPr>
    </w:p>
    <w:bookmarkStart w:id="111" w:name="page112"/>
    <w:bookmarkEnd w:id="111"/>
    <w:p>
      <w:pPr>
        <w:ind w:right="360"/>
        <w:spacing w:after="0" w:line="277" w:lineRule="auto"/>
        <w:rPr>
          <w:sz w:val="20"/>
          <w:szCs w:val="20"/>
          <w:color w:val="auto"/>
        </w:rPr>
      </w:pPr>
      <w:r>
        <w:rPr>
          <w:rFonts w:ascii="Arial" w:cs="Arial" w:eastAsia="Arial" w:hAnsi="Arial"/>
          <w:sz w:val="18"/>
          <w:szCs w:val="18"/>
          <w:color w:val="auto"/>
        </w:rPr>
        <w:t>included an 82-mile, 16-inch segment of pipeline that originates in Chaves County, New Mexico and connects into our Basin Pipeline system at Jal, New Mexico. The transaction includes associated tankage, piping and other related assets at the Lynch and Jal Stations.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Gardendale Gathering System Acquisition. </w:t>
      </w:r>
      <w:r>
        <w:rPr>
          <w:rFonts w:ascii="Arial" w:cs="Arial" w:eastAsia="Arial" w:hAnsi="Arial"/>
          <w:sz w:val="18"/>
          <w:szCs w:val="18"/>
          <w:color w:val="auto"/>
        </w:rPr>
        <w:t>On November 29, 2011, we completed the acquisition of 100% of the member interests in Velocity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Velocity Midstream Partners, LLC for an aggregate consideration of approximately $349 million in cash. The assets acquired included approximately 120 miles of crude oil and condensate gathering and transportation pipelines (the “Gardendale Gathering System”) in the Eagle Ford Shale. We recognized goodwill of approximately $155 million associated with this acquisition, which was primarily related to the potential incremental income from anticipated growth projects.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 xml:space="preserve">Additional 2011 Acquisitions. </w:t>
      </w:r>
      <w:r>
        <w:rPr>
          <w:rFonts w:ascii="Arial" w:cs="Arial" w:eastAsia="Arial" w:hAnsi="Arial"/>
          <w:sz w:val="17"/>
          <w:szCs w:val="17"/>
          <w:color w:val="auto"/>
        </w:rPr>
        <w:t>During 2011, we completed six additional acquisitions for an aggregate consideration of approximately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acquisitions included propane storage and terminal facilities included in our Facilities segment, a trucking business included in our Transportation segment as well as the right to ship on third-party pipelines, the revenues of which are included in our Supply and Logistics segment.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determination of fair value of assets acquired and liabilities assumed for all other acquisitions completed during 2011, including the Western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Gardendale Gathering System acquisitions, is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Linefill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Other working capital, net of cash acquired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Environmental liability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r>
      <w:tr>
        <w:trPr>
          <w:trHeight w:val="210"/>
        </w:trPr>
        <w:tc>
          <w:tcPr>
            <w:tcW w:w="91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During 2013, 2012 and 2011, we sold various property and equipment for proceeds totaling approximately $200 million, $22 million and</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$12 million, respectively. Gains of less than $1 million and approximately $6 million and a loss of approximately $6 million were recognized in 2013, 2012 and 2011, respectively, related to these sales.</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February 2013, we signed a definitive agreement to sell certain refined products pipeline systems and related assets included in our Transportation segment. At December 31, 2012, these assets were classified as held for sale on our Consolidated Balance Sheet (in “Other current assets”). We closed a portion of the transaction on July 1, 2013 and the balance in November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Limited Partner Unit</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calculate basic and diluted net income per limited partner unit by dividing net income attributable to PAA,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distribution equivalent rights (“DERs”), which entitle the grantee to a cash payment equal to the cash distribution paid on our outstanding common units.</w:t>
      </w:r>
    </w:p>
    <w:p>
      <w:pPr>
        <w:spacing w:after="0" w:line="17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w:t>
      </w:r>
    </w:p>
    <w:p>
      <w:pPr>
        <w:ind w:right="460" w:firstLine="8"/>
        <w:spacing w:after="0" w:line="302" w:lineRule="auto"/>
        <w:tabs>
          <w:tab w:leader="none" w:pos="2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15 for a complete discussion of our LTIP awards including specific discussion regarding DERs.</w:t>
      </w:r>
    </w:p>
    <w:p>
      <w:pPr>
        <w:spacing w:after="0" w:line="15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limited partner unit for the years ended 2013, 2012 and 2011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Net income attributable to PAA</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1,094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General partner’s incentive distribution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General partner 2% ownership </w:t>
            </w:r>
            <w:r>
              <w:rPr>
                <w:rFonts w:ascii="Arial" w:cs="Arial" w:eastAsia="Arial" w:hAnsi="Arial"/>
                <w:sz w:val="23"/>
                <w:szCs w:val="23"/>
                <w:color w:val="auto"/>
                <w:vertAlign w:val="superscript"/>
              </w:rPr>
              <w:t>(1)</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 available to limited partners</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360"/>
              <w:spacing w:after="0" w:line="162" w:lineRule="exact"/>
              <w:rPr>
                <w:sz w:val="20"/>
                <w:szCs w:val="20"/>
                <w:color w:val="auto"/>
              </w:rPr>
            </w:pPr>
            <w:r>
              <w:rPr>
                <w:rFonts w:ascii="Arial" w:cs="Arial" w:eastAsia="Arial" w:hAnsi="Arial"/>
                <w:sz w:val="18"/>
                <w:szCs w:val="18"/>
                <w:color w:val="auto"/>
                <w:w w:val="98"/>
              </w:rPr>
              <w:t>Undistributed earnings allocated and distributions to participating securities</w:t>
            </w:r>
          </w:p>
        </w:tc>
        <w:tc>
          <w:tcPr>
            <w:tcW w:w="900" w:type="dxa"/>
            <w:vAlign w:val="bottom"/>
          </w:tcPr>
          <w:p>
            <w:pPr>
              <w:spacing w:after="0"/>
              <w:rPr>
                <w:sz w:val="14"/>
                <w:szCs w:val="14"/>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260" w:type="dxa"/>
            <w:vAlign w:val="bottom"/>
          </w:tcPr>
          <w:p>
            <w:pPr>
              <w:ind w:left="540"/>
              <w:spacing w:after="0"/>
              <w:rPr>
                <w:sz w:val="20"/>
                <w:szCs w:val="20"/>
                <w:color w:val="auto"/>
              </w:rPr>
            </w:pPr>
            <w:r>
              <w:rPr>
                <w:rFonts w:ascii="Arial" w:cs="Arial" w:eastAsia="Arial" w:hAnsi="Arial"/>
                <w:sz w:val="12"/>
                <w:szCs w:val="12"/>
                <w:color w:val="auto"/>
              </w:rPr>
              <w:t>(1)</w:t>
            </w:r>
          </w:p>
        </w:tc>
        <w:tc>
          <w:tcPr>
            <w:tcW w:w="9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Net income available to limited partners in accordance with application of the</w:t>
            </w: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vMerge w:val="restart"/>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784</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two-class method for MLPs</w:t>
            </w:r>
          </w:p>
        </w:tc>
        <w:tc>
          <w:tcPr>
            <w:tcW w:w="9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997700" cy="10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7700" cy="1016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12" w:name="page113"/>
    <w:bookmarkEnd w:id="1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Net income attributable to PAA</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1,361</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1,094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General partner’s incentive distribution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General partner 2% ownership </w:t>
            </w:r>
            <w:r>
              <w:rPr>
                <w:rFonts w:ascii="Arial" w:cs="Arial" w:eastAsia="Arial" w:hAnsi="Arial"/>
                <w:sz w:val="23"/>
                <w:szCs w:val="23"/>
                <w:color w:val="auto"/>
                <w:vertAlign w:val="superscript"/>
              </w:rPr>
              <w:t>(1)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40" w:type="dxa"/>
            <w:vAlign w:val="bottom"/>
          </w:tcPr>
          <w:p>
            <w:pPr>
              <w:ind w:left="340"/>
              <w:spacing w:after="0" w:line="162" w:lineRule="exact"/>
              <w:rPr>
                <w:sz w:val="20"/>
                <w:szCs w:val="20"/>
                <w:color w:val="auto"/>
              </w:rPr>
            </w:pPr>
            <w:r>
              <w:rPr>
                <w:rFonts w:ascii="Arial" w:cs="Arial" w:eastAsia="Arial" w:hAnsi="Arial"/>
                <w:sz w:val="18"/>
                <w:szCs w:val="18"/>
                <w:color w:val="auto"/>
                <w:w w:val="98"/>
              </w:rPr>
              <w:t>Undistributed earnings allocated and distributions to participating securities</w:t>
            </w:r>
          </w:p>
        </w:tc>
        <w:tc>
          <w:tcPr>
            <w:tcW w:w="54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40" w:type="dxa"/>
            <w:vAlign w:val="bottom"/>
          </w:tcPr>
          <w:p>
            <w:pPr>
              <w:ind w:left="520"/>
              <w:spacing w:after="0"/>
              <w:rPr>
                <w:sz w:val="20"/>
                <w:szCs w:val="20"/>
                <w:color w:val="auto"/>
              </w:rPr>
            </w:pPr>
            <w:r>
              <w:rPr>
                <w:rFonts w:ascii="Arial" w:cs="Arial" w:eastAsia="Arial" w:hAnsi="Arial"/>
                <w:sz w:val="12"/>
                <w:szCs w:val="12"/>
                <w:color w:val="auto"/>
              </w:rPr>
              <w:t>(1)</w:t>
            </w:r>
          </w:p>
        </w:tc>
        <w:tc>
          <w:tcPr>
            <w:tcW w:w="5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Net income available to limited partners in accordance with application of the</w:t>
            </w: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vMerge w:val="continue"/>
            <w:shd w:val="clear" w:color="auto" w:fill="CCEEFF"/>
          </w:tcPr>
          <w:p>
            <w:pPr>
              <w:spacing w:after="0"/>
              <w:rPr>
                <w:sz w:val="15"/>
                <w:szCs w:val="15"/>
                <w:color w:val="auto"/>
              </w:rPr>
            </w:pP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80" w:type="dxa"/>
            <w:vAlign w:val="bottom"/>
            <w:vMerge w:val="restart"/>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785</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two-class method for MLPs</w:t>
            </w:r>
          </w:p>
        </w:tc>
        <w:tc>
          <w:tcPr>
            <w:tcW w:w="5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Effect of dilutive securities: Weighted average LTIP units</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income per limited partner unit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38" w:lineRule="auto"/>
        <w:tabs>
          <w:tab w:leader="none" w:pos="648" w:val="left"/>
        </w:tabs>
        <w:numPr>
          <w:ilvl w:val="0"/>
          <w:numId w:val="111"/>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earnings per limited partner unit as reflected in the table above would be impacted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 impact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6"/>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2"/>
              </w:rPr>
              <w:t>(0.11)</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6"/>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 impact</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(0.20)</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(0.21)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We recorded non-cash charges of approximately $7 million and $128 million for the years ended December 31, 2013 and 2012, respectively related to the writedown of our crude oil and NGL inventory due to declines in prices during the period. As of December 31, 2013 and 2012, a majority of the inventory subject to writedown in each period had been liquidated and the applicable derivative instruments had been settled by the end of each year. The recognition of these adjustments in 2013 and 2012, which are a component of “Purchases and related costs” in our accompanying Consolidated Statement of Operations, was substantially offset by the recognition of gains on derivative instruments being utilized to hedge the future sales of our crude oil and NGL inventory. Substantially all of such gains were recorded to “Supply and Logistics segment revenues” in our Consolidated Statement of Operations. See Note 11 for discussion of our derivative and risk management activities. We did not recognize a material writedown of inventory during 2011.</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Linefill and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that we own and (iii) natural gas required to maintain the minimum operating pressure of natural gas storage facilities we own. During 2013, 2012 and 2011, we recorded gains of approximately $7 million, $19 million and $21 million, respectively, on the sale of linefill and base gas for proceeds of approximately $40 million, $65 million and $56 million, respectively.</w:t>
      </w:r>
    </w:p>
    <w:p>
      <w:pPr>
        <w:spacing w:after="0" w:line="193"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is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2013</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Unit of</w:t>
            </w:r>
          </w:p>
        </w:tc>
        <w:tc>
          <w:tcPr>
            <w:tcW w:w="11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0"/>
                <w:szCs w:val="10"/>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Unit of</w:t>
            </w: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160" w:type="dxa"/>
            <w:vAlign w:val="bottom"/>
            <w:gridSpan w:val="2"/>
            <w:vMerge w:val="continue"/>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Measure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64"/>
        </w:trPr>
        <w:tc>
          <w:tcPr>
            <w:tcW w:w="24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Crude oil</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6,951</w:t>
            </w:r>
          </w:p>
        </w:tc>
        <w:tc>
          <w:tcPr>
            <w:tcW w:w="940" w:type="dxa"/>
            <w:vAlign w:val="bottom"/>
          </w:tcPr>
          <w:p>
            <w:pPr>
              <w:ind w:left="120"/>
              <w:spacing w:after="0"/>
              <w:rPr>
                <w:sz w:val="20"/>
                <w:szCs w:val="20"/>
                <w:color w:val="auto"/>
              </w:rPr>
            </w:pPr>
            <w:r>
              <w:rPr>
                <w:rFonts w:ascii="Arial" w:cs="Arial" w:eastAsia="Arial" w:hAnsi="Arial"/>
                <w:sz w:val="18"/>
                <w:szCs w:val="18"/>
                <w:color w:val="auto"/>
              </w:rPr>
              <w:t>barrels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77.69</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9,492</w:t>
            </w:r>
          </w:p>
        </w:tc>
        <w:tc>
          <w:tcPr>
            <w:tcW w:w="940" w:type="dxa"/>
            <w:vAlign w:val="bottom"/>
          </w:tcPr>
          <w:p>
            <w:pPr>
              <w:ind w:left="120"/>
              <w:spacing w:after="0"/>
              <w:rPr>
                <w:sz w:val="20"/>
                <w:szCs w:val="20"/>
                <w:color w:val="auto"/>
              </w:rPr>
            </w:pPr>
            <w:r>
              <w:rPr>
                <w:rFonts w:ascii="Arial" w:cs="Arial" w:eastAsia="Arial" w:hAnsi="Arial"/>
                <w:sz w:val="18"/>
                <w:szCs w:val="18"/>
                <w:color w:val="auto"/>
              </w:rPr>
              <w:t>barrels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8,061</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43.67</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9,472</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Natural gas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40,505</w:t>
            </w:r>
          </w:p>
        </w:tc>
        <w:tc>
          <w:tcPr>
            <w:tcW w:w="940" w:type="dxa"/>
            <w:vAlign w:val="bottom"/>
          </w:tcPr>
          <w:p>
            <w:pPr>
              <w:ind w:left="120"/>
              <w:spacing w:after="0"/>
              <w:rPr>
                <w:sz w:val="20"/>
                <w:szCs w:val="20"/>
                <w:color w:val="auto"/>
              </w:rPr>
            </w:pPr>
            <w:r>
              <w:rPr>
                <w:rFonts w:ascii="Arial" w:cs="Arial" w:eastAsia="Arial" w:hAnsi="Arial"/>
                <w:sz w:val="18"/>
                <w:szCs w:val="18"/>
                <w:color w:val="auto"/>
              </w:rPr>
              <w:t>Mcf</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3.70</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20,374</w:t>
            </w:r>
          </w:p>
        </w:tc>
        <w:tc>
          <w:tcPr>
            <w:tcW w:w="940" w:type="dxa"/>
            <w:vAlign w:val="bottom"/>
          </w:tcPr>
          <w:p>
            <w:pPr>
              <w:ind w:left="120"/>
              <w:spacing w:after="0"/>
              <w:rPr>
                <w:sz w:val="20"/>
                <w:szCs w:val="20"/>
                <w:color w:val="auto"/>
              </w:rPr>
            </w:pPr>
            <w:r>
              <w:rPr>
                <w:rFonts w:ascii="Arial" w:cs="Arial" w:eastAsia="Arial" w:hAnsi="Arial"/>
                <w:sz w:val="18"/>
                <w:szCs w:val="18"/>
                <w:color w:val="auto"/>
              </w:rPr>
              <w:t>Mcf</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1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10,966</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61.92</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9,919</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NGL</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1,341</w:t>
            </w:r>
          </w:p>
        </w:tc>
        <w:tc>
          <w:tcPr>
            <w:tcW w:w="940" w:type="dxa"/>
            <w:vAlign w:val="bottom"/>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46.23</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1,400</w:t>
            </w:r>
          </w:p>
        </w:tc>
        <w:tc>
          <w:tcPr>
            <w:tcW w:w="940" w:type="dxa"/>
            <w:vAlign w:val="bottom"/>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16,615</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3.43</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15,755</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2,498</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80.86</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NGL</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940" w:type="dxa"/>
            <w:vAlign w:val="bottom"/>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42.20</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3,238</w:t>
            </w:r>
          </w:p>
        </w:tc>
        <w:tc>
          <w:tcPr>
            <w:tcW w:w="940" w:type="dxa"/>
            <w:vAlign w:val="bottom"/>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1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2,114</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80" w:hanging="652"/>
        <w:spacing w:after="0" w:line="227" w:lineRule="auto"/>
        <w:tabs>
          <w:tab w:leader="none" w:pos="648" w:val="left"/>
        </w:tabs>
        <w:numPr>
          <w:ilvl w:val="0"/>
          <w:numId w:val="112"/>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29"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In accordance with our capitalization policy, expenditures made to expand the existing operating and/or earnings capacity of our assets, including related interest costs, are capitalized. For the years ended December 31, 2013, 2012 and 2011, capitalized interest was $38 million, $36 million and</w:t>
      </w:r>
    </w:p>
    <w:p>
      <w:pPr>
        <w:jc w:val="both"/>
        <w:ind w:right="80"/>
        <w:spacing w:after="0" w:line="255" w:lineRule="auto"/>
        <w:rPr>
          <w:sz w:val="20"/>
          <w:szCs w:val="20"/>
          <w:color w:val="auto"/>
        </w:rPr>
      </w:pPr>
      <w:r>
        <w:rPr>
          <w:rFonts w:ascii="Arial" w:cs="Arial" w:eastAsia="Arial" w:hAnsi="Arial"/>
          <w:sz w:val="18"/>
          <w:szCs w:val="18"/>
          <w:color w:val="auto"/>
        </w:rPr>
        <w:t>$25 million, respectively.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Estimated Useful</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6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Lives (Years)</w:t>
            </w:r>
          </w:p>
        </w:tc>
        <w:tc>
          <w:tcPr>
            <w:tcW w:w="30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Pipelines and related facilities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10 - 70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Storage, terminal and rail facilities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30 - 70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4,704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4,354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Office property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Land and other</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(1,654)</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r>
      <w:tr>
        <w:trPr>
          <w:trHeight w:val="210"/>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Depreciation expense for the years ended December 31, 2013, 2012 and 2011 was approximately $259 million, $222 million and $196 million, respectively. We also classify gains and losses on sales of assets and asset impairments as a component of “Depreciation and amortization” in our Consolidated Statements of Operations. See Note 3 for additional information regarding dispositions. See “Impairment of Long-Lived Assets” below for a discussion of our policy for the recognition of asset impairments.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calculate our depreciation using the straight-line method, based on estimated useful lives and salvage values of our assets. During 2011, we extended the depreciable lives of several of our crude oil and other storage facilities and pipeline systems based on a review to assess the useful lives of our property and equipment and to adjust those lives, if appropriate, to reflect current expectations given actual experience and current technology. For the year ended December 31, 2012, these extensions reduced depreciation expense by $13 million as compared to the year ended December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ectPr>
          <w:pgSz w:w="11900" w:h="16838" w:orient="portrait"/>
          <w:cols w:equalWidth="0" w:num="1">
            <w:col w:w="11420"/>
          </w:cols>
          <w:pgMar w:left="240" w:top="140" w:right="239" w:bottom="0" w:gutter="0" w:footer="0" w:header="0"/>
        </w:sectPr>
      </w:pPr>
    </w:p>
    <w:bookmarkStart w:id="114" w:name="page115"/>
    <w:bookmarkEnd w:id="114"/>
    <w:p>
      <w:pPr>
        <w:spacing w:after="0" w:line="62" w:lineRule="exact"/>
        <w:rPr>
          <w:sz w:val="20"/>
          <w:szCs w:val="20"/>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years ended December 31, 2013 and 2011, we recognized impairments of approximately $20 million and $5 million, respectively, related predominantly to assets taken out of service.</w:t>
      </w:r>
    </w:p>
    <w:p>
      <w:pPr>
        <w:spacing w:after="0" w:line="17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During the year ended December 31, 2012, we recognized losses on impairments of long-lived assets of approximately $168 million, primarily related to our Pier 400 terminal project, which is reflected in “Depreciation and amortization” on our Consolidated Statement of Operations. This project, which we acquired in late 2006 by virtue of our merger with Pacific, was to develop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spacing w:after="0" w:line="19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Also in 2012, we recognized a loss on impairment as a result of our decision to sell certain refined products pipeline systems and related assets included in the Transportation segment. At December 31, 2012, these assets were classified as held for sale on our Consolidated Balance Sheet (in “Other current assets”). In accordance with GAAP, we wrote their book value down to their expected sales price. In February 2013, we signed a definitive agreement to sell these systems and related assets. A portion of the transaction closed in July 2013 and we closed the balance of the transaction in November 2013.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accordance with FASB guidance, we test goodwill at least annually (as of June 30) and on an interim basis if a triggering event occurs, such as an adverse change in business climate, to determine whether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2013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spacing w:after="0" w:line="17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goodwill by segment and changes during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Transportation</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4"/>
                <w:szCs w:val="1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Supply and Logistics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26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 Goodwill Related Activity:</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BP NGL Acquisition</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USD Rail Terminal Acquisition</w:t>
            </w:r>
          </w:p>
        </w:tc>
        <w:tc>
          <w:tcPr>
            <w:tcW w:w="1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w w:val="99"/>
              </w:rPr>
              <w:t>Purchase price accounting adjustments and other</w:t>
            </w:r>
          </w:p>
        </w:tc>
        <w:tc>
          <w:tcPr>
            <w:tcW w:w="12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6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 Goodwill Related Activity:</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w:t>
            </w:r>
          </w:p>
        </w:tc>
        <w:tc>
          <w:tcPr>
            <w:tcW w:w="12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62"/>
        </w:trPr>
        <w:tc>
          <w:tcPr>
            <w:tcW w:w="4300" w:type="dxa"/>
            <w:vAlign w:val="bottom"/>
          </w:tcPr>
          <w:p>
            <w:pPr>
              <w:ind w:left="360"/>
              <w:spacing w:after="0" w:line="162" w:lineRule="exact"/>
              <w:rPr>
                <w:sz w:val="20"/>
                <w:szCs w:val="20"/>
                <w:color w:val="auto"/>
              </w:rPr>
            </w:pPr>
            <w:r>
              <w:rPr>
                <w:rFonts w:ascii="Arial" w:cs="Arial" w:eastAsia="Arial" w:hAnsi="Arial"/>
                <w:sz w:val="18"/>
                <w:szCs w:val="18"/>
                <w:color w:val="auto"/>
                <w:w w:val="99"/>
              </w:rPr>
              <w:t>Purchase price accounting adjustments and other</w:t>
            </w:r>
          </w:p>
        </w:tc>
        <w:tc>
          <w:tcPr>
            <w:tcW w:w="1260" w:type="dxa"/>
            <w:vAlign w:val="bottom"/>
          </w:tcPr>
          <w:p>
            <w:pPr>
              <w:spacing w:after="0"/>
              <w:rPr>
                <w:sz w:val="14"/>
                <w:szCs w:val="14"/>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4"/>
                <w:szCs w:val="14"/>
                <w:color w:val="auto"/>
              </w:rPr>
            </w:pP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4300" w:type="dxa"/>
            <w:vAlign w:val="bottom"/>
          </w:tcPr>
          <w:p>
            <w:pPr>
              <w:ind w:left="540"/>
              <w:spacing w:after="0"/>
              <w:rPr>
                <w:sz w:val="20"/>
                <w:szCs w:val="20"/>
                <w:color w:val="auto"/>
              </w:rPr>
            </w:pPr>
            <w:r>
              <w:rPr>
                <w:rFonts w:ascii="Arial" w:cs="Arial" w:eastAsia="Arial" w:hAnsi="Arial"/>
                <w:sz w:val="12"/>
                <w:szCs w:val="12"/>
                <w:color w:val="auto"/>
              </w:rPr>
              <w:t>(1)</w:t>
            </w:r>
          </w:p>
        </w:tc>
        <w:tc>
          <w:tcPr>
            <w:tcW w:w="12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3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4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1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5" w:name="page116"/>
    <w:bookmarkEnd w:id="115"/>
    <w:p>
      <w:pPr>
        <w:spacing w:after="0" w:line="62" w:lineRule="exact"/>
        <w:rPr>
          <w:sz w:val="20"/>
          <w:szCs w:val="20"/>
          <w:color w:val="auto"/>
        </w:rPr>
      </w:pPr>
    </w:p>
    <w:p>
      <w:pPr>
        <w:spacing w:after="0"/>
        <w:tabs>
          <w:tab w:leader="none" w:pos="4280" w:val="left"/>
          <w:tab w:leader="none" w:pos="5560" w:val="left"/>
          <w:tab w:leader="none" w:pos="6140" w:val="left"/>
          <w:tab w:leader="none" w:pos="7260" w:val="left"/>
          <w:tab w:leader="none" w:pos="7960" w:val="left"/>
          <w:tab w:leader="none" w:pos="9220" w:val="left"/>
          <w:tab w:leader="none" w:pos="9760" w:val="left"/>
          <w:tab w:leader="none" w:pos="10880" w:val="left"/>
        </w:tabs>
        <w:rPr>
          <w:sz w:val="20"/>
          <w:szCs w:val="20"/>
          <w:color w:val="auto"/>
        </w:rPr>
      </w:pPr>
      <w:r>
        <w:rPr>
          <w:rFonts w:ascii="Arial" w:cs="Arial" w:eastAsia="Arial" w:hAnsi="Arial"/>
          <w:sz w:val="18"/>
          <w:szCs w:val="18"/>
          <w:color w:val="auto"/>
        </w:rPr>
        <w:t>Balance at December 31, 2013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1,162</w:t>
        <w:tab/>
        <w:t>$</w:t>
      </w:r>
      <w:r>
        <w:rPr>
          <w:sz w:val="20"/>
          <w:szCs w:val="20"/>
          <w:color w:val="auto"/>
        </w:rPr>
        <w:tab/>
      </w:r>
      <w:r>
        <w:rPr>
          <w:rFonts w:ascii="Arial" w:cs="Arial" w:eastAsia="Arial" w:hAnsi="Arial"/>
          <w:sz w:val="18"/>
          <w:szCs w:val="18"/>
          <w:color w:val="auto"/>
        </w:rPr>
        <w:t>463</w:t>
        <w:tab/>
        <w:t>$</w:t>
      </w:r>
      <w:r>
        <w:rPr>
          <w:sz w:val="20"/>
          <w:szCs w:val="20"/>
          <w:color w:val="auto"/>
        </w:rPr>
        <w:tab/>
      </w:r>
      <w:r>
        <w:rPr>
          <w:rFonts w:ascii="Arial" w:cs="Arial" w:eastAsia="Arial" w:hAnsi="Arial"/>
          <w:sz w:val="16"/>
          <w:szCs w:val="16"/>
          <w:color w:val="auto"/>
        </w:rPr>
        <w:t>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18268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right="420" w:hanging="652"/>
        <w:spacing w:after="0" w:line="227" w:lineRule="auto"/>
        <w:tabs>
          <w:tab w:leader="none" w:pos="648"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 See Note 3 for additional discussion of our acquisitions.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net of accumulated amortization, consist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Debt issue costs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Fair value of derivative instruments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0"/>
        </w:trPr>
        <w:tc>
          <w:tcPr>
            <w:tcW w:w="7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10"/>
        </w:trPr>
        <w:tc>
          <w:tcPr>
            <w:tcW w:w="79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$9 million and $20 million in 2013 and 2012, respectively. Approximately $8 million and $5 million of gross debt issue costs, primarily related to the restructuring of credit facilities, were removed from our Consolidated Balance Sheet during 2013 and 2012, respectively.</w:t>
      </w:r>
    </w:p>
    <w:p>
      <w:pPr>
        <w:spacing w:after="0" w:line="19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Amortization expense related to other assets (including finite-lived intangible assets) for the three years ended December 31, 2013, 2012 and 2011 was approximately $96 million, $99 million and $44 million, respectively. Our amortization expense for finite-lived intangible assets for the years ended December 31, 2013, 2012 and 2011 was approximately $85 million, $90 million and $36 million, respectively.</w:t>
      </w:r>
    </w:p>
    <w:p>
      <w:pPr>
        <w:spacing w:after="0" w:line="181"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Our intangible assets that have finite lives consist of the following as of the dates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Estimated Useful</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December 31, 2013</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December 31, 2012</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0"/>
                <w:szCs w:val="1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Lives (Years)</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Customer contracts and</w:t>
            </w:r>
          </w:p>
        </w:tc>
        <w:tc>
          <w:tcPr>
            <w:tcW w:w="1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1 - 20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Property tax abatement</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7 - 13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25 - 70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740" w:type="dxa"/>
            <w:vAlign w:val="bottom"/>
          </w:tcPr>
          <w:p>
            <w:pPr>
              <w:spacing w:after="0" w:line="216"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3"/>
                <w:szCs w:val="23"/>
                <w:color w:val="auto"/>
                <w:vertAlign w:val="superscript"/>
              </w:rPr>
              <w:t>(1)</w:t>
            </w: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Emission reduction credits, once surrendered in exchange for environmental permits, are finite-lived.</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We estimate that our amortization expense related to finite-lived intangible assets for the next five years will be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2015</w:t>
            </w:r>
          </w:p>
        </w:tc>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2017</w:t>
            </w:r>
          </w:p>
        </w:tc>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432"/>
        </w:trPr>
        <w:tc>
          <w:tcPr>
            <w:tcW w:w="1280" w:type="dxa"/>
            <w:vAlign w:val="bottom"/>
          </w:tcPr>
          <w:p>
            <w:pPr>
              <w:spacing w:after="0"/>
              <w:rPr>
                <w:sz w:val="24"/>
                <w:szCs w:val="24"/>
                <w:color w:val="auto"/>
              </w:rPr>
            </w:pPr>
          </w:p>
        </w:tc>
        <w:tc>
          <w:tcPr>
            <w:tcW w:w="6620" w:type="dxa"/>
            <w:vAlign w:val="bottom"/>
          </w:tcPr>
          <w:p>
            <w:pPr>
              <w:ind w:left="4260"/>
              <w:spacing w:after="0"/>
              <w:rPr>
                <w:sz w:val="20"/>
                <w:szCs w:val="20"/>
                <w:color w:val="auto"/>
              </w:rPr>
            </w:pPr>
            <w:r>
              <w:rPr>
                <w:rFonts w:ascii="Arial" w:cs="Arial" w:eastAsia="Arial" w:hAnsi="Arial"/>
                <w:sz w:val="18"/>
                <w:szCs w:val="18"/>
                <w:color w:val="auto"/>
              </w:rPr>
              <w:t>F-23</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6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79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Note 9—Debt</w:t>
            </w:r>
          </w:p>
        </w:tc>
        <w:tc>
          <w:tcPr>
            <w:tcW w:w="6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160" w:type="dxa"/>
            <w:vAlign w:val="bottom"/>
          </w:tcPr>
          <w:p>
            <w:pPr>
              <w:jc w:val="center"/>
              <w:ind w:left="162"/>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7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9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79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PAA senior secured hedged inventory facility, bearing a weighted-average interest rate of 1.6% at</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790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(2)</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79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PAA senior unsecured revolving credit facility, bearing a weighted-average interest rate of 2.4% at</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7900" w:type="dxa"/>
            <w:vAlign w:val="bottom"/>
            <w:tcBorders>
              <w:bottom w:val="single" w:sz="8" w:color="CCEEFF"/>
            </w:tcBorders>
            <w:gridSpan w:val="2"/>
          </w:tcPr>
          <w:p>
            <w:pPr>
              <w:ind w:left="36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(2)</w:t>
            </w:r>
          </w:p>
        </w:tc>
        <w:tc>
          <w:tcPr>
            <w:tcW w:w="11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-2095500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PNG senior unsecured revolving credit facility, bearing a weighted-average interest rate of 2.1% at</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(3)</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line="216" w:lineRule="exact"/>
              <w:rPr>
                <w:sz w:val="20"/>
                <w:szCs w:val="20"/>
                <w:color w:val="auto"/>
              </w:rPr>
            </w:pPr>
            <w:r>
              <w:rPr>
                <w:rFonts w:ascii="Arial" w:cs="Arial" w:eastAsia="Arial" w:hAnsi="Arial"/>
                <w:sz w:val="18"/>
                <w:szCs w:val="18"/>
                <w:color w:val="auto"/>
                <w:w w:val="92"/>
              </w:rPr>
              <w:t xml:space="preserve">PAA commercial paper notes, bearing a weighted-average interest rate of 0.33% at December 31, 2013 </w:t>
            </w:r>
            <w:r>
              <w:rPr>
                <w:rFonts w:ascii="Arial" w:cs="Arial" w:eastAsia="Arial" w:hAnsi="Arial"/>
                <w:sz w:val="23"/>
                <w:szCs w:val="23"/>
                <w:color w:val="auto"/>
                <w:w w:val="92"/>
                <w:vertAlign w:val="superscript"/>
              </w:rPr>
              <w:t>(2)</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1,109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5.63% senior notes due December 2013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Senior Notes: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3.95% senior notes due September 2015</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5.88% senior notes due August 2016</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6.13% senior notes due January 2017</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 senior notes due May 2018</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8.75% senior notes due May 2019</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5.75% senior notes due January 2020</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5.00% senior notes due February 2021</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3.65% senior notes due June 2022</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2.85% senior notes due January 2023</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3.85% senior notes due October 2023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6.70% senior notes due May 2036</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6.65% senior notes due January 2037</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5.15% senior notes due June 2042</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4.30% senior notes due January 2043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Unamortized discounts</w:t>
            </w: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Senior notes, net of unamortized discounts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Pr>
          <w:p>
            <w:pPr>
              <w:spacing w:after="0" w:line="197" w:lineRule="exact"/>
              <w:rPr>
                <w:sz w:val="20"/>
                <w:szCs w:val="20"/>
                <w:color w:val="auto"/>
              </w:rPr>
            </w:pPr>
            <w:r>
              <w:rPr>
                <w:rFonts w:ascii="Arial" w:cs="Arial" w:eastAsia="Arial" w:hAnsi="Arial"/>
                <w:sz w:val="17"/>
                <w:szCs w:val="17"/>
                <w:color w:val="auto"/>
              </w:rPr>
              <w:t xml:space="preserve">Credit Facilities and Other Long-Term Debt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PNG senior unsecured revolving credit facility, bearing a weighted-average interest rate of 2.1% at</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(3)</w:t>
            </w:r>
          </w:p>
        </w:tc>
        <w:tc>
          <w:tcPr>
            <w:tcW w:w="5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PNG GO Bond term loans, bearing a weighted-average interest rate of 1.5% at December 31, 2012 </w:t>
            </w:r>
            <w:r>
              <w:rPr>
                <w:rFonts w:ascii="Arial" w:cs="Arial" w:eastAsia="Arial" w:hAnsi="Arial"/>
                <w:sz w:val="23"/>
                <w:szCs w:val="23"/>
                <w:color w:val="auto"/>
                <w:w w:val="94"/>
                <w:vertAlign w:val="superscript"/>
              </w:rPr>
              <w:t>(3)</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long-term debt</w:t>
            </w: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520"/>
              <w:spacing w:after="0" w:line="210" w:lineRule="exact"/>
              <w:rPr>
                <w:sz w:val="20"/>
                <w:szCs w:val="20"/>
                <w:color w:val="auto"/>
              </w:rPr>
            </w:pPr>
            <w:r>
              <w:rPr>
                <w:rFonts w:ascii="Arial" w:cs="Arial" w:eastAsia="Arial" w:hAnsi="Arial"/>
                <w:sz w:val="24"/>
                <w:szCs w:val="24"/>
                <w:color w:val="auto"/>
                <w:vertAlign w:val="subscript"/>
              </w:rPr>
              <w:t>Total debt</w:t>
            </w:r>
            <w:r>
              <w:rPr>
                <w:rFonts w:ascii="Arial" w:cs="Arial" w:eastAsia="Arial" w:hAnsi="Arial"/>
                <w:sz w:val="10"/>
                <w:szCs w:val="10"/>
                <w:color w:val="auto"/>
              </w:rPr>
              <w:t xml:space="preserve"> (2) (3) (4)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40"/>
          </w:cols>
          <w:pgMar w:left="240" w:top="134" w:right="319" w:bottom="15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During 2013 and 2012, we renewed, extended or refinanced our principal bank credit facilities. See “Credit Facilities” below for further discussion.</w:t>
      </w:r>
    </w:p>
    <w:p>
      <w:pPr>
        <w:spacing w:after="0" w:line="248" w:lineRule="exact"/>
        <w:rPr>
          <w:sz w:val="20"/>
          <w:szCs w:val="20"/>
          <w:color w:val="auto"/>
        </w:rPr>
      </w:pPr>
    </w:p>
    <w:p>
      <w:pPr>
        <w:ind w:left="20" w:hanging="11"/>
        <w:spacing w:after="0" w:line="264" w:lineRule="auto"/>
        <w:rPr>
          <w:sz w:val="20"/>
          <w:szCs w:val="20"/>
          <w:color w:val="auto"/>
        </w:rPr>
      </w:pPr>
      <w:r>
        <w:rPr>
          <w:rFonts w:ascii="Arial" w:cs="Arial" w:eastAsia="Arial" w:hAnsi="Arial"/>
          <w:sz w:val="18"/>
          <w:szCs w:val="18"/>
          <w:color w:val="auto"/>
        </w:rPr>
        <w:t>We classify as short-term certain borrowings under our commercial paper program, PAA senior unsecured revolving credit facility and PAA senior secured hedged inventory facility. These borrowings are primarily designated as working capital borrowings, must be repaid within one year and are primarily for hedged NGL and crude oil inventory and NYMEX and ICE margin deposits.</w:t>
      </w:r>
    </w:p>
    <w:p>
      <w:pPr>
        <w:spacing w:after="0" w:line="181" w:lineRule="exact"/>
        <w:rPr>
          <w:sz w:val="20"/>
          <w:szCs w:val="20"/>
          <w:color w:val="auto"/>
        </w:rPr>
      </w:pPr>
    </w:p>
    <w:p>
      <w:pPr>
        <w:ind w:left="20" w:right="760" w:hanging="11"/>
        <w:spacing w:after="0" w:line="277" w:lineRule="auto"/>
        <w:rPr>
          <w:sz w:val="20"/>
          <w:szCs w:val="20"/>
          <w:color w:val="auto"/>
        </w:rPr>
      </w:pPr>
      <w:r>
        <w:rPr>
          <w:rFonts w:ascii="Arial" w:cs="Arial" w:eastAsia="Arial" w:hAnsi="Arial"/>
          <w:sz w:val="18"/>
          <w:szCs w:val="18"/>
          <w:color w:val="auto"/>
        </w:rPr>
        <w:t>On December 31, 2013, in connection with the completion of the PNG Merger, all of PNG’s outstanding debt obligations were repaid and terminated. See Note 10 for further discussion of the PNG Merger.</w:t>
      </w:r>
    </w:p>
    <w:p>
      <w:pPr>
        <w:spacing w:after="0" w:line="170"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00"/>
          </w:cols>
          <w:pgMar w:left="240" w:top="134" w:right="319" w:bottom="15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652"/>
        <w:spacing w:after="0" w:line="243" w:lineRule="auto"/>
        <w:tabs>
          <w:tab w:leader="none" w:pos="648"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Our fixed-rate senior notes (including current maturities) had a face value of approximately $6.7 billion and $6.3 billion as of December 31, 2013 and 2012, respectively. We estimated the aggregate fair value of these notes as of December 31, 2013 and 2012 to be approximately $7.2 billion and $7.3 billion, respectively. Our fixed-rate senior notes are traded among institutions, and these trades are routinely published by a reporting service. Our determination of fair value is based on reported trading activity near year end. We estimate that the carrying value of outstanding borrowings under our credit facilities and agreements and commercial paper program approximates fair value as interest rates reflect current market rates. The fair value estimates for both our senior notes and credit facilities are based upon observable market data and are classified within Level 2 of the fair value hierarchy.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August 2013, we established a commercial paper program under which we may issue, from time to time, privately placed, unsecured commercial paper notes for up to a maximum aggregate amount outstanding at any time of $1.5 billion. Such notes are backstopped by the PAA senior unsecured revolving credit facility and the PAA senior secured hedged inventory facility; as such, any borrowings under our commercial paper program reduce the available capacity under these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PAA senior secured hedged inventory facility</w:t>
      </w:r>
      <w:r>
        <w:rPr>
          <w:rFonts w:ascii="Arial" w:cs="Arial" w:eastAsia="Arial" w:hAnsi="Arial"/>
          <w:sz w:val="16"/>
          <w:szCs w:val="16"/>
          <w:color w:val="auto"/>
        </w:rPr>
        <w:t>. In August 2013, we amended our senior secured hedged inventory facility agreement to,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extend the maturity date of the facility by two years to August 2016. The agreement also provides for one or more one-year extensions, subject to applicable approval. The facility has a committed borrowing capacity of $1.4 billion, of which $400 million is available for the issuance of letters of credit. Subject to obtaining additional or increased lender commitments, the committed amount of the facility may be increased to $1.9 billion. Proceeds from the facility are being used to finance purchased or stored hedged inventory. Obligations under the committed facility are secured by the financed inventory and the associated accounts receivable and will be repaid from the proceeds of the sale of the financed inventory. Borrowings accrue interest based, at our election, on either the Eurocurrency Rate or the Base Rate, in each case plus a margin based on our credit rating at the applicable time.</w:t>
      </w:r>
    </w:p>
    <w:p>
      <w:pPr>
        <w:sectPr>
          <w:pgSz w:w="11900" w:h="16838" w:orient="portrait"/>
          <w:cols w:equalWidth="0" w:num="1">
            <w:col w:w="11340"/>
          </w:cols>
          <w:pgMar w:left="240" w:top="134" w:right="319" w:bottom="150" w:gutter="0" w:footer="0" w:header="0"/>
          <w:type w:val="continuous"/>
        </w:sectPr>
      </w:pPr>
    </w:p>
    <w:bookmarkStart w:id="117" w:name="page118"/>
    <w:bookmarkEnd w:id="117"/>
    <w:p>
      <w:pPr>
        <w:ind w:firstLine="648"/>
        <w:spacing w:after="0" w:line="255" w:lineRule="auto"/>
        <w:rPr>
          <w:sz w:val="20"/>
          <w:szCs w:val="20"/>
          <w:color w:val="auto"/>
        </w:rPr>
      </w:pPr>
      <w:r>
        <w:rPr>
          <w:rFonts w:ascii="Arial" w:cs="Arial" w:eastAsia="Arial" w:hAnsi="Arial"/>
          <w:sz w:val="18"/>
          <w:szCs w:val="18"/>
          <w:i w:val="1"/>
          <w:iCs w:val="1"/>
          <w:color w:val="auto"/>
        </w:rPr>
        <w:t xml:space="preserve">PAA senior unsecured revolving credit facility. </w:t>
      </w:r>
      <w:r>
        <w:rPr>
          <w:rFonts w:ascii="Arial" w:cs="Arial" w:eastAsia="Arial" w:hAnsi="Arial"/>
          <w:sz w:val="18"/>
          <w:szCs w:val="18"/>
          <w:color w:val="auto"/>
        </w:rPr>
        <w:t>In August 2013, we amended our senior unsecured revolving credit facility agreement to,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extend the maturity date by two years to August 2018. The agreement also provides for one or more one-year extensions, subject to applicable approval. The facility has a committed borrowing capacity of $1.6 billion which contains an accordion feature that enables us to increase the committed capacity to $2.1 billion, subject to obtaining additional or increased lender commitments. The credit agreement also provides for the issuance of letters of credit. Borrowings accrue interest based, at our election, on the Eurocurrency Rate, the Base Rate or the Canadian Prime Rate, in each case plus a margin based on our credit rating at the applicable time.</w:t>
      </w:r>
    </w:p>
    <w:p>
      <w:pPr>
        <w:spacing w:after="0" w:line="19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 xml:space="preserve">PNG senior unsecured credit agreement. </w:t>
      </w:r>
      <w:r>
        <w:rPr>
          <w:rFonts w:ascii="Arial" w:cs="Arial" w:eastAsia="Arial" w:hAnsi="Arial"/>
          <w:sz w:val="16"/>
          <w:szCs w:val="16"/>
          <w:color w:val="auto"/>
        </w:rPr>
        <w:t>The PNG senior unsecured credit agreement provided for (i) $350 million under a revolving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(ii) two $100 million GO Bond term loans. PNG’s revolving credit facility included the ability to issue letters of credit. Borrowings under the revolving credit facility accrued interest, at PNG’s election, on either the Eurodollar Rate or the Base Rate, in each case plus an applicable margin. The GO Bond term loans accrued interest in accordance with the interest payable on the related GO Bonds purchased with respect thereto as provided in such GO Bonds and the GO Bonds Indenture pursuant to which such GO Bonds are issued and governed. On December 31, 2013, in connection with the completion of the PNG Merger, all outstanding borrowings were repaid under the credit facility and the related revolving credit commitments were terminated. We retained the effectiveness of the GO Bond Indenture, which may be utilized for a future tax-exempt $200 million debt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In August 2011, as permitted under the indentures governing the senior notes, PAA released the guarantees of each subsidiary guarantor. As such, our senior notes are not guaranteed by any of our subsidiaries.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 Issuances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August 2013, we completed the sale and issuance of $700 million, 3.85% senior notes due October 15, 2023. The senior notes were sold at 99.792% of face value. Interest payments are due on April 15 and October 15 each year beginning on April 15, 2014.</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December 2012, we completed the sale and issuance of $400 million, 2.85% senior notes due January 31, 2023 and $350 million, 4.30% senior notes due January 31, 2043. The senior notes were sold at 99.752% and 99.925% of face value, respectively. Interest payments are due on January 31 and July 31 each year, which began on July 31, 2013.</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March 2012, we completed the sale and issuance of $750 million, 3.65% senior notes due June 1, 2022 and $500 million, 5.15% senior notes due June 1, 2042. The senior notes were sold at 99.823% and 99.755% of face value, respectively. Interest payments are due on June 1 and December 1 each year, which began on December 1,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 Repayments and Redemptions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December 13, 2013, we repaid our $250 million 5.63% senior notes. We utilized cash on hand and available capacity under our commercial paper program to repay these notes.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September 4, 2012, we repaid our $500 million, 4.25% senior notes. We utilized cash on hand and available capacity under our credit facilities to repay these notes.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February 7, 2011, our $200 million 7.75% senior notes due 2012 were redeemed in full. In conjunction with the early redemption, we recognized a loss of approximately $23 million, recorded to “Other income/(expense), net” in our Consolidated Statement of Operations. We utilized cash on hand and available capacity under our credit facilities to redeem these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weighted average life of our long-term debt outstanding at December 31, 2013 was approximately 11 years and the aggregate maturities for the next five years and thereafter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Calendar Year</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Payment</w:t>
            </w: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0"/>
        </w:trPr>
        <w:tc>
          <w:tcPr>
            <w:tcW w:w="9960" w:type="dxa"/>
            <w:vAlign w:val="bottom"/>
            <w:tcBorders>
              <w:top w:val="single" w:sz="8" w:color="CCEEFF"/>
              <w:bottom w:val="single" w:sz="8" w:color="CCEEFF"/>
            </w:tcBorders>
            <w:gridSpan w:val="2"/>
            <w:shd w:val="clear" w:color="auto" w:fill="CCEEFF"/>
          </w:tcPr>
          <w:p>
            <w:pPr>
              <w:ind w:left="18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color w:val="auto"/>
        </w:rPr>
        <w:t>Excludes aggregate unamortized net discount of approximately $15 million and other long-term obligations of approximately $5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Our credit agreements (which impact our ability to access our commercial paper program) and the indentures governing the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ectPr>
          <w:pgSz w:w="11900" w:h="16838" w:orient="portrait"/>
          <w:cols w:equalWidth="0" w:num="1">
            <w:col w:w="11420"/>
          </w:cols>
          <w:pgMar w:left="240" w:top="125" w:right="239" w:bottom="0" w:gutter="0" w:footer="0" w:header="0"/>
        </w:sectPr>
      </w:pPr>
    </w:p>
    <w:bookmarkStart w:id="118" w:name="page119"/>
    <w:bookmarkEnd w:id="118"/>
    <w:p>
      <w:pPr>
        <w:ind w:left="1060" w:hanging="287"/>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The PAA senior unsecured revolving credit facility and the PAA senior secured hedged inventory facility treat a change of control as an event of default and also require us to maintain a debt-to-EBITDA coverage ratio that will not be greater than 5.00 to 1.00 (or 5.50 to 1.00 on all outstanding debt during an acquisition period (generally, the period consisting of three fiscal quarters following an acquisition greater than $150 million)).</w:t>
      </w:r>
    </w:p>
    <w:p>
      <w:pPr>
        <w:spacing w:after="0" w:line="14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For covenant compliance purposes, letters of credit and borrowings to fund hedged inventory and margin requirements are excluded when calculating the debt coverage ratio.</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default under our credit facilities would permit the lenders to accelerate the maturity of the outstanding debt. As long as we are in compliance with our credit agreements, our ability to make distributions of available cash is not restricted. As of December 31, 2013, we were in compliance with the covenants contained in our credit agreements and indentures.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our credit agreements and commercial paper program for the years ended December 31, 2013, 2012 and 2011 were approximately $31.0 billion, $12.9 billion and $9.7 billion, respectively. Total repayments under our credit agreements and commercial paper program were approximately $31.0 billion, $12.2 billion and $10.9 billion for the years ended December 31, 2013, 2012 and 2011,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and construction activities. At December 31, 2013 and 2012, we had outstanding letters of credit of approximately $41 million and $24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Partners’ capital at December 31, 2013 consists of 359,133,200 common units outstanding, representing a 98% effective aggregate ownership interest in the Partnership and its subsidiaries after giving effect to the 2% general partner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General Partner Incentive Distributions</w:t>
      </w:r>
      <w:r>
        <w:rPr>
          <w:rFonts w:ascii="Arial" w:cs="Arial" w:eastAsia="Arial" w:hAnsi="Arial"/>
          <w:sz w:val="16"/>
          <w:szCs w:val="16"/>
          <w:color w:val="auto"/>
        </w:rPr>
        <w:t>. Our general partner is entitled to receive (i) distributions representing its 2% general partner interest and</w:t>
      </w:r>
    </w:p>
    <w:p>
      <w:pPr>
        <w:spacing w:after="0" w:line="46" w:lineRule="exact"/>
        <w:rPr>
          <w:sz w:val="20"/>
          <w:szCs w:val="20"/>
          <w:color w:val="auto"/>
        </w:rPr>
      </w:pPr>
    </w:p>
    <w:p>
      <w:pPr>
        <w:ind w:right="200" w:firstLine="8"/>
        <w:spacing w:after="0" w:line="254" w:lineRule="auto"/>
        <w:tabs>
          <w:tab w:leader="none" w:pos="2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incentive distributions if the amount we distribute with respect to any quarter exceeds levels specified in our partnership agreement. Under the quarterly distribution provisions, the general partner is entitled, without duplication, to 2% of amounts we distribute up to $0.2250 per unit, referred to as our MQD, 15% of amounts we distribute in excess of $0.2250 per unit, 25% of the amounts we distribute in excess of $0.2475 per unit and 50% of amounts we distribute in excess of $0.3375 per unit.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 unit cash distributions on our outstanding units and the portion of the distributions representing an excess over the MQD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85"/>
              </w:rPr>
              <w:t>Year</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65"/>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 xml:space="preserve">Distribution </w:t>
            </w:r>
            <w:r>
              <w:rPr>
                <w:rFonts w:ascii="Arial" w:cs="Arial" w:eastAsia="Arial" w:hAnsi="Arial"/>
                <w:sz w:val="8"/>
                <w:szCs w:val="8"/>
                <w:b w:val="1"/>
                <w:bCs w:val="1"/>
                <w:color w:val="auto"/>
                <w:w w:val="95"/>
              </w:rPr>
              <w:t>(1)</w:t>
            </w:r>
          </w:p>
        </w:tc>
        <w:tc>
          <w:tcPr>
            <w:tcW w:w="180" w:type="dxa"/>
            <w:vAlign w:val="bottom"/>
          </w:tcPr>
          <w:p>
            <w:pPr>
              <w:spacing w:after="0"/>
              <w:rPr>
                <w:sz w:val="10"/>
                <w:szCs w:val="10"/>
                <w:color w:val="auto"/>
              </w:rPr>
            </w:pPr>
          </w:p>
        </w:tc>
        <w:tc>
          <w:tcPr>
            <w:tcW w:w="9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89"/>
              </w:rPr>
              <w:t>Excess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98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Excess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3"/>
              </w:rPr>
              <w:t>Excess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over MQD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over MQD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over MQD</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0.5625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0.2538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0.5750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0.5225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0.2975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0.4850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0.2600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0.4913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0.2663</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0.5425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0.3175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0.4975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23"/>
          <w:szCs w:val="23"/>
          <w:color w:val="auto"/>
          <w:vertAlign w:val="superscript"/>
        </w:rPr>
      </w:pPr>
      <w:r>
        <w:rPr>
          <w:rFonts w:ascii="Arial" w:cs="Arial" w:eastAsia="Arial" w:hAnsi="Arial"/>
          <w:sz w:val="18"/>
          <w:szCs w:val="18"/>
          <w:color w:val="auto"/>
        </w:rPr>
        <w:t>Distributions represent those declared and paid in the applicable period shown.</w:t>
      </w:r>
    </w:p>
    <w:p>
      <w:pPr>
        <w:sectPr>
          <w:pgSz w:w="11900" w:h="16838" w:orient="portrait"/>
          <w:cols w:equalWidth="0" w:num="1">
            <w:col w:w="11420"/>
          </w:cols>
          <w:pgMar w:left="240" w:top="125" w:right="239" w:bottom="76" w:gutter="0" w:footer="0" w:header="0"/>
        </w:sectPr>
      </w:pPr>
    </w:p>
    <w:bookmarkStart w:id="119" w:name="page120"/>
    <w:bookmarkEnd w:id="119"/>
    <w:p>
      <w:pPr>
        <w:ind w:right="240" w:firstLine="648"/>
        <w:spacing w:after="0" w:line="297" w:lineRule="auto"/>
        <w:rPr>
          <w:sz w:val="20"/>
          <w:szCs w:val="20"/>
          <w:color w:val="auto"/>
        </w:rPr>
      </w:pPr>
      <w:r>
        <w:rPr>
          <w:rFonts w:ascii="Arial" w:cs="Arial" w:eastAsia="Arial" w:hAnsi="Arial"/>
          <w:sz w:val="16"/>
          <w:szCs w:val="16"/>
          <w:color w:val="auto"/>
        </w:rPr>
        <w:t>Our general partner agreed to reduce the amount of its incentive distribution by $3.75 million per quarter for distributions paid during 2013, $6.75 million for the distribution paid in February 2014, $5.5 million per quarter thereafter through November 2015, $5.0 million per quarter in 2016 and $3.75 million per quarter thereafter. These reductions were agreed to in connection with the BP NGL Acquisition and the completion of the PNG Merger on December 31, 2013. See Note 3 for further discussion of the BP NGL Acquisition. For distributions paid during the years ended December 31, 2013, 2012 and 2011, our general partner’s incentive distributions were reduced by approximately $15 million, $11 million and $7 million,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cash distributions paid during the periods indicated were as follows (in millions, except per unit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Distributions Paid</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Distributions</w:t>
            </w:r>
          </w:p>
        </w:tc>
      </w:tr>
      <w:tr>
        <w:trPr>
          <w:trHeight w:val="142"/>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Common</w:t>
            </w:r>
          </w:p>
        </w:tc>
        <w:tc>
          <w:tcPr>
            <w:tcW w:w="2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374"/>
              <w:spacing w:after="0" w:line="142" w:lineRule="exact"/>
              <w:rPr>
                <w:sz w:val="20"/>
                <w:szCs w:val="20"/>
                <w:color w:val="auto"/>
              </w:rPr>
            </w:pPr>
            <w:r>
              <w:rPr>
                <w:rFonts w:ascii="Arial" w:cs="Arial" w:eastAsia="Arial" w:hAnsi="Arial"/>
                <w:sz w:val="14"/>
                <w:szCs w:val="14"/>
                <w:b w:val="1"/>
                <w:bCs w:val="1"/>
                <w:color w:val="auto"/>
              </w:rPr>
              <w:t>General Partner</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per limited</w:t>
            </w:r>
          </w:p>
        </w:tc>
      </w:tr>
      <w:tr>
        <w:trPr>
          <w:trHeight w:val="142"/>
        </w:trPr>
        <w:tc>
          <w:tcPr>
            <w:tcW w:w="4180" w:type="dxa"/>
            <w:vAlign w:val="bottom"/>
          </w:tcPr>
          <w:p>
            <w:pPr>
              <w:spacing w:after="0" w:line="142"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2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Incentive</w:t>
            </w:r>
          </w:p>
        </w:tc>
        <w:tc>
          <w:tcPr>
            <w:tcW w:w="8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partner unit</w:t>
            </w: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2012</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January 9, 2014, we declared a cash distribution of $0.6150 per unit on our outstanding common units. The distribution was paid on February 14, 2014 to unitholders of record on January 31, 2014, for the period October 1, 2013 through December 31, 2013. The total distribution paid was approximately $328 million, with approximately $221 million paid to our common unitholders and $5 million and $102 million paid to our general partner for its general partner and incentive distribution interests,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Equity Offerings</w:t>
      </w:r>
    </w:p>
    <w:p>
      <w:pPr>
        <w:spacing w:after="0" w:line="225"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i w:val="1"/>
          <w:iCs w:val="1"/>
          <w:color w:val="auto"/>
        </w:rPr>
        <w:t>Continuous Offering Program</w:t>
      </w:r>
      <w:r>
        <w:rPr>
          <w:rFonts w:ascii="Arial" w:cs="Arial" w:eastAsia="Arial" w:hAnsi="Arial"/>
          <w:sz w:val="17"/>
          <w:szCs w:val="17"/>
          <w:color w:val="auto"/>
        </w:rPr>
        <w:t>. During 2012 and 2013 we entered into several equity distribution agreements, under our Continuous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with respect to the offer and sale, through sales agents, of common units representing limited partner interests having aggregate offering prices ranging from up to $300 million to up to $750 million. Sales of such common units are made by means of ordinary brokers’ transactions on the NYSE at market prices, in block transactions or as otherwise agreed upon by our sales agent and us.</w:t>
      </w:r>
    </w:p>
    <w:p>
      <w:pPr>
        <w:spacing w:after="0" w:line="171"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During the year ended December 31, 2013, we sold an aggregate of approximately 8.6 million common units under our Continuous Offering Program, generating proceeds of approximately $477 million, including our general partner’s proportionate capital contribution, net of approximately $5 million of commissions to our sales agents. The net proceeds from sales were used for general partnership purposes.</w:t>
      </w:r>
    </w:p>
    <w:p>
      <w:pPr>
        <w:spacing w:after="0" w:line="166"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During the year ended December 31, 2012, we sold an aggregate of approximately 12.0 million common units under our Continuous Offering Program, generating proceeds of approximately $524 million, including our general partner’s proportionate capital contribution, net of approximately $6 million of commissions to our sales agents. The net proceeds from sales were used for general partnership purposes.</w:t>
      </w:r>
    </w:p>
    <w:p>
      <w:pPr>
        <w:spacing w:after="0" w:line="166"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Other Equity Offerings. </w:t>
      </w:r>
      <w:r>
        <w:rPr>
          <w:rFonts w:ascii="Arial" w:cs="Arial" w:eastAsia="Arial" w:hAnsi="Arial"/>
          <w:sz w:val="16"/>
          <w:szCs w:val="16"/>
          <w:color w:val="auto"/>
        </w:rPr>
        <w:t>In addition to sales of our common units under the Continuous Offering Program described above, we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offerings of our common units, during the three years ended December 31, 2013 (in millions, except unit and per unit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Proceeds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Partner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Unit Price</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from Sale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Contribution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March 2012 </w:t>
            </w:r>
            <w:r>
              <w:rPr>
                <w:rFonts w:ascii="Arial" w:cs="Arial" w:eastAsia="Arial" w:hAnsi="Arial"/>
                <w:sz w:val="23"/>
                <w:szCs w:val="23"/>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w w:val="72"/>
              </w:rPr>
              <w:t>(14)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2012 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w w:val="72"/>
              </w:rPr>
              <w:t>(14)</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November 2011 </w:t>
            </w:r>
            <w:r>
              <w:rPr>
                <w:rFonts w:ascii="Arial" w:cs="Arial" w:eastAsia="Arial" w:hAnsi="Arial"/>
                <w:sz w:val="23"/>
                <w:szCs w:val="23"/>
                <w:color w:val="auto"/>
                <w:vertAlign w:val="superscript"/>
              </w:rPr>
              <w:t>(1)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32.515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(13)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March 2011 </w:t>
            </w:r>
            <w:r>
              <w:rPr>
                <w:rFonts w:ascii="Arial" w:cs="Arial" w:eastAsia="Arial" w:hAnsi="Arial"/>
                <w:sz w:val="23"/>
                <w:szCs w:val="23"/>
                <w:color w:val="auto"/>
                <w:vertAlign w:val="superscript"/>
              </w:rPr>
              <w:t>(1)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2011 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27,870,000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84"/>
              </w:rPr>
              <w:t>(28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line="234" w:lineRule="auto"/>
        <w:tabs>
          <w:tab w:leader="none" w:pos="648" w:val="left"/>
        </w:tabs>
        <w:numPr>
          <w:ilvl w:val="0"/>
          <w:numId w:val="121"/>
        </w:numPr>
        <w:rPr>
          <w:rFonts w:ascii="Arial" w:cs="Arial" w:eastAsia="Arial" w:hAnsi="Arial"/>
          <w:sz w:val="23"/>
          <w:szCs w:val="23"/>
          <w:color w:val="auto"/>
          <w:vertAlign w:val="superscript"/>
        </w:rPr>
      </w:pPr>
      <w:r>
        <w:rPr>
          <w:rFonts w:ascii="Arial" w:cs="Arial" w:eastAsia="Arial" w:hAnsi="Arial"/>
          <w:sz w:val="18"/>
          <w:szCs w:val="18"/>
          <w:color w:val="auto"/>
        </w:rPr>
        <w:t>These offerings of common units were underwritten transactions that required us to pay a gross spread. The net proceeds from these offerings were used to reduce outstanding borrowings under our credit facilities and for general partnership purposes. The net proceeds from the March 2012 offering were also used to fund a portion of the BP NGL Acquisition.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noncontrolling interests in our subsidiaries consisted of a 25% interest in SLC Pipeline.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PNG Merger</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Prior to the PNG Merger, we owned 100% of the outstanding subordinated units of PNG and approximately 46% of the 61.2 million outstanding common units of PNG. Under the terms of the Merger Agreement, we issued 0.445 PAA common units for each outstanding PNG common unit held by unitholders other than us, plus cash in lieu of any fractional PAA common units otherwise issuable in the PNG Merger.</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As a result of the PNG Merger, we purchased the noncontrolling interests in PNG for consideration of approximately 14.7 million PAA common units for a value of approximately $760 million. Such purchase resulted in an equity-classified loss of approximately $290 million, which we recorded as a decrease to our partners’ capital. In addition, in conjunction with the PNG Merger, our general partner made a proportional contribution of approximately $16</w:t>
      </w:r>
    </w:p>
    <w:p>
      <w:pPr>
        <w:sectPr>
          <w:pgSz w:w="11900" w:h="16838" w:orient="portrait"/>
          <w:cols w:equalWidth="0" w:num="1">
            <w:col w:w="11420"/>
          </w:cols>
          <w:pgMar w:left="240" w:top="125" w:right="239" w:bottom="0" w:gutter="0" w:footer="0" w:header="0"/>
        </w:sectPr>
      </w:pPr>
    </w:p>
    <w:bookmarkStart w:id="120" w:name="page121"/>
    <w:bookmarkEnd w:id="120"/>
    <w:p>
      <w:pPr>
        <w:ind w:right="600"/>
        <w:spacing w:after="0" w:line="277" w:lineRule="auto"/>
        <w:rPr>
          <w:sz w:val="20"/>
          <w:szCs w:val="20"/>
          <w:color w:val="auto"/>
        </w:rPr>
      </w:pPr>
      <w:r>
        <w:rPr>
          <w:rFonts w:ascii="Arial" w:cs="Arial" w:eastAsia="Arial" w:hAnsi="Arial"/>
          <w:sz w:val="18"/>
          <w:szCs w:val="18"/>
          <w:color w:val="auto"/>
        </w:rPr>
        <w:t>million associated with our issuance of PAA common units and we incurred transaction costs of approximately $4 million resulting in a net increase in partners’ capital associated with the PNG Merger of approximately $12 million.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 of PNG Common Units</w:t>
      </w:r>
    </w:p>
    <w:p>
      <w:pPr>
        <w:spacing w:after="0" w:line="229" w:lineRule="exact"/>
        <w:rPr>
          <w:sz w:val="20"/>
          <w:szCs w:val="20"/>
          <w:color w:val="auto"/>
        </w:rPr>
      </w:pPr>
    </w:p>
    <w:p>
      <w:pPr>
        <w:ind w:right="60" w:firstLine="720"/>
        <w:spacing w:after="0" w:line="297" w:lineRule="auto"/>
        <w:rPr>
          <w:sz w:val="20"/>
          <w:szCs w:val="20"/>
          <w:color w:val="auto"/>
        </w:rPr>
      </w:pPr>
      <w:r>
        <w:rPr>
          <w:rFonts w:ascii="Arial" w:cs="Arial" w:eastAsia="Arial" w:hAnsi="Arial"/>
          <w:sz w:val="16"/>
          <w:szCs w:val="16"/>
          <w:color w:val="auto"/>
        </w:rPr>
        <w:t>PNG issued approximately 1.9 million and 27.6 million common units during the years ended December 31, 2013 and 2011, respectively. PNG did not issue any common units during the year ended December 31, 2012. As a result of PNG’s common unit issuances, we recorded an increase in noncontrolling interest of approximately $32 million and an increase to our partners’ capital of approximately $8 million in 2013, and an increase in noncontrolling interest of approximately $306 million and an increase to our partners’ capital of approximately $64 million in 2011. These increases represent the portion of the proceeds attributable to the respective ownership interests in PNG, adjusted for the impact of the dilution of our ownership interest.</w:t>
      </w:r>
    </w:p>
    <w:p>
      <w:pPr>
        <w:spacing w:after="0" w:line="15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table as required by GAAP sets forth the impact upon net income attributable to PAA giving effect to the changes in our ownership interest in PNG, which was recognized in partners’ capital during the years ended December 31, 2013, 2012 and 2011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Transfers to/from noncontrolling interests: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capital from sale of PNG common units</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180"/>
              <w:spacing w:after="0" w:line="201" w:lineRule="exact"/>
              <w:rPr>
                <w:sz w:val="20"/>
                <w:szCs w:val="20"/>
                <w:color w:val="auto"/>
              </w:rPr>
            </w:pPr>
            <w:r>
              <w:rPr>
                <w:rFonts w:ascii="Arial" w:cs="Arial" w:eastAsia="Arial" w:hAnsi="Arial"/>
                <w:sz w:val="18"/>
                <w:szCs w:val="18"/>
                <w:color w:val="auto"/>
              </w:rPr>
              <w:t>Decrease in capital from purchase of PNG common units in conjunction with the</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PNG Merger</w:t>
            </w:r>
          </w:p>
        </w:tc>
        <w:tc>
          <w:tcPr>
            <w:tcW w:w="9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transfers to/from noncontrolling interests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40" w:type="dxa"/>
            <w:vAlign w:val="bottom"/>
          </w:tcPr>
          <w:p>
            <w:pPr>
              <w:spacing w:after="0" w:line="182" w:lineRule="exact"/>
              <w:rPr>
                <w:sz w:val="20"/>
                <w:szCs w:val="20"/>
                <w:color w:val="auto"/>
              </w:rPr>
            </w:pPr>
            <w:r>
              <w:rPr>
                <w:rFonts w:ascii="Arial" w:cs="Arial" w:eastAsia="Arial" w:hAnsi="Arial"/>
                <w:sz w:val="18"/>
                <w:szCs w:val="18"/>
                <w:color w:val="auto"/>
              </w:rPr>
              <w:t>Change from net income attributable to PAA and transfers to/from noncontrolling</w:t>
            </w:r>
          </w:p>
        </w:tc>
        <w:tc>
          <w:tcPr>
            <w:tcW w:w="900" w:type="dxa"/>
            <w:vAlign w:val="bottom"/>
            <w:vMerge w:val="restart"/>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1,079</w:t>
            </w:r>
          </w:p>
        </w:tc>
        <w:tc>
          <w:tcPr>
            <w:tcW w:w="50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1,094</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9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40"/>
              <w:spacing w:after="0"/>
              <w:rPr>
                <w:sz w:val="20"/>
                <w:szCs w:val="20"/>
                <w:color w:val="auto"/>
              </w:rPr>
            </w:pPr>
            <w:r>
              <w:rPr>
                <w:rFonts w:ascii="Arial" w:cs="Arial" w:eastAsia="Arial" w:hAnsi="Arial"/>
                <w:sz w:val="18"/>
                <w:szCs w:val="18"/>
                <w:color w:val="auto"/>
              </w:rPr>
              <w:t>F-29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80" w:firstLine="454"/>
        <w:spacing w:after="0" w:line="279" w:lineRule="auto"/>
        <w:rPr>
          <w:sz w:val="20"/>
          <w:szCs w:val="20"/>
          <w:color w:val="auto"/>
        </w:rPr>
      </w:pPr>
      <w:r>
        <w:rPr>
          <w:rFonts w:ascii="Arial" w:cs="Arial" w:eastAsia="Arial" w:hAnsi="Arial"/>
          <w:sz w:val="17"/>
          <w:szCs w:val="17"/>
          <w:color w:val="auto"/>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71" w:lineRule="exact"/>
        <w:rPr>
          <w:sz w:val="20"/>
          <w:szCs w:val="20"/>
          <w:color w:val="auto"/>
        </w:rPr>
      </w:pPr>
    </w:p>
    <w:p>
      <w:pPr>
        <w:ind w:right="500" w:firstLine="454"/>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2013, net derivative positions related to these activities included:</w:t>
      </w:r>
    </w:p>
    <w:p>
      <w:pPr>
        <w:spacing w:after="0" w:line="147" w:lineRule="exact"/>
        <w:rPr>
          <w:sz w:val="20"/>
          <w:szCs w:val="20"/>
          <w:color w:val="auto"/>
        </w:rPr>
      </w:pPr>
    </w:p>
    <w:p>
      <w:pPr>
        <w:ind w:left="1460" w:right="240" w:hanging="318"/>
        <w:spacing w:after="0" w:line="277" w:lineRule="auto"/>
        <w:tabs>
          <w:tab w:leader="none" w:pos="1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average of 242,800 barrels per day net long position (total of 7.5 million barrels) associated with our crude oil purchases, which was unwound ratably during January 2014 to match monthly average pricing.</w:t>
      </w:r>
    </w:p>
    <w:p>
      <w:pPr>
        <w:spacing w:after="0" w:line="170" w:lineRule="exact"/>
        <w:rPr>
          <w:rFonts w:ascii="Arial" w:cs="Arial" w:eastAsia="Arial" w:hAnsi="Arial"/>
          <w:sz w:val="18"/>
          <w:szCs w:val="18"/>
          <w:color w:val="auto"/>
        </w:rPr>
      </w:pPr>
    </w:p>
    <w:p>
      <w:pPr>
        <w:ind w:left="1460" w:right="300" w:hanging="318"/>
        <w:spacing w:after="0" w:line="312" w:lineRule="auto"/>
        <w:tabs>
          <w:tab w:leader="none" w:pos="142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net short spread position averaging approximately 13,600 barrels per day (total of 5.4 million barrels), which hedges a portion of our anticipated crude oil lease gathering purchases through February 2015. These derivatives are time spreads consisting of offsetting purchases and sales between two different months. Our use of these derivatives does not expose us to outright price risk.</w:t>
      </w:r>
    </w:p>
    <w:p>
      <w:pPr>
        <w:spacing w:after="0" w:line="146" w:lineRule="exact"/>
        <w:rPr>
          <w:rFonts w:ascii="Arial" w:cs="Arial" w:eastAsia="Arial" w:hAnsi="Arial"/>
          <w:sz w:val="16"/>
          <w:szCs w:val="16"/>
          <w:color w:val="auto"/>
        </w:rPr>
      </w:pPr>
    </w:p>
    <w:p>
      <w:pPr>
        <w:ind w:left="1460" w:right="540" w:hanging="318"/>
        <w:spacing w:after="0" w:line="277" w:lineRule="auto"/>
        <w:tabs>
          <w:tab w:leader="none" w:pos="1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average of 2,200 barrels per day (total of 1.0 million barrels) of butane/WTI spread positions, which hedge specific butane sales contracts that are priced as a percentage of WTI through March 2015.</w:t>
      </w:r>
    </w:p>
    <w:p>
      <w:pPr>
        <w:spacing w:after="0" w:line="170" w:lineRule="exact"/>
        <w:rPr>
          <w:rFonts w:ascii="Arial" w:cs="Arial" w:eastAsia="Arial" w:hAnsi="Arial"/>
          <w:sz w:val="18"/>
          <w:szCs w:val="18"/>
          <w:color w:val="auto"/>
        </w:rPr>
      </w:pPr>
    </w:p>
    <w:p>
      <w:pPr>
        <w:ind w:left="1440" w:hanging="298"/>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long position of approximately 2.3 Bcf through April 2016 related to anticipated base gas requirements.</w:t>
      </w:r>
    </w:p>
    <w:p>
      <w:pPr>
        <w:spacing w:after="0" w:line="225" w:lineRule="exact"/>
        <w:rPr>
          <w:rFonts w:ascii="Arial" w:cs="Arial" w:eastAsia="Arial" w:hAnsi="Arial"/>
          <w:sz w:val="18"/>
          <w:szCs w:val="18"/>
          <w:color w:val="auto"/>
        </w:rPr>
      </w:pPr>
    </w:p>
    <w:p>
      <w:pPr>
        <w:ind w:left="1440" w:hanging="298"/>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short position of approximately 40.5 Bcf through April 2014 related to anticipated sales of natural gas inventory.</w:t>
      </w:r>
    </w:p>
    <w:p>
      <w:pPr>
        <w:spacing w:after="0" w:line="225" w:lineRule="exact"/>
        <w:rPr>
          <w:rFonts w:ascii="Arial" w:cs="Arial" w:eastAsia="Arial" w:hAnsi="Arial"/>
          <w:sz w:val="18"/>
          <w:szCs w:val="18"/>
          <w:color w:val="auto"/>
        </w:rPr>
      </w:pPr>
    </w:p>
    <w:p>
      <w:pPr>
        <w:ind w:left="1460" w:right="560" w:hanging="318"/>
        <w:spacing w:after="0" w:line="277" w:lineRule="auto"/>
        <w:tabs>
          <w:tab w:leader="none" w:pos="1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short position of approximately 6.9 million barrels through March 2015 related to the anticipated sales of our crude oil, NGL and refined products inventory.</w:t>
      </w:r>
    </w:p>
    <w:p>
      <w:pPr>
        <w:spacing w:after="0" w:line="170" w:lineRule="exact"/>
        <w:rPr>
          <w:sz w:val="20"/>
          <w:szCs w:val="20"/>
          <w:color w:val="auto"/>
        </w:rPr>
      </w:pPr>
    </w:p>
    <w:p>
      <w:pPr>
        <w:ind w:right="140" w:firstLine="454"/>
        <w:spacing w:after="0" w:line="297" w:lineRule="auto"/>
        <w:rPr>
          <w:sz w:val="20"/>
          <w:szCs w:val="20"/>
          <w:color w:val="auto"/>
        </w:rPr>
      </w:pPr>
      <w:r>
        <w:rPr>
          <w:rFonts w:ascii="Arial" w:cs="Arial" w:eastAsia="Arial" w:hAnsi="Arial"/>
          <w:sz w:val="16"/>
          <w:szCs w:val="16"/>
          <w:i w:val="1"/>
          <w:iCs w:val="1"/>
          <w:color w:val="auto"/>
        </w:rPr>
        <w:t xml:space="preserve">Storage Capacity Utilization — </w:t>
      </w:r>
      <w:r>
        <w:rPr>
          <w:rFonts w:ascii="Arial" w:cs="Arial" w:eastAsia="Arial" w:hAnsi="Arial"/>
          <w:sz w:val="16"/>
          <w:szCs w:val="16"/>
          <w:color w:val="auto"/>
        </w:rPr>
        <w:t>We own a significant amount of crude oil, NGL and refined products storage capacity other than that used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December 31, 2013, we used derivatives to manage the risk of not utilizing approximately 0.8 million barrels per month of storage capacity through February 2014. These positions involve no outright price exposure, but instead enable us to profitably use the capacity to store hedged crude oil.</w:t>
      </w:r>
    </w:p>
    <w:p>
      <w:pPr>
        <w:sectPr>
          <w:pgSz w:w="11900" w:h="16838" w:orient="portrait"/>
          <w:cols w:equalWidth="0" w:num="1">
            <w:col w:w="11460"/>
          </w:cols>
          <w:pgMar w:left="240" w:top="125" w:right="199" w:bottom="0" w:gutter="0" w:footer="0" w:header="0"/>
        </w:sectPr>
      </w:pPr>
    </w:p>
    <w:bookmarkStart w:id="121" w:name="page122"/>
    <w:bookmarkEnd w:id="121"/>
    <w:p>
      <w:pPr>
        <w:ind w:right="80" w:firstLine="454"/>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offset losses due to evaporation, measurement and other losses in transit. We utilize derivative instruments to hedge a portion of the anticipated sales of the allowance oil that is to be collected under our tariffs. As of December 31, 2013, our PLA hedges included a net short position for an average of approximately 1,700 barrels per day (total of 1.2 million barrels) through December 2015 and a long call option position of approximately 0.5 million barrels through December 2015.</w:t>
      </w:r>
    </w:p>
    <w:p>
      <w:pPr>
        <w:spacing w:after="0" w:line="188" w:lineRule="exact"/>
        <w:rPr>
          <w:sz w:val="20"/>
          <w:szCs w:val="20"/>
          <w:color w:val="auto"/>
        </w:rPr>
      </w:pPr>
    </w:p>
    <w:p>
      <w:pPr>
        <w:ind w:right="160" w:firstLine="454"/>
        <w:spacing w:after="0" w:line="272"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As part of our supply and logistics activities, we purchase natural gas for processing and NGL mix for</w:t>
      </w:r>
      <w:r>
        <w:rPr>
          <w:rFonts w:ascii="Arial" w:cs="Arial" w:eastAsia="Arial" w:hAnsi="Arial"/>
          <w:sz w:val="17"/>
          <w:szCs w:val="17"/>
          <w:i w:val="1"/>
          <w:iCs w:val="1"/>
          <w:color w:val="auto"/>
        </w:rPr>
        <w:t xml:space="preserve"> </w:t>
      </w:r>
      <w:r>
        <w:rPr>
          <w:rFonts w:ascii="Arial" w:cs="Arial" w:eastAsia="Arial" w:hAnsi="Arial"/>
          <w:sz w:val="17"/>
          <w:szCs w:val="17"/>
          <w:color w:val="auto"/>
        </w:rPr>
        <w:t>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2013, we had a long natural gas position of approximately 19.5 Bcf through December 2015, a short propane position of approximately 3.4 million barrels through December 2015, a short butane position of approximately 1.0 million barrels through December 2015 and a short WTI position of approximately 0.4 million barrels through December 2015. In addition, we had a long power position of 0.5 million megawatt hours which hedges a portion of our power supply requirements at our natural gas processing and fractionation plants through June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454"/>
        <w:spacing w:after="0" w:line="259" w:lineRule="auto"/>
        <w:rPr>
          <w:sz w:val="20"/>
          <w:szCs w:val="20"/>
          <w:color w:val="auto"/>
        </w:rPr>
      </w:pPr>
      <w:r>
        <w:rPr>
          <w:rFonts w:ascii="Arial" w:cs="Arial" w:eastAsia="Arial" w:hAnsi="Arial"/>
          <w:sz w:val="18"/>
          <w:szCs w:val="18"/>
          <w:color w:val="auto"/>
        </w:rPr>
        <w:t>All of our commodity derivatives that qualify for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December 31, 2013, AOCI includes deferred losses of approximately $65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debt issuances through 2015. The following table summarizes the terms of our forward starting interest rate swaps as of December 31, 2013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Number and Types of</w:t>
            </w: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Expected</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Average Rate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3220" w:type="dxa"/>
            <w:vAlign w:val="bottom"/>
            <w:gridSpan w:val="2"/>
            <w:vMerge w:val="continue"/>
          </w:tcPr>
          <w:p>
            <w:pPr>
              <w:spacing w:after="0"/>
              <w:rPr>
                <w:sz w:val="14"/>
                <w:szCs w:val="14"/>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 Employed</w:t>
            </w:r>
          </w:p>
        </w:tc>
        <w:tc>
          <w:tcPr>
            <w:tcW w:w="2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 Date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Locked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3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 forward starting swaps</w:t>
            </w: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Cash flow</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(30-year)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6/15/2015</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Concurrent with our August 2013 senior notes issuance, we terminated five thirty-year forward starting interest rate swaps. These swaps had an aggregate notional amount of $125 million and an average fixed rate of 3.39%. We received cash proceeds of approximately $11 million, of which a gain of approximately $8 million was deferred in AOCI and a gain of approximately $3 million was recognized in interest expense attributable to the ineffective portion of these swaps.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Concurrent with our December 2012 senior note issuance, we terminated six thirty-year forward starting interest rate swaps. These swaps had an aggregate notional amount of $250 million and an average fixed rate of 4.24%. We made a cash payment of approximately $89 million in connection with the termination of these swaps.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Concurrent with our March 2012 senior note issuances, we terminated four ten-year forward starting interest rate swaps. These swaps had an aggregate notional amount of $200 million and an average fixed rate of 3.46%. We made a cash payment of approximately $24 million in connection with the termination of the swaps.</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Concurrent with our January 2011 senior notes issuance, we terminated three forward starting interest rate swaps. These swaps had an aggregate notional amount of $100 million and an average fixed rate of 3.6%. We received cash proceeds of approximately $12 million in connection with the termination of these swaps.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June 2011 and August 2011, PNG entered into three interest rate swaps to fix the interest rate on a portion of PNG’s outstanding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completion of the PNG Merger, these swaps were terminated in conjunction with the termination of the PNG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2013,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22" w:name="page123"/>
    <w:bookmarkEnd w:id="122"/>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2013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USD</w:t>
            </w:r>
          </w:p>
        </w:tc>
        <w:tc>
          <w:tcPr>
            <w:tcW w:w="30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CAD</w:t>
            </w:r>
          </w:p>
        </w:tc>
        <w:tc>
          <w:tcPr>
            <w:tcW w:w="26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Forward exchange contracts that exchange CAD</w:t>
            </w: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USD:</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23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$1.00 - $1.06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$1.00 - $1.07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bottom w:val="single" w:sz="8" w:color="CCEEFF"/>
            </w:tcBorders>
          </w:tcPr>
          <w:p>
            <w:pPr>
              <w:spacing w:after="0"/>
              <w:rPr>
                <w:sz w:val="21"/>
                <w:szCs w:val="21"/>
                <w:color w:val="auto"/>
              </w:rPr>
            </w:pPr>
          </w:p>
        </w:tc>
        <w:tc>
          <w:tcPr>
            <w:tcW w:w="2320" w:type="dxa"/>
            <w:vAlign w:val="bottom"/>
            <w:tcBorders>
              <w:bottom w:val="single" w:sz="8" w:color="CCEEFF"/>
            </w:tcBorders>
            <w:gridSpan w:val="2"/>
          </w:tcPr>
          <w:p>
            <w:pPr>
              <w:jc w:val="center"/>
              <w:ind w:left="150"/>
              <w:spacing w:after="0"/>
              <w:rPr>
                <w:sz w:val="20"/>
                <w:szCs w:val="20"/>
                <w:color w:val="auto"/>
              </w:rPr>
            </w:pPr>
            <w:r>
              <w:rPr>
                <w:rFonts w:ascii="Arial" w:cs="Arial" w:eastAsia="Arial" w:hAnsi="Arial"/>
                <w:sz w:val="18"/>
                <w:szCs w:val="18"/>
                <w:color w:val="auto"/>
                <w:w w:val="90"/>
              </w:rPr>
              <w:t>$1.00 - $1.06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60" w:type="dxa"/>
            <w:vAlign w:val="bottom"/>
          </w:tcPr>
          <w:p>
            <w:pPr>
              <w:spacing w:after="0" w:line="198" w:lineRule="exact"/>
              <w:rPr>
                <w:sz w:val="20"/>
                <w:szCs w:val="20"/>
                <w:color w:val="auto"/>
              </w:rPr>
            </w:pPr>
            <w:r>
              <w:rPr>
                <w:rFonts w:ascii="Arial" w:cs="Arial" w:eastAsia="Arial" w:hAnsi="Arial"/>
                <w:sz w:val="18"/>
                <w:szCs w:val="18"/>
                <w:b w:val="1"/>
                <w:bCs w:val="1"/>
                <w:color w:val="auto"/>
              </w:rPr>
              <w:t>Forward exchange contracts that exchange USD for</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b w:val="1"/>
                <w:bCs w:val="1"/>
                <w:color w:val="auto"/>
              </w:rPr>
              <w:t>CAD: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2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$1.00 - $1.05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3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$1.00 - $1.06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Borders>
              <w:top w:val="single" w:sz="8" w:color="CCEEFF"/>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$1.00 - $1.05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position by currency:</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Consolidated Statements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years ended December 31, 2013, 2012 and 2011 is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w w:val="97"/>
              </w:rPr>
              <w:t>Year Ended December 31, 2013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right"/>
              <w:ind w:right="318"/>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Pr>
          <w:p>
            <w:pPr>
              <w:spacing w:after="0"/>
              <w:rPr>
                <w:sz w:val="10"/>
                <w:szCs w:val="10"/>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Other gain/(loss)</w:t>
            </w:r>
          </w:p>
        </w:tc>
        <w:tc>
          <w:tcPr>
            <w:tcW w:w="120" w:type="dxa"/>
            <w:vAlign w:val="bottom"/>
          </w:tcPr>
          <w:p>
            <w:pPr>
              <w:spacing w:after="0"/>
              <w:rPr>
                <w:sz w:val="10"/>
                <w:szCs w:val="10"/>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from AOCI</w:t>
            </w:r>
          </w:p>
        </w:tc>
        <w:tc>
          <w:tcPr>
            <w:tcW w:w="12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 xml:space="preserve">into income </w:t>
            </w:r>
            <w:r>
              <w:rPr>
                <w:rFonts w:ascii="Arial" w:cs="Arial" w:eastAsia="Arial" w:hAnsi="Arial"/>
                <w:sz w:val="8"/>
                <w:szCs w:val="8"/>
                <w:b w:val="1"/>
                <w:bCs w:val="1"/>
                <w:color w:val="auto"/>
                <w:w w:val="93"/>
              </w:rPr>
              <w:t>(1)</w:t>
            </w: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as a Hedge</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w w:val="97"/>
              </w:rPr>
              <w:t>Year Ended December 31, 2012</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right"/>
              <w:ind w:right="318"/>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Pr>
          <w:p>
            <w:pPr>
              <w:spacing w:after="0"/>
              <w:rPr>
                <w:sz w:val="10"/>
                <w:szCs w:val="10"/>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Other gain/(loss)</w:t>
            </w:r>
          </w:p>
        </w:tc>
        <w:tc>
          <w:tcPr>
            <w:tcW w:w="120" w:type="dxa"/>
            <w:vAlign w:val="bottom"/>
          </w:tcPr>
          <w:p>
            <w:pPr>
              <w:spacing w:after="0"/>
              <w:rPr>
                <w:sz w:val="10"/>
                <w:szCs w:val="10"/>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AOCI into</w:t>
            </w:r>
          </w:p>
        </w:tc>
        <w:tc>
          <w:tcPr>
            <w:tcW w:w="12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as a Hedge</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123" w:name="page124"/>
    <w:bookmarkEnd w:id="1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 2011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5"/>
          </w:tcPr>
          <w:p>
            <w:pPr>
              <w:ind w:left="26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Gain/(loss)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Other gain/(loss)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AOCI into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as a Hedge</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left="660" w:right="60" w:hanging="616"/>
        <w:spacing w:after="0" w:line="275" w:lineRule="auto"/>
        <w:tabs>
          <w:tab w:leader="none" w:pos="643" w:val="left"/>
        </w:tabs>
        <w:numPr>
          <w:ilvl w:val="0"/>
          <w:numId w:val="123"/>
        </w:numPr>
        <w:rPr>
          <w:rFonts w:ascii="Arial" w:cs="Arial" w:eastAsia="Arial" w:hAnsi="Arial"/>
          <w:sz w:val="21"/>
          <w:szCs w:val="21"/>
          <w:color w:val="auto"/>
          <w:vertAlign w:val="superscript"/>
        </w:rPr>
      </w:pPr>
      <w:r>
        <w:rPr>
          <w:rFonts w:ascii="Arial" w:cs="Arial" w:eastAsia="Arial" w:hAnsi="Arial"/>
          <w:sz w:val="16"/>
          <w:szCs w:val="16"/>
          <w:color w:val="auto"/>
        </w:rPr>
        <w:t>During the year ended December 31, 2013, we reclassified a gain of approximately $3 million and losses of approximately $1 million from AOCI to Supply and Logistics segment revenues and Facilities segment revenues, respectively, as a result of anticipated hedged transactions that are probable of not occurring. During the year ended December 31, 2011 we reclassified a gain of approximately $1 million from AOCI to Facilities segment revenues and a gain of approximately $1 million from AOCI to other expense, net as a result of anticipated hedged transactions that are probable of not occurring. During the year ended December 31, 2012, all of our hedged transactions were deemed probable of occurring.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w w:val="97"/>
              </w:rPr>
              <w:t>Asset Derivatives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Liability Derivatives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2580" w:type="dxa"/>
            <w:vAlign w:val="bottom"/>
            <w:gridSpan w:val="2"/>
          </w:tcPr>
          <w:p>
            <w:pPr>
              <w:ind w:left="720"/>
              <w:spacing w:after="0" w:line="119" w:lineRule="exact"/>
              <w:rPr>
                <w:sz w:val="20"/>
                <w:szCs w:val="20"/>
                <w:color w:val="auto"/>
              </w:rPr>
            </w:pPr>
            <w:r>
              <w:rPr>
                <w:rFonts w:ascii="Arial" w:cs="Arial" w:eastAsia="Arial" w:hAnsi="Arial"/>
                <w:sz w:val="13"/>
                <w:szCs w:val="13"/>
                <w:b w:val="1"/>
                <w:bCs w:val="1"/>
                <w:color w:val="auto"/>
              </w:rPr>
              <w:t>Balance Sheet</w:t>
            </w:r>
          </w:p>
        </w:tc>
        <w:tc>
          <w:tcPr>
            <w:tcW w:w="160" w:type="dxa"/>
            <w:vAlign w:val="bottom"/>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58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3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800" w:type="dxa"/>
            <w:vAlign w:val="bottom"/>
            <w:gridSpan w:val="3"/>
          </w:tcPr>
          <w:p>
            <w:pPr>
              <w:ind w:left="30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800" w:type="dxa"/>
            <w:vAlign w:val="bottom"/>
            <w:gridSpan w:val="3"/>
          </w:tcPr>
          <w:p>
            <w:pPr>
              <w:ind w:left="30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Total derivatives designated as hedging</w:t>
            </w:r>
          </w:p>
        </w:tc>
        <w:tc>
          <w:tcPr>
            <w:tcW w:w="3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Derivatives not designated as hedging</w:t>
            </w: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800" w:type="dxa"/>
            <w:vAlign w:val="bottom"/>
            <w:gridSpan w:val="3"/>
          </w:tcPr>
          <w:p>
            <w:pPr>
              <w:ind w:left="300"/>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00" w:type="dxa"/>
            <w:vAlign w:val="bottom"/>
            <w:gridSpan w:val="3"/>
          </w:tcPr>
          <w:p>
            <w:pPr>
              <w:ind w:left="3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5" w:right="239" w:bottom="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derivatives not designated as hedging</w:t>
            </w:r>
          </w:p>
        </w:tc>
        <w:tc>
          <w:tcPr>
            <w:tcW w:w="1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500" w:type="dxa"/>
            <w:vAlign w:val="bottom"/>
            <w:gridSpan w:val="2"/>
            <w:shd w:val="clear" w:color="auto" w:fill="CCEEFF"/>
          </w:tcPr>
          <w:p>
            <w:pPr>
              <w:jc w:val="right"/>
              <w:ind w:right="2860"/>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7"/>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derivatives</w:t>
            </w:r>
          </w:p>
        </w:tc>
        <w:tc>
          <w:tcPr>
            <w:tcW w:w="1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500" w:type="dxa"/>
            <w:vAlign w:val="bottom"/>
            <w:gridSpan w:val="2"/>
            <w:shd w:val="clear" w:color="auto" w:fill="CCEEFF"/>
          </w:tcPr>
          <w:p>
            <w:pPr>
              <w:jc w:val="right"/>
              <w:ind w:right="2860"/>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w w:val="97"/>
              </w:rPr>
              <w:t>Asset Derivatives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Liability Derivatives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3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instruments:</w:t>
            </w: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800" w:type="dxa"/>
            <w:vAlign w:val="bottom"/>
            <w:gridSpan w:val="3"/>
          </w:tcPr>
          <w:p>
            <w:pPr>
              <w:ind w:left="300"/>
              <w:spacing w:after="0"/>
              <w:rPr>
                <w:sz w:val="20"/>
                <w:szCs w:val="20"/>
                <w:color w:val="auto"/>
              </w:rPr>
            </w:pPr>
            <w:r>
              <w:rPr>
                <w:rFonts w:ascii="Arial" w:cs="Arial" w:eastAsia="Arial" w:hAnsi="Arial"/>
                <w:sz w:val="18"/>
                <w:szCs w:val="18"/>
                <w:color w:val="auto"/>
              </w:rPr>
              <w:t>Other current assets</w:t>
            </w:r>
          </w:p>
        </w:tc>
        <w:tc>
          <w:tcPr>
            <w:tcW w:w="10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45</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80"/>
              <w:spacing w:after="0" w:line="201" w:lineRule="exact"/>
              <w:rPr>
                <w:sz w:val="20"/>
                <w:szCs w:val="20"/>
                <w:color w:val="auto"/>
              </w:rPr>
            </w:pPr>
            <w:r>
              <w:rPr>
                <w:rFonts w:ascii="Arial" w:cs="Arial" w:eastAsia="Arial" w:hAnsi="Arial"/>
                <w:sz w:val="18"/>
                <w:szCs w:val="18"/>
                <w:color w:val="auto"/>
                <w:w w:val="98"/>
              </w:rPr>
              <w:t>Total derivatives designated as hedging</w:t>
            </w:r>
          </w:p>
        </w:tc>
        <w:tc>
          <w:tcPr>
            <w:tcW w:w="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89"/>
              </w:rPr>
              <w:t>56</w:t>
            </w: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332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3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2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34" w:right="239" w:bottom="0" w:gutter="0" w:footer="0" w:header="0"/>
        </w:sectPr>
      </w:pPr>
    </w:p>
    <w:tbl>
      <w:tblPr>
        <w:tblLayout w:type="fixed"/>
        <w:tblInd w:w="0" w:type="dxa"/>
        <w:tblCellMar>
          <w:top w:w="0" w:type="dxa"/>
          <w:left w:w="0" w:type="dxa"/>
          <w:bottom w:w="0" w:type="dxa"/>
          <w:right w:w="0" w:type="dxa"/>
        </w:tblCellMar>
      </w:tblPr>
      <w:tr>
        <w:trPr>
          <w:trHeight w:val="198"/>
        </w:trPr>
        <w:tc>
          <w:tcPr>
            <w:tcW w:w="346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2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7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160" w:type="dxa"/>
            <w:vAlign w:val="bottom"/>
          </w:tcPr>
          <w:p>
            <w:pPr>
              <w:ind w:left="280"/>
              <w:spacing w:after="0"/>
              <w:rPr>
                <w:sz w:val="20"/>
                <w:szCs w:val="20"/>
                <w:color w:val="auto"/>
              </w:rPr>
            </w:pPr>
            <w:r>
              <w:rPr>
                <w:rFonts w:ascii="Arial" w:cs="Arial" w:eastAsia="Arial" w:hAnsi="Arial"/>
                <w:sz w:val="18"/>
                <w:szCs w:val="18"/>
                <w:color w:val="auto"/>
                <w:w w:val="93"/>
              </w:rPr>
              <w:t>Other long-term liabilities</w:t>
            </w:r>
          </w:p>
        </w:tc>
        <w:tc>
          <w:tcPr>
            <w:tcW w:w="0" w:type="dxa"/>
            <w:vAlign w:val="bottom"/>
          </w:tcPr>
          <w:p>
            <w:pPr>
              <w:spacing w:after="0"/>
              <w:rPr>
                <w:sz w:val="1"/>
                <w:szCs w:val="1"/>
                <w:color w:val="auto"/>
              </w:rPr>
            </w:pPr>
          </w:p>
        </w:tc>
      </w:tr>
      <w:tr>
        <w:trPr>
          <w:trHeight w:val="411"/>
        </w:trPr>
        <w:tc>
          <w:tcPr>
            <w:tcW w:w="3460" w:type="dxa"/>
            <w:vAlign w:val="bottom"/>
          </w:tcPr>
          <w:p>
            <w:pPr>
              <w:ind w:left="180"/>
              <w:spacing w:after="0"/>
              <w:rPr>
                <w:sz w:val="20"/>
                <w:szCs w:val="20"/>
                <w:color w:val="auto"/>
              </w:rPr>
            </w:pPr>
            <w:r>
              <w:rPr>
                <w:rFonts w:ascii="Arial" w:cs="Arial" w:eastAsia="Arial" w:hAnsi="Arial"/>
                <w:sz w:val="18"/>
                <w:szCs w:val="18"/>
                <w:color w:val="auto"/>
                <w:w w:val="93"/>
              </w:rPr>
              <w:t>Total derivatives not designated as hedging</w:t>
            </w:r>
          </w:p>
        </w:tc>
        <w:tc>
          <w:tcPr>
            <w:tcW w:w="2760" w:type="dxa"/>
            <w:vAlign w:val="bottom"/>
          </w:tcPr>
          <w:p>
            <w:pPr>
              <w:spacing w:after="0"/>
              <w:rPr>
                <w:sz w:val="24"/>
                <w:szCs w:val="24"/>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76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ind w:left="180"/>
              <w:spacing w:after="0"/>
              <w:rPr>
                <w:sz w:val="20"/>
                <w:szCs w:val="20"/>
                <w:color w:val="auto"/>
              </w:rPr>
            </w:pPr>
            <w:r>
              <w:rPr>
                <w:rFonts w:ascii="Arial" w:cs="Arial" w:eastAsia="Arial" w:hAnsi="Arial"/>
                <w:sz w:val="18"/>
                <w:szCs w:val="18"/>
                <w:color w:val="auto"/>
              </w:rPr>
              <w:t>Total derivatives</w:t>
            </w:r>
          </w:p>
        </w:tc>
        <w:tc>
          <w:tcPr>
            <w:tcW w:w="276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246620"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789" w:hanging="789"/>
        <w:spacing w:after="0"/>
        <w:tabs>
          <w:tab w:leader="none" w:pos="78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(115)</w:t>
      </w:r>
    </w:p>
    <w:p>
      <w:pPr>
        <w:spacing w:after="0" w:line="34"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(3)</w:t>
      </w:r>
    </w:p>
    <w:p>
      <w:pPr>
        <w:spacing w:after="0" w:line="9"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(7)</w:t>
      </w:r>
    </w:p>
    <w:p>
      <w:pPr>
        <w:spacing w:after="0" w:line="9"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27" w:lineRule="exact"/>
        <w:rPr>
          <w:sz w:val="20"/>
          <w:szCs w:val="20"/>
          <w:color w:val="auto"/>
        </w:rPr>
      </w:pPr>
    </w:p>
    <w:p>
      <w:pPr>
        <w:ind w:left="789" w:hanging="789"/>
        <w:spacing w:after="0"/>
        <w:tabs>
          <w:tab w:leader="none" w:pos="78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(127)</w:t>
      </w:r>
    </w:p>
    <w:p>
      <w:pPr>
        <w:spacing w:after="0" w:line="277" w:lineRule="exact"/>
        <w:rPr>
          <w:rFonts w:ascii="Arial" w:cs="Arial" w:eastAsia="Arial" w:hAnsi="Arial"/>
          <w:sz w:val="17"/>
          <w:szCs w:val="17"/>
          <w:color w:val="auto"/>
        </w:rPr>
      </w:pPr>
    </w:p>
    <w:p>
      <w:pPr>
        <w:ind w:left="789" w:hanging="789"/>
        <w:spacing w:after="0"/>
        <w:tabs>
          <w:tab w:leader="none" w:pos="78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1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56515</wp:posOffset>
            </wp:positionV>
            <wp:extent cx="711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-277495</wp:posOffset>
            </wp:positionV>
            <wp:extent cx="711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500" w:space="691"/>
            <w:col w:w="1229"/>
          </w:cols>
          <w:pgMar w:left="240" w:top="134" w:right="239" w:bottom="0" w:gutter="0" w:footer="0" w:header="0"/>
          <w:type w:val="continuous"/>
        </w:sect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4"/>
        <w:spacing w:after="0" w:line="291"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December 31, 2013, we had a net broker receivable of approximately $161 million (consisting of initial margin of $85 million increased by $76 million of variation margin that had been posted by us). As of December 31, 2012, we had a net broker receivable of approximately $41 million (consisting of initial margin of $69 million reduced by $28 million of variation margin that had been returned to us).</w:t>
      </w:r>
    </w:p>
    <w:p>
      <w:pPr>
        <w:spacing w:after="0" w:line="15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at December 31, 2013 and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Asset Positions</w:t>
            </w:r>
          </w:p>
        </w:tc>
        <w:tc>
          <w:tcPr>
            <w:tcW w:w="1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December 31, 2013, there was a net loss of approximately $77 million deferred in AOCI including tax effects.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December 31, 2013, we expect to reclassify a net loss of approximately $10 million to earnings in the next twelve months. The remaining deferred loss of approximately $67 million is expected to be reclassified to earnings through 2045. A portion of these amounts are based on market prices as of December 31, 2013; thus, actual amounts to be reclassified will differ and could vary materially as a result of changes in market conditions.</w:t>
      </w:r>
    </w:p>
    <w:p>
      <w:pPr>
        <w:sectPr>
          <w:pgSz w:w="11900" w:h="16838" w:orient="portrait"/>
          <w:cols w:equalWidth="0" w:num="1">
            <w:col w:w="11420"/>
          </w:cols>
          <w:pgMar w:left="240" w:top="134" w:right="239" w:bottom="0" w:gutter="0" w:footer="0" w:header="0"/>
          <w:type w:val="continuous"/>
        </w:sectPr>
      </w:pPr>
    </w:p>
    <w:bookmarkStart w:id="125" w:name="page126"/>
    <w:bookmarkEnd w:id="125"/>
    <w:p>
      <w:pPr>
        <w:ind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years ended December 31, 2013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At December 31, 2013 and December 31, 2012,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December 31, 2013 and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2"/>
              </w:rPr>
              <w:t>Fair Value as of December 31, 2013</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2"/>
              </w:rPr>
              <w:t>Fair Value as of December 31, 2012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Total net derivative asset/</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22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(37)</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(24)</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40" w:type="dxa"/>
            <w:vAlign w:val="bottom"/>
          </w:tcPr>
          <w:p>
            <w:pPr>
              <w:ind w:left="360"/>
              <w:spacing w:after="0"/>
              <w:rPr>
                <w:sz w:val="20"/>
                <w:szCs w:val="20"/>
                <w:color w:val="auto"/>
              </w:rPr>
            </w:pPr>
            <w:r>
              <w:rPr>
                <w:rFonts w:ascii="Arial" w:cs="Arial" w:eastAsia="Arial" w:hAnsi="Arial"/>
                <w:sz w:val="18"/>
                <w:szCs w:val="18"/>
                <w:color w:val="auto"/>
              </w:rPr>
              <w:t>(liability)</w:t>
            </w:r>
          </w:p>
        </w:tc>
        <w:tc>
          <w:tcPr>
            <w:tcW w:w="2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80" w:hanging="372"/>
        <w:spacing w:after="0"/>
        <w:tabs>
          <w:tab w:leader="none" w:pos="380" w:val="left"/>
        </w:tabs>
        <w:numPr>
          <w:ilvl w:val="0"/>
          <w:numId w:val="126"/>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 (Liability)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Total gains/(losses) for the period:</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color w:val="auto"/>
              </w:rPr>
              <w:t>Ending Balance</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3"/>
            <w:vMerge w:val="continue"/>
          </w:tcPr>
          <w:p>
            <w:pPr>
              <w:spacing w:after="0"/>
              <w:rPr>
                <w:sz w:val="21"/>
                <w:szCs w:val="21"/>
                <w:color w:val="auto"/>
              </w:rPr>
            </w:pPr>
          </w:p>
        </w:tc>
        <w:tc>
          <w:tcPr>
            <w:tcW w:w="1020" w:type="dxa"/>
            <w:vAlign w:val="bottom"/>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80" w:type="dxa"/>
            <w:vAlign w:val="bottom"/>
            <w:gridSpan w:val="2"/>
          </w:tcPr>
          <w:p>
            <w:pPr>
              <w:spacing w:after="0" w:line="201" w:lineRule="exact"/>
              <w:rPr>
                <w:sz w:val="20"/>
                <w:szCs w:val="20"/>
                <w:color w:val="auto"/>
              </w:rPr>
            </w:pPr>
            <w:r>
              <w:rPr>
                <w:rFonts w:ascii="Arial" w:cs="Arial" w:eastAsia="Arial" w:hAnsi="Arial"/>
                <w:sz w:val="18"/>
                <w:szCs w:val="18"/>
                <w:color w:val="auto"/>
              </w:rPr>
              <w:t>Change in unrealized gains/(losses) included in earnings relating to level 3</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derivatives still held at the end of the periods</w:t>
            </w:r>
          </w:p>
        </w:tc>
        <w:tc>
          <w:tcPr>
            <w:tcW w:w="1020" w:type="dxa"/>
            <w:vAlign w:val="bottom"/>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26" w:name="page127"/>
    <w:bookmarkEnd w:id="126"/>
    <w:p>
      <w:pPr>
        <w:ind w:left="400" w:right="420" w:hanging="392"/>
        <w:spacing w:after="0" w:line="227" w:lineRule="auto"/>
        <w:tabs>
          <w:tab w:leader="none" w:pos="390" w:val="left"/>
        </w:tabs>
        <w:numPr>
          <w:ilvl w:val="0"/>
          <w:numId w:val="127"/>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Consolidated Statements of Operations as Supply and Logistics segment revenues.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third quarter of 2012, we transferred commodity derivatives with an aggregate fair value of a $14 million gain from level 3 to level 2. These derivatives consist of over the counter derivatives that were previously valued using forward prices obtained from a broker and are now being valued using unadjusted quoted prices in active markets. Our policy is to recognize transfers between levels as of the beginning of the reporting period in which the transfer occurred.</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estimate (i) income taxes in the jurisdictions in which we operate, (ii) net deferred tax assets and liabilities based on temporary differences that are expected to be recovered or settled at the enacted tax rates expected in future periods, (iii) valuation allowances for deferred tax assets and (iv) contingent tax liabilities for estimated exposures related to our current tax positions.</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2013 and 2012,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2013, 2012, and 2011 was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All of our Canadian operations are conducted within entities that are treated as corporations for Canadian tax purposes (flow through for U.S.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2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3160" w:type="dxa"/>
            <w:vAlign w:val="bottom"/>
            <w:gridSpan w:val="2"/>
          </w:tcPr>
          <w:p>
            <w:pPr>
              <w:jc w:val="right"/>
              <w:ind w:right="806"/>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tax expense</w:t>
            </w:r>
          </w:p>
        </w:tc>
        <w:tc>
          <w:tcPr>
            <w:tcW w:w="2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income tax</w:t>
            </w:r>
          </w:p>
        </w:tc>
        <w:tc>
          <w:tcPr>
            <w:tcW w:w="3160" w:type="dxa"/>
            <w:vAlign w:val="bottom"/>
            <w:gridSpan w:val="2"/>
            <w:shd w:val="clear" w:color="auto" w:fill="CCEEFF"/>
          </w:tcPr>
          <w:p>
            <w:pPr>
              <w:jc w:val="right"/>
              <w:ind w:right="80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deferred tax (benefit)/expense</w:t>
            </w:r>
          </w:p>
        </w:tc>
        <w:tc>
          <w:tcPr>
            <w:tcW w:w="22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CEEFF"/>
          </w:tcPr>
          <w:p>
            <w:pPr>
              <w:spacing w:after="0"/>
              <w:rPr>
                <w:sz w:val="18"/>
                <w:szCs w:val="18"/>
                <w:color w:val="auto"/>
              </w:rPr>
            </w:pPr>
          </w:p>
        </w:tc>
        <w:tc>
          <w:tcPr>
            <w:tcW w:w="22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Total income tax expense</w:t>
            </w:r>
          </w:p>
        </w:tc>
        <w:tc>
          <w:tcPr>
            <w:tcW w:w="2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160" w:type="dxa"/>
            <w:vAlign w:val="bottom"/>
            <w:gridSpan w:val="2"/>
          </w:tcPr>
          <w:p>
            <w:pPr>
              <w:jc w:val="right"/>
              <w:ind w:right="1646"/>
              <w:spacing w:after="0"/>
              <w:rPr>
                <w:sz w:val="20"/>
                <w:szCs w:val="20"/>
                <w:color w:val="auto"/>
              </w:rPr>
            </w:pPr>
            <w:r>
              <w:rPr>
                <w:rFonts w:ascii="Arial" w:cs="Arial" w:eastAsia="Arial" w:hAnsi="Arial"/>
                <w:sz w:val="18"/>
                <w:szCs w:val="18"/>
                <w:color w:val="auto"/>
              </w:rPr>
              <w:t>F-38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difference between tax expense based on the statutory federal income tax rate and our effective tax expense is summarized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Partnership earnings not subject to current Canadian tax</w:t>
            </w: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Canadian federal and provincial corporate tax rate</w:t>
            </w:r>
          </w:p>
        </w:tc>
        <w:tc>
          <w:tcPr>
            <w:tcW w:w="8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 w:lineRule="exact"/>
        <w:rPr>
          <w:sz w:val="20"/>
          <w:szCs w:val="20"/>
          <w:color w:val="auto"/>
        </w:rPr>
      </w:pPr>
    </w:p>
    <w:p>
      <w:pPr>
        <w:spacing w:after="0"/>
        <w:tabs>
          <w:tab w:leader="none" w:pos="6620" w:val="left"/>
          <w:tab w:leader="none" w:pos="7780" w:val="left"/>
          <w:tab w:leader="none" w:pos="8260" w:val="left"/>
          <w:tab w:leader="none" w:pos="9420" w:val="left"/>
          <w:tab w:leader="none" w:pos="9880" w:val="left"/>
          <w:tab w:leader="none" w:pos="11060" w:val="left"/>
        </w:tabs>
        <w:rPr>
          <w:sz w:val="20"/>
          <w:szCs w:val="20"/>
          <w:color w:val="auto"/>
        </w:rPr>
      </w:pPr>
      <w:r>
        <w:rPr>
          <w:rFonts w:ascii="Arial" w:cs="Arial" w:eastAsia="Arial" w:hAnsi="Arial"/>
          <w:sz w:val="18"/>
          <w:szCs w:val="18"/>
          <w:color w:val="auto"/>
        </w:rPr>
        <w:t>Canadian withholding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w:t>
        <w:tab/>
        <w:t>$</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27" w:name="page128"/>
    <w:bookmarkEnd w:id="127"/>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Canadian permanent differences and rate changes</w:t>
            </w:r>
          </w:p>
        </w:tc>
        <w:tc>
          <w:tcPr>
            <w:tcW w:w="6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Deferred tax assets and liabilities are aggregated by the applicable tax paying entity and jurisdiction and presented net in “Other long-term liabilities and deferred credits” on our Consolidated Balance Sheet and result from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Book accruals in excess of current tax deductions</w:t>
            </w:r>
          </w:p>
        </w:tc>
        <w:tc>
          <w:tcPr>
            <w:tcW w:w="32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Property and equipment in excess of tax values</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(398)</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280" w:type="dxa"/>
            <w:vAlign w:val="bottom"/>
          </w:tcPr>
          <w:p>
            <w:pPr>
              <w:spacing w:after="0"/>
              <w:rPr>
                <w:sz w:val="19"/>
                <w:szCs w:val="19"/>
                <w:color w:val="auto"/>
              </w:rPr>
            </w:pP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2009 through 2013. Our U.S. and state tax years are generally open to examination from 2010 to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13—Major Customers and Concentration of Credit Risk</w:t>
      </w:r>
    </w:p>
    <w:p>
      <w:pPr>
        <w:spacing w:after="0" w:line="229"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Marathon Petroleum Corporation and its subsidiaries accounted for approximately 15% of our revenues for the year ended December 31, 2013 and approximately 16% of our revenues for each of the years ended December 31, 2012 and 2011. Exxon Mobil Corporation and its subsidiaries accounted for approximately 13%, 13% and 10% of our revenues for the years ended December 31, 2013, 2012 and 2011, respectively. Phillips 66 and its subsidiaries accounted for approximately 11% of our revenues for the year ended December 31, 2013. ConocoPhillips Company (prior to the spin-off of Phillips 66, which was effective May 1, 2012) accounted for approximately 10% of our revenues for the year ended December 31, 2011. No other customers accounted for 10% or more of our revenues during any of the three years ended December 31, 2013.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storage.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Expenses of Our General Partner and its Affiliates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or incurred on our behalf, including the costs of employee, officer and director compensation and benefits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allocable to us as well as all other expenses necessary or appropriate to the conduct of our business (other than expenses related to grants of AAP Management Units).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2013, 2012 and 2011 were $567 million, $535 million and $419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December 31, 2013, a subsidiary of Occidental Petroleum Corporation (“Oxy”) owned approximately 25% of our general partner interest and had a representative on the board of directors of GP LLC. During the three years ended December 31, 2013, we recognized sales and transportation revenues and purchased petroleum products from companies affiliated with Oxy. These transactions were conducted at posted tariff rates or prices that we believe approximate market. See detail below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 netting arrangement with Oxy. Our gross receivable and payable amounts with affiliates of Oxy were as follows (in millions):</w:t>
      </w:r>
    </w:p>
    <w:p>
      <w:pPr>
        <w:spacing w:after="0" w:line="200" w:lineRule="exact"/>
        <w:rPr>
          <w:sz w:val="20"/>
          <w:szCs w:val="20"/>
          <w:color w:val="auto"/>
        </w:rPr>
      </w:pPr>
    </w:p>
    <w:p>
      <w:pPr>
        <w:spacing w:after="0" w:line="25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63" w:orient="portrait"/>
          <w:cols w:equalWidth="0" w:num="1">
            <w:col w:w="11420"/>
          </w:cols>
          <w:pgMar w:left="240" w:top="125" w:right="239" w:bottom="0" w:gutter="0" w:footer="0" w:header="0"/>
        </w:sectPr>
      </w:pPr>
    </w:p>
    <w:p>
      <w:pPr>
        <w:spacing w:after="0" w:line="9" w:lineRule="exact"/>
        <w:rPr>
          <w:sz w:val="20"/>
          <w:szCs w:val="20"/>
          <w:color w:val="auto"/>
        </w:rPr>
      </w:pPr>
    </w:p>
    <w:p>
      <w:pPr>
        <w:spacing w:after="0"/>
        <w:tabs>
          <w:tab w:leader="none" w:pos="8280" w:val="left"/>
          <w:tab w:leader="none" w:pos="9380" w:val="left"/>
          <w:tab w:leader="none" w:pos="9940" w:val="left"/>
          <w:tab w:leader="none" w:pos="11020" w:val="left"/>
        </w:tabs>
        <w:rPr>
          <w:sz w:val="20"/>
          <w:szCs w:val="20"/>
          <w:color w:val="auto"/>
        </w:rPr>
      </w:pPr>
      <w:r>
        <w:rPr>
          <w:rFonts w:ascii="Arial" w:cs="Arial" w:eastAsia="Arial" w:hAnsi="Arial"/>
          <w:sz w:val="18"/>
          <w:szCs w:val="18"/>
          <w:color w:val="auto"/>
        </w:rPr>
        <w:t>Trade accounts receivable and other receivables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133</w:t>
        <w:tab/>
        <w:t>$</w:t>
      </w:r>
      <w:r>
        <w:rPr>
          <w:sz w:val="20"/>
          <w:szCs w:val="20"/>
          <w:color w:val="auto"/>
        </w:rPr>
        <w:tab/>
      </w:r>
      <w:r>
        <w:rPr>
          <w:rFonts w:ascii="Arial" w:cs="Arial" w:eastAsia="Arial" w:hAnsi="Arial"/>
          <w:sz w:val="16"/>
          <w:szCs w:val="16"/>
          <w:color w:val="auto"/>
        </w:rPr>
        <w:t>231</w:t>
      </w:r>
    </w:p>
    <w:p>
      <w:pPr>
        <w:sectPr>
          <w:pgSz w:w="11900" w:h="16863" w:orient="portrait"/>
          <w:cols w:equalWidth="0" w:num="1">
            <w:col w:w="11420"/>
          </w:cols>
          <w:pgMar w:left="240" w:top="125" w:right="239" w:bottom="0" w:gutter="0" w:footer="0" w:header="0"/>
          <w:type w:val="continuous"/>
        </w:sectPr>
      </w:pPr>
    </w:p>
    <w:bookmarkStart w:id="128" w:name="page129"/>
    <w:bookmarkEnd w:id="128"/>
    <w:p>
      <w:pPr>
        <w:spacing w:after="0"/>
        <w:tabs>
          <w:tab w:leader="none" w:pos="8280" w:val="left"/>
          <w:tab w:leader="none" w:pos="9380" w:val="left"/>
          <w:tab w:leader="none" w:pos="9940" w:val="left"/>
          <w:tab w:leader="none" w:pos="1102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181</w:t>
        <w:tab/>
        <w:t>$</w:t>
      </w:r>
      <w:r>
        <w:rPr>
          <w:sz w:val="20"/>
          <w:szCs w:val="20"/>
          <w:color w:val="auto"/>
        </w:rPr>
        <w:tab/>
      </w: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also have transactions with companies in which we hold an investment accounted for under the equity method of accounting (see Note 2 for information related to these investments). We recorded revenues of approximately $33 million and $18 million during the years ended December 31, 2013 and 2012, respectively, primarily associated with sales of crude oil to Eagle Ford Pipeline LLC for its linefill requirements. These sales did not result in any gain for us. Revenues from transactions with our equity method investees in 2011 were immaterial. During the three years ended December 31, 2013, we utilized transportation services provided by these companies. Costs related to these services totaled approximately $79 million, $42 million and $33 million for the years ended December 31, 2013, 2012 and 2011, respectively. These transactions were conducted at posted tariff rates or contracted rates or prices that we believe approximate market. Receivables from our equity method investees totaled approximately $2 million and $8 million at December 31, 2013 and 2012, respectively. Accounts payable to our equity method investees at December 31, 2013 and 2012 were approximately $6 million and $4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our common unitholders approved the Plains All American 2013 Long-Term Incentive Plan (the “PAA 2013 LTIP”), which consolidated our three previous long-term incentive plans (the Plains All American GP LLC 1998 Long-Term Incentive Plan, as amended, the Plains All American 2005 Long-Term Incentive Plan, as amended, and the Plains All American PPX Successor Long-Term Incentive Plan, as amended) into a single plan. The PAA 2013 LTIP authorizes the issuance of an aggregate of approximately 13.1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Plains All American PNG Successor Long-Term Incentive Plan</w:t>
      </w:r>
      <w:r>
        <w:rPr>
          <w:rFonts w:ascii="Arial" w:cs="Arial" w:eastAsia="Arial" w:hAnsi="Arial"/>
          <w:sz w:val="16"/>
          <w:szCs w:val="16"/>
          <w:color w:val="auto"/>
        </w:rPr>
        <w:t>. In conjunction with the PNG Merger on December 31, 2013, our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and assumed the PAA Natural Gas Storage, L.P. 2010 Long-Term Incentive Plan (the “PNG 2010 LTIP”) and changed the plan name to the Plains All American PNG Successor Long-Term Incentive Plan (the “PNG Successor LTIP”). Additionally, as a result of the PNG Merger, outstanding awards of PNG phantom units issued under the PNG 2010 LTIP were converted into comparable awards of phantom units representing the right to receive PAA common units by applying the Merger Exchange Ratio to each outstanding phantom unit and rounding down to the nearest PAA phantom unit for any fractions. See Note 10 for further discussion of the PNG Merger. The PNG Successor LTIP authorizes the issuance of an aggregate of 1.3 million PAA common units deliverable upon vesting. Although other types of awards are contemplated under the PNG Successor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Our general partner has adopted the Plains All American GP LLC 2006</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Tracking Unit Plan (the “2006 Plan”) for non-officer employees. The 2006 Plan authorizes the grant of approximately 4.2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general partner is entitled to reimbursement by us for any costs incurred in settling obligations under the PAA 2013 LTIP, the PNG Successor LTIP or the 2006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2013, the following LTIP awards, denominated in PAA units, were outstanding (units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LTIP Units</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PAA</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Estimated Unit Vesting Date</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gridSpan w:val="2"/>
            <w:vMerge w:val="continue"/>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Distribution</w:t>
            </w: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 xml:space="preserve">Outstanding </w:t>
            </w:r>
            <w:r>
              <w:rPr>
                <w:rFonts w:ascii="Arial" w:cs="Arial" w:eastAsia="Arial" w:hAnsi="Arial"/>
                <w:sz w:val="8"/>
                <w:szCs w:val="8"/>
                <w:b w:val="1"/>
                <w:bCs w:val="1"/>
                <w:color w:val="auto"/>
                <w:w w:val="94"/>
              </w:rPr>
              <w:t>(1) (2)</w:t>
            </w:r>
          </w:p>
        </w:tc>
        <w:tc>
          <w:tcPr>
            <w:tcW w:w="16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 xml:space="preserve">Required </w:t>
            </w:r>
            <w:r>
              <w:rPr>
                <w:rFonts w:ascii="Arial" w:cs="Arial" w:eastAsia="Arial" w:hAnsi="Arial"/>
                <w:sz w:val="8"/>
                <w:szCs w:val="8"/>
                <w:b w:val="1"/>
                <w:bCs w:val="1"/>
                <w:color w:val="auto"/>
                <w:w w:val="96"/>
              </w:rPr>
              <w:t>(3)</w:t>
            </w:r>
          </w:p>
        </w:tc>
        <w:tc>
          <w:tcPr>
            <w:tcW w:w="140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40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2015</w:t>
            </w:r>
          </w:p>
        </w:tc>
        <w:tc>
          <w:tcPr>
            <w:tcW w:w="162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40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40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$1.925 - $2.65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652"/>
        <w:spacing w:after="0" w:line="227" w:lineRule="auto"/>
        <w:tabs>
          <w:tab w:leader="none" w:pos="648" w:val="left"/>
        </w:tabs>
        <w:numPr>
          <w:ilvl w:val="0"/>
          <w:numId w:val="128"/>
        </w:numPr>
        <w:rPr>
          <w:rFonts w:ascii="Arial" w:cs="Arial" w:eastAsia="Arial" w:hAnsi="Arial"/>
          <w:sz w:val="23"/>
          <w:szCs w:val="23"/>
          <w:color w:val="auto"/>
          <w:vertAlign w:val="superscript"/>
        </w:rPr>
      </w:pPr>
      <w:r>
        <w:rPr>
          <w:rFonts w:ascii="Arial" w:cs="Arial" w:eastAsia="Arial" w:hAnsi="Arial"/>
          <w:sz w:val="18"/>
          <w:szCs w:val="18"/>
          <w:color w:val="auto"/>
        </w:rPr>
        <w:t>Approximately 4.5 million of the 8.4 million outstanding PAA LTIP awards also include DERs, of which 3.0 million had vested as of December 31, 2013.</w:t>
      </w:r>
    </w:p>
    <w:p>
      <w:pPr>
        <w:spacing w:after="0" w:line="168" w:lineRule="exact"/>
        <w:rPr>
          <w:rFonts w:ascii="Arial" w:cs="Arial" w:eastAsia="Arial" w:hAnsi="Arial"/>
          <w:sz w:val="23"/>
          <w:szCs w:val="23"/>
          <w:color w:val="auto"/>
          <w:vertAlign w:val="superscript"/>
        </w:rPr>
      </w:pPr>
    </w:p>
    <w:p>
      <w:pPr>
        <w:ind w:left="680" w:hanging="627"/>
        <w:spacing w:after="0"/>
        <w:tabs>
          <w:tab w:leader="none" w:pos="680" w:val="left"/>
        </w:tabs>
        <w:numPr>
          <w:ilvl w:val="1"/>
          <w:numId w:val="128"/>
        </w:numPr>
        <w:rPr>
          <w:rFonts w:ascii="Arial" w:cs="Arial" w:eastAsia="Arial" w:hAnsi="Arial"/>
          <w:sz w:val="23"/>
          <w:szCs w:val="23"/>
          <w:color w:val="auto"/>
          <w:vertAlign w:val="superscript"/>
        </w:rPr>
      </w:pPr>
      <w:r>
        <w:rPr>
          <w:rFonts w:ascii="Arial" w:cs="Arial" w:eastAsia="Arial" w:hAnsi="Arial"/>
          <w:sz w:val="18"/>
          <w:szCs w:val="18"/>
          <w:color w:val="auto"/>
        </w:rPr>
        <w:t>LTIP units outstanding do not include AAP Management Units.</w:t>
      </w:r>
    </w:p>
    <w:p>
      <w:pPr>
        <w:spacing w:after="0" w:line="201" w:lineRule="exact"/>
        <w:rPr>
          <w:rFonts w:ascii="Arial" w:cs="Arial" w:eastAsia="Arial" w:hAnsi="Arial"/>
          <w:sz w:val="23"/>
          <w:szCs w:val="23"/>
          <w:color w:val="auto"/>
          <w:vertAlign w:val="superscript"/>
        </w:rPr>
      </w:pPr>
    </w:p>
    <w:p>
      <w:pPr>
        <w:ind w:left="700" w:hanging="647"/>
        <w:spacing w:after="0" w:line="273" w:lineRule="auto"/>
        <w:tabs>
          <w:tab w:leader="none" w:pos="688" w:val="left"/>
        </w:tabs>
        <w:numPr>
          <w:ilvl w:val="1"/>
          <w:numId w:val="128"/>
        </w:numPr>
        <w:rPr>
          <w:rFonts w:ascii="Arial" w:cs="Arial" w:eastAsia="Arial" w:hAnsi="Arial"/>
          <w:sz w:val="21"/>
          <w:szCs w:val="21"/>
          <w:color w:val="auto"/>
          <w:vertAlign w:val="superscript"/>
        </w:rPr>
      </w:pPr>
      <w:r>
        <w:rPr>
          <w:rFonts w:ascii="Arial" w:cs="Arial" w:eastAsia="Arial" w:hAnsi="Arial"/>
          <w:sz w:val="16"/>
          <w:szCs w:val="16"/>
          <w:color w:val="auto"/>
        </w:rPr>
        <w:t>These LTIP awards have performance conditions requiring the attainment of an annualized PAA distribution of between $1.925 and $2.65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w:t>
      </w:r>
    </w:p>
    <w:p>
      <w:pPr>
        <w:spacing w:after="0" w:line="17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w:t>
      </w:r>
    </w:p>
    <w:p>
      <w:pPr>
        <w:sectPr>
          <w:pgSz w:w="11900" w:h="16838" w:orient="portrait"/>
          <w:cols w:equalWidth="0" w:num="1">
            <w:col w:w="11400"/>
          </w:cols>
          <w:pgMar w:left="240" w:top="341" w:right="259" w:bottom="0" w:gutter="0" w:footer="0" w:header="0"/>
        </w:sectPr>
      </w:pPr>
    </w:p>
    <w:bookmarkStart w:id="129" w:name="page130"/>
    <w:bookmarkEnd w:id="129"/>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award recipients. The fair value of equity-classified LTIP awards is calculated based on the closing market price of the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LTIP awards typically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as if we had been accruing for these awards since the grant date. DER awards typically contain performance conditions based on the attainment of certain annualized distribution levels and become earned upon the attainment of such levels. The DERs terminate with the vesting or forfeiture of the underlying LTIP award. For liability-classified awards, we recognize DER payments in the period the payment is earned as compensation expense. For equity-classified awards, we recognize DER payments in the period it is paid as a reduction of partners’ capital.</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accrued liability at December 31, 2013 related to all outstanding liability-classified LTIP awards and DERs is approximately $98 million, of which approximately $43 million was classified as short-term and approximately $55 million was classified as long-term. These short- and long-term accrued LTIP liabilities are reflected in “Accounts payable and accrued liabilities” and “Other long-term liabilities and deferred credits,” respectively, on our Consolidated Balance Sheet. These liabilities include accruals associated with our assessments that an annualized distribution of $2.75 was probable of occurring. At December 31, 2012, the accrued liability was approximately $90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Equity-indexed compensation activity for LTIP awards is summarized in the following table (units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gridSpan w:val="5"/>
          </w:tcPr>
          <w:p>
            <w:pPr>
              <w:jc w:val="right"/>
              <w:ind w:right="1460"/>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(3)</w:t>
            </w:r>
          </w:p>
        </w:tc>
        <w:tc>
          <w:tcPr>
            <w:tcW w:w="3340" w:type="dxa"/>
            <w:vAlign w:val="bottom"/>
            <w:gridSpan w:val="7"/>
          </w:tcPr>
          <w:p>
            <w:pPr>
              <w:ind w:left="1160"/>
              <w:spacing w:after="0"/>
              <w:rPr>
                <w:sz w:val="20"/>
                <w:szCs w:val="20"/>
                <w:color w:val="auto"/>
              </w:rPr>
            </w:pPr>
            <w:r>
              <w:rPr>
                <w:rFonts w:ascii="Arial" w:cs="Arial" w:eastAsia="Arial" w:hAnsi="Arial"/>
                <w:sz w:val="14"/>
                <w:szCs w:val="14"/>
                <w:b w:val="1"/>
                <w:bCs w:val="1"/>
                <w:color w:val="auto"/>
              </w:rPr>
              <w:t xml:space="preserve">PNG Units </w:t>
            </w:r>
            <w:r>
              <w:rPr>
                <w:rFonts w:ascii="Arial" w:cs="Arial" w:eastAsia="Arial" w:hAnsi="Arial"/>
                <w:sz w:val="8"/>
                <w:szCs w:val="8"/>
                <w:b w:val="1"/>
                <w:bCs w:val="1"/>
                <w:color w:val="auto"/>
              </w:rPr>
              <w:t>(2) (4)</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3"/>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3"/>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Fair Value per Unit</w:t>
            </w:r>
          </w:p>
        </w:tc>
        <w:tc>
          <w:tcPr>
            <w:tcW w:w="1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2010</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87"/>
              </w:rPr>
              <w:t>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87"/>
              </w:rPr>
              <w:t>1.0</w:t>
            </w:r>
          </w:p>
        </w:tc>
        <w:tc>
          <w:tcPr>
            <w:tcW w:w="3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27.53</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20.99</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87"/>
              </w:rPr>
              <w:t>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87"/>
              </w:rPr>
              <w:t>1.5</w:t>
            </w:r>
          </w:p>
        </w:tc>
        <w:tc>
          <w:tcPr>
            <w:tcW w:w="3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33.90</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15.33</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29.36</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2012</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87"/>
              </w:rPr>
              <w:t>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47.60</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17.51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24.79</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Cancelled or forfeited </w:t>
            </w:r>
            <w:r>
              <w:rPr>
                <w:rFonts w:ascii="Arial" w:cs="Arial" w:eastAsia="Arial" w:hAnsi="Arial"/>
                <w:sz w:val="23"/>
                <w:szCs w:val="23"/>
                <w:color w:val="auto"/>
                <w:vertAlign w:val="superscript"/>
              </w:rPr>
              <w:t>(5)</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36.70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PNG unit-denominated awards into PAA</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unit-denominated awards </w:t>
            </w:r>
            <w:r>
              <w:rPr>
                <w:rFonts w:ascii="Arial" w:cs="Arial" w:eastAsia="Arial" w:hAnsi="Arial"/>
                <w:sz w:val="23"/>
                <w:szCs w:val="23"/>
                <w:color w:val="auto"/>
                <w:vertAlign w:val="superscript"/>
              </w:rPr>
              <w:t>(6)</w:t>
            </w:r>
          </w:p>
        </w:tc>
        <w:tc>
          <w:tcPr>
            <w:tcW w:w="4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7"/>
              </w:rPr>
              <w:t>0.4</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40.54</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Outstanding, December 31, 2013</w:t>
            </w: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87"/>
              </w:rPr>
              <w:t>8.4</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8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PNG Transaction Grants, which are discussed further below.</w:t>
      </w:r>
    </w:p>
    <w:p>
      <w:pPr>
        <w:spacing w:after="0" w:line="225" w:lineRule="exact"/>
        <w:rPr>
          <w:sz w:val="20"/>
          <w:szCs w:val="20"/>
          <w:color w:val="auto"/>
        </w:rPr>
      </w:pPr>
    </w:p>
    <w:p>
      <w:pPr>
        <w:ind w:left="20" w:right="220" w:hanging="11"/>
        <w:spacing w:after="0" w:line="286" w:lineRule="auto"/>
        <w:rPr>
          <w:sz w:val="20"/>
          <w:szCs w:val="20"/>
          <w:color w:val="auto"/>
        </w:rPr>
      </w:pPr>
      <w:r>
        <w:rPr>
          <w:rFonts w:ascii="Arial" w:cs="Arial" w:eastAsia="Arial" w:hAnsi="Arial"/>
          <w:sz w:val="17"/>
          <w:szCs w:val="17"/>
          <w:color w:val="auto"/>
        </w:rPr>
        <w:t>Approximately 0.5 million, 1.0 million, and 0.5 million PAA common units were issued net of tax withholding of approximately 0.3 million, 0.5 million and 0.2 million units, in 2013, 2012, and 2011 respectively, in connection with the settlement of vested awards. The remaining 1.0 million, 1.7 million and 0.8 million of awards that vested during 2013, 2012 and 2011 respectively, were settled in cash.</w:t>
      </w:r>
    </w:p>
    <w:p>
      <w:pPr>
        <w:spacing w:after="0" w:line="166" w:lineRule="exact"/>
        <w:rPr>
          <w:sz w:val="20"/>
          <w:szCs w:val="20"/>
          <w:color w:val="auto"/>
        </w:rPr>
      </w:pPr>
    </w:p>
    <w:p>
      <w:pPr>
        <w:sectPr>
          <w:pgSz w:w="11900" w:h="16884" w:orient="portrait"/>
          <w:cols w:equalWidth="0" w:num="2">
            <w:col w:w="140" w:space="500"/>
            <w:col w:w="1078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0.1 million PNG units vested during each of the years ended December 31, 2013 and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PNG Merger on December 31, 2013, approximately 0.3 million outstanding PNG Transaction Grants were cancelled.</w:t>
      </w:r>
    </w:p>
    <w:p>
      <w:pPr>
        <w:spacing w:after="0" w:line="237" w:lineRule="exact"/>
        <w:rPr>
          <w:sz w:val="20"/>
          <w:szCs w:val="20"/>
          <w:color w:val="auto"/>
        </w:rPr>
      </w:pPr>
    </w:p>
    <w:p>
      <w:pPr>
        <w:jc w:val="both"/>
        <w:ind w:left="20" w:right="180" w:hanging="11"/>
        <w:spacing w:after="0" w:line="264" w:lineRule="auto"/>
        <w:rPr>
          <w:sz w:val="20"/>
          <w:szCs w:val="20"/>
          <w:color w:val="auto"/>
        </w:rPr>
      </w:pPr>
      <w:r>
        <w:rPr>
          <w:rFonts w:ascii="Arial" w:cs="Arial" w:eastAsia="Arial" w:hAnsi="Arial"/>
          <w:sz w:val="18"/>
          <w:szCs w:val="18"/>
          <w:color w:val="auto"/>
        </w:rPr>
        <w:t>As a result of the PNG Merger on December 31, 2013, outstanding awards of PNG phantom units were converted into comparable awards of PAA phantom units representing the right to receive PAA common units by applying the Merger Exchange Ratio to each outstanding PNG phantom unit and rounding down to the nearest PAA phantom unit for any fractions.</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84"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PNG Transaction Grants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connection with the IPO of PNG in 2010, we created a plan based on PNG equity. In September 2010, we entered into agreements with certain of our officers, pursuant to which these officers acquired, in equal proportion, phantom common units, phantom series A subordinated units, and phantom series B subordinated units representing a portion of the limited partner interest of PNG issued to us in connection with PNG’s IPO. The phantom common units vested in equal one-half increments in May 2011 and May 2012. The unvested portion of these grants were surrendered on December 31, 2013 in connection with the closing of the PNG Merger.</w:t>
      </w:r>
    </w:p>
    <w:p>
      <w:pPr>
        <w:sectPr>
          <w:pgSz w:w="11900" w:h="16884" w:orient="portrait"/>
          <w:cols w:equalWidth="0" w:num="1">
            <w:col w:w="11420"/>
          </w:cols>
          <w:pgMar w:left="240" w:top="125" w:right="239"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August 2007, the owners of our general partner authorized the issuance of AAP Management Units in order to provide additional performance incentives and encourage retention for certain members of our senior management. AAP Management Units become earned in various increments upon the achievement of PAA distribution levels of between $1.75 and $2.85 (or in some cases, within 180 days thereafter). When earned, the AAP Management Units are entitled to participate in distributions paid by our general partner in excess of $11 million (as adjusted for debt service costs and excluding special distributions funded by debt) per quarter. Up to approximately 52.1 million AAP Management Units are authorized for issuance. Assuming all 52.1 million AAP Management Units were granted and earned, the maximum participation would be approximately 8% of our general partner’s distribution in excess of $11 million (as adjusted) each quarter.</w:t>
      </w:r>
    </w:p>
    <w:p>
      <w:pPr>
        <w:spacing w:after="0" w:line="18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As a result of the recapitalization of our general partner in connection with the IPO of PAGP on October 21, 2013, the number of AAP Management Units reserved for future grants, outstanding and earned were adjusted on a proportionate basis. The adjustment did not result in a change in vesting criteria, service period, or total grant date fair value. This adjustment is reflected retrospectively in the following summary of AAP Management Units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Reserved for Future</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Outstanding Units</w:t>
            </w:r>
          </w:p>
        </w:tc>
        <w:tc>
          <w:tcPr>
            <w:tcW w:w="180" w:type="dxa"/>
            <w:vAlign w:val="bottom"/>
          </w:tcPr>
          <w:p>
            <w:pPr>
              <w:spacing w:after="0"/>
              <w:rPr>
                <w:sz w:val="14"/>
                <w:szCs w:val="14"/>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Outstanding</w:t>
            </w:r>
          </w:p>
        </w:tc>
        <w:tc>
          <w:tcPr>
            <w:tcW w:w="1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Fair Value Of Outstanding AAP</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Grants</w:t>
            </w:r>
          </w:p>
        </w:tc>
        <w:tc>
          <w:tcPr>
            <w:tcW w:w="1620" w:type="dxa"/>
            <w:vAlign w:val="bottom"/>
            <w:gridSpan w:val="2"/>
            <w:vMerge w:val="continue"/>
          </w:tcPr>
          <w:p>
            <w:pPr>
              <w:spacing w:after="0"/>
              <w:rPr>
                <w:sz w:val="14"/>
                <w:szCs w:val="14"/>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Earned</w:t>
            </w:r>
          </w:p>
        </w:tc>
        <w:tc>
          <w:tcPr>
            <w:tcW w:w="180" w:type="dxa"/>
            <w:vAlign w:val="bottom"/>
          </w:tcPr>
          <w:p>
            <w:pPr>
              <w:spacing w:after="0"/>
              <w:rPr>
                <w:sz w:val="14"/>
                <w:szCs w:val="14"/>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Management Units </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Forfeitures</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22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24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9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N/A</w:t>
            </w:r>
          </w:p>
        </w:tc>
        <w:tc>
          <w:tcPr>
            <w:tcW w:w="16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6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 2012</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Granted</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Earned</w:t>
            </w:r>
          </w:p>
        </w:tc>
        <w:tc>
          <w:tcPr>
            <w:tcW w:w="1940" w:type="dxa"/>
            <w:vAlign w:val="bottom"/>
            <w:gridSpan w:val="2"/>
          </w:tcPr>
          <w:p>
            <w:pPr>
              <w:ind w:left="140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2"/>
          </w:tcPr>
          <w:p>
            <w:pPr>
              <w:ind w:left="20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700" w:right="160" w:hanging="692"/>
        <w:spacing w:after="0" w:line="234" w:lineRule="auto"/>
        <w:tabs>
          <w:tab w:leader="none" w:pos="734" w:val="left"/>
        </w:tabs>
        <w:numPr>
          <w:ilvl w:val="0"/>
          <w:numId w:val="129"/>
        </w:numPr>
        <w:rPr>
          <w:rFonts w:ascii="Arial" w:cs="Arial" w:eastAsia="Arial" w:hAnsi="Arial"/>
          <w:sz w:val="23"/>
          <w:szCs w:val="23"/>
          <w:color w:val="auto"/>
          <w:vertAlign w:val="superscript"/>
        </w:rPr>
      </w:pPr>
      <w:r>
        <w:rPr>
          <w:rFonts w:ascii="Arial" w:cs="Arial" w:eastAsia="Arial" w:hAnsi="Arial"/>
          <w:sz w:val="18"/>
          <w:szCs w:val="18"/>
          <w:color w:val="auto"/>
        </w:rPr>
        <w:t>Of the grant date fair value, approximately $5 million, $6 million and $9 million was recognized as expense during the years ended December 31, 2013, 2012 and 2011, respectively. Of the $51 million grant date fair value, approximately $49 million had been recognized through December 31, 2013.</w:t>
      </w:r>
    </w:p>
    <w:p>
      <w:pPr>
        <w:spacing w:after="0" w:line="20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entire economic burden of the AAP Management Units, which are equity classified, is borne solely by AAP and does not impact our cash or units outstanding. However, because the intent of the AAP Management Units is to provide a performance incentive and encourage retention for certain members of our senior management, we recognize the grant date fair value of the AAP Management Units as compensation expense over the service period. The expense is also reflected as a capital contribution and thus, results in a corresponding credit to partners’ capital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Information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the “Equity-indexed compensation plans.” The table below summarizes the expense recognized and the value of vesting (settled both in units and cash) related to our equity-indexed compensation plans and includes both liability-classified and equity- classified awards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7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line="216" w:lineRule="exact"/>
              <w:rPr>
                <w:sz w:val="20"/>
                <w:szCs w:val="20"/>
                <w:color w:val="auto"/>
              </w:rPr>
            </w:pPr>
            <w:r>
              <w:rPr>
                <w:rFonts w:ascii="Arial" w:cs="Arial" w:eastAsia="Arial" w:hAnsi="Arial"/>
                <w:sz w:val="18"/>
                <w:szCs w:val="18"/>
                <w:color w:val="auto"/>
              </w:rPr>
              <w:t xml:space="preserve">LTIP unit-settled vestings </w:t>
            </w:r>
            <w:r>
              <w:rPr>
                <w:rFonts w:ascii="Arial" w:cs="Arial" w:eastAsia="Arial" w:hAnsi="Arial"/>
                <w:sz w:val="23"/>
                <w:szCs w:val="23"/>
                <w:color w:val="auto"/>
                <w:vertAlign w:val="superscript"/>
              </w:rPr>
              <w:t>(1)</w:t>
            </w:r>
          </w:p>
        </w:tc>
        <w:tc>
          <w:tcPr>
            <w:tcW w:w="27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272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DER cash payments</w:t>
            </w:r>
          </w:p>
        </w:tc>
        <w:tc>
          <w:tcPr>
            <w:tcW w:w="27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700" w:right="180" w:hanging="692"/>
        <w:spacing w:after="0" w:line="227" w:lineRule="auto"/>
        <w:tabs>
          <w:tab w:leader="none" w:pos="683" w:val="left"/>
        </w:tabs>
        <w:numPr>
          <w:ilvl w:val="0"/>
          <w:numId w:val="130"/>
        </w:numPr>
        <w:rPr>
          <w:rFonts w:ascii="Arial" w:cs="Arial" w:eastAsia="Arial" w:hAnsi="Arial"/>
          <w:sz w:val="23"/>
          <w:szCs w:val="23"/>
          <w:color w:val="auto"/>
          <w:vertAlign w:val="superscript"/>
        </w:rPr>
      </w:pPr>
      <w:r>
        <w:rPr>
          <w:rFonts w:ascii="Arial" w:cs="Arial" w:eastAsia="Arial" w:hAnsi="Arial"/>
          <w:sz w:val="18"/>
          <w:szCs w:val="18"/>
          <w:color w:val="auto"/>
        </w:rPr>
        <w:t>For the years ended December 31, 2013, 2012 and 2011, less than $1 million, approximately $1 million and $2 million, respectively, relates to unit vestings which were settled with PNG common units.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on the December 31, 2013 fair value measurement and probability assessment regarding future distributions, we expect to recognize approximately $193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71"/>
        </w:trPr>
        <w:tc>
          <w:tcPr>
            <w:tcW w:w="8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 (2)</w:t>
            </w:r>
          </w:p>
        </w:tc>
        <w:tc>
          <w:tcPr>
            <w:tcW w:w="0" w:type="dxa"/>
            <w:vAlign w:val="bottom"/>
          </w:tcPr>
          <w:p>
            <w:pPr>
              <w:spacing w:after="0"/>
              <w:rPr>
                <w:sz w:val="1"/>
                <w:szCs w:val="1"/>
                <w:color w:val="auto"/>
              </w:rPr>
            </w:pPr>
          </w:p>
        </w:tc>
      </w:tr>
      <w:tr>
        <w:trPr>
          <w:trHeight w:val="210"/>
        </w:trPr>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140" w:hanging="647"/>
        <w:spacing w:after="0" w:line="227" w:lineRule="auto"/>
        <w:tabs>
          <w:tab w:leader="none" w:pos="688" w:val="left"/>
        </w:tabs>
        <w:numPr>
          <w:ilvl w:val="0"/>
          <w:numId w:val="131"/>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2013.</w:t>
      </w:r>
    </w:p>
    <w:p>
      <w:pPr>
        <w:sectPr>
          <w:pgSz w:w="11900" w:h="16838" w:orient="portrait"/>
          <w:cols w:equalWidth="0" w:num="1">
            <w:col w:w="11420"/>
          </w:cols>
          <w:pgMar w:left="240" w:top="341" w:right="239" w:bottom="0" w:gutter="0" w:footer="0" w:header="0"/>
        </w:sectPr>
      </w:pPr>
    </w:p>
    <w:bookmarkStart w:id="131" w:name="page132"/>
    <w:bookmarkEnd w:id="131"/>
    <w:p>
      <w:pPr>
        <w:ind w:left="680" w:hanging="627"/>
        <w:spacing w:after="0"/>
        <w:tabs>
          <w:tab w:leader="none" w:pos="680" w:val="left"/>
        </w:tabs>
        <w:numPr>
          <w:ilvl w:val="0"/>
          <w:numId w:val="132"/>
        </w:numPr>
        <w:rPr>
          <w:rFonts w:ascii="Arial" w:cs="Arial" w:eastAsia="Arial" w:hAnsi="Arial"/>
          <w:sz w:val="23"/>
          <w:szCs w:val="23"/>
          <w:color w:val="auto"/>
          <w:vertAlign w:val="superscript"/>
        </w:rPr>
      </w:pPr>
      <w:r>
        <w:rPr>
          <w:rFonts w:ascii="Arial" w:cs="Arial" w:eastAsia="Arial" w:hAnsi="Arial"/>
          <w:sz w:val="18"/>
          <w:szCs w:val="18"/>
          <w:color w:val="auto"/>
        </w:rPr>
        <w:t>Includes unamortized fair value associated with AAP Management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Expenditures related to leases for 2013, 2012 and 2011 were approximately $132 million, $102 million and $60 million, respectively. We have commitments, some of which are leases, related to real property, equipment and operating facilities. We also incur costs associated with leased land, rights-of-way, permits and regulatory fees. Future non-cancelable commitments related to these items at December 31, 2013, are summarized below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940" w:type="dxa"/>
            <w:vAlign w:val="bottom"/>
          </w:tcPr>
          <w:p>
            <w:pPr>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r>
      <w:tr>
        <w:trPr>
          <w:trHeight w:val="210"/>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15"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capital and operating leases as defined by the FASB guidance.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Primarily includes third-party storage and transportation agreements and pipeline throughput agreements.</w:t>
      </w:r>
    </w:p>
    <w:p>
      <w:pPr>
        <w:spacing w:after="0" w:line="200" w:lineRule="exact"/>
        <w:rPr>
          <w:sz w:val="20"/>
          <w:szCs w:val="20"/>
          <w:color w:val="auto"/>
        </w:rPr>
      </w:pPr>
    </w:p>
    <w:p>
      <w:pPr>
        <w:sectPr>
          <w:pgSz w:w="11900" w:h="16838" w:orient="portrait"/>
          <w:cols w:equalWidth="0" w:num="2">
            <w:col w:w="140" w:space="500"/>
            <w:col w:w="10780"/>
          </w:cols>
          <w:pgMar w:left="240" w:top="91" w:right="239" w:bottom="15"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Pemex Exploración y Producción v. Big Star Gathering Ltd L.L.P. et al. </w:t>
      </w:r>
      <w:r>
        <w:rPr>
          <w:rFonts w:ascii="Arial" w:cs="Arial" w:eastAsia="Arial" w:hAnsi="Arial"/>
          <w:sz w:val="16"/>
          <w:szCs w:val="16"/>
          <w:color w:val="auto"/>
        </w:rPr>
        <w:t>In two cases filed in the Texas Southern District Court in May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April 2012 lawsuit. In October 2013, the Court issued an order in the May 2011 lawsuit granting summary judgment in favor of Plains Marketing, L.P. with respect to all of PEP’s remaining claims against Plains Marketing, L.P. In February 2014, the Court affirmed its order granting summary judgment in favor of Plains Marketing, L.P., denied PEP’s motion for reconsideration, and issued a judgment dismissing all claims against Plains. PEP has the right to appeal such rulings.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i w:val="1"/>
          <w:iCs w:val="1"/>
          <w:color w:val="auto"/>
        </w:rPr>
        <w:t xml:space="preserve">PNG Merger. </w:t>
      </w:r>
      <w:r>
        <w:rPr>
          <w:rFonts w:ascii="Arial" w:cs="Arial" w:eastAsia="Arial" w:hAnsi="Arial"/>
          <w:sz w:val="16"/>
          <w:szCs w:val="16"/>
          <w:color w:val="auto"/>
        </w:rPr>
        <w:t>Purported class action lawsuits were filed on behalf of PNG unitholders challenging the PNG Merger. Two lawsuits were filed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Court of Chancery in September 2013 and were consolidated under the caption In re PAA Natural Gas Storage, Limited Partnership Unitholder Litigation, C.A. No. 8908-VCL (which we refer to as the Consolidated Delaware Action). Two lawsuits were filed in Texas state court in September 2013 and were consolidated under the caption Vicars v. PNGS GP, LLC, et al., Cause No. 2013-52687 (Tex. Dist. Ct. Harris County) (which we refer to as the Consolidated Texas Action). Four lawsuits were filed in Texas federal court in October 2013 and were consolidated under the caption The DuckPond Trust, et al., v. PAA Natural Gas Storage, LP., et al., 4:13-cv-03170 (S.D. Tex.) (which we refer to as the Consolidated Federal Action).</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Plaintiffs in the Consolidated Delaware Action generally allege that (i) the individual defendants breached fiduciary duties owed to PNG unitholders by allegedly approving the merger agreement at an unfair price and through an unfair process and by agreeing to certain deal protection devices; and (ii) the PNG Merger unfairly benefits certain members of PNG’s board of directors. Plaintiffs also allege that PNG’s general partner, PNG and other of our affiliates aided and abetted the alleged fiduciary breaches by the individual defendants.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Plaintiffs in the Consolidated Texas Action generally allege that (i) the individual defendants breached their duties owed to PNG’s unitholders under PNG’s partnership agreement as well as the implied covenant of good faith and fair dealing, and are engaging in self-dealing; and (ii) PNG’s general partner, PNG and other of our affiliates have aided and abetted the defendant directors for the purpose of advancing their own interests and/or assisting such directors in connection with their breaches of their respective duties. In addition, the Consolidated Texas Action includes purported derivative claims on behalf of PNG based on the alleged breaches of duties by the individual defendants.</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February 2014, the Consolidated Federal Action was dismissed. Plaintiffs in the remaining actions generally seek, among other relief, to enjoin the transaction, rescission in the event the transaction is consummated, an order directing defendants to account to plaintiff and other members of the putative class for all damages caused by their breaches, money damages and an award of costs and disbursements, including reasonable attorneys’ fees. We cannot predict the outcome of these or any other lawsuits that might be filed, nor can we predict the amount of time and expense that will be required to resolve these lawsuits. We intend to defend vigorously against these and any other actions. See Note 10 for a description of the PNG Merger.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ectPr>
          <w:pgSz w:w="11900" w:h="16838" w:orient="portrait"/>
          <w:cols w:equalWidth="0" w:num="1">
            <w:col w:w="11420"/>
          </w:cols>
          <w:pgMar w:left="240" w:top="91" w:right="239" w:bottom="15" w:gutter="0" w:footer="0" w:header="0"/>
          <w:type w:val="continuous"/>
        </w:sectPr>
      </w:pPr>
    </w:p>
    <w:bookmarkStart w:id="132" w:name="page133"/>
    <w:bookmarkEnd w:id="132"/>
    <w:p>
      <w:pPr>
        <w:spacing w:after="0" w:line="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2013, our estimated undiscounted reserve for environmental liabilities totaled approximately $93 million, of which approximately $11 million was classified as short-term and approximately $82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Consolidated Balance Sheets. At December 31, 2013 and 2012, we had recorded receivables totaling approximately $10 million and $42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Rainbow Pipeline Release. </w:t>
      </w:r>
      <w:r>
        <w:rPr>
          <w:rFonts w:ascii="Arial" w:cs="Arial" w:eastAsia="Arial" w:hAnsi="Arial"/>
          <w:sz w:val="16"/>
          <w:szCs w:val="16"/>
          <w:color w:val="auto"/>
        </w:rPr>
        <w:t>During April 2011, we experienced a crude oil release of approximately 28,000 barrels of crude oil on a remote section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Rainbow Pipeline located in Alberta, Canada. Since the release and through December 31, 2013, we spent approximately $70 million, before insurance recoveries, in connection with site clean-up, reclamation and remediation activities, and as of December 31, 2013, we did not have any material outstanding liabilities or insurance receivables relating to this release. On February 26, 2013, the Alberta Energy Regulator (“AER”)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 and are not expected to be material.</w:t>
      </w:r>
    </w:p>
    <w:p>
      <w:pPr>
        <w:spacing w:after="0" w:line="17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i w:val="1"/>
          <w:iCs w:val="1"/>
          <w:color w:val="auto"/>
        </w:rPr>
        <w:t xml:space="preserve">Rangeland Pipeline Release. </w:t>
      </w:r>
      <w:r>
        <w:rPr>
          <w:rFonts w:ascii="Arial" w:cs="Arial" w:eastAsia="Arial" w:hAnsi="Arial"/>
          <w:sz w:val="16"/>
          <w:szCs w:val="16"/>
          <w:color w:val="auto"/>
        </w:rPr>
        <w:t>During June 2012, we experienced a crude oil release on a section of our Rangeland Pipeline located near Sundre,</w:t>
      </w:r>
      <w:r>
        <w:rPr>
          <w:rFonts w:ascii="Arial" w:cs="Arial" w:eastAsia="Arial" w:hAnsi="Arial"/>
          <w:sz w:val="16"/>
          <w:szCs w:val="16"/>
          <w:i w:val="1"/>
          <w:iCs w:val="1"/>
          <w:color w:val="auto"/>
        </w:rPr>
        <w:t xml:space="preserve"> </w:t>
      </w:r>
      <w:r>
        <w:rPr>
          <w:rFonts w:ascii="Arial" w:cs="Arial" w:eastAsia="Arial" w:hAnsi="Arial"/>
          <w:sz w:val="16"/>
          <w:szCs w:val="16"/>
          <w:color w:val="auto"/>
        </w:rPr>
        <w:t>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Monitoring will continue into 2014, and a long-term monitoring plan has been developed and implemented in accordance with regulatory requirements. Through December 31, 2013, we spent approximately $46 million, before insurance recoveries, in connection with site clean-up, reclamation and remediation activities. This release is currently under investigation by the AER, which also intends to perform an audit of PMC’s operations. Although the AER’s final investigation is not complete,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To date, no fines or penalties have been assessed against PMC with respect to this release; however, it is possible that fines or penalties may be assessed against PMC in the future and are not expected to be material.</w:t>
      </w:r>
    </w:p>
    <w:p>
      <w:pPr>
        <w:spacing w:after="0" w:line="17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Bay Springs Pipeline Release </w:t>
      </w:r>
      <w:r>
        <w:rPr>
          <w:rFonts w:ascii="Arial" w:cs="Arial" w:eastAsia="Arial" w:hAnsi="Arial"/>
          <w:sz w:val="16"/>
          <w:szCs w:val="16"/>
          <w:color w:val="auto"/>
        </w:rPr>
        <w:t>During February 2013, we experienced a crude oil release of approximately 120 barrels on a portion of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The aggregate cost to clean up and remediate the site was approximately $6 million, which has been recognized in “Field operating costs” on our Consolidated Statement of Operations.</w:t>
      </w:r>
    </w:p>
    <w:p>
      <w:pPr>
        <w:spacing w:after="0" w:line="158"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i w:val="1"/>
          <w:iCs w:val="1"/>
          <w:color w:val="auto"/>
        </w:rPr>
        <w:t xml:space="preserve">Kemp River Pipeline Release. </w:t>
      </w:r>
      <w:r>
        <w:rPr>
          <w:rFonts w:ascii="Arial" w:cs="Arial" w:eastAsia="Arial" w:hAnsi="Arial"/>
          <w:sz w:val="16"/>
          <w:szCs w:val="16"/>
          <w:color w:val="auto"/>
        </w:rPr>
        <w:t>During May and June 2013, two separate releases were discovered on our Kemp River pipeline in Northern Alberta,</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that, in the aggregate, resulted in the release of approximately 700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which we have recognized in “Field operating costs” on our Consolidated Statement of Operations.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ectPr>
          <w:pgSz w:w="11900" w:h="16845" w:orient="portrait"/>
          <w:cols w:equalWidth="0" w:num="1">
            <w:col w:w="11420"/>
          </w:cols>
          <w:pgMar w:left="240" w:top="125" w:right="239" w:bottom="0" w:gutter="0" w:footer="0" w:header="0"/>
        </w:sectPr>
      </w:pPr>
    </w:p>
    <w:bookmarkStart w:id="133" w:name="page134"/>
    <w:bookmarkEnd w:id="133"/>
    <w:p>
      <w:pPr>
        <w:spacing w:after="0" w:line="6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2011, we elected not to renew our hurricane insurance, and, instead, to self-insure this risk. Our assessment of the current availability of coverage and associated rates has led us to the decision to continue to self-insure. This decision does not affect our third-party liability insurance, which still covers hurricane-related liability claims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 except per unit data)</w:t>
            </w:r>
          </w:p>
        </w:tc>
        <w:tc>
          <w:tcPr>
            <w:tcW w:w="10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2013</w:t>
            </w:r>
          </w:p>
        </w:tc>
        <w:tc>
          <w:tcPr>
            <w:tcW w:w="3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10,620</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10,295</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10,703</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10,631</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655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383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296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394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528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292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0.58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0.57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0.38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0.58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0.5625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0.5750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0.5875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0.6000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2012</w:t>
            </w:r>
          </w:p>
        </w:tc>
        <w:tc>
          <w:tcPr>
            <w:tcW w:w="3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9,218</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9,786</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9,354</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9,439</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313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462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247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402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230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378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165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320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0.93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0.51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0.93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0.27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0.69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0.5125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0.5225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0.5325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0.5425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7"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Represents cash distributions declared and paid in the applicable period.</w:t>
      </w:r>
    </w:p>
    <w:p>
      <w:pPr>
        <w:spacing w:after="0" w:line="200" w:lineRule="exact"/>
        <w:rPr>
          <w:sz w:val="20"/>
          <w:szCs w:val="20"/>
          <w:color w:val="auto"/>
        </w:rPr>
      </w:pPr>
    </w:p>
    <w:p>
      <w:pPr>
        <w:sectPr>
          <w:pgSz w:w="11900" w:h="16907" w:orient="portrait"/>
          <w:cols w:equalWidth="0" w:num="2">
            <w:col w:w="160" w:space="480"/>
            <w:col w:w="10780"/>
          </w:cols>
          <w:pgMar w:left="240" w:top="341"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18—Operating Segments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manage our operations through three operating segments: (i) Transportation, (ii) Facilities and (iii) Supply and Logistics. See “Revenue Recognition” in Note 2 for a summary of the types of products and services from which each segment derives its revenues.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w:t>
      </w:r>
    </w:p>
    <w:p>
      <w:pPr>
        <w:spacing w:after="0" w:line="17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acts to partially offset the aging and wear and tear in the value of our principal fixed assets. These maintenance investments are a component of field operating costs</w:t>
      </w:r>
    </w:p>
    <w:p>
      <w:pPr>
        <w:sectPr>
          <w:pgSz w:w="11900" w:h="16907" w:orient="portrait"/>
          <w:cols w:equalWidth="0" w:num="1">
            <w:col w:w="11420"/>
          </w:cols>
          <w:pgMar w:left="240" w:top="341" w:right="239" w:bottom="0" w:gutter="0" w:footer="0" w:header="0"/>
          <w:type w:val="continuous"/>
        </w:sectPr>
      </w:pPr>
    </w:p>
    <w:bookmarkStart w:id="134" w:name="page135"/>
    <w:bookmarkEnd w:id="134"/>
    <w:p>
      <w:pPr>
        <w:spacing w:after="0" w:line="257" w:lineRule="auto"/>
        <w:rPr>
          <w:sz w:val="20"/>
          <w:szCs w:val="20"/>
          <w:color w:val="auto"/>
        </w:rPr>
      </w:pPr>
      <w:r>
        <w:rPr>
          <w:rFonts w:ascii="Arial" w:cs="Arial" w:eastAsia="Arial" w:hAnsi="Arial"/>
          <w:sz w:val="18"/>
          <w:szCs w:val="18"/>
          <w:color w:val="auto"/>
        </w:rPr>
        <w:t>included in segment profit or in maintenance capital, depending on the nature of the cost. Maintenance capital, which is deducted in determining “available cash,” consists of capital expenditures for the replacement of partially or fully depreciated assets in order to maintain the operating and/or earnings capacity of our existing assets. Capital expenditures made to expand the existing operating and/or earnings capacity of our assets are considered expansion capital expenditures, not maintenance capital. Repair and maintenance expenditures incurred in order to maintain the day to day operation of our existing assets are charged to expense as incurred.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December 31, 2013</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797</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7,221</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6,555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6,584</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20,360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Twelve Months Ended December 31, 2012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External Customers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36,438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Capital expenditures</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1,244</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6,423</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6,134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6,678</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19,235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Ended December 31, 2011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5,156</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5,719</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15,381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6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approximately $30 million, $12 million and $20 million for the years ended December 31, 2013, 2012 and 2011, respectively.</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PAA (in millions):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3,623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3920"/>
              <w:spacing w:after="0"/>
              <w:rPr>
                <w:sz w:val="20"/>
                <w:szCs w:val="20"/>
                <w:color w:val="auto"/>
              </w:rPr>
            </w:pPr>
            <w:r>
              <w:rPr>
                <w:rFonts w:ascii="Arial" w:cs="Arial" w:eastAsia="Arial" w:hAnsi="Arial"/>
                <w:sz w:val="18"/>
                <w:szCs w:val="18"/>
                <w:color w:val="auto"/>
              </w:rPr>
              <w:t>F-50</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453"/>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3"/>
                <w:szCs w:val="23"/>
                <w:color w:val="auto"/>
                <w:vertAlign w:val="superscript"/>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0"/>
              </w:rPr>
              <w:t>Share Purchase Agreement dated December 1, 2011 by and among Amoco Canada International Holdings B.V. and Plains Midstream</w:t>
            </w:r>
          </w:p>
        </w:tc>
      </w:tr>
      <w:tr>
        <w:trPr>
          <w:trHeight w:val="216"/>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Canada ULC (the schedules and exhibits have been omitted pursuant to Item 601(b)(2) of Regulation S-K) (incorporated by</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2.1 to the Annual Report on Form 10-K for the year ended December 31, 2011).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2.2</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Agreement and Plan of Merger dated as of October 21, 2013, by and among Plains All American Pipeline, L.P., PAA Acquisition</w:t>
            </w:r>
          </w:p>
        </w:tc>
      </w:tr>
      <w:tr>
        <w:trPr>
          <w:trHeight w:val="216"/>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Company LLC, PAA Natural Gas Storage, L.P. and PNGS GP LLC (incorporated by reference to Exhibit 2.1 to the Current Report</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on Form 8-K filed October 24, 2013).</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Fourth Amended and Restated Agreement of Limited Partnership of Plains All American Pipeline, L.P. dated as of May 17, 2012</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3.1 to the Current Report on Form 8-K filed May 23,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Amendment No. 1 dated October 1, 2012 to the Fourth Amended and Restated Agreement of Limited Partnership of Plains All</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American Pipeline, L.P. (incorporated by reference to Exhibit 3.1 to the Current Report on Form 8-K filed October 2,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3.3</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Amendment No. 2 dated December 31, 2013 to Fourth Amended and Restated Agreement of Limited Partnership of Plains All</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American Pipeline, L.P. (incorporated by reference to Exhibit 3.1 to the Current Report on Form 8-K filed December 31, 2013).</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 by</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3.5</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Amendment No. 1 dated December 31, 2010 to the Third Amended and Restated Agreement of Limited Partnership of Plains</w:t>
            </w:r>
          </w:p>
        </w:tc>
      </w:tr>
      <w:tr>
        <w:trPr>
          <w:trHeight w:val="216"/>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Marketing, L.P. (incorporated by reference to Exhibit 3.9 to the Annual Report on Form 10-K for the year ended December 31,</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3.6</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Amendment No. 2 dated January 1, 2011 to the Third Amended and Restated Agreement of Limited Partnership of Plains</w:t>
            </w:r>
          </w:p>
        </w:tc>
      </w:tr>
      <w:tr>
        <w:trPr>
          <w:trHeight w:val="216"/>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Marketing, L.P. (incorporated by reference to Exhibit 3.10 to the Annual Report on Form 10-K for the year ended December 31,</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3.7</w:t>
            </w:r>
            <w:r>
              <w:rPr>
                <w:rFonts w:ascii="Arial" w:cs="Arial" w:eastAsia="Arial" w:hAnsi="Arial"/>
                <w:sz w:val="23"/>
                <w:szCs w:val="23"/>
                <w:color w:val="auto"/>
                <w:vertAlign w:val="superscript"/>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rPr>
              <w:t>Amendment No. 3 dated June 30, 2011 to the Third Amended and Restated Agreement of Limited Partnership of Plains</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Marketing, L.P.</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3.8</w:t>
            </w:r>
            <w:r>
              <w:rPr>
                <w:rFonts w:ascii="Arial" w:cs="Arial" w:eastAsia="Arial" w:hAnsi="Arial"/>
                <w:sz w:val="23"/>
                <w:szCs w:val="23"/>
                <w:color w:val="auto"/>
                <w:vertAlign w:val="superscript"/>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Amendment No. 4 dated January 1, 2013 to the Third Amended and Restated Agreement of Limited Partnership of Plains</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Marketing, L.P.</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3.9</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Third Amended and Restated Agreement of Limited Partnership of Plains Pipeline, L.P. dated as of April 1, 2004 (incorporated by</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3.10</w:t>
            </w:r>
            <w:r>
              <w:rPr>
                <w:rFonts w:ascii="Arial" w:cs="Arial" w:eastAsia="Arial" w:hAnsi="Arial"/>
                <w:sz w:val="23"/>
                <w:szCs w:val="23"/>
                <w:color w:val="auto"/>
                <w:vertAlign w:val="superscript"/>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Amendment No. 1 dated January 1, 2013 to the Third Amended and Restated Agreement of Limited Partnership of Plains Pipeline,</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L.P.</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Sixth Amended and Restated Limited Liability Company Agreement of Plains All American GP LLC dated October 21, 2013</w:t>
            </w:r>
          </w:p>
        </w:tc>
      </w:tr>
      <w:tr>
        <w:trPr>
          <w:trHeight w:val="230"/>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3.2 to the Current Report on Form 8-K filed October 25, 2013).</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Seventh Amended and Restated Limited Partnership Agreement of Plains AAP, L.P. dated October 21, 2013 (incorporated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-6836410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-6836410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3.1 to the Current Report on Form 8-K filed October 25,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3.13</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Amendment No. 1 dated December 31, 2013 to Seventh Amended and Restated Limited Partnership Agreement of Plains AAP, L.P.</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3.2 to the Current Report on Form 8-K filed December 31,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Certificate of Incorporation of PAA Finance Corp (f/k/a Pacific Energy Finance Corporation, successor-by-merger to PAA Finance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Corp.) (incorporated by reference to Exhibit 3.10 to the Annual Report on Form 10-K for the year ended December 31,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Bylaws of PAA Finance Corp (f/k/a Pacific Energy Finance Corporation, successor-by-merger to PAA Finance Corp.) (incorporated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by reference to Exhibit 3.11 to the Annual Report on Form 10-K for the year ended December 31,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3.16</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Limited Liability Company Agreement of PAA GP LLC dated December 28, 2007 (incorporated by reference to Exhibit 3.3 to the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Indenture dated September 25, 2002 among Plains All American Pipeline, L.P., PAA Finance Corp. and Wachovia Bank, National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Association, as trustee (incorporated by reference to Exhibit 4.1 to the Quarterly Report on Form 10-Q for the quarter ended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September 30, 2002).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rPr>
              <w:t>Fourth Supplemental Indenture (Series A and Series B 5.875% Senior Notes due 2016) dated August 12, 2004</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43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among Plains All American Pipeline, L.P., PAA Finance Corp., the Subsidiary Guarantors named therein and Wachovia Bank,</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National Association, as trustee (incorporated by reference to Exhibit 4.5 to the Registration Statement on Form S-4, File No. 333-</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121168).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Fifth Supplemental Indenture (Series A and Series B 5.25% Senior Notes due 2015) dated May 27, 2005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4.4</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Sixth Supplemental Indenture (Series A and Series B 6.70% Senior Notes due 2036) dated May 12, 2006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4.5</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Ninth Supplemental Indenture (Series A and Series B 6.125% Senior Notes due 2017) dated October 30, 2006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the Current Report on Form 8-K filed October 30,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4.6</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Tenth Supplemental Indenture (Series A and Series B 6.650% Senior Notes due 2037) dated October 30, 2006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4.2 to the Current Report on Form 8-K filed October 30,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4.7</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Thirteenth Supplemental Indenture (Series A and Series B 6.5% Senior Notes due 2018) dated April 23, 2008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the Current Report on Form 8-K filed April 23,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4.8</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Fifteenth Supplemental Indenture (8.75% Senior Notes due 2019) dated April 20, 2009 among Plains All American Pipeline, L.P.,</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April 20, 2009).</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4.9</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Seventeenth Supplemental Indenture (5.75% Senior Notes due 2020) dated September 4, 2009 among Plains All American Pipeline,</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September 4, 2009).</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Eighteenth Supplemental Indenture (3.95% Senior Notes due 2015) dated July 14, 2010 among Plains All American Pipeline, L.P.,</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July 13, 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4.11</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Nineteenth Supplemental Indenture (5.00% Senior Notes due 2021) dated January 14, 2011 among Plains All American Pipeline,</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January 11,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4.12</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Twentieth Supplemental Indenture (3.65% Senior Notes due 2022) dated March 22, 2012 among Plains All American Pipeline, L.P.,</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PAA Finance Corp and U.S. Bank National Association, as trustee (incorporated by reference to Exhibit 4.1 to the Current Report on</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8-K filed March 26,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4.13</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Twenty-First Supplemental Indenture (5.15% Senior Notes due 2042) dated March 22, 2012 among Plains All American Pipeline,</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L.P., PAA Finance Corp and U.S. Bank National Association, as trustee (incorporated by reference to Exhibit 4.3 to the Current</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4.14</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Twenty-Second Supplemental Indenture (2.85% Senior Notes due 2023) dated December 10, 2012, by and among Plains All</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American Pipeline, L.P., PAA Finance Corp., and U.S. Bank National Association, as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-7385050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-7385050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76" w:gutter="0" w:footer="0" w:header="0"/>
        </w:sectPr>
      </w:pPr>
    </w:p>
    <w:bookmarkStart w:id="137" w:name="page138"/>
    <w:bookmarkEnd w:id="13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17"/>
                <w:szCs w:val="17"/>
                <w:color w:val="auto"/>
              </w:rPr>
            </w:pPr>
          </w:p>
        </w:tc>
      </w:tr>
      <w:tr>
        <w:trPr>
          <w:trHeight w:val="453"/>
        </w:trPr>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4.1 to the Current Report on Form 8-K filed December 12,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4.15</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Twenty-Third Supplemental Indenture (4.30% Senior Notes due 2043) dated December 10, 2012, by and among Plains All American</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 the</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4.16</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Twenty-Fourth Supplemental Indenture (3.85% Senior Notes due 2023) dated August 15, 2013, by and among Plains All American</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the</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4.17</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Registration Rights Agreement dated September 3, 2009 by and between Plains All American Pipeline, L.P. and Vulcan Gas Storage</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LLC (incorporated by reference to Exhibit 4.1 to the Registration Statement on Form S-3, File No. 333-162477).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Credit Agreement dated as of August 19, 2011 among Plains All American Pipeline, L.P., as Borrower; certain subsidiaries of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All American Pipeline, L.P. from time to time party thereto, as Designated Borrowers; Bank of America, N.A., as Administrative</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Agent; and the other Lenders party thereto (incorporated by reference to Exhibit 10.1 to the Current Report on Form 8-K filed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August 25,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First Amendment to Credit Agreement dated as of June 27, 2012, among Plains All American Pipeline, L.P. and Plains Midstream</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Canada ULC, as Borrowers; Bank of America, N.A., as Administrative Agent, Swing Line Lender and L/C Issuer; Wells Fargo Bank,</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National Association, as an L/C Issuer; and the other Lenders party thereto (incorporated by reference to Exhibit 10.2 to the Current</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Report on Form 8-K filed July 3,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8"/>
              </w:rPr>
              <w:t>Second Amendment to Credit Agreement dated as of August 16, 2013, among Plains All American Pipeline, L.P. and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Midstream Canada ULC, as Borrowers; Bank of America, N.A., as Administrative Agent, Swing Line Lender and L/C Issuer; Wells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Fargo Bank, National Association, as an L/C Issuer; and the other Lenders party thereto (incorporated by reference to Exhibit 10.2 to</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the Current Report on Form 8-K filed August 20,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Contribution, Assignment and Amendment Agreement dated as of June 27, 2001, among Plains All American Pipeline, L.P.,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Marketing, L.P., All American Pipeline, L.P., Plains AAP, L.P., Plains All American GP LLC and Plains Marketing GP Inc.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10.1 to the Current Report on Form 8-K filed June 27,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Contribution, Assignment and Amendment Agreement dated as of June 8, 2001, among Plains All American Inc., Plains AAP, L.P.</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and Plains All American GP LLC (incorporated by reference to Exhibit 10.1 to the Current Report on Form 8-K filed June 11,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Separation Agreement dated as of June 8, 2001 among Plains Resources Inc., Plains All American Inc., Plains All</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American GP LLC, Plains AAP, L.P. and Plains All American Pipeline, L.P. (incorporated by reference to Exhibit 10.2 to the Current</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Report on Form 8-K filed June 11,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0"/>
              </w:rPr>
              <w:t>Pension and Employee Benefits Assumption and Transition Agreement dated as of June 8, 2001 among Plains Resources Inc.,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All American Inc. and Plains All American GP LLC (incorporated by reference to Exhibit 10.3 to the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filed June 11,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Plains All American GP LLC 2005 Long-Term Incentive Plan (incorporated by reference to Exhibit 10.1 to the Current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8-K filed January 26,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Plains All American GP LLC 1998 Long-Term Incentive Plan (incorporated by reference to Exhibit 99.1 to Registration Statement</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on Form S-8, File No. 333-74920) as amended June 27, 2003 (incorporated by reference to Exhibit 10.1 to the Quarterly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10-Q for the quarter ended June 30, 2003).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Amended and Restated Employment Agreement between Plains All American GP LLC and Greg L. Armstrong dated as of June 30,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2001 (incorporated by reference to Exhibit 10.1 to the Quarterly Report on Form 10-Q for the quarter ended September 30,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Amended and Restated Employment Agreement between Plains All American GP LLC and Harry N. Pefanis dated as of June 30,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2001 (incorporated by reference to Exhibit 10.2 to the Quarterly Report on Form 10-Q for the quarter ended September 30,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0"/>
              </w:rPr>
              <w:t>Asset Purchase and Sale Agreement dated February 28, 2001 between Murphy Oil Company Ltd. and Plains Marketing Canada, L.P.</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99.1 to the Current Report on Form 8-K filed</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453"/>
        </w:trPr>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May 10,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Transportation Agreement dated July 30, 1993, between All American Pipeline Company and Exxon Company, U.S.A. (incorporated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by reference to Exhibit 10.9 to the Registration Statement on Form S-1 filed September 23, 1998, File No. 333-64107).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Transportation Agreement dated August 2, 1993, among All American Pipeline Company, Texaco Trading and Transportation Inc.,</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Chevron U.S.A. and Sun Operating Limited Partnership (incorporated by reference to Exhibit 10.10 to the Registration Statement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S-1 filed September 23, 1998, File No. 333-64107).</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First Amendment to Contribution, Conveyance and Assumption Agreement dated as of December 15, 1998 (incorporated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351" w:right="199" w:bottom="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10.13 to the Annual Report on Form 10-K for the year ended 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Agreement for Purchase and Sale of Membership Interest in Scurlock Permian LLC between Marathon Ashland LLC and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Marketing, L.P. dated as of March 17, 1999 (incorporated by reference to Exhibit 10.16 to the Annual Report on Form 10-K for the</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year ended 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PMC (Nova Scotia) Company Bonus Program (incorporated by reference to Exhibit 10.20 to the Annual Report on Form 10-K for</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Quarterly Bonus Program Summary (incorporated by reference to Exhibit 10.21 to the Annual Report on Form 10-K for the year</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Form of LTIP Grant Letter (independent directors) (incorporated by reference to Exhibit 10.3 to the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filed February 23,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Form of LTIP Grant Letter (designated directors) (incorporated by reference to Exhibit 10.4 to the Current Report on Form 8-K filed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February 23,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Membership Interest Purchase Agreement by and between Sempra Energy Trading Corporation and PAA/Vulcan Gas Storage,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dated August 19, 2005 (incorporated by reference to Exhibit 1.2 to the Current Report on Form 8-K filed September 19,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Waiver Agreement dated as of December 23, 2010 between Plains All American GP LLC and Greg L. Armstrong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10.31 to the Annual Report on Form 10-K for the year ended December 31,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Waiver Agreement dated as of December 23, 2010 between Plains All American GP LLC and Harry N. Pefanis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10.32 to the Annual Report on Form 10-K for the year ended December 31,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Excess Voting Rights Agreement dated as of August 12, 2005 between Vulcan Energy GP Holdings Inc. and Plains All</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American GP LLC (incorporated by reference to Exhibit 10.3 to the Current Report on Form 8-K filed August 16,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Excess Voting Rights Agreement dated as of August 12, 2005 between Lynx Holdings I, LLC and Plains All American GP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10.4 to the Current Report on Form 8-K filed August 16,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Employment Agreement between Plains All American GP LLC and John P. vonBerg dated December 18, 2001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10.40 to the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Form of LTIP Grant Letter (audit committee members) (incorporated by reference to Exhibit 10.1 to the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filed August 23,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Plains All American PPX Successor Long-Term Incentive Plan (incorporated by reference to Exhibit 10.45 to the Annual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10-K for the year ended December 31, 2006).</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Form of Plains AAP, L.P. Class B Restricted Units Agreement (incorporated by reference to Exhibit 10.1 to the Current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8-K filed January 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10.30</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Third Amended and Restated Credit Agreement dated as of August 19, 2011 by and among Plains Marketing, L.P., as Borrower,</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Plains All American Pipeline, L.P., as Guarantor, Bank of America, N.A., as Administrative Agent, and the other Lenders party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thereto (incorporated by reference to Exhibit 10.1 to the Current Report on Form 8-K filed August 25,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First Amendment to Third Amended and Restated Credit Agreement dated as of June 27, 2012, among Plains Marketing, L.P. and</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Plains Midstream Canada ULC, as Borrowers; Plains All American Pipeline, L.P., as Guarantor; Bank of America, N.A., as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Administrative Agent, Swing Line Lender and L/C Issuer; and the other Lenders and L/C Issuers party thereto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10.1 to the Current Report on Form 8-K filed July 3,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10.32</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Second Amendment to Third Amended and Restated Credit Agreement dated as of August 16, 2013, among Plains Marketing, L.P.</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and Plains Midstream Canada ULC, as Borrowers; Plains All American Pipeline, L.P., as Guarantor; Bank of America, N.A., as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Administrative Agent, Swing Line Lender and L/C Issuer; and the other Lenders and L/C Issuers party thereto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10.1 to the Current Report on Form 8-K filed August 20,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10.33</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Contribution and Assumption Agreement dated December 28, 2007, by and between Plains AAP, L.P. and PAA GP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10.2 to the Current Report on Form 8-K filed January 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10.34</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First Amendment to Amended and Restated Employment Agreement dated December 4, 2008 between Plains All American GP LLC</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and Greg L. Armstrong (incorporated by reference to Exhibit 10.49 to the Annual Report on Form 10-K for the year ended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First Amendment to Amended and Restated Employment Agreement dated December 4, 2008 between Plains All American GP LLC</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and Harry N. Pefanis (incorporated by reference to Exhibit 10.50 to the Annual Report on Form 10-K for the year ended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8"/>
              </w:rPr>
              <w:t>First Amendment to Plains All American GP LLC 2005 Long-Term Incentive Plan dated December 4, 2008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10.51 to the Annual Report on Form 10-K for the year ended December 31,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Second Amendment to Plains All American GP LLC 1998 Long-Term Incentive Plan dated December 4, 2008 (incorporated by</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10.52 to the Annual Report on Form 10-K for the year ended 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Form of Amendment to LTIP grant letters (executive officers) (incorporated by reference to Exhibit 10.53 to the Annual Report on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10.39</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Form of Amendment to LTIP grant letters (directors) (incorporated by reference to Exhibit 10.54 to the Annual Report on Form 10-K</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 the year ended 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10.40</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8"/>
              </w:rPr>
              <w:t>Contribution Agreement dated as of April 29, 2010 by and among PAA Natural Gas Storage, L.P., PNGS GP LLC, Plains All</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American Pipeline, L.P., PAA Natural Gas Storage, LLC, PAA/Vulcan Gas Storage, LLC, Plains Marketing, L.P. and Plains</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Marketing GP Inc. (incorporated by reference to Exhibit 10.1 to PNG’s Current Report on Form 8-K filed May 4,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Omnibus Agreement dated May 5, 2010 by and among Plains All American GP LLC, Plains All American Pipeline, L.P., PNGS GP</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LLC and PAA Natural Gas Storage, L.P. (incorporated by reference to Exhibit 10.1 to PNG’s Current Report on Form 8-K filed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May 11,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10.42</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Form of Transaction Grant Agreement (incorporated by reference to Exhibit 10.3 to the Quarterly Report on Form 10-Q for the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quarter ended September 30,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10.43</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Form of 2010 LTIP Grant Letters (incorporated by reference to Exhibit 10.58 to the Annual Report on Form 10-K for the year ended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10.44</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Director Compensation Summary (incorporated by reference to Exhibit 10.45 to the Annual Report on Form 10-K for the year ended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2011).</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1000" w:type="dxa"/>
            <w:vAlign w:val="bottom"/>
          </w:tcPr>
          <w:p>
            <w:pPr>
              <w:spacing w:after="0"/>
              <w:rPr>
                <w:sz w:val="20"/>
                <w:szCs w:val="20"/>
                <w:color w:val="auto"/>
              </w:rPr>
            </w:pPr>
            <w:r>
              <w:rPr>
                <w:rFonts w:ascii="Arial" w:cs="Arial" w:eastAsia="Arial" w:hAnsi="Arial"/>
                <w:sz w:val="18"/>
                <w:szCs w:val="18"/>
                <w:color w:val="auto"/>
              </w:rPr>
              <w:t>10.45</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Administrative Agreement dated October 21, 2013 by and among Plains GP Holdings, L.P., PAA GP Holdings LLC, Plains All</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American Pipeline, L.P., and Plains All American GP LLC (incorporated by reference to Exhibit 10.1 to the Current Report on Form</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8-K filed October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10.46**</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Waiver Agreement dated October 21, 2013 to the Amended and Restated Employment Agreement dated June 30, 2001 of Greg L.</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Armstrong (incorporated by reference to Exhibit 10.2 to the Current Report on Form 8-K filed October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10.47**</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Waiver Agreement dated October 21, 2013 to the Amended and Restated Employment Agreement dated June 30, 2001 of Harry 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Pefanis (incorporated by reference to Exhibit 10.3 to the Current Report on Form 8-K filed October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10.48**</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Form of Amendment to the Plains AAP, L.P. Class B Restricted Units Agreement, dated October 18, 2013 (incorporated by reference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to Exhibit 10.4 to the Current Report on Form 8-K filed October 25,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10.49**</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Plains All American 2013 Long-Term Incentive Plan (incorporated by reference to Annex A to the Definitive Proxy Statement filed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on October 3,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10.50**</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Plains All American PNG Successor Long-Term Incentive Plan (incorporated by reference to Exhibit 4.4 to the Registration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Statement on Form S-8 (333-19319) filed December 31,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10.51**</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PAA Natural Gas Storage, L.P. 2010 Long-Term Incentive Plan (incorporated by reference to PNG’s Current Report on Form 8-K</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filed May 11,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10.52**</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Form of PAA LTIP Grant Letter for Officers (incorporated by reference to Exhibit 10.1 to the Quarterly Report on Form 10-Q for the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quarter ended March 31, 2013).</w:t>
            </w:r>
          </w:p>
        </w:tc>
      </w:tr>
      <w:tr>
        <w:trPr>
          <w:trHeight w:val="514"/>
        </w:trPr>
        <w:tc>
          <w:tcPr>
            <w:tcW w:w="1000" w:type="dxa"/>
            <w:vAlign w:val="bottom"/>
          </w:tcPr>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List of Subsidiaries of Plains All American Pipeline, L.P.</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 INS</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-6614160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-6614160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93" w:right="199" w:bottom="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313"/>
        </w:trPr>
        <w:tc>
          <w:tcPr>
            <w:tcW w:w="1000" w:type="dxa"/>
            <w:vAlign w:val="bottom"/>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3"/>
                <w:szCs w:val="23"/>
                <w:color w:val="auto"/>
                <w:vertAlign w:val="superscript"/>
              </w:rPr>
              <w:t>†</w:t>
            </w:r>
          </w:p>
        </w:tc>
        <w:tc>
          <w:tcPr>
            <w:tcW w:w="5260" w:type="dxa"/>
            <w:vAlign w:val="bottom"/>
            <w:gridSpan w:val="2"/>
          </w:tcPr>
          <w:p>
            <w:pPr>
              <w:ind w:left="260"/>
              <w:spacing w:after="0"/>
              <w:rPr>
                <w:sz w:val="20"/>
                <w:szCs w:val="20"/>
                <w:color w:val="auto"/>
              </w:rPr>
            </w:pPr>
            <w:r>
              <w:rPr>
                <w:rFonts w:ascii="Arial" w:cs="Arial" w:eastAsia="Arial" w:hAnsi="Arial"/>
                <w:sz w:val="18"/>
                <w:szCs w:val="18"/>
                <w:color w:val="auto"/>
                <w:w w:val="93"/>
              </w:rPr>
              <w:t>—XBRL Taxonomy Extension Definition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3"/>
                <w:szCs w:val="23"/>
                <w:color w:val="auto"/>
                <w:vertAlign w:val="superscript"/>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46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3"/>
                <w:szCs w:val="23"/>
                <w:color w:val="auto"/>
                <w:vertAlign w:val="superscript"/>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4640" w:type="dxa"/>
            <w:vAlign w:val="bottom"/>
          </w:tcPr>
          <w:p>
            <w:pPr>
              <w:ind w:left="16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080"/>
          </w:cols>
          <w:pgMar w:left="240" w:top="125" w:right="579" w:bottom="1440"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20" w:hanging="8"/>
        <w:spacing w:after="0" w:line="277" w:lineRule="auto"/>
        <w:rPr>
          <w:sz w:val="20"/>
          <w:szCs w:val="20"/>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20" w:space="520"/>
            <w:col w:w="10440"/>
          </w:cols>
          <w:pgMar w:left="240" w:top="125" w:right="57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3.7</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TO THE THIRD AMENDED AND RESTATED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AGREEMENT OF LIMITED PARTNERSHIP</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PLAINS MARKETING, L.P.</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Amendment No. 3 (this “Amendment”) to the Third Amended and Restated Agreement of Limited Partnership of Plains Marketing, L.P., a Texas limited partnership (the “Partnership), is hereby adopted effective as of June 30, 2011, by Plains Marketing GP Inc., a Delaware corporation (the “General Partner”) and Plains All American Pipeline, L.P., a Delaware limited partnership (the “Limited Partner” and, together with the General Partner, collectively referred to as the “Partners”). Capitalized terms used but not defined herein shall have their respective meanings as set forth in the Partnership Agreement (defined below).</w:t>
      </w:r>
    </w:p>
    <w:p>
      <w:pPr>
        <w:spacing w:after="0" w:line="184"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General Partner and PAA Midstream LLC, a Delaware limited liability company (the “Predecessor Limited Partner”) were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that certain Third Amended and Restated Agreement of Limited Partnership, dated April 1, 2003, as amended on December 31, 2010 and January 1, 2011 (as amended, the “Partnership Agreement”); and</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the Predecessor Limited Partner contributed its limited partnership interest in the Partnership to the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and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Partners desire to amend the Partnership Agreement to reflect the admission of the Limited Partner as a Substituted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Partners do hereby amend the Partnership Agreement as follows:</w:t>
      </w:r>
    </w:p>
    <w:p>
      <w:pPr>
        <w:spacing w:after="0" w:line="229" w:lineRule="exact"/>
        <w:rPr>
          <w:sz w:val="20"/>
          <w:szCs w:val="20"/>
          <w:color w:val="auto"/>
        </w:rPr>
      </w:pPr>
    </w:p>
    <w:p>
      <w:pPr>
        <w:ind w:right="540" w:firstLine="640"/>
        <w:spacing w:after="0" w:line="277" w:lineRule="auto"/>
        <w:tabs>
          <w:tab w:leader="none" w:pos="1458"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Partnership Agreement is hereby amended to reflect the admission of Plains All American Pipeline, L.P. as a</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Limited Partner.</w:t>
      </w:r>
    </w:p>
    <w:p>
      <w:pPr>
        <w:spacing w:after="0" w:line="170" w:lineRule="exact"/>
        <w:rPr>
          <w:rFonts w:ascii="Arial" w:cs="Arial" w:eastAsia="Arial" w:hAnsi="Arial"/>
          <w:sz w:val="18"/>
          <w:szCs w:val="18"/>
          <w:color w:val="auto"/>
        </w:rPr>
      </w:pPr>
    </w:p>
    <w:p>
      <w:pPr>
        <w:ind w:right="180" w:firstLine="640"/>
        <w:spacing w:after="0" w:line="342" w:lineRule="auto"/>
        <w:tabs>
          <w:tab w:leader="none" w:pos="1458"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Ratification of Partnership Agreement</w:t>
      </w:r>
      <w:r>
        <w:rPr>
          <w:rFonts w:ascii="Arial" w:cs="Arial" w:eastAsia="Arial" w:hAnsi="Arial"/>
          <w:sz w:val="16"/>
          <w:szCs w:val="16"/>
          <w:color w:val="auto"/>
        </w:rPr>
        <w:t>. Except as expressly amended herein, the terms, covenants and conditions of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as amended by this Amendment, shall remain in full force and effect, and the undersigned hereby ratify the same in its entirety.</w:t>
      </w:r>
    </w:p>
    <w:p>
      <w:pPr>
        <w:spacing w:after="0" w:line="123" w:lineRule="exact"/>
        <w:rPr>
          <w:rFonts w:ascii="Arial" w:cs="Arial" w:eastAsia="Arial" w:hAnsi="Arial"/>
          <w:sz w:val="16"/>
          <w:szCs w:val="16"/>
          <w:color w:val="auto"/>
        </w:rPr>
      </w:pPr>
    </w:p>
    <w:p>
      <w:pPr>
        <w:ind w:left="1460" w:hanging="820"/>
        <w:spacing w:after="0"/>
        <w:tabs>
          <w:tab w:leader="none" w:pos="146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This Amendment No. 3 will be governed by and construed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226060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Partners have executed this Amendment as of the date first written above.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PLAINS MARKETING GP INC.</w:t>
      </w:r>
    </w:p>
    <w:p>
      <w:pPr>
        <w:spacing w:after="0" w:line="200" w:lineRule="exact"/>
        <w:rPr>
          <w:sz w:val="20"/>
          <w:szCs w:val="20"/>
          <w:color w:val="auto"/>
        </w:rPr>
      </w:pPr>
    </w:p>
    <w:p>
      <w:pPr>
        <w:spacing w:after="0" w:line="241"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Tim Moore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LIMITED PARTNER:</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PAA GP LLC, Its General Partner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Plains AAP, L.P., Its Sole Member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Plains All American GP LLC,</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Tim Moore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ectPr>
          <w:pgSz w:w="11900" w:h="16838" w:orient="portrait"/>
          <w:cols w:equalWidth="0" w:num="1">
            <w:col w:w="11080"/>
          </w:cols>
          <w:pgMar w:left="580" w:top="121" w:right="239" w:bottom="1440" w:gutter="0" w:footer="0" w:header="0"/>
        </w:sectPr>
      </w:pPr>
    </w:p>
    <w:p>
      <w:pPr>
        <w:spacing w:after="0" w:line="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88900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3.8</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TO THE THIRD AMENDED AND RESTATED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AGREEMENT OF LIMITED PARTNERSHIP</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PLAINS MARKETING, L.P.</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Amendment No. 4 (this “Amendment”) to the Third Amended and Restated Agreement of Limited Partnership of Plains Marketing, L.P., a Texas limited partnership (the “Partnership), is hereby adopted effective as of January 1, 2013, by Plains GP LLC, a Texas limited liability company (the “General Partner”) and Plains All American Pipeline, L.P., a Delaware limited partnership (the “Limited Partner” and, together with the General Partner, collectively referred to as the “Partners”). Capitalized terms used but not defined herein shall have their respective meanings as set forth in the Partnership Agreement (defined below).</w:t>
      </w:r>
    </w:p>
    <w:p>
      <w:pPr>
        <w:spacing w:after="0" w:line="184" w:lineRule="exact"/>
        <w:rPr>
          <w:sz w:val="20"/>
          <w:szCs w:val="20"/>
          <w:color w:val="auto"/>
        </w:rPr>
      </w:pPr>
    </w:p>
    <w:p>
      <w:pPr>
        <w:jc w:val="both"/>
        <w:ind w:right="2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Plains Marketing GP Inc., a Delaware corporation (the “Predecessor General Partner”) and the Limited Partner were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Third Amended and Restated Agreement of Limited Partnership, dated April 1, 2004, as amended on December 31, 2010, January 1, 2011 and June 30, 2011 (as amended, the “Partnership Agreement”); and</w:t>
      </w:r>
    </w:p>
    <w:p>
      <w:pPr>
        <w:spacing w:after="0" w:line="176"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an Agreement and Plan of Merger of even date herewith between the Predecessor General Partner and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the General Partner became vested with the general partnership interest in the Partnership previously vested with the Predecessor General Partner; and</w:t>
      </w:r>
    </w:p>
    <w:p>
      <w:pPr>
        <w:spacing w:after="0" w:line="17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Partners desire to amend the Partnership Agreement to reflect the admission of the General Partner as a successor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and related matters.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Partners do hereby amend the Partnership Agreement as follows:</w:t>
      </w:r>
    </w:p>
    <w:p>
      <w:pPr>
        <w:spacing w:after="0" w:line="229" w:lineRule="exact"/>
        <w:rPr>
          <w:sz w:val="20"/>
          <w:szCs w:val="20"/>
          <w:color w:val="auto"/>
        </w:rPr>
      </w:pPr>
    </w:p>
    <w:p>
      <w:pPr>
        <w:ind w:left="1460" w:hanging="820"/>
        <w:spacing w:after="0"/>
        <w:tabs>
          <w:tab w:leader="none" w:pos="1460"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The Partnership Agreement is hereby amended to reflect the admission of Plains GP LLC as a successor General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right="160" w:firstLine="640"/>
        <w:spacing w:after="0" w:line="264" w:lineRule="auto"/>
        <w:tabs>
          <w:tab w:leader="none" w:pos="1458"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Partnership Agreement and Agreement to be Bound. </w:t>
      </w:r>
      <w:r>
        <w:rPr>
          <w:rFonts w:ascii="Arial" w:cs="Arial" w:eastAsia="Arial" w:hAnsi="Arial"/>
          <w:sz w:val="18"/>
          <w:szCs w:val="18"/>
          <w:color w:val="auto"/>
        </w:rPr>
        <w:t>The terms, covenants and conditions of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amended by this Amendment, shall remain in full force and effect, and the undersigned hereby ratify the same in its entirety and agree to be bound by the provisions of such Partnership Agreement, as amended.</w:t>
      </w:r>
    </w:p>
    <w:p>
      <w:pPr>
        <w:spacing w:after="0" w:line="181" w:lineRule="exact"/>
        <w:rPr>
          <w:rFonts w:ascii="Arial" w:cs="Arial" w:eastAsia="Arial" w:hAnsi="Arial"/>
          <w:sz w:val="18"/>
          <w:szCs w:val="18"/>
          <w:color w:val="auto"/>
        </w:rPr>
      </w:pPr>
    </w:p>
    <w:p>
      <w:pPr>
        <w:ind w:left="1460" w:hanging="820"/>
        <w:spacing w:after="0"/>
        <w:tabs>
          <w:tab w:leader="none" w:pos="146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This Amendment No. 4 will be governed by and construed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226060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Partners have executed this Amendment as of the date first written above.</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PLAINS GP LLC</w:t>
      </w:r>
    </w:p>
    <w:p>
      <w:pPr>
        <w:spacing w:after="0" w:line="200" w:lineRule="exact"/>
        <w:rPr>
          <w:sz w:val="20"/>
          <w:szCs w:val="20"/>
          <w:color w:val="auto"/>
        </w:rPr>
      </w:pPr>
    </w:p>
    <w:p>
      <w:pPr>
        <w:spacing w:after="0" w:line="241"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LIMITED PARTNER:</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PAA GP LLC, Its General Partner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Plains AAP, L.P., Its Sole Member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Plains All American GP LLC,</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ectPr>
          <w:pgSz w:w="11900" w:h="16838" w:orient="portrait"/>
          <w:cols w:equalWidth="0" w:num="1">
            <w:col w:w="11080"/>
          </w:cols>
          <w:pgMar w:left="580" w:top="121" w:right="239" w:bottom="1440" w:gutter="0" w:footer="0" w:header="0"/>
        </w:sectPr>
      </w:pPr>
    </w:p>
    <w:p>
      <w:pPr>
        <w:spacing w:after="0" w:line="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88900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3.10</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TO THE THIRD AMENDED AND RESTATED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AGREEMENT OF LIMITED PARTNERSHIP</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PLAINS PIPELINE, L.P.</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Amendment No. 1 (this “Amendment”) to the Third Amended and Restated Agreement of Limited Partnership of Plains Pipeline, L.P., a Texas limited partnership (the “Partnership), is hereby adopted effective as of January 1, 2013, by Plains GP LLC, a Texas limited liability company (the “General Partner”) and Plains Marketing, L.P., a Texas limited partnership (the “Limited Partner” and, together with the General Partner, collectively referred to as the “Partners”). Capitalized terms used but not defined herein shall have their respective meanings as set forth in the Partnership Agreement (defined below).</w:t>
      </w:r>
    </w:p>
    <w:p>
      <w:pPr>
        <w:spacing w:after="0" w:line="184" w:lineRule="exact"/>
        <w:rPr>
          <w:sz w:val="20"/>
          <w:szCs w:val="20"/>
          <w:color w:val="auto"/>
        </w:rPr>
      </w:pPr>
    </w:p>
    <w:p>
      <w:pPr>
        <w:ind w:right="30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Plains Marketing GP Inc., a Delaware corporation (the “Predecessor General Partner”) and the Limited Partner were parties to</w:t>
      </w:r>
      <w:r>
        <w:rPr>
          <w:rFonts w:ascii="Arial" w:cs="Arial" w:eastAsia="Arial" w:hAnsi="Arial"/>
          <w:sz w:val="17"/>
          <w:szCs w:val="17"/>
          <w:b w:val="1"/>
          <w:bCs w:val="1"/>
          <w:color w:val="auto"/>
        </w:rPr>
        <w:t xml:space="preserve"> </w:t>
      </w:r>
      <w:r>
        <w:rPr>
          <w:rFonts w:ascii="Arial" w:cs="Arial" w:eastAsia="Arial" w:hAnsi="Arial"/>
          <w:sz w:val="17"/>
          <w:szCs w:val="17"/>
          <w:color w:val="auto"/>
        </w:rPr>
        <w:t>that certain Third Amended and Restated Agreement of Limited Partnership, dated April 1, 2004 (the “Partnership Agreement”); and</w:t>
      </w:r>
    </w:p>
    <w:p>
      <w:pPr>
        <w:spacing w:after="0" w:line="138"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an Agreement and Plan of Merger of even date herewith between the Predecessor General Partner and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the General Partner became vested with the general partnership interest in the Partnership previously vested with the Predecessor General Partner; and</w:t>
      </w:r>
    </w:p>
    <w:p>
      <w:pPr>
        <w:spacing w:after="0" w:line="17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Partners desire to amend the Partnership Agreement to reflect the admission of the General Partner as a successor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and related matters.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Partners do hereby amend the Partnership Agreement as follows:</w:t>
      </w:r>
    </w:p>
    <w:p>
      <w:pPr>
        <w:spacing w:after="0" w:line="229" w:lineRule="exact"/>
        <w:rPr>
          <w:sz w:val="20"/>
          <w:szCs w:val="20"/>
          <w:color w:val="auto"/>
        </w:rPr>
      </w:pPr>
    </w:p>
    <w:p>
      <w:pPr>
        <w:ind w:left="1460" w:hanging="820"/>
        <w:spacing w:after="0"/>
        <w:tabs>
          <w:tab w:leader="none" w:pos="146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The Partnership Agreement is hereby amended to reflect the admission of Plains GP LLC as a successor General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right="160" w:firstLine="640"/>
        <w:spacing w:after="0" w:line="264" w:lineRule="auto"/>
        <w:tabs>
          <w:tab w:leader="none" w:pos="1458"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Partnership Agreement and Agreement to be Bound. </w:t>
      </w:r>
      <w:r>
        <w:rPr>
          <w:rFonts w:ascii="Arial" w:cs="Arial" w:eastAsia="Arial" w:hAnsi="Arial"/>
          <w:sz w:val="18"/>
          <w:szCs w:val="18"/>
          <w:color w:val="auto"/>
        </w:rPr>
        <w:t>The terms, covenants and conditions of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amended by this Amendment, shall remain in full force and effect, and the undersigned hereby ratify the same in its entirety and agree to be bound by the provisions of such Partnership Agreement, as amended.</w:t>
      </w:r>
    </w:p>
    <w:p>
      <w:pPr>
        <w:spacing w:after="0" w:line="181" w:lineRule="exact"/>
        <w:rPr>
          <w:rFonts w:ascii="Arial" w:cs="Arial" w:eastAsia="Arial" w:hAnsi="Arial"/>
          <w:sz w:val="18"/>
          <w:szCs w:val="18"/>
          <w:color w:val="auto"/>
        </w:rPr>
      </w:pPr>
    </w:p>
    <w:p>
      <w:pPr>
        <w:ind w:left="1460" w:hanging="820"/>
        <w:spacing w:after="0"/>
        <w:tabs>
          <w:tab w:leader="none" w:pos="1460"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This Amendment No. 1 will be governed by and construed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226060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Partners have executed this Amendment as of the date first written above.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PLAINS GP LLC</w:t>
      </w:r>
    </w:p>
    <w:p>
      <w:pPr>
        <w:spacing w:after="0" w:line="200" w:lineRule="exact"/>
        <w:rPr>
          <w:sz w:val="20"/>
          <w:szCs w:val="20"/>
          <w:color w:val="auto"/>
        </w:rPr>
      </w:pPr>
    </w:p>
    <w:p>
      <w:pPr>
        <w:spacing w:after="0" w:line="241"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LIMITED PARTNER:</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PLAINS MARKETING, L.P.</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PLAINS GP LLC,</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ectPr>
          <w:pgSz w:w="11900" w:h="16838" w:orient="portrait"/>
          <w:cols w:equalWidth="0" w:num="1">
            <w:col w:w="11080"/>
          </w:cols>
          <w:pgMar w:left="580" w:top="121" w:right="239" w:bottom="1440" w:gutter="0" w:footer="0" w:header="0"/>
        </w:sectPr>
      </w:pPr>
    </w:p>
    <w:p>
      <w:pPr>
        <w:spacing w:after="0" w:line="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88900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80" w:top="121" w:right="2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w w:val="97"/>
              </w:rPr>
              <w:t>noncontrolling interest and income from equity investees</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1,426</w:t>
            </w:r>
          </w:p>
        </w:tc>
        <w:tc>
          <w:tcPr>
            <w:tcW w:w="78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1,143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510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7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78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336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4.41x</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4.03x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4.13x</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2.57x</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54" w:lineRule="auto"/>
        <w:tabs>
          <w:tab w:leader="none" w:pos="328" w:val="left"/>
        </w:tabs>
        <w:numPr>
          <w:ilvl w:val="0"/>
          <w:numId w:val="141"/>
        </w:numPr>
        <w:rPr>
          <w:rFonts w:ascii="Arial" w:cs="Arial" w:eastAsia="Arial" w:hAnsi="Arial"/>
          <w:sz w:val="22"/>
          <w:szCs w:val="22"/>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2" w:lineRule="exact"/>
        <w:rPr>
          <w:rFonts w:ascii="Arial" w:cs="Arial" w:eastAsia="Arial" w:hAnsi="Arial"/>
          <w:sz w:val="22"/>
          <w:szCs w:val="22"/>
          <w:color w:val="auto"/>
          <w:vertAlign w:val="superscript"/>
        </w:rPr>
      </w:pPr>
    </w:p>
    <w:p>
      <w:pPr>
        <w:ind w:left="340" w:hanging="332"/>
        <w:spacing w:after="0" w:line="227" w:lineRule="auto"/>
        <w:tabs>
          <w:tab w:leader="none" w:pos="328" w:val="left"/>
        </w:tabs>
        <w:numPr>
          <w:ilvl w:val="0"/>
          <w:numId w:val="141"/>
        </w:numPr>
        <w:rPr>
          <w:rFonts w:ascii="Arial" w:cs="Arial" w:eastAsia="Arial" w:hAnsi="Arial"/>
          <w:sz w:val="23"/>
          <w:szCs w:val="23"/>
          <w:color w:val="auto"/>
          <w:vertAlign w:val="superscript"/>
        </w:rPr>
      </w:pPr>
      <w:r>
        <w:rPr>
          <w:rFonts w:ascii="Arial" w:cs="Arial" w:eastAsia="Arial" w:hAnsi="Arial"/>
          <w:sz w:val="18"/>
          <w:szCs w:val="18"/>
          <w:color w:val="auto"/>
        </w:rPr>
        <w:t>Includes interest costs attributable to borrowings for hedged inventory purchases of $30 million, $12 million, $20 million, $17 million and $11 million for the years ended December 31, 2013, 2012, 2011, 2010 and 2009, respectively.</w:t>
      </w:r>
    </w:p>
    <w:p>
      <w:pPr>
        <w:spacing w:after="0" w:line="168"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41"/>
        </w:numPr>
        <w:rPr>
          <w:rFonts w:ascii="Arial" w:cs="Arial" w:eastAsia="Arial" w:hAnsi="Arial"/>
          <w:sz w:val="23"/>
          <w:szCs w:val="23"/>
          <w:color w:val="auto"/>
          <w:vertAlign w:val="superscript"/>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98"/>
              </w:rPr>
              <w:t>SUBSIDIARIES OF</w:t>
            </w:r>
          </w:p>
        </w:tc>
        <w:tc>
          <w:tcPr>
            <w:tcW w:w="40" w:type="dxa"/>
            <w:vAlign w:val="bottom"/>
          </w:tcPr>
          <w:p>
            <w:pPr>
              <w:spacing w:after="0"/>
              <w:rPr>
                <w:sz w:val="18"/>
                <w:szCs w:val="18"/>
                <w:color w:val="auto"/>
              </w:rPr>
            </w:pPr>
          </w:p>
        </w:tc>
      </w:tr>
      <w:tr>
        <w:trPr>
          <w:trHeight w:val="220"/>
        </w:trPr>
        <w:tc>
          <w:tcPr>
            <w:tcW w:w="3800" w:type="dxa"/>
            <w:vAlign w:val="bottom"/>
          </w:tcPr>
          <w:p>
            <w:pPr>
              <w:spacing w:after="0"/>
              <w:rPr>
                <w:sz w:val="19"/>
                <w:szCs w:val="19"/>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rPr>
              <w:t>PLAINS ALL AMERICAN PIPELINE, L.P.</w:t>
            </w:r>
          </w:p>
        </w:tc>
        <w:tc>
          <w:tcPr>
            <w:tcW w:w="40" w:type="dxa"/>
            <w:vAlign w:val="bottom"/>
          </w:tcPr>
          <w:p>
            <w:pPr>
              <w:spacing w:after="0"/>
              <w:rPr>
                <w:sz w:val="19"/>
                <w:szCs w:val="19"/>
                <w:color w:val="auto"/>
              </w:rPr>
            </w:pPr>
          </w:p>
        </w:tc>
      </w:tr>
      <w:tr>
        <w:trPr>
          <w:trHeight w:val="230"/>
        </w:trPr>
        <w:tc>
          <w:tcPr>
            <w:tcW w:w="3800" w:type="dxa"/>
            <w:vAlign w:val="bottom"/>
          </w:tcPr>
          <w:p>
            <w:pPr>
              <w:spacing w:after="0"/>
              <w:rPr>
                <w:sz w:val="20"/>
                <w:szCs w:val="20"/>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As of 12/31/13</w:t>
            </w:r>
            <w:r>
              <w:rPr>
                <w:rFonts w:ascii="Arial" w:cs="Arial" w:eastAsia="Arial" w:hAnsi="Arial"/>
                <w:sz w:val="18"/>
                <w:szCs w:val="18"/>
                <w:color w:val="auto"/>
                <w:w w:val="92"/>
              </w:rPr>
              <w:t>)</w:t>
            </w:r>
          </w:p>
        </w:tc>
        <w:tc>
          <w:tcPr>
            <w:tcW w:w="40" w:type="dxa"/>
            <w:vAlign w:val="bottom"/>
          </w:tcPr>
          <w:p>
            <w:pPr>
              <w:spacing w:after="0"/>
              <w:rPr>
                <w:sz w:val="20"/>
                <w:szCs w:val="20"/>
                <w:color w:val="auto"/>
              </w:rPr>
            </w:pPr>
          </w:p>
        </w:tc>
      </w:tr>
      <w:tr>
        <w:trPr>
          <w:trHeight w:val="36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96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c>
          <w:tcPr>
            <w:tcW w:w="40" w:type="dxa"/>
            <w:vAlign w:val="bottom"/>
          </w:tcPr>
          <w:p>
            <w:pPr>
              <w:spacing w:after="0"/>
              <w:rPr>
                <w:sz w:val="24"/>
                <w:szCs w:val="2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5D Marketing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Aurora Pipeline Company Ltd.</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Bakersfield Crude Terminal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Bluewater Gas Storage,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Centerpoint Access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Diamond Pipeline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Durham Transport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Eagle Ford Crude Terminal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Hawks Oil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Lazybay Operating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Legacy Line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LMC Transport,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Lone Star Trucking,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Mountain Ridge Resources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Niobrara Crude Terminal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Finance Corp.</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Luxembourg S.a.r.l.</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Midstream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Natural Gas Canada ULC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Alberta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Natural Gas Storage, L.P.</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Vulcan Gas Storage,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Pacific Energy Group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Pacific L.A. Marine Terminal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PACONO1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PICSCO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Pine Prairie Energy Center,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7"/>
              </w:rPr>
              <w:t>Plains All American Emergency Relief Fund, Inc.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 North Dakota Inc.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Bondholder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GP Inc.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L.P.</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Midstream Luxembourg S.a.r.l.</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Superior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Mobile Pipeline Inc.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Products Terminals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Rail Holdings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Southcap Inc.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Terminals Corpus Christi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PMC (Nova Scotia) Company</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0"/>
              </w:rPr>
              <w:t>Nova Scotia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PMDSE, Inc.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Mississippi</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PNG Finance Corp.</w:t>
            </w:r>
          </w:p>
        </w:tc>
        <w:tc>
          <w:tcPr>
            <w:tcW w:w="2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r>
        <w:trPr>
          <w:trHeight w:val="334"/>
        </w:trPr>
        <w:tc>
          <w:tcPr>
            <w:tcW w:w="3800" w:type="dxa"/>
            <w:vAlign w:val="bottom"/>
            <w:tcBorders>
              <w:bottom w:val="single" w:sz="8" w:color="010101"/>
            </w:tcBorders>
          </w:tcPr>
          <w:p>
            <w:pPr>
              <w:spacing w:after="0"/>
              <w:rPr>
                <w:sz w:val="24"/>
                <w:szCs w:val="24"/>
                <w:color w:val="auto"/>
              </w:rPr>
            </w:pPr>
          </w:p>
        </w:tc>
        <w:tc>
          <w:tcPr>
            <w:tcW w:w="29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PNGS GP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9"/>
              </w:rPr>
              <w:t>Delaware</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Rancho LPG Holdings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9"/>
              </w:rPr>
              <w:t>Delaware</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RC Transportation,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7"/>
              </w:rPr>
              <w:t>Georgia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RCAT Logistics,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7"/>
              </w:rPr>
              <w:t>Georgia</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SFC Marketing &amp; Logistics,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7"/>
              </w:rPr>
              <w:t>Georgia</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60"/>
          </w:cols>
          <w:pgMar w:left="240" w:top="121" w:right="199" w:bottom="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SLC Pipeline LLC</w:t>
            </w:r>
          </w:p>
        </w:tc>
        <w:tc>
          <w:tcPr>
            <w:tcW w:w="57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Smart Transport Unlimited, LLC</w:t>
            </w:r>
          </w:p>
        </w:tc>
        <w:tc>
          <w:tcPr>
            <w:tcW w:w="57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Southcap Pipe Line Company</w:t>
            </w:r>
          </w:p>
        </w:tc>
        <w:tc>
          <w:tcPr>
            <w:tcW w:w="57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57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Van Hook Crude Terminal LLC</w:t>
            </w:r>
          </w:p>
        </w:tc>
        <w:tc>
          <w:tcPr>
            <w:tcW w:w="57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VirKel Backhoe Services LLLP</w:t>
            </w:r>
          </w:p>
        </w:tc>
        <w:tc>
          <w:tcPr>
            <w:tcW w:w="57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348"/>
        </w:trPr>
        <w:tc>
          <w:tcPr>
            <w:tcW w:w="5660" w:type="dxa"/>
            <w:vAlign w:val="bottom"/>
            <w:tcBorders>
              <w:bottom w:val="single" w:sz="8" w:color="010101"/>
            </w:tcBorders>
          </w:tcPr>
          <w:p>
            <w:pPr>
              <w:spacing w:after="0"/>
              <w:rPr>
                <w:sz w:val="24"/>
                <w:szCs w:val="24"/>
                <w:color w:val="auto"/>
              </w:rPr>
            </w:pPr>
          </w:p>
        </w:tc>
        <w:tc>
          <w:tcPr>
            <w:tcW w:w="5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333-184135, 333-184137, and 333-162477) and on Form S-8 (No. 333-91141, 333-54118, 333-74920, 333-122806, 333-141185, 333-193139 and 333-193140) of Plains All American Pipeline, L.P. of our report dated February 27, 2014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2013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2013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o"/>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1)"/>
      <w:numFmt w:val="decimal"/>
      <w:start w:val="1"/>
    </w:lvl>
  </w:abstractNum>
  <w:abstractNum w:abstractNumId="5">
    <w:nsid w:val="8F2B15E"/>
    <w:multiLevelType w:val="hybridMultilevel"/>
    <w:lvl w:ilvl="0">
      <w:lvlJc w:val="left"/>
      <w:lvlText w:val="(%1)"/>
      <w:numFmt w:val="decimal"/>
      <w:start w:val="4"/>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1)"/>
      <w:numFmt w:val="decimal"/>
      <w:start w:val="1"/>
    </w:lvl>
  </w:abstractNum>
  <w:abstractNum w:abstractNumId="12">
    <w:nsid w:val="14330624"/>
    <w:multiLevelType w:val="hybridMultilevel"/>
    <w:lvl w:ilvl="0">
      <w:lvlJc w:val="left"/>
      <w:lvlText w:val="(%1)"/>
      <w:numFmt w:val="decimal"/>
      <w:start w:val="1"/>
    </w:lvl>
  </w:abstractNum>
  <w:abstractNum w:abstractNumId="13">
    <w:nsid w:val="7FFFCA11"/>
    <w:multiLevelType w:val="hybridMultilevel"/>
    <w:lvl w:ilvl="0">
      <w:lvlJc w:val="left"/>
      <w:lvlText w:val="(%1)"/>
      <w:numFmt w:val="decimal"/>
      <w:start w:val="1"/>
    </w:lvl>
  </w:abstractNum>
  <w:abstractNum w:abstractNumId="14">
    <w:nsid w:val="1A27709E"/>
    <w:multiLevelType w:val="hybridMultilevel"/>
    <w:lvl w:ilvl="0">
      <w:lvlJc w:val="left"/>
      <w:lvlText w:val="(%1)"/>
      <w:numFmt w:val="decimal"/>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1)"/>
      <w:numFmt w:val="lowerRoman"/>
      <w:start w:val="1"/>
    </w:lvl>
  </w:abstractNum>
  <w:abstractNum w:abstractNumId="21">
    <w:nsid w:val="885E1B"/>
    <w:multiLevelType w:val="hybridMultilevel"/>
    <w:lvl w:ilvl="0">
      <w:lvlJc w:val="left"/>
      <w:lvlText w:val="(%1)"/>
      <w:numFmt w:val="lowerRoman"/>
      <w:start w:val="2"/>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1)"/>
      <w:numFmt w:val="decimal"/>
      <w:start w:val="3"/>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1)"/>
      <w:numFmt w:val="lowerRoman"/>
      <w:start w:val="3"/>
    </w:lvl>
  </w:abstractNum>
  <w:abstractNum w:abstractNumId="27">
    <w:nsid w:val="74DE0EE3"/>
    <w:multiLevelType w:val="hybridMultilevel"/>
    <w:lvl w:ilvl="0">
      <w:lvlJc w:val="left"/>
      <w:lvlText w:val="(%1)"/>
      <w:numFmt w:val="lowerRoman"/>
      <w:start w:val="1"/>
    </w:lvl>
  </w:abstractNum>
  <w:abstractNum w:abstractNumId="28">
    <w:nsid w:val="68EBC550"/>
    <w:multiLevelType w:val="hybridMultilevel"/>
    <w:lvl w:ilvl="0">
      <w:lvlJc w:val="left"/>
      <w:lvlText w:val="(%1)"/>
      <w:numFmt w:val="lowerRoman"/>
      <w:start w:val="4"/>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1)"/>
      <w:numFmt w:val="decimal"/>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1)"/>
      <w:numFmt w:val="lowerRoman"/>
      <w:start w:val="3"/>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1)"/>
      <w:numFmt w:val="decimal"/>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lvl w:ilvl="1">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1)"/>
      <w:numFmt w:val="decimal"/>
      <w:start w:val="1"/>
    </w:lvl>
  </w:abstractNum>
  <w:abstractNum w:abstractNumId="55">
    <w:nsid w:val="14FCE74E"/>
    <w:multiLevelType w:val="hybridMultilevel"/>
    <w:lvl w:ilvl="0">
      <w:lvlJc w:val="left"/>
      <w:lvlText w:val="%1"/>
      <w:numFmt w:val="decimal"/>
      <w:start w:val="1"/>
    </w:lvl>
    <w:lvl w:ilvl="1">
      <w:lvlJc w:val="left"/>
      <w:lvlText w:val="(%2)"/>
      <w:numFmt w:val="decimal"/>
      <w:start w:val="1"/>
    </w:lvl>
  </w:abstractNum>
  <w:abstractNum w:abstractNumId="56">
    <w:nsid w:val="6A3DD3E8"/>
    <w:multiLevelType w:val="hybridMultilevel"/>
    <w:lvl w:ilvl="0">
      <w:lvlJc w:val="left"/>
      <w:lvlText w:val="(%1)"/>
      <w:numFmt w:val="decimal"/>
      <w:start w:val="2"/>
    </w:lvl>
    <w:lvl w:ilvl="1">
      <w:lvlJc w:val="left"/>
      <w:lvlText w:val="%2"/>
      <w:numFmt w:val="decimal"/>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1)"/>
      <w:numFmt w:val="decimal"/>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1)"/>
      <w:numFmt w:val="decimal"/>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1)"/>
      <w:numFmt w:val="decimal"/>
      <w:start w:val="8"/>
    </w:lvl>
  </w:abstractNum>
  <w:abstractNum w:abstractNumId="68">
    <w:nsid w:val="51088277"/>
    <w:multiLevelType w:val="hybridMultilevel"/>
    <w:lvl w:ilvl="0">
      <w:lvlJc w:val="left"/>
      <w:lvlText w:val="(%1)"/>
      <w:numFmt w:val="lowerRoman"/>
      <w:start w:val="4"/>
    </w:lvl>
  </w:abstractNum>
  <w:abstractNum w:abstractNumId="69">
    <w:nsid w:val="1CA0C5FA"/>
    <w:multiLevelType w:val="hybridMultilevel"/>
    <w:lvl w:ilvl="0">
      <w:lvlJc w:val="left"/>
      <w:lvlText w:val="(%1)"/>
      <w:numFmt w:val="decimal"/>
      <w:start w:val="1"/>
    </w:lvl>
  </w:abstractNum>
  <w:abstractNum w:abstractNumId="70">
    <w:nsid w:val="53584BCB"/>
    <w:multiLevelType w:val="hybridMultilevel"/>
    <w:lvl w:ilvl="0">
      <w:lvlJc w:val="left"/>
      <w:lvlText w:val="(%1)"/>
      <w:numFmt w:val="decimal"/>
      <w:start w:val="4"/>
    </w:lvl>
  </w:abstractNum>
  <w:abstractNum w:abstractNumId="71">
    <w:nsid w:val="415E286C"/>
    <w:multiLevelType w:val="hybridMultilevel"/>
    <w:lvl w:ilvl="0">
      <w:lvlJc w:val="left"/>
      <w:lvlText w:val="(%1)"/>
      <w:numFmt w:val="decimal"/>
      <w:start w:val="4"/>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1)"/>
      <w:numFmt w:val="decimal"/>
      <w:start w:val="1"/>
    </w:lvl>
  </w:abstractNum>
  <w:abstractNum w:abstractNumId="78">
    <w:nsid w:val="4BD8591A"/>
    <w:multiLevelType w:val="hybridMultilevel"/>
    <w:lvl w:ilvl="0">
      <w:lvlJc w:val="left"/>
      <w:lvlText w:val="(%1)"/>
      <w:numFmt w:val="decimal"/>
      <w:start w:val="2"/>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1)"/>
      <w:numFmt w:val="lowerRoman"/>
      <w:start w:val="1"/>
    </w:lvl>
  </w:abstractNum>
  <w:abstractNum w:abstractNumId="81">
    <w:nsid w:val="2B0D8DBE"/>
    <w:multiLevelType w:val="hybridMultilevel"/>
    <w:lvl w:ilvl="0">
      <w:lvlJc w:val="left"/>
      <w:lvlText w:val="%1."/>
      <w:numFmt w:val="decimal"/>
      <w:start w:val="1"/>
    </w:lvl>
  </w:abstractNum>
  <w:abstractNum w:abstractNumId="82">
    <w:nsid w:val="6C80EC70"/>
    <w:multiLevelType w:val="hybridMultilevel"/>
    <w:lvl w:ilvl="0">
      <w:lvlJc w:val="left"/>
      <w:lvlText w:val="(%1)"/>
      <w:numFmt w:val="lowerLetter"/>
      <w:start w:val="2"/>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1)"/>
      <w:numFmt w:val="decimal"/>
      <w:start w:val="1"/>
    </w:lvl>
  </w:abstractNum>
  <w:abstractNum w:abstractNumId="86">
    <w:nsid w:val="4C9B0904"/>
    <w:multiLevelType w:val="hybridMultilevel"/>
    <w:lvl w:ilvl="0">
      <w:lvlJc w:val="left"/>
      <w:lvlText w:val="(%1)"/>
      <w:numFmt w:val="decimal"/>
      <w:start w:val="3"/>
    </w:lvl>
    <w:lvl w:ilvl="1">
      <w:lvlJc w:val="left"/>
      <w:lvlText w:val="(%2)"/>
      <w:numFmt w:val="lowerRoman"/>
      <w:start w:val="1"/>
    </w:lvl>
  </w:abstractNum>
  <w:abstractNum w:abstractNumId="87">
    <w:nsid w:val="6AA7B75C"/>
    <w:multiLevelType w:val="hybridMultilevel"/>
    <w:lvl w:ilvl="0">
      <w:lvlJc w:val="left"/>
      <w:lvlText w:val="(%1)"/>
      <w:numFmt w:val="decimal"/>
      <w:start w:val="1"/>
    </w:lvl>
  </w:abstractNum>
  <w:abstractNum w:abstractNumId="88">
    <w:nsid w:val="1DF029D3"/>
    <w:multiLevelType w:val="hybridMultilevel"/>
    <w:lvl w:ilvl="0">
      <w:lvlJc w:val="left"/>
      <w:lvlText w:val="(%1)"/>
      <w:numFmt w:val="decimal"/>
      <w:start w:val="2"/>
    </w:lvl>
  </w:abstractNum>
  <w:abstractNum w:abstractNumId="89">
    <w:nsid w:val="5675FF36"/>
    <w:multiLevelType w:val="hybridMultilevel"/>
    <w:lvl w:ilvl="0">
      <w:lvlJc w:val="left"/>
      <w:lvlText w:val="(%1)"/>
      <w:numFmt w:val="decimal"/>
      <w:start w:val="1"/>
    </w:lvl>
  </w:abstractNum>
  <w:abstractNum w:abstractNumId="90">
    <w:nsid w:val="3DD15094"/>
    <w:multiLevelType w:val="hybridMultilevel"/>
    <w:lvl w:ilvl="0">
      <w:lvlJc w:val="left"/>
      <w:lvlText w:val="(%1)"/>
      <w:numFmt w:val="lowerLetter"/>
      <w:start w:val="2"/>
    </w:lvl>
  </w:abstractNum>
  <w:abstractNum w:abstractNumId="91">
    <w:nsid w:val="3DB012B3"/>
    <w:multiLevelType w:val="hybridMultilevel"/>
    <w:lvl w:ilvl="0">
      <w:lvlJc w:val="left"/>
      <w:lvlText w:val="(%1)"/>
      <w:numFmt w:val="lowerRoman"/>
      <w:start w:val="2"/>
    </w:lvl>
  </w:abstractNum>
  <w:abstractNum w:abstractNumId="92">
    <w:nsid w:val="2708C9AF"/>
    <w:multiLevelType w:val="hybridMultilevel"/>
    <w:lvl w:ilvl="0">
      <w:lvlJc w:val="left"/>
      <w:lvlText w:val="(%1)"/>
      <w:numFmt w:val="decimal"/>
      <w:start w:val="2"/>
    </w:lvl>
  </w:abstractNum>
  <w:abstractNum w:abstractNumId="93">
    <w:nsid w:val="5B25ACE2"/>
    <w:multiLevelType w:val="hybridMultilevel"/>
    <w:lvl w:ilvl="0">
      <w:lvlJc w:val="left"/>
      <w:lvlText w:val="(%1)"/>
      <w:numFmt w:val="decimal"/>
      <w:start w:val="5"/>
    </w:lvl>
  </w:abstractNum>
  <w:abstractNum w:abstractNumId="94">
    <w:nsid w:val="175DFCF0"/>
    <w:multiLevelType w:val="hybridMultilevel"/>
    <w:lvl w:ilvl="0">
      <w:lvlJc w:val="left"/>
      <w:lvlText w:val="(%1)"/>
      <w:numFmt w:val="decimal"/>
      <w:start w:val="6"/>
    </w:lvl>
    <w:lvl w:ilvl="1">
      <w:lvlJc w:val="left"/>
      <w:lvlText w:val="(%2)"/>
      <w:numFmt w:val="decimal"/>
      <w:start w:val="7"/>
    </w:lvl>
  </w:abstractNum>
  <w:abstractNum w:abstractNumId="95">
    <w:nsid w:val="4F97E3E4"/>
    <w:multiLevelType w:val="hybridMultilevel"/>
    <w:lvl w:ilvl="0">
      <w:lvlJc w:val="left"/>
      <w:lvlText w:val="(%1)"/>
      <w:numFmt w:val="decimal"/>
      <w:start w:val="8"/>
    </w:lvl>
  </w:abstractNum>
  <w:abstractNum w:abstractNumId="96">
    <w:nsid w:val="53B0A9E"/>
    <w:multiLevelType w:val="hybridMultilevel"/>
    <w:lvl w:ilvl="0">
      <w:lvlJc w:val="left"/>
      <w:lvlText w:val="(%1)"/>
      <w:numFmt w:val="decimal"/>
      <w:start w:val="9"/>
    </w:lvl>
    <w:lvl w:ilvl="1">
      <w:lvlJc w:val="left"/>
      <w:lvlText w:val="(%2)"/>
      <w:numFmt w:val="decimal"/>
      <w:start w:val="10"/>
    </w:lvl>
  </w:abstractNum>
  <w:abstractNum w:abstractNumId="97">
    <w:nsid w:val="34FD6B4F"/>
    <w:multiLevelType w:val="hybridMultilevel"/>
    <w:lvl w:ilvl="0">
      <w:lvlJc w:val="left"/>
      <w:lvlText w:val="(%1)"/>
      <w:numFmt w:val="decimal"/>
      <w:start w:val="1"/>
    </w:lvl>
  </w:abstractNum>
  <w:abstractNum w:abstractNumId="98">
    <w:nsid w:val="5915FF32"/>
    <w:multiLevelType w:val="hybridMultilevel"/>
    <w:lvl w:ilvl="0">
      <w:lvlJc w:val="left"/>
      <w:lvlText w:val="(%1)"/>
      <w:numFmt w:val="decimal"/>
      <w:start w:val="2"/>
    </w:lvl>
  </w:abstractNum>
  <w:abstractNum w:abstractNumId="99">
    <w:nsid w:val="56438D15"/>
    <w:multiLevelType w:val="hybridMultilevel"/>
    <w:lvl w:ilvl="0">
      <w:lvlJc w:val="left"/>
      <w:lvlText w:val="(%1)"/>
      <w:numFmt w:val="decimal"/>
      <w:start w:val="6"/>
    </w:lvl>
  </w:abstractNum>
  <w:abstractNum w:abstractNumId="100">
    <w:nsid w:val="519E3149"/>
    <w:multiLevelType w:val="hybridMultilevel"/>
    <w:lvl w:ilvl="0">
      <w:lvlJc w:val="left"/>
      <w:lvlText w:val="(%1)"/>
      <w:numFmt w:val="decimal"/>
      <w:start w:val="3"/>
    </w:lvl>
  </w:abstractNum>
  <w:abstractNum w:abstractNumId="101">
    <w:nsid w:val="2C6E4AFD"/>
    <w:multiLevelType w:val="hybridMultilevel"/>
    <w:lvl w:ilvl="0">
      <w:lvlJc w:val="left"/>
      <w:lvlText w:val="(%1)"/>
      <w:numFmt w:val="decimal"/>
      <w:start w:val="4"/>
    </w:lvl>
  </w:abstractNum>
  <w:abstractNum w:abstractNumId="102">
    <w:nsid w:val="17A1B582"/>
    <w:multiLevelType w:val="hybridMultilevel"/>
    <w:lvl w:ilvl="0">
      <w:lvlJc w:val="left"/>
      <w:lvlText w:val="(%1)"/>
      <w:numFmt w:val="decimal"/>
      <w:start w:val="1"/>
    </w:lvl>
  </w:abstractNum>
  <w:abstractNum w:abstractNumId="103">
    <w:nsid w:val="4DF72E4E"/>
    <w:multiLevelType w:val="hybridMultilevel"/>
    <w:lvl w:ilvl="0">
      <w:lvlJc w:val="left"/>
      <w:lvlText w:val="(%1)"/>
      <w:numFmt w:val="lowerLetter"/>
      <w:start w:val="1"/>
    </w:lvl>
  </w:abstractNum>
  <w:abstractNum w:abstractNumId="104">
    <w:nsid w:val="5046B5A9"/>
    <w:multiLevelType w:val="hybridMultilevel"/>
    <w:lvl w:ilvl="0">
      <w:lvlJc w:val="left"/>
      <w:lvlText w:val="(%1)"/>
      <w:numFmt w:val="decimal"/>
      <w:start w:val="2"/>
    </w:lvl>
  </w:abstractNum>
  <w:abstractNum w:abstractNumId="105">
    <w:nsid w:val="5D888A08"/>
    <w:multiLevelType w:val="hybridMultilevel"/>
    <w:lvl w:ilvl="0">
      <w:lvlJc w:val="left"/>
      <w:lvlText w:val="(%1)"/>
      <w:numFmt w:val="decimal"/>
      <w:start w:val="3"/>
    </w:lvl>
  </w:abstractNum>
  <w:abstractNum w:abstractNumId="106">
    <w:nsid w:val="2A082C70"/>
    <w:multiLevelType w:val="hybridMultilevel"/>
    <w:lvl w:ilvl="0">
      <w:lvlJc w:val="left"/>
      <w:lvlText w:val="(%1)"/>
      <w:numFmt w:val="lowerRoman"/>
      <w:start w:val="6"/>
    </w:lvl>
  </w:abstractNum>
  <w:abstractNum w:abstractNumId="107">
    <w:nsid w:val="5EC6AFD4"/>
    <w:multiLevelType w:val="hybridMultilevel"/>
    <w:lvl w:ilvl="0">
      <w:lvlJc w:val="left"/>
      <w:lvlText w:val="(%1)"/>
      <w:numFmt w:val="lowerRoman"/>
      <w:start w:val="7"/>
    </w:lvl>
  </w:abstractNum>
  <w:abstractNum w:abstractNumId="108">
    <w:nsid w:val="19E21BB2"/>
    <w:multiLevelType w:val="hybridMultilevel"/>
    <w:lvl w:ilvl="0">
      <w:lvlJc w:val="left"/>
      <w:lvlText w:val="(%1)"/>
      <w:numFmt w:val="lowerRoman"/>
      <w:start w:val="2"/>
    </w:lvl>
  </w:abstractNum>
  <w:abstractNum w:abstractNumId="109">
    <w:nsid w:val="75E0858A"/>
    <w:multiLevelType w:val="hybridMultilevel"/>
    <w:lvl w:ilvl="0">
      <w:lvlJc w:val="left"/>
      <w:lvlText w:val="(%1)"/>
      <w:numFmt w:val="lowerRoman"/>
      <w:start w:val="1"/>
    </w:lvl>
  </w:abstractNum>
  <w:abstractNum w:abstractNumId="110">
    <w:nsid w:val="57A61A29"/>
    <w:multiLevelType w:val="hybridMultilevel"/>
    <w:lvl w:ilvl="0">
      <w:lvlJc w:val="left"/>
      <w:lvlText w:val="(%1)"/>
      <w:numFmt w:val="decimal"/>
      <w:start w:val="1"/>
    </w:lvl>
  </w:abstractNum>
  <w:abstractNum w:abstractNumId="111">
    <w:nsid w:val="5399C654"/>
    <w:multiLevelType w:val="hybridMultilevel"/>
    <w:lvl w:ilvl="0">
      <w:lvlJc w:val="left"/>
      <w:lvlText w:val="(%1)"/>
      <w:numFmt w:val="decimal"/>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1)"/>
      <w:numFmt w:val="decimal"/>
      <w:start w:val="1"/>
    </w:lvl>
  </w:abstractNum>
  <w:abstractNum w:abstractNumId="114">
    <w:nsid w:val="B37E80A"/>
    <w:multiLevelType w:val="hybridMultilevel"/>
    <w:lvl w:ilvl="0">
      <w:lvlJc w:val="left"/>
      <w:lvlText w:val="(%1)"/>
      <w:numFmt w:val="decimal"/>
      <w:start w:val="1"/>
    </w:lvl>
  </w:abstractNum>
  <w:abstractNum w:abstractNumId="115">
    <w:nsid w:val="2157F6BC"/>
    <w:multiLevelType w:val="hybridMultilevel"/>
    <w:lvl w:ilvl="0">
      <w:lvlJc w:val="left"/>
      <w:lvlText w:val="(%1)"/>
      <w:numFmt w:val="decimal"/>
      <w:start w:val="4"/>
    </w:lvl>
  </w:abstractNum>
  <w:abstractNum w:abstractNumId="116">
    <w:nsid w:val="704E1DD5"/>
    <w:multiLevelType w:val="hybridMultilevel"/>
    <w:lvl w:ilvl="0">
      <w:lvlJc w:val="left"/>
      <w:lvlText w:val="(%1)"/>
      <w:numFmt w:val="decimal"/>
      <w:start w:val="1"/>
    </w:lvl>
  </w:abstractNum>
  <w:abstractNum w:abstractNumId="117">
    <w:nsid w:val="57D2F10E"/>
    <w:multiLevelType w:val="hybridMultilevel"/>
    <w:lvl w:ilvl="0">
      <w:lvlJc w:val="left"/>
      <w:lvlText w:val="·"/>
      <w:numFmt w:val="bullet"/>
      <w:start w:val="1"/>
    </w:lvl>
  </w:abstractNum>
  <w:abstractNum w:abstractNumId="118">
    <w:nsid w:val="BFFAE18"/>
    <w:multiLevelType w:val="hybridMultilevel"/>
    <w:lvl w:ilvl="0">
      <w:lvlJc w:val="left"/>
      <w:lvlText w:val="(%1)"/>
      <w:numFmt w:val="lowerRoman"/>
      <w:start w:val="2"/>
    </w:lvl>
  </w:abstractNum>
  <w:abstractNum w:abstractNumId="119">
    <w:nsid w:val="E3E47A8"/>
    <w:multiLevelType w:val="hybridMultilevel"/>
    <w:lvl w:ilvl="0">
      <w:lvlJc w:val="left"/>
      <w:lvlText w:val="(%1)"/>
      <w:numFmt w:val="decimal"/>
      <w:start w:val="1"/>
    </w:lvl>
  </w:abstractNum>
  <w:abstractNum w:abstractNumId="120">
    <w:nsid w:val="2E48F044"/>
    <w:multiLevelType w:val="hybridMultilevel"/>
    <w:lvl w:ilvl="0">
      <w:lvlJc w:val="left"/>
      <w:lvlText w:val="(%1)"/>
      <w:numFmt w:val="decimal"/>
      <w:start w:val="1"/>
    </w:lvl>
  </w:abstractNum>
  <w:abstractNum w:abstractNumId="121">
    <w:nsid w:val="49D0FEAC"/>
    <w:multiLevelType w:val="hybridMultilevel"/>
    <w:lvl w:ilvl="0">
      <w:lvlJc w:val="left"/>
      <w:lvlText w:val="·"/>
      <w:numFmt w:val="bullet"/>
      <w:start w:val="1"/>
    </w:lvl>
  </w:abstractNum>
  <w:abstractNum w:abstractNumId="122">
    <w:nsid w:val="4BEE5A5B"/>
    <w:multiLevelType w:val="hybridMultilevel"/>
    <w:lvl w:ilvl="0">
      <w:lvlJc w:val="left"/>
      <w:lvlText w:val="(%1)"/>
      <w:numFmt w:val="decimal"/>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
      <w:numFmt w:val="bullet"/>
      <w:start w:val="1"/>
    </w:lvl>
  </w:abstractNum>
  <w:abstractNum w:abstractNumId="125">
    <w:nsid w:val="634C574C"/>
    <w:multiLevelType w:val="hybridMultilevel"/>
    <w:lvl w:ilvl="0">
      <w:lvlJc w:val="left"/>
      <w:lvlText w:val="(%1)"/>
      <w:numFmt w:val="decimal"/>
      <w:start w:val="1"/>
    </w:lvl>
  </w:abstractNum>
  <w:abstractNum w:abstractNumId="126">
    <w:nsid w:val="24E99DD7"/>
    <w:multiLevelType w:val="hybridMultilevel"/>
    <w:lvl w:ilvl="0">
      <w:lvlJc w:val="left"/>
      <w:lvlText w:val="(%1)"/>
      <w:numFmt w:val="decimal"/>
      <w:start w:val="1"/>
    </w:lvl>
  </w:abstractNum>
  <w:abstractNum w:abstractNumId="127">
    <w:nsid w:val="2A31B62D"/>
    <w:multiLevelType w:val="hybridMultilevel"/>
    <w:lvl w:ilvl="0">
      <w:lvlJc w:val="left"/>
      <w:lvlText w:val="(%1)"/>
      <w:numFmt w:val="decimal"/>
      <w:start w:val="1"/>
    </w:lvl>
    <w:lvl w:ilvl="1">
      <w:lvlJc w:val="left"/>
      <w:lvlText w:val="(%2)"/>
      <w:numFmt w:val="decimal"/>
      <w:start w:val="2"/>
    </w:lvl>
  </w:abstractNum>
  <w:abstractNum w:abstractNumId="128">
    <w:nsid w:val="1849C29B"/>
    <w:multiLevelType w:val="hybridMultilevel"/>
    <w:lvl w:ilvl="0">
      <w:lvlJc w:val="left"/>
      <w:lvlText w:val="(%1)"/>
      <w:numFmt w:val="decimal"/>
      <w:start w:val="1"/>
    </w:lvl>
  </w:abstractNum>
  <w:abstractNum w:abstractNumId="129">
    <w:nsid w:val="7DFF9D09"/>
    <w:multiLevelType w:val="hybridMultilevel"/>
    <w:lvl w:ilvl="0">
      <w:lvlJc w:val="left"/>
      <w:lvlText w:val="(%1)"/>
      <w:numFmt w:val="decimal"/>
      <w:start w:val="1"/>
    </w:lvl>
  </w:abstractNum>
  <w:abstractNum w:abstractNumId="130">
    <w:nsid w:val="754342"/>
    <w:multiLevelType w:val="hybridMultilevel"/>
    <w:lvl w:ilvl="0">
      <w:lvlJc w:val="left"/>
      <w:lvlText w:val="(%1)"/>
      <w:numFmt w:val="decimal"/>
      <w:start w:val="1"/>
    </w:lvl>
  </w:abstractNum>
  <w:abstractNum w:abstractNumId="131">
    <w:nsid w:val="69E7F3E5"/>
    <w:multiLevelType w:val="hybridMultilevel"/>
    <w:lvl w:ilvl="0">
      <w:lvlJc w:val="left"/>
      <w:lvlText w:val="(%1)"/>
      <w:numFmt w:val="decimal"/>
      <w:start w:val="2"/>
    </w:lvl>
  </w:abstractNum>
  <w:abstractNum w:abstractNumId="132">
    <w:nsid w:val="2A6DE806"/>
    <w:multiLevelType w:val="hybridMultilevel"/>
    <w:lvl w:ilvl="0">
      <w:lvlJc w:val="left"/>
      <w:lvlText w:val="(%1)"/>
      <w:numFmt w:val="decimal"/>
      <w:start w:val="3"/>
    </w:lvl>
  </w:abstractNum>
  <w:abstractNum w:abstractNumId="133">
    <w:nsid w:val="1816F8C4"/>
    <w:multiLevelType w:val="hybridMultilevel"/>
    <w:lvl w:ilvl="0">
      <w:lvlJc w:val="left"/>
      <w:lvlText w:val="(%1)"/>
      <w:numFmt w:val="decimal"/>
      <w:start w:val="1"/>
    </w:lvl>
  </w:abstractNum>
  <w:abstractNum w:abstractNumId="134">
    <w:nsid w:val="37DF2233"/>
    <w:multiLevelType w:val="hybridMultilevel"/>
    <w:lvl w:ilvl="0">
      <w:lvlJc w:val="left"/>
      <w:lvlText w:val="(%1)"/>
      <w:numFmt w:val="decimal"/>
      <w:start w:val="1"/>
    </w:lvl>
  </w:abstractNum>
  <w:abstractNum w:abstractNumId="135">
    <w:nsid w:val="7AB49DAF"/>
    <w:multiLevelType w:val="hybridMultilevel"/>
    <w:lvl w:ilvl="0">
      <w:lvlJc w:val="left"/>
      <w:lvlText w:val="%1."/>
      <w:numFmt w:val="decimal"/>
      <w:start w:val="1"/>
    </w:lvl>
  </w:abstractNum>
  <w:abstractNum w:abstractNumId="136">
    <w:nsid w:val="759F82CD"/>
    <w:multiLevelType w:val="hybridMultilevel"/>
    <w:lvl w:ilvl="0">
      <w:lvlJc w:val="left"/>
      <w:lvlText w:val="%1."/>
      <w:numFmt w:val="decimal"/>
      <w:start w:val="1"/>
    </w:lvl>
  </w:abstractNum>
  <w:abstractNum w:abstractNumId="137">
    <w:nsid w:val="61E74EA3"/>
    <w:multiLevelType w:val="hybridMultilevel"/>
    <w:lvl w:ilvl="0">
      <w:lvlJc w:val="left"/>
      <w:lvlText w:val="%1."/>
      <w:numFmt w:val="decimal"/>
      <w:start w:val="2"/>
    </w:lvl>
  </w:abstractNum>
  <w:abstractNum w:abstractNumId="138">
    <w:nsid w:val="597B4D84"/>
    <w:multiLevelType w:val="hybridMultilevel"/>
    <w:lvl w:ilvl="0">
      <w:lvlJc w:val="left"/>
      <w:lvlText w:val="%1."/>
      <w:numFmt w:val="decimal"/>
      <w:start w:val="1"/>
    </w:lvl>
  </w:abstractNum>
  <w:abstractNum w:abstractNumId="139">
    <w:nsid w:val="F819E7F"/>
    <w:multiLevelType w:val="hybridMultilevel"/>
    <w:lvl w:ilvl="0">
      <w:lvlJc w:val="left"/>
      <w:lvlText w:val="%1."/>
      <w:numFmt w:val="decimal"/>
      <w:start w:val="2"/>
    </w:lvl>
  </w:abstractNum>
  <w:abstractNum w:abstractNumId="140">
    <w:nsid w:val="57C7D42D"/>
    <w:multiLevelType w:val="hybridMultilevel"/>
    <w:lvl w:ilvl="0">
      <w:lvlJc w:val="left"/>
      <w:lvlText w:val="(%1)"/>
      <w:numFmt w:val="decimal"/>
      <w:start w:val="1"/>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lowerLetter"/>
      <w:start w:val="1"/>
    </w:lvl>
  </w:abstractNum>
  <w:abstractNum w:abstractNumId="143">
    <w:nsid w:val="78B5E776"/>
    <w:multiLevelType w:val="hybridMultilevel"/>
    <w:lvl w:ilvl="0">
      <w:lvlJc w:val="left"/>
      <w:lvlText w:val="%1."/>
      <w:numFmt w:val="decimal"/>
      <w:start w:val="5"/>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decimal"/>
      <w:start w:val="1"/>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decimal"/>
      <w:start w:val="5"/>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lowerRoman"/>
      <w:start w:val="1"/>
    </w:lvl>
  </w:abstractNum>
  <w:abstractNum w:abstractNumId="150">
    <w:nsid w:val="73D4D3C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2020-01-26T06:37:42Z</dcterms:created>
  <dcterms:modified xsi:type="dcterms:W3CDTF">2020-01-26T06:37:42Z</dcterms:modified>
</cp:coreProperties>
</file>