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7, 2014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75" w:orient="portrait"/>
          <w:cols w:equalWidth="0" w:num="1">
            <w:col w:w="11420"/>
          </w:cols>
          <w:pgMar w:left="240" w:top="538" w:right="239" w:bottom="0" w:gutter="0" w:footer="0" w:header="0"/>
        </w:sectPr>
      </w:pPr>
    </w:p>
    <w:p>
      <w:pPr>
        <w:spacing w:after="0" w:line="20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1-36132</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90-1005472</w:t>
      </w:r>
    </w:p>
    <w:p>
      <w:pPr>
        <w:spacing w:after="0" w:line="3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75" w:orient="portrait"/>
          <w:cols w:equalWidth="0" w:num="3">
            <w:col w:w="4020" w:space="720"/>
            <w:col w:w="2820" w:space="720"/>
            <w:col w:w="3140"/>
          </w:cols>
          <w:pgMar w:left="240" w:top="538" w:right="239" w:bottom="0" w:gutter="0" w:footer="0" w:header="0"/>
          <w:type w:val="continuous"/>
        </w:sectPr>
      </w:pPr>
    </w:p>
    <w:p>
      <w:pPr>
        <w:spacing w:after="0" w:line="14"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75" w:orient="portrait"/>
          <w:cols w:equalWidth="0" w:num="1">
            <w:col w:w="11420"/>
          </w:cols>
          <w:pgMar w:left="240" w:top="538" w:right="239" w:bottom="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713-646-4100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60" w:hanging="352"/>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and Item 7.01.  Results of Operations and Financial Condition; Regulation FD Disclosure.</w:t>
      </w:r>
    </w:p>
    <w:p>
      <w:pPr>
        <w:spacing w:after="0" w:line="229" w:lineRule="exact"/>
        <w:rPr>
          <w:sz w:val="24"/>
          <w:szCs w:val="24"/>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On May 7, 2014, the Registrant issued a press release reporting its first quarter 2014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76" w:lineRule="exact"/>
        <w:rPr>
          <w:sz w:val="24"/>
          <w:szCs w:val="24"/>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Exhibit 99.1 —  Press Release dated May 7, 2014.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PLAINS GP HOLDINGS, L.P.</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2014</w:t>
            </w:r>
          </w:p>
        </w:tc>
        <w:tc>
          <w:tcPr>
            <w:tcW w:w="26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PAA GP Holdings LLC, its general partner</w:t>
            </w:r>
          </w:p>
        </w:tc>
      </w:tr>
      <w:tr>
        <w:trPr>
          <w:trHeight w:val="648"/>
        </w:trPr>
        <w:tc>
          <w:tcPr>
            <w:tcW w:w="3560" w:type="dxa"/>
            <w:vAlign w:val="bottom"/>
          </w:tcPr>
          <w:p>
            <w:pPr>
              <w:spacing w:after="0"/>
              <w:rPr>
                <w:sz w:val="24"/>
                <w:szCs w:val="24"/>
                <w:color w:val="auto"/>
              </w:rPr>
            </w:pPr>
          </w:p>
        </w:tc>
        <w:tc>
          <w:tcPr>
            <w:tcW w:w="26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 Swanson</w:t>
            </w:r>
          </w:p>
        </w:tc>
      </w:tr>
      <w:tr>
        <w:trPr>
          <w:trHeight w:val="228"/>
        </w:trPr>
        <w:tc>
          <w:tcPr>
            <w:tcW w:w="35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Name:   Al Swanson</w:t>
            </w:r>
          </w:p>
        </w:tc>
      </w:tr>
    </w:tbl>
    <w:p>
      <w:pPr>
        <w:sectPr>
          <w:pgSz w:w="11900" w:h="16875" w:orient="portrait"/>
          <w:cols w:equalWidth="0" w:num="1">
            <w:col w:w="11420"/>
          </w:cols>
          <w:pgMar w:left="240" w:top="538" w:right="239" w:bottom="0" w:gutter="0" w:footer="0" w:header="0"/>
          <w:type w:val="continuous"/>
        </w:sectPr>
      </w:pPr>
    </w:p>
    <w:bookmarkStart w:id="1" w:name="page2"/>
    <w:bookmarkEnd w:id="1"/>
    <w:p>
      <w:pPr>
        <w:jc w:val="both"/>
        <w:ind w:left="5000"/>
        <w:spacing w:after="0"/>
        <w:tabs>
          <w:tab w:leader="none" w:pos="57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Executive Vice President and Chief Financial Officer</w:t>
      </w:r>
    </w:p>
    <w:p>
      <w:pPr>
        <w:spacing w:after="0" w:line="2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580"/>
          </w:cols>
          <w:pgMar w:left="1440" w:top="121" w:right="879" w:bottom="1440" w:gutter="0" w:footer="0" w:header="0"/>
        </w:sectPr>
      </w:pPr>
    </w:p>
    <w:bookmarkStart w:id="2" w:name="page3"/>
    <w:bookmarkEnd w:id="2"/>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Plains GP Holdings Report First-Quarter 2014 Results</w:t>
      </w:r>
    </w:p>
    <w:p>
      <w:pPr>
        <w:spacing w:after="0" w:line="229" w:lineRule="exact"/>
        <w:rPr>
          <w:sz w:val="20"/>
          <w:szCs w:val="20"/>
          <w:color w:val="auto"/>
        </w:rPr>
      </w:pPr>
    </w:p>
    <w:p>
      <w:pPr>
        <w:ind w:firstLine="702"/>
        <w:spacing w:after="0" w:line="258" w:lineRule="auto"/>
        <w:rPr>
          <w:sz w:val="20"/>
          <w:szCs w:val="20"/>
          <w:color w:val="auto"/>
        </w:rPr>
      </w:pPr>
      <w:r>
        <w:rPr>
          <w:rFonts w:ascii="Times New Roman" w:cs="Times New Roman" w:eastAsia="Times New Roman" w:hAnsi="Times New Roman"/>
          <w:sz w:val="18"/>
          <w:szCs w:val="18"/>
          <w:color w:val="auto"/>
        </w:rPr>
        <w:t>(Houston — May 7, 2014) Plains All American Pipeline, L.P. (NYSE: PAA) and Plains GP Holdings (NYSE: PAGP) today reported first-quarter 2014 results, with PAA’s results exceeding the midpoint of its quarterly guidance range. PAA’s first-quarter 2014 results reflect continued growth in its fee-based Transportation and Facilities segments driven by execution of PAA’s expansion capital program. These results also include solid performance from PAA’s Supply and Logistics segment as a result of constructive crude oil and NGL market conditions, however, such conditions were not as favorable as those experienced in the first quarter of 2013.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Financial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Pr>
          <w:p>
            <w:pPr>
              <w:spacing w:after="0"/>
              <w:rPr>
                <w:sz w:val="12"/>
                <w:szCs w:val="12"/>
                <w:color w:val="auto"/>
              </w:rPr>
            </w:pPr>
          </w:p>
        </w:tc>
        <w:tc>
          <w:tcPr>
            <w:tcW w:w="1480" w:type="dxa"/>
            <w:vAlign w:val="bottom"/>
            <w:gridSpan w:val="2"/>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limited partner unit</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0.73</w:t>
            </w:r>
          </w:p>
        </w:tc>
        <w:tc>
          <w:tcPr>
            <w:tcW w:w="5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1.27</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607</w:t>
            </w:r>
          </w:p>
        </w:tc>
        <w:tc>
          <w:tcPr>
            <w:tcW w:w="5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748</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5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Pr>
          <w:p>
            <w:pPr>
              <w:spacing w:after="0"/>
              <w:rPr>
                <w:sz w:val="12"/>
                <w:szCs w:val="12"/>
                <w:color w:val="auto"/>
              </w:rPr>
            </w:pPr>
          </w:p>
        </w:tc>
        <w:tc>
          <w:tcPr>
            <w:tcW w:w="1480" w:type="dxa"/>
            <w:vAlign w:val="bottom"/>
            <w:gridSpan w:val="2"/>
          </w:tcPr>
          <w:p>
            <w:pPr>
              <w:ind w:left="46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attributable to PAA</w:t>
            </w: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adjusted net income per limited partner unit</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0.65</w:t>
            </w:r>
          </w:p>
        </w:tc>
        <w:tc>
          <w:tcPr>
            <w:tcW w:w="5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1.26</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567</w:t>
            </w:r>
          </w:p>
        </w:tc>
        <w:tc>
          <w:tcPr>
            <w:tcW w:w="5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739</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Distribution per unit declared for the period</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0.6300</w:t>
            </w:r>
          </w:p>
        </w:tc>
        <w:tc>
          <w:tcPr>
            <w:tcW w:w="50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0.5750</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00" w:right="80" w:hanging="192"/>
        <w:spacing w:after="0" w:line="254" w:lineRule="auto"/>
        <w:tabs>
          <w:tab w:leader="none" w:pos="182" w:val="left"/>
        </w:tabs>
        <w:numPr>
          <w:ilvl w:val="0"/>
          <w:numId w:val="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Partnership’s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the Partnership believes impact comparability of financial results between reporting periods, as well as for information regarding non-GAAP financial measures (such as adjusted EBITDA) and their reconciliation to the most directly comparable GAAP measures.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2</w:t>
      </w:r>
    </w:p>
    <w:p>
      <w:pPr>
        <w:spacing w:after="0" w:line="225" w:lineRule="exact"/>
        <w:rPr>
          <w:sz w:val="20"/>
          <w:szCs w:val="20"/>
          <w:color w:val="auto"/>
        </w:rPr>
      </w:pPr>
    </w:p>
    <w:p>
      <w:pPr>
        <w:ind w:right="200" w:firstLine="702"/>
        <w:spacing w:after="0" w:line="266" w:lineRule="auto"/>
        <w:rPr>
          <w:sz w:val="20"/>
          <w:szCs w:val="20"/>
          <w:color w:val="auto"/>
        </w:rPr>
      </w:pPr>
      <w:r>
        <w:rPr>
          <w:rFonts w:ascii="Times New Roman" w:cs="Times New Roman" w:eastAsia="Times New Roman" w:hAnsi="Times New Roman"/>
          <w:sz w:val="18"/>
          <w:szCs w:val="18"/>
          <w:color w:val="auto"/>
        </w:rPr>
        <w:t>“PAA reported first-quarter results that exceeded the midpoint of our adjusted EBITDA guidance by over $40 million,” said Greg L. Armstrong, Chairman and CEO of Plains All American. “Solid performance from our crude oil and natural gas liquids activities was partially offset by weather-related impacts in our natural gas storage and crude oil rail activities.</w:t>
      </w:r>
    </w:p>
    <w:p>
      <w:pPr>
        <w:spacing w:after="0" w:line="17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PAA and PAGP are on track to achieve their respective distribution growth objectives of 10% and 25% for 2014. PAA’s quarterly distribution of $0.6300 per unit to be paid next week represents a 9.6% increase over the comparable distribution paid in May 2013, and PAGP’s quarterly distribution of $0.17055 per share represents a 14.4% increase over the initial quarterly distribution included in its October 2013 initial public offering (“IPO”) prospectus. Importantly, we continue to execute on our expansion capital program, which we believe will set the stage for continued, attractive distribution growth beyond 2014.</w:t>
      </w:r>
    </w:p>
    <w:p>
      <w:pPr>
        <w:spacing w:after="0" w:line="184"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Additionally, we are well positioned to not only fund our ongoing capital programs, but also pursue acquisition-oriented growth opportunities as we ended the first quarter with a strong balance sheet, credit metrics favorable to our targets and $2.0 billion of committed liquidity.”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selected PAA financial information by segment for the first quarter of 2014: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Selected Financial Data by Segment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86" w:lineRule="exact"/>
        <w:rPr>
          <w:sz w:val="20"/>
          <w:szCs w:val="20"/>
          <w:color w:val="auto"/>
        </w:rPr>
      </w:pPr>
    </w:p>
    <w:tbl>
      <w:tblPr>
        <w:tblLayout w:type="fixed"/>
        <w:tblInd w:w="334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3"/>
                <w:szCs w:val="13"/>
                <w:color w:val="auto"/>
              </w:rPr>
            </w:pPr>
          </w:p>
        </w:tc>
      </w:tr>
      <w:tr>
        <w:trPr>
          <w:trHeight w:val="173"/>
        </w:trPr>
        <w:tc>
          <w:tcPr>
            <w:tcW w:w="1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10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1100" w:type="dxa"/>
            <w:vAlign w:val="bottom"/>
            <w:tcBorders>
              <w:bottom w:val="single" w:sz="8" w:color="auto"/>
            </w:tcBorders>
          </w:tcPr>
          <w:p>
            <w:pPr>
              <w:spacing w:after="0"/>
              <w:rPr>
                <w:sz w:val="15"/>
                <w:szCs w:val="15"/>
                <w:color w:val="auto"/>
              </w:rPr>
            </w:pPr>
          </w:p>
        </w:tc>
      </w:tr>
      <w:tr>
        <w:trPr>
          <w:trHeight w:val="131"/>
        </w:trPr>
        <w:tc>
          <w:tcPr>
            <w:tcW w:w="1100" w:type="dxa"/>
            <w:vAlign w:val="bottom"/>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Transportation</w:t>
            </w:r>
          </w:p>
        </w:tc>
        <w:tc>
          <w:tcPr>
            <w:tcW w:w="1540" w:type="dxa"/>
            <w:vAlign w:val="bottom"/>
          </w:tcPr>
          <w:p>
            <w:pPr>
              <w:ind w:left="520"/>
              <w:spacing w:after="0" w:line="131" w:lineRule="exact"/>
              <w:rPr>
                <w:sz w:val="20"/>
                <w:szCs w:val="20"/>
                <w:color w:val="auto"/>
              </w:rPr>
            </w:pPr>
            <w:r>
              <w:rPr>
                <w:rFonts w:ascii="Times New Roman" w:cs="Times New Roman" w:eastAsia="Times New Roman" w:hAnsi="Times New Roman"/>
                <w:sz w:val="14"/>
                <w:szCs w:val="14"/>
                <w:b w:val="1"/>
                <w:bCs w:val="1"/>
                <w:color w:val="auto"/>
              </w:rPr>
              <w:t>Facilities</w:t>
            </w:r>
          </w:p>
        </w:tc>
        <w:tc>
          <w:tcPr>
            <w:tcW w:w="1040" w:type="dxa"/>
            <w:vAlign w:val="bottom"/>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Supply and</w:t>
            </w:r>
          </w:p>
        </w:tc>
        <w:tc>
          <w:tcPr>
            <w:tcW w:w="360" w:type="dxa"/>
            <w:vAlign w:val="bottom"/>
            <w:tcBorders>
              <w:right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Transportation</w:t>
            </w:r>
          </w:p>
        </w:tc>
        <w:tc>
          <w:tcPr>
            <w:tcW w:w="1520" w:type="dxa"/>
            <w:vAlign w:val="bottom"/>
          </w:tcPr>
          <w:p>
            <w:pPr>
              <w:ind w:left="500"/>
              <w:spacing w:after="0" w:line="131" w:lineRule="exact"/>
              <w:rPr>
                <w:sz w:val="20"/>
                <w:szCs w:val="20"/>
                <w:color w:val="auto"/>
              </w:rPr>
            </w:pPr>
            <w:r>
              <w:rPr>
                <w:rFonts w:ascii="Times New Roman" w:cs="Times New Roman" w:eastAsia="Times New Roman" w:hAnsi="Times New Roman"/>
                <w:sz w:val="14"/>
                <w:szCs w:val="14"/>
                <w:b w:val="1"/>
                <w:bCs w:val="1"/>
                <w:color w:val="auto"/>
              </w:rPr>
              <w:t>Facilities</w:t>
            </w:r>
          </w:p>
        </w:tc>
        <w:tc>
          <w:tcPr>
            <w:tcW w:w="1100" w:type="dxa"/>
            <w:vAlign w:val="bottom"/>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Supply and</w:t>
            </w:r>
          </w:p>
        </w:tc>
      </w:tr>
    </w:tbl>
    <w:p>
      <w:pPr>
        <w:sectPr>
          <w:pgSz w:w="11900" w:h="16900" w:orient="portrait"/>
          <w:cols w:equalWidth="0" w:num="1">
            <w:col w:w="11420"/>
          </w:cols>
          <w:pgMar w:left="240" w:top="117"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Borders>
              <w:right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segment profit</w:t>
            </w:r>
          </w:p>
        </w:tc>
        <w:tc>
          <w:tcPr>
            <w:tcW w:w="480" w:type="dxa"/>
            <w:vAlign w:val="bottom"/>
            <w:tcBorders>
              <w:top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60" w:type="dxa"/>
            <w:vAlign w:val="bottom"/>
            <w:tcBorders>
              <w:top w:val="single" w:sz="8" w:color="CCEEFF"/>
              <w:right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Selected items impacting the</w:t>
            </w: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line="234" w:lineRule="exact"/>
              <w:rPr>
                <w:sz w:val="20"/>
                <w:szCs w:val="20"/>
                <w:color w:val="auto"/>
              </w:rPr>
            </w:pPr>
            <w:r>
              <w:rPr>
                <w:rFonts w:ascii="Times New Roman" w:cs="Times New Roman" w:eastAsia="Times New Roman" w:hAnsi="Times New Roman"/>
                <w:sz w:val="18"/>
                <w:szCs w:val="18"/>
                <w:color w:val="auto"/>
              </w:rPr>
              <w:t xml:space="preserve">comparability of segment profit </w:t>
            </w:r>
            <w:r>
              <w:rPr>
                <w:rFonts w:ascii="Times New Roman" w:cs="Times New Roman" w:eastAsia="Times New Roman" w:hAnsi="Times New Roman"/>
                <w:sz w:val="23"/>
                <w:szCs w:val="23"/>
                <w:color w:val="auto"/>
                <w:vertAlign w:val="superscript"/>
              </w:rPr>
              <w:t>(2)</w:t>
            </w:r>
          </w:p>
        </w:tc>
        <w:tc>
          <w:tcPr>
            <w:tcW w:w="4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20"/>
                <w:szCs w:val="20"/>
                <w:color w:val="auto"/>
              </w:rPr>
            </w:pPr>
          </w:p>
        </w:tc>
        <w:tc>
          <w:tcPr>
            <w:tcW w:w="124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segment profit</w:t>
            </w:r>
          </w:p>
        </w:tc>
        <w:tc>
          <w:tcPr>
            <w:tcW w:w="4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i w:val="1"/>
                <w:iCs w:val="1"/>
                <w:color w:val="auto"/>
                <w:w w:val="70"/>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i w:val="1"/>
                <w:iCs w:val="1"/>
                <w:color w:val="auto"/>
              </w:rPr>
              <w:t>213</w:t>
            </w:r>
          </w:p>
        </w:tc>
        <w:tc>
          <w:tcPr>
            <w:tcW w:w="4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i w:val="1"/>
                <w:iCs w:val="1"/>
                <w:color w:val="auto"/>
              </w:rPr>
              <w:t>159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w w:val="70"/>
              </w:rPr>
              <w:t>$</w:t>
            </w:r>
          </w:p>
        </w:tc>
        <w:tc>
          <w:tcPr>
            <w:tcW w:w="124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i w:val="1"/>
                <w:iCs w:val="1"/>
                <w:color w:val="auto"/>
              </w:rPr>
              <w:t>194</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b w:val="1"/>
                <w:bCs w:val="1"/>
                <w:i w:val="1"/>
                <w:iCs w:val="1"/>
                <w:color w:val="auto"/>
                <w:w w:val="70"/>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175</w:t>
            </w:r>
          </w:p>
        </w:tc>
        <w:tc>
          <w:tcPr>
            <w:tcW w:w="520" w:type="dxa"/>
            <w:vAlign w:val="bottom"/>
            <w:gridSpan w:val="2"/>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i w:val="1"/>
                <w:iCs w:val="1"/>
                <w:color w:val="auto"/>
              </w:rPr>
              <w:t>156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i w:val="1"/>
                <w:iCs w:val="1"/>
                <w:color w:val="auto"/>
              </w:rPr>
              <w:t>Percentage change in adjusted segment</w:t>
            </w:r>
          </w:p>
        </w:tc>
        <w:tc>
          <w:tcPr>
            <w:tcW w:w="48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i w:val="1"/>
                <w:iCs w:val="1"/>
                <w:color w:val="auto"/>
              </w:rPr>
              <w:t>22%</w:t>
            </w:r>
          </w:p>
        </w:tc>
        <w:tc>
          <w:tcPr>
            <w:tcW w:w="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i w:val="1"/>
                <w:iCs w:val="1"/>
                <w:color w:val="auto"/>
              </w:rPr>
              <w:t>2%</w:t>
            </w:r>
          </w:p>
        </w:tc>
        <w:tc>
          <w:tcPr>
            <w:tcW w:w="160" w:type="dxa"/>
            <w:vAlign w:val="bottom"/>
            <w:shd w:val="clear" w:color="auto" w:fill="CCEEFF"/>
          </w:tcPr>
          <w:p>
            <w:pPr>
              <w:spacing w:after="0"/>
              <w:rPr>
                <w:sz w:val="16"/>
                <w:szCs w:val="16"/>
                <w:color w:val="auto"/>
              </w:rPr>
            </w:pPr>
          </w:p>
        </w:tc>
        <w:tc>
          <w:tcPr>
            <w:tcW w:w="124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i w:val="1"/>
                <w:iCs w:val="1"/>
                <w:color w:val="auto"/>
              </w:rPr>
              <w:t>-52%</w:t>
            </w: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profit versus 2013 period</w:t>
            </w:r>
          </w:p>
        </w:tc>
        <w:tc>
          <w:tcPr>
            <w:tcW w:w="48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tcBorders>
              <w:right w:val="single" w:sz="8" w:color="auto"/>
            </w:tcBorders>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7" w:lineRule="exact"/>
        <w:rPr>
          <w:sz w:val="20"/>
          <w:szCs w:val="20"/>
          <w:color w:val="auto"/>
        </w:rPr>
      </w:pPr>
    </w:p>
    <w:p>
      <w:pPr>
        <w:ind w:left="200" w:right="140" w:hanging="192"/>
        <w:spacing w:after="0" w:line="249" w:lineRule="auto"/>
        <w:tabs>
          <w:tab w:leader="none" w:pos="182"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Partnership’s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the Partnership believes impact comparability of financial results between reporting periods.</w:t>
      </w:r>
    </w:p>
    <w:p>
      <w:pPr>
        <w:spacing w:after="0" w:line="214" w:lineRule="exact"/>
        <w:rPr>
          <w:rFonts w:ascii="Times New Roman" w:cs="Times New Roman" w:eastAsia="Times New Roman" w:hAnsi="Times New Roman"/>
          <w:sz w:val="22"/>
          <w:szCs w:val="22"/>
          <w:color w:val="auto"/>
          <w:vertAlign w:val="superscript"/>
        </w:rPr>
      </w:pPr>
    </w:p>
    <w:p>
      <w:pPr>
        <w:ind w:left="180" w:hanging="172"/>
        <w:spacing w:after="0" w:line="204" w:lineRule="auto"/>
        <w:tabs>
          <w:tab w:leader="none" w:pos="18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Certain of our non-GAAP financial measures may not be impacted by each of the selected items impacting comparability.</w:t>
      </w:r>
    </w:p>
    <w:p>
      <w:pPr>
        <w:spacing w:after="0" w:line="19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First-quarter 2014 Transportation adjusted segment profit increased 22% versus comparable 2013 results. This increase was primarily driven by higher crude oil pipeline volumes associated with recently completed organic growth projects and increased producer drilling activities, partially offset by the sale of our refined products pipelines in 2013.</w:t>
      </w:r>
    </w:p>
    <w:p>
      <w:pPr>
        <w:spacing w:after="0" w:line="176"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7"/>
          <w:szCs w:val="17"/>
          <w:color w:val="auto"/>
        </w:rPr>
        <w:t>First-quarter 2014 Facilities adjusted segment profit increased 2% over comparable 2013 results. This slight increase was primarily due to increased profitability from our NGL fractionation and natural gas processing activities, partially offset by weather-related impacts in our natural gas storage operations.</w:t>
      </w:r>
    </w:p>
    <w:p>
      <w:pPr>
        <w:spacing w:after="0" w:line="13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First-quarter 2014 Supply and Logistics adjusted segment profit exceeded the high end of our guidance, but decreased by approximately 52% relative to comparable 2013 results. This decrease was primarily a result of less favorable crude oil market conditions in the first quarter of 2014 compared to the 2013 period and reduced earnings from our natural gas storage commercial optimization activities due to severe cold weather during the first quarter of 2014.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PAGP’s sole assets are its ownership interest in PAA’s general partner and incentive distribution rights. As the control entity of PAA, PAGP consolidates PAA’s results into its financial statements, which is reflected in the condensed consolidating balance sheet and income statement included at the end of this release. Information regarding PAGP’s distributions is reflected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Financial Information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Q4 2013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Q1 2014</w:t>
            </w: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provided in</w:t>
            </w: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 xml:space="preserve">(non-prorated) </w:t>
            </w:r>
            <w:r>
              <w:rPr>
                <w:rFonts w:ascii="Times New Roman" w:cs="Times New Roman" w:eastAsia="Times New Roman" w:hAnsi="Times New Roman"/>
                <w:sz w:val="8"/>
                <w:szCs w:val="8"/>
                <w:b w:val="1"/>
                <w:bCs w:val="1"/>
                <w:color w:val="auto"/>
              </w:rPr>
              <w:t>(1)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IPO prospectus</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Distribution per share for the period</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0.17055</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0.15979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0.14904</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Q1 2014 distribution percentage growth over previous benchmarks</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80" w:right="520" w:hanging="172"/>
        <w:spacing w:after="0" w:line="322" w:lineRule="auto"/>
        <w:tabs>
          <w:tab w:leader="none" w:pos="161"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Reflects a full fourth quarter 2013 distribution per Class A share (before proration), assuming PAGP’s ownership in AAP at the date of record for the distribution for the full fourth quarter of 2013.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w:t>
      </w:r>
    </w:p>
    <w:p>
      <w:pPr>
        <w:spacing w:after="0" w:line="22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PAA and PAGP will hold a conference call on May 8, 2014 (see details below). Prior to this conference call, PAA will furnish a current report on Form 8-K, which will include material in this news release as well as PAA’s financial and operational guidance for the second quarter and full year of 2014. A copy of the Form 8-K will be available at www.plainsallamerican.com, where PAA and PAGP routinely post important information.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PAA and PAGP conference call will be held at 11:00 a.m. EDT on Thursday, May 8, 2014 to discuss the following items:</w:t>
      </w:r>
    </w:p>
    <w:p>
      <w:pPr>
        <w:spacing w:after="0" w:line="225" w:lineRule="exact"/>
        <w:rPr>
          <w:sz w:val="20"/>
          <w:szCs w:val="20"/>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PAA’s first-quarter 2014 performance;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major expansion projects;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and liquidity;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operating guidance for the second quarter and full year of 2014;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PAA’s and PAGP’s outlook for the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 Access Instructions</w:t>
      </w:r>
    </w:p>
    <w:p>
      <w:pPr>
        <w:sectPr>
          <w:pgSz w:w="11900" w:h="16838" w:orient="portrait"/>
          <w:cols w:equalWidth="0" w:num="1">
            <w:col w:w="11420"/>
          </w:cols>
          <w:pgMar w:left="240" w:top="127" w:right="239" w:bottom="13" w:gutter="0" w:footer="0" w:header="0"/>
        </w:sectPr>
      </w:pPr>
    </w:p>
    <w:bookmarkStart w:id="4" w:name="page5"/>
    <w:bookmarkEnd w:id="4"/>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To access the Internet webcast of the conference call, please go to www.plainsallamerican.com, choose “Investor Relations,” and then choose “Events and Presentations.” Following the live webcast, the call will be archived for a period of sixty (60) days on the website.</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Alternatively, access to the live conference call is available by dialing toll free (800) 230-1059. International callers should dial (612) 332-0107. No password is required. The slide presentation accompanying the conference call will be available a few minutes prior to the call under the “Events and Presentations” portion of the “Investor Relations” section of the website at www.plainsallamerican.com.</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Telephonic Replay Instructions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To listen to a telephonic replay of the conference call, please dial (800) 475-6701, or (320) 365-3844 for international callers, and enter replay access code 323381. The replay will be available beginning Thursday, May 8, 2014, at approximately 1:00 p.m. EDT and will continue until 11:59 p.m. EDT on June 8, 2014.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 and Selected Items Impacting Comparability</w:t>
      </w:r>
    </w:p>
    <w:p>
      <w:pPr>
        <w:spacing w:after="0" w:line="22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that are known as “non-GAAP financial measures” (such as adjusted EBITDA and implied distributable cash flow) in its evaluation of past performance and prospects for the future. 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items that are not indicative of our core operating results and business outlook and/or</w:t>
      </w:r>
    </w:p>
    <w:p>
      <w:pPr>
        <w:spacing w:after="0" w:line="7" w:lineRule="exact"/>
        <w:rPr>
          <w:sz w:val="20"/>
          <w:szCs w:val="20"/>
          <w:color w:val="auto"/>
        </w:rPr>
      </w:pPr>
    </w:p>
    <w:p>
      <w:pPr>
        <w:ind w:right="320" w:firstLine="8"/>
        <w:spacing w:after="0" w:line="255" w:lineRule="auto"/>
        <w:tabs>
          <w:tab w:leader="none" w:pos="30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that we believe should be excluded in understanding our core operating performance. We have defined all such items as “selected items impacting comparability.” We consider an understanding of these selected items impacting comparability to be material to the evaluation of our operating results and prospects.</w:t>
      </w:r>
    </w:p>
    <w:p>
      <w:pPr>
        <w:spacing w:after="0" w:line="18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as applicable, in management’s discussion and analysis of operating results in our Quarterly Report on Form 10-Q.</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Adjusted EBITDA and other non-GAAP financial measures are reconciled to the most comparable GAAP measures for the periods presented in the tables attached to this release, and should be viewed in addition to, and not in lieu of, our consolidated financial statements and notes thereto. In addition, PAA maintains on its website (www.plainsallamerican.com) a reconciliation of adjusted EBITDA and certain commonly used non-GAAP financial information to the most comparable GAAP measures. To access the information, investors should click on “Plains All American Pipeline, L.P.” under the “Investor Relations” link on the home page, select the “Guidance &amp; Non-GAAP Reconciliations” link and navigate to the “Non-GAAP Reconciliations” tab.</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matters discussed in this release are forward-looking statements that involve certain risks and uncertainties that could cause actual results to differ materially from results anticipated in the forward-looking statements. These risks and uncertainties include, among other things, failure to implement or capitalize, or delays in implementing or capitalizing, on planned internal growth projects; unanticipated changes in crude oil market structure, grade differentials and volatility (or lack thereof); environmental liabilities or events that are not covered by an indemnity, insurance or existing reserves; declines in the volumes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 fluctuations in refinery capacity in areas supplied by our mainlines and other factors affecting demand for various grades of crude oil, refined products and natural gas and resulting changes in pricing conditions or transportation throughput requirements; the occurrence of a natural disaster, catastrophe, terrorist attack or other event, including attacks on our electronic and computer systems; tightened capital markets or other factors that increase our cost of capital or limit our access to capital; maintenance of our credit rating and ability to receive open credit from our suppliers and trade counterparties; continued creditworthiness of, and performance by, our counterparties, including financial institutions and trading companies with which we do business; the currency exchange rate of the Canadian dollar;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weather interference with business operations or project construction, including the impact of extreme weather events or conditions; the effectiveness of our risk management activities; shortages or cost increases of supplies, materials or labor; our ability to obtain debt or equity financing on satisfactory terms to fund additional acquisitions, expansion projects, working capital requirements and the repayment or refinancing of indebtedness; the impact of current and future laws, rulings, governmental regulations, accounting standards and statements and related interpretations; non-utilization of our assets and facilities; the effects of competition; increased costs or lack of</w:t>
      </w:r>
    </w:p>
    <w:p>
      <w:pPr>
        <w:sectPr>
          <w:pgSz w:w="11900" w:h="16838" w:orient="portrait"/>
          <w:cols w:equalWidth="0" w:num="1">
            <w:col w:w="11420"/>
          </w:cols>
          <w:pgMar w:left="240" w:top="121" w:right="239" w:bottom="0" w:gutter="0" w:footer="0" w:header="0"/>
        </w:sectPr>
      </w:pPr>
    </w:p>
    <w:bookmarkStart w:id="5" w:name="page6"/>
    <w:bookmarkEnd w:id="5"/>
    <w:p>
      <w:pPr>
        <w:ind w:right="20"/>
        <w:spacing w:after="0" w:line="274" w:lineRule="auto"/>
        <w:rPr>
          <w:sz w:val="20"/>
          <w:szCs w:val="20"/>
          <w:color w:val="auto"/>
        </w:rPr>
      </w:pPr>
      <w:r>
        <w:rPr>
          <w:rFonts w:ascii="Times New Roman" w:cs="Times New Roman" w:eastAsia="Times New Roman" w:hAnsi="Times New Roman"/>
          <w:sz w:val="17"/>
          <w:szCs w:val="17"/>
          <w:color w:val="auto"/>
        </w:rPr>
        <w:t>availability of insurance; fluctuations in the debt and equity markets, including the price of our units at the time of vesting under our long-term incentive plans; risks related to the development and operation of our facilities, including our ability to satisfy our contractual obligations to our customers at our facilities;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discussed in the Partnerships’ filings with the Securities and Exchange Commission.</w:t>
      </w:r>
    </w:p>
    <w:p>
      <w:pPr>
        <w:spacing w:after="0" w:line="17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3.5 million barrels per day of crude oil and NGL on its pipelines. PAA is headquartered in Houston, Texas.</w:t>
      </w:r>
    </w:p>
    <w:p>
      <w:pPr>
        <w:spacing w:after="0" w:line="184" w:lineRule="exact"/>
        <w:rPr>
          <w:sz w:val="20"/>
          <w:szCs w:val="20"/>
          <w:color w:val="auto"/>
        </w:rPr>
      </w:pPr>
    </w:p>
    <w:p>
      <w:pPr>
        <w:ind w:right="160" w:firstLine="648"/>
        <w:spacing w:after="0" w:line="313" w:lineRule="auto"/>
        <w:rPr>
          <w:sz w:val="20"/>
          <w:szCs w:val="20"/>
          <w:color w:val="auto"/>
        </w:rPr>
      </w:pPr>
      <w:r>
        <w:rPr>
          <w:rFonts w:ascii="Times New Roman" w:cs="Times New Roman" w:eastAsia="Times New Roman" w:hAnsi="Times New Roman"/>
          <w:sz w:val="17"/>
          <w:szCs w:val="17"/>
          <w:color w:val="auto"/>
        </w:rPr>
        <w:t>Plains GP Holdings (NYSE: PAGP) is a publicly traded entity that owns an interest in the general partner and incentive distribution rights of Plains All American Pipeline, L.P., one of the largest energy infrastructure and logistics companies in North America. PAGP is headquartered in Houston, Texas.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200"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520" w:type="dxa"/>
            <w:vAlign w:val="bottom"/>
            <w:gridSpan w:val="2"/>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11,684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10,670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operating costs</w:t>
            </w: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6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11,191</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7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PAA:</w:t>
            </w: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LIMITED PARTNERS</w:t>
            </w:r>
          </w:p>
        </w:tc>
        <w:tc>
          <w:tcPr>
            <w:tcW w:w="2520" w:type="dxa"/>
            <w:vAlign w:val="bottom"/>
            <w:gridSpan w:val="2"/>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Borders>
              <w:top w:val="single" w:sz="8" w:color="CCEEFF"/>
              <w:bottom w:val="single" w:sz="8" w:color="CCEEFF"/>
            </w:tcBorders>
            <w:gridSpan w:val="2"/>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GENERAL PARTNER</w:t>
            </w:r>
          </w:p>
        </w:tc>
        <w:tc>
          <w:tcPr>
            <w:tcW w:w="166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ind w:right="67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BASIC NET INCOME PER LIMITED PARTNER UNIT</w:t>
            </w:r>
          </w:p>
        </w:tc>
        <w:tc>
          <w:tcPr>
            <w:tcW w:w="2520" w:type="dxa"/>
            <w:vAlign w:val="bottom"/>
            <w:gridSpan w:val="2"/>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0.74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DILUTED NET INCOME PER LIMITED PARTNER UNIT</w:t>
            </w:r>
          </w:p>
        </w:tc>
        <w:tc>
          <w:tcPr>
            <w:tcW w:w="2520" w:type="dxa"/>
            <w:vAlign w:val="bottom"/>
            <w:gridSpan w:val="2"/>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0.73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BASIC WEIGHTED AVERAGE UNITS OUTSTANDING</w:t>
            </w: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DILUTED WEIGHTED AVERAGE UNITS OUTSTANDING</w:t>
            </w:r>
          </w:p>
        </w:tc>
        <w:tc>
          <w:tcPr>
            <w:tcW w:w="16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RESULTS</w:t>
            </w:r>
          </w:p>
        </w:tc>
        <w:tc>
          <w:tcPr>
            <w:tcW w:w="1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640" w:type="dxa"/>
            <w:vAlign w:val="bottom"/>
            <w:gridSpan w:val="3"/>
            <w:vMerge w:val="continue"/>
          </w:tcPr>
          <w:p>
            <w:pPr>
              <w:spacing w:after="0"/>
              <w:rPr>
                <w:sz w:val="24"/>
                <w:szCs w:val="24"/>
                <w:color w:val="auto"/>
              </w:rPr>
            </w:pPr>
          </w:p>
        </w:tc>
        <w:tc>
          <w:tcPr>
            <w:tcW w:w="1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millions, except per unit data)</w:t>
            </w:r>
          </w:p>
        </w:tc>
        <w:tc>
          <w:tcPr>
            <w:tcW w:w="1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ectPr>
          <w:pgSz w:w="11900" w:h="16838" w:orient="portrait"/>
          <w:cols w:equalWidth="0" w:num="1">
            <w:col w:w="11420"/>
          </w:cols>
          <w:pgMar w:left="240" w:top="121" w:right="239" w:bottom="0" w:gutter="0" w:footer="0" w:header="0"/>
        </w:sectPr>
      </w:pPr>
    </w:p>
    <w:p>
      <w:pPr>
        <w:ind w:left="9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ectPr>
          <w:pgSz w:w="11900" w:h="16838" w:orient="portrait"/>
          <w:cols w:equalWidth="0" w:num="1">
            <w:col w:w="11420"/>
          </w:cols>
          <w:pgMar w:left="240" w:top="121" w:right="239"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ATTRIBUTABLE TO PAA</w:t>
            </w:r>
          </w:p>
        </w:tc>
        <w:tc>
          <w:tcPr>
            <w:tcW w:w="21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gridSpan w:val="2"/>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ADJUSTED NET INCOME PER LIMITED PARTNER UNIT</w:t>
            </w:r>
          </w:p>
        </w:tc>
        <w:tc>
          <w:tcPr>
            <w:tcW w:w="2520" w:type="dxa"/>
            <w:vAlign w:val="bottom"/>
            <w:gridSpan w:val="2"/>
            <w:shd w:val="clear" w:color="auto" w:fill="CCEEFF"/>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0.65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1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567</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CCEEFF"/>
            </w:tcBorders>
            <w:vMerge w:val="restart"/>
          </w:tcPr>
          <w:p>
            <w:pPr>
              <w:ind w:left="800"/>
              <w:spacing w:after="0"/>
              <w:rPr>
                <w:sz w:val="20"/>
                <w:szCs w:val="20"/>
                <w:color w:val="auto"/>
              </w:rPr>
            </w:pPr>
            <w:r>
              <w:rPr>
                <w:rFonts w:ascii="Times New Roman" w:cs="Times New Roman" w:eastAsia="Times New Roman" w:hAnsi="Times New Roman"/>
                <w:sz w:val="18"/>
                <w:szCs w:val="18"/>
                <w:color w:val="auto"/>
              </w:rPr>
              <w:t>– more –</w:t>
            </w:r>
          </w:p>
        </w:tc>
        <w:tc>
          <w:tcPr>
            <w:tcW w:w="1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vMerge w:val="continue"/>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1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25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713-646-4100 / 800-564-3036</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4580" w:type="dxa"/>
            <w:vAlign w:val="bottom"/>
            <w:tcBorders>
              <w:bottom w:val="single" w:sz="8" w:color="010101"/>
            </w:tcBorders>
          </w:tcPr>
          <w:p>
            <w:pPr>
              <w:spacing w:after="0"/>
              <w:rPr>
                <w:sz w:val="24"/>
                <w:szCs w:val="24"/>
                <w:color w:val="auto"/>
              </w:rPr>
            </w:pPr>
          </w:p>
        </w:tc>
        <w:tc>
          <w:tcPr>
            <w:tcW w:w="2120" w:type="dxa"/>
            <w:vAlign w:val="bottom"/>
            <w:tcBorders>
              <w:bottom w:val="single" w:sz="8" w:color="010101"/>
            </w:tcBorders>
          </w:tcPr>
          <w:p>
            <w:pPr>
              <w:spacing w:after="0"/>
              <w:rPr>
                <w:sz w:val="24"/>
                <w:szCs w:val="24"/>
                <w:color w:val="auto"/>
              </w:rPr>
            </w:pPr>
          </w:p>
        </w:tc>
        <w:tc>
          <w:tcPr>
            <w:tcW w:w="1580" w:type="dxa"/>
            <w:vAlign w:val="bottom"/>
            <w:tcBorders>
              <w:bottom w:val="single" w:sz="8" w:color="010101"/>
            </w:tcBorders>
          </w:tcPr>
          <w:p>
            <w:pPr>
              <w:spacing w:after="0"/>
              <w:rPr>
                <w:sz w:val="24"/>
                <w:szCs w:val="24"/>
                <w:color w:val="auto"/>
              </w:rPr>
            </w:pPr>
          </w:p>
        </w:tc>
        <w:tc>
          <w:tcPr>
            <w:tcW w:w="94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192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9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980" w:type="dxa"/>
            <w:vAlign w:val="bottom"/>
          </w:tcPr>
          <w:p>
            <w:pPr>
              <w:spacing w:after="0"/>
              <w:rPr>
                <w:sz w:val="18"/>
                <w:szCs w:val="18"/>
                <w:color w:val="auto"/>
              </w:rPr>
            </w:pPr>
          </w:p>
        </w:tc>
        <w:tc>
          <w:tcPr>
            <w:tcW w:w="180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4,932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11,152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Linefill and base gas</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inventory</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net</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499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980" w:type="dxa"/>
            <w:vAlign w:val="bottom"/>
          </w:tcPr>
          <w:p>
            <w:pPr>
              <w:spacing w:after="0"/>
              <w:rPr>
                <w:sz w:val="18"/>
                <w:szCs w:val="18"/>
                <w:color w:val="auto"/>
              </w:rPr>
            </w:pPr>
          </w:p>
        </w:tc>
        <w:tc>
          <w:tcPr>
            <w:tcW w:w="180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5,554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net of unamortized discount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6,711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under credit facilities and other</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12,919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12,657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Partners’ capital excluding noncontrolling interests</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7,724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7,644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Total partners’ capital</w:t>
            </w:r>
          </w:p>
        </w:tc>
        <w:tc>
          <w:tcPr>
            <w:tcW w:w="198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19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20,702</w:t>
            </w: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DEBT CAPITALIZATION RATIOS</w:t>
            </w:r>
          </w:p>
        </w:tc>
        <w:tc>
          <w:tcPr>
            <w:tcW w:w="1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40" w:type="dxa"/>
            <w:vAlign w:val="bottom"/>
            <w:gridSpan w:val="3"/>
            <w:vMerge w:val="continue"/>
          </w:tcPr>
          <w:p>
            <w:pPr>
              <w:spacing w:after="0"/>
              <w:rPr>
                <w:sz w:val="24"/>
                <w:szCs w:val="24"/>
                <w:color w:val="auto"/>
              </w:rPr>
            </w:pPr>
          </w:p>
        </w:tc>
        <w:tc>
          <w:tcPr>
            <w:tcW w:w="1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192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6,818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6,715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debt</w:t>
            </w: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9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6,818</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6,715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Partners’ capital</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7,783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7,703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book capitalization</w:t>
            </w:r>
          </w:p>
        </w:tc>
        <w:tc>
          <w:tcPr>
            <w:tcW w:w="198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Total book capitalization, including short-term debt</w:t>
            </w:r>
          </w:p>
        </w:tc>
        <w:tc>
          <w:tcPr>
            <w:tcW w:w="1980" w:type="dxa"/>
            <w:vAlign w:val="bottom"/>
          </w:tcPr>
          <w:p>
            <w:pPr>
              <w:spacing w:after="0" w:line="20" w:lineRule="exact"/>
              <w:rPr>
                <w:sz w:val="1"/>
                <w:szCs w:val="1"/>
                <w:color w:val="auto"/>
              </w:rPr>
            </w:pPr>
          </w:p>
        </w:tc>
        <w:tc>
          <w:tcPr>
            <w:tcW w:w="1560" w:type="dxa"/>
            <w:vAlign w:val="bottom"/>
            <w:vMerge w:val="restart"/>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gridSpan w:val="3"/>
            <w:vMerge w:val="continue"/>
          </w:tcPr>
          <w:p>
            <w:pPr>
              <w:spacing w:after="0"/>
              <w:rPr>
                <w:sz w:val="20"/>
                <w:szCs w:val="20"/>
                <w:color w:val="auto"/>
              </w:rPr>
            </w:pPr>
          </w:p>
        </w:tc>
        <w:tc>
          <w:tcPr>
            <w:tcW w:w="1980" w:type="dxa"/>
            <w:vAlign w:val="bottom"/>
          </w:tcPr>
          <w:p>
            <w:pPr>
              <w:spacing w:after="0"/>
              <w:rPr>
                <w:sz w:val="20"/>
                <w:szCs w:val="20"/>
                <w:color w:val="auto"/>
              </w:rPr>
            </w:pPr>
          </w:p>
        </w:tc>
        <w:tc>
          <w:tcPr>
            <w:tcW w:w="1560" w:type="dxa"/>
            <w:vAlign w:val="bottom"/>
            <w:vMerge w:val="continue"/>
          </w:tcPr>
          <w:p>
            <w:pPr>
              <w:spacing w:after="0"/>
              <w:rPr>
                <w:sz w:val="20"/>
                <w:szCs w:val="20"/>
                <w:color w:val="auto"/>
              </w:rPr>
            </w:pPr>
          </w:p>
        </w:tc>
        <w:tc>
          <w:tcPr>
            <w:tcW w:w="24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15,480</w:t>
            </w:r>
          </w:p>
        </w:tc>
        <w:tc>
          <w:tcPr>
            <w:tcW w:w="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15,531</w:t>
            </w:r>
          </w:p>
        </w:tc>
        <w:tc>
          <w:tcPr>
            <w:tcW w:w="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debt-to-total book capitalization</w:t>
            </w:r>
          </w:p>
        </w:tc>
        <w:tc>
          <w:tcPr>
            <w:tcW w:w="1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debt-to-total book capitalization, including short-term debt</w:t>
            </w:r>
          </w:p>
        </w:tc>
        <w:tc>
          <w:tcPr>
            <w:tcW w:w="19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 more –</w:t>
            </w: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720" w:type="dxa"/>
            <w:vAlign w:val="bottom"/>
            <w:gridSpan w:val="2"/>
          </w:tcPr>
          <w:p>
            <w:pPr>
              <w:ind w:left="228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19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2900" w:type="dxa"/>
            <w:vAlign w:val="bottom"/>
            <w:gridSpan w:val="4"/>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713-646-4100 / 800-564-3036</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9"/>
        </w:trPr>
        <w:tc>
          <w:tcPr>
            <w:tcW w:w="20" w:type="dxa"/>
            <w:vAlign w:val="bottom"/>
            <w:tcBorders>
              <w:bottom w:val="single" w:sz="8" w:color="010101"/>
            </w:tcBorders>
          </w:tcPr>
          <w:p>
            <w:pPr>
              <w:spacing w:after="0"/>
              <w:rPr>
                <w:sz w:val="24"/>
                <w:szCs w:val="24"/>
                <w:color w:val="auto"/>
              </w:rPr>
            </w:pPr>
          </w:p>
        </w:tc>
        <w:tc>
          <w:tcPr>
            <w:tcW w:w="2800" w:type="dxa"/>
            <w:vAlign w:val="bottom"/>
            <w:tcBorders>
              <w:bottom w:val="single" w:sz="8" w:color="010101"/>
            </w:tcBorders>
          </w:tcPr>
          <w:p>
            <w:pPr>
              <w:spacing w:after="0"/>
              <w:rPr>
                <w:sz w:val="24"/>
                <w:szCs w:val="24"/>
                <w:color w:val="auto"/>
              </w:rPr>
            </w:pPr>
          </w:p>
        </w:tc>
        <w:tc>
          <w:tcPr>
            <w:tcW w:w="1920" w:type="dxa"/>
            <w:vAlign w:val="bottom"/>
            <w:tcBorders>
              <w:bottom w:val="single" w:sz="8" w:color="010101"/>
            </w:tcBorders>
          </w:tcPr>
          <w:p>
            <w:pPr>
              <w:spacing w:after="0"/>
              <w:rPr>
                <w:sz w:val="24"/>
                <w:szCs w:val="24"/>
                <w:color w:val="auto"/>
              </w:rPr>
            </w:pPr>
          </w:p>
        </w:tc>
        <w:tc>
          <w:tcPr>
            <w:tcW w:w="1980" w:type="dxa"/>
            <w:vAlign w:val="bottom"/>
            <w:tcBorders>
              <w:bottom w:val="single" w:sz="8" w:color="010101"/>
            </w:tcBorders>
          </w:tcPr>
          <w:p>
            <w:pPr>
              <w:spacing w:after="0"/>
              <w:rPr>
                <w:sz w:val="24"/>
                <w:szCs w:val="24"/>
                <w:color w:val="auto"/>
              </w:rPr>
            </w:pPr>
          </w:p>
        </w:tc>
        <w:tc>
          <w:tcPr>
            <w:tcW w:w="15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60"/>
          </w:cols>
          <w:pgMar w:left="240" w:top="114" w:right="199" w:bottom="0" w:gutter="0" w:footer="0" w:header="0"/>
        </w:sectPr>
      </w:pPr>
    </w:p>
    <w:bookmarkStart w:id="7" w:name="page8"/>
    <w:bookmarkEnd w:id="7"/>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FINANCIAL DATA BY SEGMENT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March 31, 2013</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3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Transportation</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100" w:type="dxa"/>
            <w:vAlign w:val="bottom"/>
          </w:tcPr>
          <w:p>
            <w:pPr>
              <w:spacing w:after="0"/>
              <w:rPr>
                <w:sz w:val="10"/>
                <w:szCs w:val="10"/>
                <w:color w:val="auto"/>
              </w:rPr>
            </w:pPr>
          </w:p>
        </w:tc>
        <w:tc>
          <w:tcPr>
            <w:tcW w:w="900" w:type="dxa"/>
            <w:vAlign w:val="bottom"/>
            <w:gridSpan w:val="3"/>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Supply and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Logistics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(9,636)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Field operating costs (excluding equity-indexed</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line="234" w:lineRule="exact"/>
              <w:rPr>
                <w:sz w:val="20"/>
                <w:szCs w:val="20"/>
                <w:color w:val="auto"/>
              </w:rPr>
            </w:pPr>
            <w:r>
              <w:rPr>
                <w:rFonts w:ascii="Times New Roman" w:cs="Times New Roman" w:eastAsia="Times New Roman" w:hAnsi="Times New Roman"/>
                <w:sz w:val="18"/>
                <w:szCs w:val="18"/>
                <w:color w:val="auto"/>
              </w:rPr>
              <w:t xml:space="preserve">compensation expense)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Equity-indexed compensation expense - operations</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Segment G&amp;A expenses (excluding equity-indexed</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line="234" w:lineRule="exact"/>
              <w:rPr>
                <w:sz w:val="20"/>
                <w:szCs w:val="20"/>
                <w:color w:val="auto"/>
              </w:rPr>
            </w:pPr>
            <w:r>
              <w:rPr>
                <w:rFonts w:ascii="Times New Roman" w:cs="Times New Roman" w:eastAsia="Times New Roman" w:hAnsi="Times New Roman"/>
                <w:sz w:val="18"/>
                <w:szCs w:val="18"/>
                <w:color w:val="auto"/>
              </w:rPr>
              <w:t xml:space="preserve">compensation expense) </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Equity-indexed compensation expense - general and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administrative</w:t>
            </w:r>
          </w:p>
        </w:tc>
        <w:tc>
          <w:tcPr>
            <w:tcW w:w="1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Reported segment profit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Selected items impacting comparability of</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shd w:val="clear" w:color="auto" w:fill="CCEEFF"/>
          </w:tcPr>
          <w:p>
            <w:pPr>
              <w:ind w:left="340"/>
              <w:spacing w:after="0" w:line="234" w:lineRule="exact"/>
              <w:rPr>
                <w:sz w:val="20"/>
                <w:szCs w:val="20"/>
                <w:color w:val="auto"/>
              </w:rPr>
            </w:pPr>
            <w:r>
              <w:rPr>
                <w:rFonts w:ascii="Times New Roman" w:cs="Times New Roman" w:eastAsia="Times New Roman" w:hAnsi="Times New Roman"/>
                <w:sz w:val="18"/>
                <w:szCs w:val="18"/>
                <w:color w:val="auto"/>
              </w:rPr>
              <w:t xml:space="preserve">segment profit </w:t>
            </w:r>
            <w:r>
              <w:rPr>
                <w:rFonts w:ascii="Times New Roman" w:cs="Times New Roman" w:eastAsia="Times New Roman" w:hAnsi="Times New Roman"/>
                <w:sz w:val="23"/>
                <w:szCs w:val="23"/>
                <w:color w:val="auto"/>
                <w:vertAlign w:val="superscript"/>
              </w:rPr>
              <w:t>(3)</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segment profit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Maintenance capital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205740</wp:posOffset>
            </wp:positionV>
            <wp:extent cx="18008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389"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intersegment amounts.</w:t>
      </w:r>
    </w:p>
    <w:p>
      <w:pPr>
        <w:spacing w:after="0" w:line="1" w:lineRule="exact"/>
        <w:rPr>
          <w:rFonts w:ascii="Times New Roman" w:cs="Times New Roman" w:eastAsia="Times New Roman" w:hAnsi="Times New Roman"/>
          <w:sz w:val="22"/>
          <w:szCs w:val="22"/>
          <w:color w:val="auto"/>
          <w:vertAlign w:val="superscript"/>
        </w:rPr>
      </w:pPr>
    </w:p>
    <w:p>
      <w:pPr>
        <w:ind w:left="180" w:right="180" w:hanging="172"/>
        <w:spacing w:after="0" w:line="264" w:lineRule="auto"/>
        <w:tabs>
          <w:tab w:leader="none" w:pos="161"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Segment general and administrative expenses (G&amp;A) reflect direct costs attributable to each segment and an allocation of other expenses to the segments. The proportional allocations by segment require judgment by management and are based on the business activities that exist during each period.</w:t>
      </w:r>
    </w:p>
    <w:p>
      <w:pPr>
        <w:ind w:left="180" w:hanging="172"/>
        <w:spacing w:after="0" w:line="204" w:lineRule="auto"/>
        <w:tabs>
          <w:tab w:leader="none" w:pos="1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Certain non-GAAP financial measures may not be impacted by each of the selected items impacting comparability.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OPERATING DATA </w:t>
      </w:r>
      <w:r>
        <w:rPr>
          <w:rFonts w:ascii="Times New Roman" w:cs="Times New Roman" w:eastAsia="Times New Roman" w:hAnsi="Times New Roman"/>
          <w:sz w:val="23"/>
          <w:szCs w:val="23"/>
          <w:u w:val="single" w:color="auto"/>
          <w:color w:val="auto"/>
          <w:vertAlign w:val="superscript"/>
        </w:rPr>
        <w:t>(1)</w:t>
      </w:r>
    </w:p>
    <w:p>
      <w:pPr>
        <w:spacing w:after="0" w:line="165"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8300" w:type="dxa"/>
            <w:vAlign w:val="bottom"/>
            <w:gridSpan w:val="2"/>
          </w:tcPr>
          <w:p>
            <w:pPr>
              <w:spacing w:after="0"/>
              <w:rPr>
                <w:sz w:val="12"/>
                <w:szCs w:val="12"/>
                <w:color w:val="auto"/>
              </w:rPr>
            </w:pPr>
          </w:p>
        </w:tc>
        <w:tc>
          <w:tcPr>
            <w:tcW w:w="90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Transportation activities (average daily volumes in thousands of barrels):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Tariff activities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Crude Oil Pipelines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All American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Bakken Area Systems</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131</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Basin / Mesa</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745</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Capline</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126</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Eagle Ford Area Systems</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189</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Line 63 / Line 2000</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125</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Manito</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Mid-Continent Area Systems</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315</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Permian Basin Area Systems</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760</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Rainbow</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120</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Rangeland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Salt Lake City Area Systems</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131</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South Saskatchewan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White Cliffs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661</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NGL Pipelines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116</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Refined Products Pipelines</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Tariff activities total</w:t>
            </w:r>
          </w:p>
        </w:tc>
        <w:tc>
          <w:tcPr>
            <w:tcW w:w="9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Trucking</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130</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Transportation activities total</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84" w:orient="portrait"/>
          <w:cols w:equalWidth="0" w:num="1">
            <w:col w:w="11420"/>
          </w:cols>
          <w:pgMar w:left="240" w:top="117" w:right="239" w:bottom="0" w:gutter="0" w:footer="0" w:header="0"/>
        </w:sectPr>
      </w:pPr>
    </w:p>
    <w:tbl>
      <w:tblPr>
        <w:tblLayout w:type="fixed"/>
        <w:tblInd w:w="0" w:type="dxa"/>
        <w:tblCellMar>
          <w:top w:w="0" w:type="dxa"/>
          <w:left w:w="0" w:type="dxa"/>
          <w:bottom w:w="0" w:type="dxa"/>
          <w:right w:w="0" w:type="dxa"/>
        </w:tblCellMar>
      </w:tblPr>
      <w:tr>
        <w:trPr>
          <w:trHeight w:val="220"/>
        </w:trPr>
        <w:tc>
          <w:tcPr>
            <w:tcW w:w="8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Facilities activities (average monthly volumes):</w:t>
            </w:r>
          </w:p>
        </w:tc>
        <w:tc>
          <w:tcPr>
            <w:tcW w:w="1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Crude oil, refined products and NGL terminalling and storage (average monthly capacity in millions of</w:t>
            </w:r>
          </w:p>
        </w:tc>
        <w:tc>
          <w:tcPr>
            <w:tcW w:w="186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95</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4"/>
        </w:trPr>
        <w:tc>
          <w:tcPr>
            <w:tcW w:w="8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barrels)</w:t>
            </w:r>
          </w:p>
        </w:tc>
        <w:tc>
          <w:tcPr>
            <w:tcW w:w="186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9050"/>
                    </a:xfrm>
                    <a:prstGeom prst="rect">
                      <a:avLst/>
                    </a:prstGeom>
                    <a:noFill/>
                  </pic:spPr>
                </pic:pic>
              </a:graphicData>
            </a:graphic>
          </wp:anchor>
        </w:drawing>
      </w:r>
    </w:p>
    <w:p>
      <w:pPr>
        <w:sectPr>
          <w:pgSz w:w="11900" w:h="16884" w:orient="portrait"/>
          <w:cols w:equalWidth="0" w:num="1">
            <w:col w:w="11420"/>
          </w:cols>
          <w:pgMar w:left="240" w:top="117" w:right="239"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Rail load / unload volumes (average throughput in thousands of barrels per day)</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229</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Natural gas storage (average monthly capacity in billions of cubic feet)</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8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28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280" w:type="dxa"/>
            <w:vAlign w:val="bottom"/>
            <w:tcBorders>
              <w:bottom w:val="single" w:sz="8" w:color="CCEEFF"/>
            </w:tcBorders>
            <w:shd w:val="clear" w:color="auto" w:fill="CCEEFF"/>
          </w:tcPr>
          <w:p>
            <w:pPr>
              <w:ind w:left="160"/>
              <w:spacing w:after="0" w:line="196" w:lineRule="exact"/>
              <w:rPr>
                <w:sz w:val="20"/>
                <w:szCs w:val="20"/>
                <w:color w:val="auto"/>
              </w:rPr>
            </w:pPr>
            <w:r>
              <w:rPr>
                <w:rFonts w:ascii="Times New Roman" w:cs="Times New Roman" w:eastAsia="Times New Roman" w:hAnsi="Times New Roman"/>
                <w:sz w:val="18"/>
                <w:szCs w:val="18"/>
                <w:color w:val="auto"/>
              </w:rPr>
              <w:t>NGL fractionation (average throughput in thousands of barrels per day)</w:t>
            </w: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2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vMerge w:val="restart"/>
          </w:tcPr>
          <w:p>
            <w:pPr>
              <w:ind w:left="160"/>
              <w:spacing w:after="0" w:line="236" w:lineRule="exact"/>
              <w:rPr>
                <w:sz w:val="20"/>
                <w:szCs w:val="20"/>
                <w:color w:val="auto"/>
              </w:rPr>
            </w:pPr>
            <w:r>
              <w:rPr>
                <w:rFonts w:ascii="Times New Roman" w:cs="Times New Roman" w:eastAsia="Times New Roman" w:hAnsi="Times New Roman"/>
                <w:sz w:val="18"/>
                <w:szCs w:val="18"/>
                <w:color w:val="auto"/>
              </w:rPr>
              <w:t xml:space="preserve">Facilities activities total (average monthly capacity in millions of barrels) </w:t>
            </w:r>
            <w:r>
              <w:rPr>
                <w:rFonts w:ascii="Times New Roman" w:cs="Times New Roman" w:eastAsia="Times New Roman" w:hAnsi="Times New Roman"/>
                <w:sz w:val="23"/>
                <w:szCs w:val="23"/>
                <w:color w:val="auto"/>
                <w:vertAlign w:val="superscript"/>
              </w:rPr>
              <w:t>(2)</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80" w:type="dxa"/>
            <w:vAlign w:val="bottom"/>
            <w:tcBorders>
              <w:bottom w:val="single" w:sz="8" w:color="CCEEFF"/>
            </w:tcBorders>
            <w:vMerge w:val="continue"/>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280" w:type="dxa"/>
            <w:vAlign w:val="bottom"/>
            <w:tcBorders>
              <w:bottom w:val="single" w:sz="8" w:color="CCEEFF"/>
            </w:tcBorders>
            <w:vMerge w:val="continue"/>
          </w:tcPr>
          <w:p>
            <w:pPr>
              <w:spacing w:after="0"/>
              <w:rPr>
                <w:sz w:val="20"/>
                <w:szCs w:val="20"/>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Supply and Logistics activities (average daily volumes in thousands of barrels):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Crude oil lease gathering purchases</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893</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NGL sales</w:t>
            </w: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273</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Waterborne cargos</w:t>
            </w: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Supply and Logistics activities total</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80" w:right="440" w:hanging="172"/>
        <w:spacing w:after="0" w:line="276" w:lineRule="auto"/>
        <w:tabs>
          <w:tab w:leader="none" w:pos="161"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Volumes associated with assets employed through acquisitions and internal growth projects represent total volumes (attributable to our interest) for the number of days or months we employed the assets divided by the number of days or months in the period.</w:t>
      </w:r>
    </w:p>
    <w:p>
      <w:pPr>
        <w:ind w:left="180" w:right="80" w:hanging="172"/>
        <w:spacing w:after="0" w:line="265" w:lineRule="auto"/>
        <w:tabs>
          <w:tab w:leader="none" w:pos="161"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Facilities total is calculated as the sum of: (i) crude oil, refined products and NGL terminalling and storage capacity; (ii) rail load and unload volumes multiplied by the number of days in the period and divided by the number of months in the period; (iii) natural gas storage capacity divided by 6 to account</w:t>
      </w:r>
    </w:p>
    <w:tbl>
      <w:tblPr>
        <w:tblLayout w:type="fixed"/>
        <w:tblInd w:w="0" w:type="dxa"/>
        <w:tblCellMar>
          <w:top w:w="0" w:type="dxa"/>
          <w:left w:w="0" w:type="dxa"/>
          <w:bottom w:w="0" w:type="dxa"/>
          <w:right w:w="0" w:type="dxa"/>
        </w:tblCellMar>
      </w:tblPr>
      <w:tr>
        <w:trPr>
          <w:trHeight w:val="198"/>
        </w:trPr>
        <w:tc>
          <w:tcPr>
            <w:tcW w:w="47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for the 6:1 mcf of gas to crude Btu equivalent ratio and further</w:t>
            </w:r>
          </w:p>
        </w:tc>
        <w:tc>
          <w:tcPr>
            <w:tcW w:w="666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divided by 1,000 to convert to monthly volumes in millions; and (iv) NGL fractionation</w:t>
            </w:r>
          </w:p>
        </w:tc>
        <w:tc>
          <w:tcPr>
            <w:tcW w:w="40" w:type="dxa"/>
            <w:vAlign w:val="bottom"/>
          </w:tcPr>
          <w:p>
            <w:pPr>
              <w:spacing w:after="0"/>
              <w:rPr>
                <w:sz w:val="17"/>
                <w:szCs w:val="17"/>
                <w:color w:val="auto"/>
              </w:rPr>
            </w:pPr>
          </w:p>
        </w:tc>
      </w:tr>
      <w:tr>
        <w:trPr>
          <w:trHeight w:val="234"/>
        </w:trPr>
        <w:tc>
          <w:tcPr>
            <w:tcW w:w="11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volumes multiplied by the number of days in the period and divided by the number of months in the period.</w:t>
            </w:r>
          </w:p>
        </w:tc>
        <w:tc>
          <w:tcPr>
            <w:tcW w:w="40" w:type="dxa"/>
            <w:vAlign w:val="bottom"/>
          </w:tcPr>
          <w:p>
            <w:pPr>
              <w:spacing w:after="0"/>
              <w:rPr>
                <w:sz w:val="20"/>
                <w:szCs w:val="20"/>
                <w:color w:val="auto"/>
              </w:rPr>
            </w:pPr>
          </w:p>
        </w:tc>
      </w:tr>
      <w:tr>
        <w:trPr>
          <w:trHeight w:val="432"/>
        </w:trPr>
        <w:tc>
          <w:tcPr>
            <w:tcW w:w="47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 more –</w:t>
            </w:r>
          </w:p>
        </w:tc>
        <w:tc>
          <w:tcPr>
            <w:tcW w:w="4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476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19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4700" w:type="dxa"/>
            <w:vAlign w:val="bottom"/>
          </w:tcPr>
          <w:p>
            <w:pPr>
              <w:jc w:val="right"/>
              <w:ind w:right="2210"/>
              <w:spacing w:after="0"/>
              <w:rPr>
                <w:sz w:val="20"/>
                <w:szCs w:val="20"/>
                <w:color w:val="auto"/>
              </w:rPr>
            </w:pPr>
            <w:r>
              <w:rPr>
                <w:rFonts w:ascii="Times New Roman" w:cs="Times New Roman" w:eastAsia="Times New Roman" w:hAnsi="Times New Roman"/>
                <w:sz w:val="18"/>
                <w:szCs w:val="18"/>
                <w:b w:val="1"/>
                <w:bCs w:val="1"/>
                <w:color w:val="auto"/>
              </w:rPr>
              <w:t>713-646-4100 / 800-564-3036</w:t>
            </w:r>
          </w:p>
        </w:tc>
        <w:tc>
          <w:tcPr>
            <w:tcW w:w="40" w:type="dxa"/>
            <w:vAlign w:val="bottom"/>
          </w:tcPr>
          <w:p>
            <w:pPr>
              <w:spacing w:after="0"/>
              <w:rPr>
                <w:sz w:val="20"/>
                <w:szCs w:val="20"/>
                <w:color w:val="auto"/>
              </w:rPr>
            </w:pPr>
          </w:p>
        </w:tc>
      </w:tr>
      <w:tr>
        <w:trPr>
          <w:trHeight w:val="348"/>
        </w:trPr>
        <w:tc>
          <w:tcPr>
            <w:tcW w:w="4760" w:type="dxa"/>
            <w:vAlign w:val="bottom"/>
            <w:tcBorders>
              <w:bottom w:val="single" w:sz="8" w:color="010101"/>
            </w:tcBorders>
          </w:tcPr>
          <w:p>
            <w:pPr>
              <w:spacing w:after="0"/>
              <w:rPr>
                <w:sz w:val="24"/>
                <w:szCs w:val="24"/>
                <w:color w:val="auto"/>
              </w:rPr>
            </w:pPr>
          </w:p>
        </w:tc>
        <w:tc>
          <w:tcPr>
            <w:tcW w:w="1960" w:type="dxa"/>
            <w:vAlign w:val="bottom"/>
            <w:tcBorders>
              <w:bottom w:val="single" w:sz="8" w:color="010101"/>
            </w:tcBorders>
          </w:tcPr>
          <w:p>
            <w:pPr>
              <w:spacing w:after="0"/>
              <w:rPr>
                <w:sz w:val="24"/>
                <w:szCs w:val="24"/>
                <w:color w:val="auto"/>
              </w:rPr>
            </w:pPr>
          </w:p>
        </w:tc>
        <w:tc>
          <w:tcPr>
            <w:tcW w:w="4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right="426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BASIC AND DILUTED EARNINGS PER LIMITED PARTNER UNIT </w:t>
      </w:r>
      <w:r>
        <w:rPr>
          <w:rFonts w:ascii="Times New Roman" w:cs="Times New Roman" w:eastAsia="Times New Roman" w:hAnsi="Times New Roman"/>
          <w:sz w:val="18"/>
          <w:szCs w:val="18"/>
          <w:color w:val="auto"/>
        </w:rPr>
        <w:t>(in millions, except per unit data)</w:t>
      </w:r>
    </w:p>
    <w:p>
      <w:pPr>
        <w:spacing w:after="0" w:line="153"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9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Net Income per Limited Partner Unit</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partner’s incentive distribution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 2% ownership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available to limited partners</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Undistributed earnings allocated and distributions to participating securities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limited partners in accordance with application of the two-class method for MLPs</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number of limited partner units outstanding</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limited partner unit</w:t>
            </w:r>
          </w:p>
        </w:tc>
        <w:tc>
          <w:tcPr>
            <w:tcW w:w="6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0.74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Net Income per Limited Partner Unit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partner’s incentive distribution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 2% ownership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available to limited partners</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Undistributed earnings allocated and distributions to participating securities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limited partners in accordance with application of the two-class method for MLPs</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number of limited partner units outstanding</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Effect of dilutive securities: Weighted average LTIP units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number of limited partner units outstanding</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income per limited partner unit</w:t>
            </w:r>
          </w:p>
        </w:tc>
        <w:tc>
          <w:tcPr>
            <w:tcW w:w="6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0.73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80" w:right="160" w:hanging="172"/>
        <w:spacing w:after="0" w:line="375" w:lineRule="auto"/>
        <w:tabs>
          <w:tab w:leader="none" w:pos="161"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2" w:lineRule="exact"/>
        <w:rPr>
          <w:rFonts w:ascii="Times New Roman" w:cs="Times New Roman" w:eastAsia="Times New Roman" w:hAnsi="Times New Roman"/>
          <w:sz w:val="19"/>
          <w:szCs w:val="19"/>
          <w:color w:val="auto"/>
          <w:vertAlign w:val="superscript"/>
        </w:rPr>
      </w:pPr>
    </w:p>
    <w:p>
      <w:pPr>
        <w:ind w:left="180" w:right="120" w:hanging="172"/>
        <w:spacing w:after="0" w:line="424" w:lineRule="auto"/>
        <w:tabs>
          <w:tab w:leader="none" w:pos="161"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800-564-3036</w:t>
      </w:r>
    </w:p>
    <w:p>
      <w:pPr>
        <w:spacing w:after="0" w:line="20" w:lineRule="exact"/>
        <w:rPr>
          <w:sz w:val="20"/>
          <w:szCs w:val="20"/>
          <w:color w:val="auto"/>
        </w:rPr>
      </w:pPr>
    </w:p>
    <w:p>
      <w:pPr>
        <w:sectPr>
          <w:pgSz w:w="11900" w:h="16838" w:orient="portrait"/>
          <w:cols w:equalWidth="0" w:num="1">
            <w:col w:w="11460"/>
          </w:cols>
          <w:pgMar w:left="240" w:top="140" w:right="199" w:bottom="0" w:gutter="0" w:footer="0" w:header="0"/>
        </w:sectPr>
      </w:pPr>
    </w:p>
    <w:bookmarkStart w:id="9" w:name="page10"/>
    <w:bookmarkEnd w:id="9"/>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ITEMS IMPACTING COMPARABILITY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200"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6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7"/>
                <w:szCs w:val="17"/>
                <w:b w:val="1"/>
                <w:bCs w:val="1"/>
                <w:color w:val="auto"/>
              </w:rPr>
              <w:t xml:space="preserve">Selected Items Impacting Comparability - Income/(Loss) </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w:t>
            </w:r>
          </w:p>
        </w:tc>
        <w:tc>
          <w:tcPr>
            <w:tcW w:w="1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Gains/(losses) from derivative activities net of inventory valuation adjustments </w:t>
            </w:r>
            <w:r>
              <w:rPr>
                <w:rFonts w:ascii="Times New Roman" w:cs="Times New Roman" w:eastAsia="Times New Roman" w:hAnsi="Times New Roman"/>
                <w:sz w:val="23"/>
                <w:szCs w:val="23"/>
                <w:color w:val="auto"/>
                <w:vertAlign w:val="superscript"/>
              </w:rPr>
              <w:t>(2)</w:t>
            </w:r>
          </w:p>
        </w:tc>
        <w:tc>
          <w:tcPr>
            <w:tcW w:w="2160" w:type="dxa"/>
            <w:vAlign w:val="bottom"/>
            <w:gridSpan w:val="2"/>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(3)</w:t>
            </w:r>
          </w:p>
        </w:tc>
        <w:tc>
          <w:tcPr>
            <w:tcW w:w="1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Net gain/(loss) on foreign currency revaluation</w:t>
            </w: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on selected items impacting comparability</w:t>
            </w:r>
          </w:p>
        </w:tc>
        <w:tc>
          <w:tcPr>
            <w:tcW w:w="1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(4)</w:t>
            </w: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Selected items impacting comparability of net income attributable to PAA</w:t>
            </w:r>
          </w:p>
        </w:tc>
        <w:tc>
          <w:tcPr>
            <w:tcW w:w="1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to basic net income per limited partner unit</w:t>
            </w:r>
          </w:p>
        </w:tc>
        <w:tc>
          <w:tcPr>
            <w:tcW w:w="2160" w:type="dxa"/>
            <w:vAlign w:val="bottom"/>
            <w:gridSpan w:val="2"/>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Impact to diluted net income per limited partner unit</w:t>
            </w:r>
          </w:p>
        </w:tc>
        <w:tc>
          <w:tcPr>
            <w:tcW w:w="1220" w:type="dxa"/>
            <w:vAlign w:val="bottom"/>
            <w:tcBorders>
              <w:top w:val="single" w:sz="8" w:color="CCEEFF"/>
              <w:bottom w:val="single" w:sz="8" w:color="CCEEFF"/>
            </w:tcBorders>
            <w:vMerge w:val="restart"/>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0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940" w:type="dxa"/>
            <w:vAlign w:val="bottom"/>
            <w:tcBorders>
              <w:bottom w:val="single" w:sz="8" w:color="auto"/>
            </w:tcBorders>
          </w:tcPr>
          <w:p>
            <w:pPr>
              <w:jc w:val="right"/>
              <w:ind w:right="75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28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Certain of our non-GAAP financial measures may not be impacted by each of the selected items impacting comparability.</w:t>
      </w:r>
    </w:p>
    <w:p>
      <w:pPr>
        <w:spacing w:after="0" w:line="1" w:lineRule="exact"/>
        <w:rPr>
          <w:rFonts w:ascii="Times New Roman" w:cs="Times New Roman" w:eastAsia="Times New Roman" w:hAnsi="Times New Roman"/>
          <w:sz w:val="22"/>
          <w:szCs w:val="22"/>
          <w:color w:val="auto"/>
          <w:vertAlign w:val="superscript"/>
        </w:rPr>
      </w:pPr>
    </w:p>
    <w:p>
      <w:pPr>
        <w:ind w:left="180" w:right="220" w:hanging="172"/>
        <w:spacing w:after="0" w:line="264" w:lineRule="auto"/>
        <w:tabs>
          <w:tab w:leader="none" w:pos="161"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mark-to-market gains and losses resulting from derivative instruments that are related to underlying activities in future periods or the reversal of mark-to-market gains and losses from the prior period, net of inventory valuation adjustments, as applicable.</w:t>
      </w:r>
    </w:p>
    <w:p>
      <w:pPr>
        <w:ind w:left="180" w:right="20" w:hanging="172"/>
        <w:spacing w:after="0" w:line="265" w:lineRule="auto"/>
        <w:tabs>
          <w:tab w:leader="none" w:pos="161"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Equity-indexed compensation expense above excludes the portion of equity-indexed compensation expense represented by grants under LTIP that, pursuant to the terms of the grant, will be settled in cash only and have no impact on diluted units.</w:t>
      </w:r>
    </w:p>
    <w:p>
      <w:pPr>
        <w:ind w:left="180" w:hanging="172"/>
        <w:spacing w:after="0" w:line="204" w:lineRule="auto"/>
        <w:tabs>
          <w:tab w:leader="none" w:pos="1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other immaterial selected items impacting comparability, as well as the noncontrolling interests’ portion of selected items.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right="32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ADJUSTED BASIC AND DILUTED EARNINGS PER LIMITED PARTNER UNIT </w:t>
      </w:r>
      <w:r>
        <w:rPr>
          <w:rFonts w:ascii="Times New Roman" w:cs="Times New Roman" w:eastAsia="Times New Roman" w:hAnsi="Times New Roman"/>
          <w:sz w:val="18"/>
          <w:szCs w:val="18"/>
          <w:color w:val="auto"/>
        </w:rPr>
        <w:t>(in millions, except per unit data)</w:t>
      </w:r>
    </w:p>
    <w:p>
      <w:pPr>
        <w:spacing w:after="0" w:line="153"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26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Adjusted Net Income per Limited Partner Unit</w:t>
            </w:r>
          </w:p>
        </w:tc>
        <w:tc>
          <w:tcPr>
            <w:tcW w:w="10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1960" w:type="dxa"/>
            <w:vAlign w:val="bottom"/>
            <w:gridSpan w:val="2"/>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Selected items impacting comparability of net income attributable to PAA </w:t>
            </w:r>
            <w:r>
              <w:rPr>
                <w:rFonts w:ascii="Times New Roman" w:cs="Times New Roman" w:eastAsia="Times New Roman" w:hAnsi="Times New Roman"/>
                <w:sz w:val="23"/>
                <w:szCs w:val="23"/>
                <w:color w:val="auto"/>
                <w:vertAlign w:val="superscript"/>
              </w:rPr>
              <w:t>(1)</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10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partner’s incentive distribution </w:t>
            </w:r>
            <w:r>
              <w:rPr>
                <w:rFonts w:ascii="Times New Roman" w:cs="Times New Roman" w:eastAsia="Times New Roman" w:hAnsi="Times New Roman"/>
                <w:sz w:val="23"/>
                <w:szCs w:val="23"/>
                <w:color w:val="auto"/>
                <w:vertAlign w:val="superscript"/>
              </w:rPr>
              <w:t>(2)</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 2% ownership </w:t>
            </w:r>
            <w:r>
              <w:rPr>
                <w:rFonts w:ascii="Times New Roman" w:cs="Times New Roman" w:eastAsia="Times New Roman" w:hAnsi="Times New Roman"/>
                <w:sz w:val="23"/>
                <w:szCs w:val="23"/>
                <w:color w:val="auto"/>
                <w:vertAlign w:val="superscript"/>
              </w:rPr>
              <w:t>(2)</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Adjusted net income available to limited partners</w:t>
            </w:r>
          </w:p>
        </w:tc>
        <w:tc>
          <w:tcPr>
            <w:tcW w:w="10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Undistributed earnings allocated and distributions to participating securities </w:t>
            </w:r>
            <w:r>
              <w:rPr>
                <w:rFonts w:ascii="Times New Roman" w:cs="Times New Roman" w:eastAsia="Times New Roman" w:hAnsi="Times New Roman"/>
                <w:sz w:val="23"/>
                <w:szCs w:val="23"/>
                <w:color w:val="auto"/>
                <w:vertAlign w:val="superscript"/>
              </w:rPr>
              <w:t>(2)</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limited partners’ net income</w:t>
            </w: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number of limited partner units outstanding</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adjusted net income per limited partner unit</w:t>
            </w:r>
          </w:p>
        </w:tc>
        <w:tc>
          <w:tcPr>
            <w:tcW w:w="1960" w:type="dxa"/>
            <w:vAlign w:val="bottom"/>
            <w:gridSpan w:val="2"/>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0.65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Adjusted Net Income per Limited Partner Unit</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1960" w:type="dxa"/>
            <w:vAlign w:val="bottom"/>
            <w:gridSpan w:val="2"/>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Selected items impacting comparability of net income attributable to PAA </w:t>
            </w:r>
            <w:r>
              <w:rPr>
                <w:rFonts w:ascii="Times New Roman" w:cs="Times New Roman" w:eastAsia="Times New Roman" w:hAnsi="Times New Roman"/>
                <w:sz w:val="23"/>
                <w:szCs w:val="23"/>
                <w:color w:val="auto"/>
                <w:vertAlign w:val="superscript"/>
              </w:rPr>
              <w:t>(1)</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attributable to PAA</w:t>
            </w:r>
          </w:p>
        </w:tc>
        <w:tc>
          <w:tcPr>
            <w:tcW w:w="10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partner’s incentive distribution </w:t>
            </w:r>
            <w:r>
              <w:rPr>
                <w:rFonts w:ascii="Times New Roman" w:cs="Times New Roman" w:eastAsia="Times New Roman" w:hAnsi="Times New Roman"/>
                <w:sz w:val="23"/>
                <w:szCs w:val="23"/>
                <w:color w:val="auto"/>
                <w:vertAlign w:val="superscript"/>
              </w:rPr>
              <w:t>(2)</w:t>
            </w:r>
          </w:p>
        </w:tc>
        <w:tc>
          <w:tcPr>
            <w:tcW w:w="10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General partner 2% ownership </w:t>
            </w:r>
            <w:r>
              <w:rPr>
                <w:rFonts w:ascii="Times New Roman" w:cs="Times New Roman" w:eastAsia="Times New Roman" w:hAnsi="Times New Roman"/>
                <w:sz w:val="23"/>
                <w:szCs w:val="23"/>
                <w:color w:val="auto"/>
                <w:vertAlign w:val="superscript"/>
              </w:rPr>
              <w:t>(2)</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Adjusted net income available to limited partners</w:t>
            </w:r>
          </w:p>
        </w:tc>
        <w:tc>
          <w:tcPr>
            <w:tcW w:w="10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Undistributed earnings allocated and distributions to participating securities </w:t>
            </w:r>
            <w:r>
              <w:rPr>
                <w:rFonts w:ascii="Times New Roman" w:cs="Times New Roman" w:eastAsia="Times New Roman" w:hAnsi="Times New Roman"/>
                <w:sz w:val="23"/>
                <w:szCs w:val="23"/>
                <w:color w:val="auto"/>
                <w:vertAlign w:val="superscript"/>
              </w:rPr>
              <w:t>(2)</w:t>
            </w: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limited partners’ net income</w:t>
            </w: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053" w:right="239" w:bottom="0" w:gutter="0" w:footer="0" w:header="0"/>
        </w:sectPr>
      </w:pPr>
    </w:p>
    <w:bookmarkStart w:id="10" w:name="page11"/>
    <w:bookmarkEnd w:id="10"/>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number of limited partner units outstanding</w:t>
            </w:r>
          </w:p>
        </w:tc>
        <w:tc>
          <w:tcPr>
            <w:tcW w:w="1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363</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adjusted net income per limited partner unit</w:t>
            </w:r>
          </w:p>
        </w:tc>
        <w:tc>
          <w:tcPr>
            <w:tcW w:w="2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0.65</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Certain of our non-GAAP financial measures may not be impacted by each of the selected items impacting comparability.</w:t>
      </w:r>
    </w:p>
    <w:p>
      <w:pPr>
        <w:spacing w:after="0" w:line="1" w:lineRule="exact"/>
        <w:rPr>
          <w:rFonts w:ascii="Times New Roman" w:cs="Times New Roman" w:eastAsia="Times New Roman" w:hAnsi="Times New Roman"/>
          <w:sz w:val="22"/>
          <w:szCs w:val="22"/>
          <w:color w:val="auto"/>
          <w:vertAlign w:val="superscript"/>
        </w:rPr>
      </w:pPr>
    </w:p>
    <w:p>
      <w:pPr>
        <w:ind w:left="180" w:right="100" w:hanging="172"/>
        <w:spacing w:after="0" w:line="423" w:lineRule="auto"/>
        <w:tabs>
          <w:tab w:leader="none" w:pos="161"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We calculate adjusted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DATA RECONCILIATIONS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00"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8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74"/>
        </w:trPr>
        <w:tc>
          <w:tcPr>
            <w:tcW w:w="78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Income to Earnings Before Interest, Taxes, Depreciation and Amortization (“EBITDA”) and</w:t>
            </w: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38"/>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Excluding Selected Items Impacting Comparability (“Adjusted EBITDA”) Reconciliations</w:t>
            </w: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gridSpan w:val="2"/>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Interest expense, net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18"/>
                <w:szCs w:val="18"/>
                <w:color w:val="auto"/>
              </w:rPr>
            </w:pPr>
          </w:p>
        </w:tc>
      </w:tr>
      <w:tr>
        <w:trPr>
          <w:trHeight w:val="216"/>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Income tax expense</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8"/>
                <w:szCs w:val="18"/>
                <w:color w:val="auto"/>
              </w:rPr>
            </w:pPr>
          </w:p>
        </w:tc>
      </w:tr>
      <w:tr>
        <w:trPr>
          <w:trHeight w:val="21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440" w:type="dxa"/>
            <w:vAlign w:val="bottom"/>
          </w:tcPr>
          <w:p>
            <w:pPr>
              <w:spacing w:after="0"/>
              <w:rPr>
                <w:sz w:val="18"/>
                <w:szCs w:val="18"/>
                <w:color w:val="auto"/>
              </w:rPr>
            </w:pPr>
          </w:p>
        </w:tc>
        <w:tc>
          <w:tcPr>
            <w:tcW w:w="980" w:type="dxa"/>
            <w:vAlign w:val="bottom"/>
            <w:tcBorders>
              <w:top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8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Selected items impacting comparability of EBITDA </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Certain of our non-GAAP financial measures may not be impacted by each of the selected items impacting comparability.</w:t>
      </w:r>
    </w:p>
    <w:p>
      <w:pPr>
        <w:spacing w:after="0" w:line="191"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62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EBITDA to Implied Distributable Cash Flow (“DCF”)</w:t>
            </w:r>
          </w:p>
        </w:tc>
        <w:tc>
          <w:tcPr>
            <w:tcW w:w="16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66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739</w:t>
            </w:r>
          </w:p>
        </w:tc>
        <w:tc>
          <w:tcPr>
            <w:tcW w:w="80" w:type="dxa"/>
            <w:vAlign w:val="bottom"/>
          </w:tcPr>
          <w:p>
            <w:pPr>
              <w:spacing w:after="0"/>
              <w:rPr>
                <w:sz w:val="18"/>
                <w:szCs w:val="18"/>
                <w:color w:val="auto"/>
              </w:rPr>
            </w:pP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1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Maintenance capital</w:t>
            </w: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earnings in unconsolidated entities, net of distributions</w:t>
            </w: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Distributions to noncontrolling interests </w:t>
            </w:r>
            <w:r>
              <w:rPr>
                <w:rFonts w:ascii="Times New Roman" w:cs="Times New Roman" w:eastAsia="Times New Roman" w:hAnsi="Times New Roman"/>
                <w:sz w:val="23"/>
                <w:szCs w:val="23"/>
                <w:color w:val="auto"/>
                <w:vertAlign w:val="superscript"/>
              </w:rPr>
              <w:t>(1)</w:t>
            </w:r>
          </w:p>
        </w:tc>
        <w:tc>
          <w:tcPr>
            <w:tcW w:w="1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Implied DCF</w:t>
            </w:r>
          </w:p>
        </w:tc>
        <w:tc>
          <w:tcPr>
            <w:tcW w:w="16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distributions that pertain to the current period’s net income, which are paid in the subsequent period.</w:t>
      </w:r>
    </w:p>
    <w:p>
      <w:pPr>
        <w:spacing w:after="0" w:line="191"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4720" w:type="dxa"/>
            <w:vAlign w:val="bottom"/>
            <w:tcBorders>
              <w:bottom w:val="single" w:sz="8" w:color="CCEEFF"/>
            </w:tcBorders>
          </w:tcPr>
          <w:p>
            <w:pPr>
              <w:spacing w:after="0"/>
              <w:rPr>
                <w:sz w:val="12"/>
                <w:szCs w:val="12"/>
                <w:color w:val="auto"/>
              </w:rPr>
            </w:pPr>
          </w:p>
        </w:tc>
        <w:tc>
          <w:tcPr>
            <w:tcW w:w="200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 from Operating Activities Reconciliation</w:t>
            </w:r>
          </w:p>
        </w:tc>
        <w:tc>
          <w:tcPr>
            <w:tcW w:w="20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000" w:type="dxa"/>
            <w:vAlign w:val="bottom"/>
          </w:tcPr>
          <w:p>
            <w:pPr>
              <w:spacing w:after="0"/>
              <w:rPr>
                <w:sz w:val="18"/>
                <w:szCs w:val="18"/>
                <w:color w:val="auto"/>
              </w:rPr>
            </w:pPr>
          </w:p>
        </w:tc>
        <w:tc>
          <w:tcPr>
            <w:tcW w:w="2560" w:type="dxa"/>
            <w:vAlign w:val="bottom"/>
            <w:gridSpan w:val="2"/>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assets and liabilities, net of acquisitions</w:t>
            </w:r>
          </w:p>
        </w:tc>
        <w:tc>
          <w:tcPr>
            <w:tcW w:w="2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Other items to reconcile to cash flows from operating activities:</w:t>
            </w:r>
          </w:p>
        </w:tc>
        <w:tc>
          <w:tcPr>
            <w:tcW w:w="2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20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00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 more –</w:t>
            </w:r>
          </w:p>
        </w:tc>
        <w:tc>
          <w:tcPr>
            <w:tcW w:w="1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vMerge w:val="continue"/>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256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713-646-4100 / 800-564-3036</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4720" w:type="dxa"/>
            <w:vAlign w:val="bottom"/>
            <w:tcBorders>
              <w:bottom w:val="single" w:sz="8" w:color="010101"/>
            </w:tcBorders>
          </w:tcPr>
          <w:p>
            <w:pPr>
              <w:spacing w:after="0"/>
              <w:rPr>
                <w:sz w:val="24"/>
                <w:szCs w:val="24"/>
                <w:color w:val="auto"/>
              </w:rPr>
            </w:pPr>
          </w:p>
        </w:tc>
        <w:tc>
          <w:tcPr>
            <w:tcW w:w="2000" w:type="dxa"/>
            <w:vAlign w:val="bottom"/>
            <w:tcBorders>
              <w:bottom w:val="single" w:sz="8" w:color="010101"/>
            </w:tcBorders>
          </w:tcPr>
          <w:p>
            <w:pPr>
              <w:spacing w:after="0"/>
              <w:rPr>
                <w:sz w:val="24"/>
                <w:szCs w:val="24"/>
                <w:color w:val="auto"/>
              </w:rPr>
            </w:pPr>
          </w:p>
        </w:tc>
        <w:tc>
          <w:tcPr>
            <w:tcW w:w="1580" w:type="dxa"/>
            <w:vAlign w:val="bottom"/>
            <w:tcBorders>
              <w:bottom w:val="single" w:sz="8" w:color="010101"/>
            </w:tcBorders>
          </w:tcPr>
          <w:p>
            <w:pPr>
              <w:spacing w:after="0"/>
              <w:rPr>
                <w:sz w:val="24"/>
                <w:szCs w:val="24"/>
                <w:color w:val="auto"/>
              </w:rPr>
            </w:pPr>
          </w:p>
        </w:tc>
        <w:tc>
          <w:tcPr>
            <w:tcW w:w="98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10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ectPr>
          <w:pgSz w:w="11900" w:h="16879" w:orient="portrait"/>
          <w:cols w:equalWidth="0" w:num="1">
            <w:col w:w="11460"/>
          </w:cols>
          <w:pgMar w:left="240" w:top="140" w:right="199" w:bottom="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PAA</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Consolidating</w:t>
            </w:r>
          </w:p>
        </w:tc>
        <w:tc>
          <w:tcPr>
            <w:tcW w:w="280" w:type="dxa"/>
            <w:vAlign w:val="bottom"/>
          </w:tcPr>
          <w:p>
            <w:pPr>
              <w:spacing w:after="0"/>
              <w:rPr>
                <w:sz w:val="10"/>
                <w:szCs w:val="10"/>
                <w:color w:val="auto"/>
              </w:rPr>
            </w:pPr>
          </w:p>
        </w:tc>
        <w:tc>
          <w:tcPr>
            <w:tcW w:w="11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8"/>
                <w:szCs w:val="8"/>
                <w:b w:val="1"/>
                <w:bCs w:val="1"/>
                <w:color w:val="auto"/>
              </w:rPr>
              <w:t>(1)</w:t>
            </w:r>
          </w:p>
        </w:tc>
        <w:tc>
          <w:tcPr>
            <w:tcW w:w="2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6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10,670</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operating costs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8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11,191</w:t>
            </w:r>
          </w:p>
        </w:tc>
        <w:tc>
          <w:tcPr>
            <w:tcW w:w="3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493</w:t>
            </w:r>
          </w:p>
        </w:tc>
        <w:tc>
          <w:tcPr>
            <w:tcW w:w="1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433</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8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8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PAGP</w:t>
            </w:r>
          </w:p>
        </w:tc>
        <w:tc>
          <w:tcPr>
            <w:tcW w:w="86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BASIC AND DILUTED NET INCOME PER CLASS A SHARE</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20" w:type="dxa"/>
            <w:vAlign w:val="bottom"/>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b w:val="1"/>
                <w:bCs w:val="1"/>
                <w:color w:val="auto"/>
              </w:rPr>
              <w:t>BASIC AND DILUTED WEIGHTED AVERAGE CLASS A SHARES</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aggregate consolidating adjustments necessary to produce consolidated financial statements for PAGP.</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PAA</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Consolidating</w:t>
            </w:r>
          </w:p>
        </w:tc>
        <w:tc>
          <w:tcPr>
            <w:tcW w:w="280" w:type="dxa"/>
            <w:vAlign w:val="bottom"/>
          </w:tcPr>
          <w:p>
            <w:pPr>
              <w:spacing w:after="0"/>
              <w:rPr>
                <w:sz w:val="10"/>
                <w:szCs w:val="10"/>
                <w:color w:val="auto"/>
              </w:rPr>
            </w:pP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8"/>
                <w:szCs w:val="8"/>
                <w:b w:val="1"/>
                <w:bCs w:val="1"/>
                <w:color w:val="auto"/>
              </w:rPr>
              <w:t>(1)</w:t>
            </w:r>
          </w:p>
        </w:tc>
        <w:tc>
          <w:tcPr>
            <w:tcW w:w="2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60" w:type="dxa"/>
            <w:vAlign w:val="bottom"/>
          </w:tcPr>
          <w:p>
            <w:pPr>
              <w:jc w:val="right"/>
              <w:ind w:right="69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4,932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2,485</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Linefill and base gas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864</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inventory</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506</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1,083</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860" w:type="dxa"/>
            <w:vAlign w:val="bottom"/>
            <w:tcBorders>
              <w:top w:val="single" w:sz="8" w:color="auto"/>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60" w:type="dxa"/>
            <w:vAlign w:val="bottom"/>
          </w:tcPr>
          <w:p>
            <w:pPr>
              <w:jc w:val="right"/>
              <w:ind w:right="69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5,554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net of unamortized discount</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6,711</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under credit facilities and other</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520</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547</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12,919</w:t>
            </w: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Partners’ capital excluding noncontrolling interests</w:t>
            </w:r>
          </w:p>
        </w:tc>
        <w:tc>
          <w:tcPr>
            <w:tcW w:w="48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7,724</w:t>
            </w:r>
          </w:p>
        </w:tc>
        <w:tc>
          <w:tcPr>
            <w:tcW w:w="4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(6,673)</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1,051</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7,257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7,316</w:t>
            </w:r>
          </w:p>
        </w:tc>
      </w:tr>
      <w:tr>
        <w:trPr>
          <w:trHeight w:val="210"/>
        </w:trPr>
        <w:tc>
          <w:tcPr>
            <w:tcW w:w="6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partners’ capital</w:t>
            </w: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3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8,367</w:t>
            </w:r>
          </w:p>
        </w:tc>
        <w:tc>
          <w:tcPr>
            <w:tcW w:w="100" w:type="dxa"/>
            <w:vAlign w:val="bottom"/>
            <w:tcBorders>
              <w:bottom w:val="single" w:sz="8" w:color="CCEEFF"/>
            </w:tcBorders>
          </w:tcPr>
          <w:p>
            <w:pPr>
              <w:spacing w:after="0"/>
              <w:rPr>
                <w:sz w:val="18"/>
                <w:szCs w:val="18"/>
                <w:color w:val="auto"/>
              </w:rPr>
            </w:pPr>
          </w:p>
        </w:tc>
      </w:tr>
      <w:tr>
        <w:trPr>
          <w:trHeight w:val="210"/>
        </w:trPr>
        <w:tc>
          <w:tcPr>
            <w:tcW w:w="66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48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20,702</w:t>
            </w:r>
          </w:p>
        </w:tc>
        <w:tc>
          <w:tcPr>
            <w:tcW w:w="3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the aggregate consolidating adjustments necessary to produce consolidated financial statements for PAGP.</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DISTRIBUTION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Q1 2014 PAGP DISTRIBUTION SUMMARY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xml:space="preserve">Q1 2014 </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PAA Distribution/LP Unit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GP Distribution/LP Unit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0.3159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Distribution/LP Unit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0.9459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PAA LP Units Outstanding at 5/2/14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GP Distribution</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IDR Reduction</w:t>
            </w: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Distribution from PAA to AAP</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Debt Service</w:t>
            </w: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G&amp;A Expense</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Other</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Available for Distribution by AAP</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Distributions to AAP Partners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 AAP Owners &amp; AAP Management (79.1% economic interest)</w:t>
            </w: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PAGP (20.9% economic interest)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distributions to AAP Partners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to PAGP Investors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PAGP Class A Shares Outstanding at 5/2/14</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PAGP Distribution/Class A Share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0.17055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Amounts may not recalculate due to rounding.</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right="478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BASIC AND DILUTED NET INCOME PER CLASS A SHARE </w:t>
      </w:r>
      <w:r>
        <w:rPr>
          <w:rFonts w:ascii="Times New Roman" w:cs="Times New Roman" w:eastAsia="Times New Roman" w:hAnsi="Times New Roman"/>
          <w:sz w:val="18"/>
          <w:szCs w:val="18"/>
          <w:color w:val="auto"/>
        </w:rPr>
        <w:t>(in millions, except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4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 2014</w:t>
            </w:r>
          </w:p>
        </w:tc>
        <w:tc>
          <w:tcPr>
            <w:tcW w:w="0" w:type="dxa"/>
            <w:vAlign w:val="bottom"/>
          </w:tcPr>
          <w:p>
            <w:pPr>
              <w:spacing w:after="0"/>
              <w:rPr>
                <w:sz w:val="1"/>
                <w:szCs w:val="1"/>
                <w:color w:val="auto"/>
              </w:rPr>
            </w:pPr>
          </w:p>
        </w:tc>
      </w:tr>
      <w:tr>
        <w:trPr>
          <w:trHeight w:val="196"/>
        </w:trPr>
        <w:tc>
          <w:tcPr>
            <w:tcW w:w="56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Income per Class A Share</w:t>
            </w:r>
          </w:p>
        </w:tc>
        <w:tc>
          <w:tcPr>
            <w:tcW w:w="37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attributable to PAGP</w:t>
            </w:r>
          </w:p>
        </w:tc>
        <w:tc>
          <w:tcPr>
            <w:tcW w:w="3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weighted average number of Class A shares outstanding</w:t>
            </w:r>
          </w:p>
        </w:tc>
        <w:tc>
          <w:tcPr>
            <w:tcW w:w="3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net income per Class A share</w:t>
            </w:r>
          </w:p>
        </w:tc>
        <w:tc>
          <w:tcPr>
            <w:tcW w:w="3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Contacts:</w:t>
            </w:r>
          </w:p>
        </w:tc>
        <w:tc>
          <w:tcPr>
            <w:tcW w:w="3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600" w:type="dxa"/>
            <w:vAlign w:val="bottom"/>
            <w:gridSpan w:val="2"/>
            <w:vMerge w:val="continue"/>
          </w:tcPr>
          <w:p>
            <w:pPr>
              <w:spacing w:after="0"/>
              <w:rPr>
                <w:sz w:val="24"/>
                <w:szCs w:val="24"/>
                <w:color w:val="auto"/>
              </w:rPr>
            </w:pPr>
          </w:p>
        </w:tc>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Smith</w:t>
            </w:r>
          </w:p>
        </w:tc>
        <w:tc>
          <w:tcPr>
            <w:tcW w:w="3980" w:type="dxa"/>
            <w:vAlign w:val="bottom"/>
            <w:gridSpan w:val="2"/>
          </w:tcPr>
          <w:p>
            <w:pPr>
              <w:jc w:val="right"/>
              <w:ind w:right="3020"/>
              <w:spacing w:after="0"/>
              <w:rPr>
                <w:sz w:val="20"/>
                <w:szCs w:val="20"/>
                <w:color w:val="auto"/>
              </w:rPr>
            </w:pPr>
            <w:r>
              <w:rPr>
                <w:rFonts w:ascii="Times New Roman" w:cs="Times New Roman" w:eastAsia="Times New Roman" w:hAnsi="Times New Roman"/>
                <w:sz w:val="18"/>
                <w:szCs w:val="18"/>
                <w:color w:val="auto"/>
              </w:rPr>
              <w:t>Al Swanson</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Director, Investor Relations</w:t>
            </w:r>
          </w:p>
        </w:tc>
        <w:tc>
          <w:tcPr>
            <w:tcW w:w="68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Executive Vice President, CFO</w:t>
            </w:r>
          </w:p>
        </w:tc>
        <w:tc>
          <w:tcPr>
            <w:tcW w:w="40" w:type="dxa"/>
            <w:vAlign w:val="bottom"/>
          </w:tcPr>
          <w:p>
            <w:pPr>
              <w:spacing w:after="0"/>
              <w:rPr>
                <w:sz w:val="20"/>
                <w:szCs w:val="20"/>
                <w:color w:val="auto"/>
              </w:rPr>
            </w:pPr>
          </w:p>
        </w:tc>
      </w:tr>
      <w:tr>
        <w:trPr>
          <w:trHeight w:val="432"/>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(866) 809-1291</w:t>
            </w:r>
          </w:p>
        </w:tc>
        <w:tc>
          <w:tcPr>
            <w:tcW w:w="22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(800) 564-3036</w:t>
            </w:r>
          </w:p>
        </w:tc>
        <w:tc>
          <w:tcPr>
            <w:tcW w:w="4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6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5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2"/>
        </w:trPr>
        <w:tc>
          <w:tcPr>
            <w:tcW w:w="460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2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4540" w:type="dxa"/>
            <w:vAlign w:val="bottom"/>
          </w:tcPr>
          <w:p>
            <w:pPr>
              <w:jc w:val="right"/>
              <w:ind w:right="2210"/>
              <w:spacing w:after="0"/>
              <w:rPr>
                <w:sz w:val="20"/>
                <w:szCs w:val="20"/>
                <w:color w:val="auto"/>
              </w:rPr>
            </w:pPr>
            <w:r>
              <w:rPr>
                <w:rFonts w:ascii="Times New Roman" w:cs="Times New Roman" w:eastAsia="Times New Roman" w:hAnsi="Times New Roman"/>
                <w:sz w:val="18"/>
                <w:szCs w:val="18"/>
                <w:b w:val="1"/>
                <w:bCs w:val="1"/>
                <w:color w:val="auto"/>
              </w:rPr>
              <w:t>713-646-4100 / 800-564-3036</w:t>
            </w:r>
          </w:p>
        </w:tc>
        <w:tc>
          <w:tcPr>
            <w:tcW w:w="40" w:type="dxa"/>
            <w:vAlign w:val="bottom"/>
          </w:tcPr>
          <w:p>
            <w:pPr>
              <w:spacing w:after="0"/>
              <w:rPr>
                <w:sz w:val="20"/>
                <w:szCs w:val="20"/>
                <w:color w:val="auto"/>
              </w:rPr>
            </w:pPr>
          </w:p>
        </w:tc>
      </w:tr>
      <w:tr>
        <w:trPr>
          <w:trHeight w:val="339"/>
        </w:trPr>
        <w:tc>
          <w:tcPr>
            <w:tcW w:w="4600" w:type="dxa"/>
            <w:vAlign w:val="bottom"/>
            <w:tcBorders>
              <w:bottom w:val="single" w:sz="8" w:color="010101"/>
            </w:tcBorders>
          </w:tcPr>
          <w:p>
            <w:pPr>
              <w:spacing w:after="0"/>
              <w:rPr>
                <w:sz w:val="24"/>
                <w:szCs w:val="24"/>
                <w:color w:val="auto"/>
              </w:rPr>
            </w:pPr>
          </w:p>
        </w:tc>
        <w:tc>
          <w:tcPr>
            <w:tcW w:w="2280" w:type="dxa"/>
            <w:vAlign w:val="bottom"/>
            <w:tcBorders>
              <w:bottom w:val="single" w:sz="8" w:color="010101"/>
            </w:tcBorders>
          </w:tcPr>
          <w:p>
            <w:pPr>
              <w:spacing w:after="0"/>
              <w:rPr>
                <w:sz w:val="24"/>
                <w:szCs w:val="24"/>
                <w:color w:val="auto"/>
              </w:rPr>
            </w:pPr>
          </w:p>
        </w:tc>
        <w:tc>
          <w:tcPr>
            <w:tcW w:w="45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o"/>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lowerRoman"/>
      <w:start w:val="4"/>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2020-01-27T08:08:44Z</dcterms:created>
  <dcterms:modified xsi:type="dcterms:W3CDTF">2020-01-27T08:08:44Z</dcterms:modified>
</cp:coreProperties>
</file>