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324725" cy="8646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8646795"/>
                    </a:xfrm>
                    <a:prstGeom prst="rect">
                      <a:avLst/>
                    </a:prstGeom>
                    <a:noFill/>
                  </pic:spPr>
                </pic:pic>
              </a:graphicData>
            </a:graphic>
          </wp:anchor>
        </w:drawing>
      </w:r>
    </w:p>
    <w:p>
      <w:pPr>
        <w:spacing w:after="0" w:line="44" w:lineRule="exact"/>
        <w:rPr>
          <w:sz w:val="24"/>
          <w:szCs w:val="24"/>
          <w:color w:val="auto"/>
        </w:rPr>
      </w:pPr>
    </w:p>
    <w:p>
      <w:pPr>
        <w:sectPr>
          <w:pgSz w:w="11900" w:h="16921" w:orient="portrait"/>
          <w:cols w:equalWidth="0" w:num="2">
            <w:col w:w="2320" w:space="400"/>
            <w:col w:w="880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4"/>
          </w:tcPr>
          <w:p>
            <w:pPr>
              <w:ind w:left="4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SINNOTT ROBERT V</w:t>
              </w:r>
            </w:hyperlink>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380" w:type="dxa"/>
            <w:vAlign w:val="bottom"/>
            <w:gridSpan w:val="6"/>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restart"/>
          </w:tcPr>
          <w:p>
            <w:pPr>
              <w:ind w:left="2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960" w:type="dxa"/>
            <w:vAlign w:val="bottom"/>
          </w:tcPr>
          <w:p>
            <w:pPr>
              <w:spacing w:after="0"/>
              <w:rPr>
                <w:sz w:val="2"/>
                <w:szCs w:val="2"/>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100" w:type="dxa"/>
            <w:vAlign w:val="bottom"/>
            <w:gridSpan w:val="2"/>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320" w:type="dxa"/>
            <w:vAlign w:val="bottom"/>
            <w:gridSpan w:val="2"/>
            <w:vMerge w:val="restart"/>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10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20"/>
              <w:spacing w:after="0"/>
              <w:rPr>
                <w:sz w:val="20"/>
                <w:szCs w:val="20"/>
                <w:color w:val="auto"/>
              </w:rPr>
            </w:pPr>
            <w:r>
              <w:rPr>
                <w:rFonts w:ascii="Arial" w:cs="Arial" w:eastAsia="Arial" w:hAnsi="Arial"/>
                <w:sz w:val="13"/>
                <w:szCs w:val="13"/>
                <w:color w:val="auto"/>
              </w:rPr>
              <w:t>(Middle)</w:t>
            </w:r>
          </w:p>
        </w:tc>
        <w:tc>
          <w:tcPr>
            <w:tcW w:w="2860" w:type="dxa"/>
            <w:vAlign w:val="bottom"/>
            <w:gridSpan w:val="5"/>
            <w:vMerge w:val="continue"/>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ind w:left="600"/>
              <w:spacing w:after="0" w:line="124" w:lineRule="exact"/>
              <w:rPr>
                <w:sz w:val="20"/>
                <w:szCs w:val="20"/>
                <w:color w:val="auto"/>
              </w:rPr>
            </w:pPr>
            <w:r>
              <w:rPr>
                <w:rFonts w:ascii="Arial" w:cs="Arial" w:eastAsia="Arial" w:hAnsi="Arial"/>
                <w:sz w:val="13"/>
                <w:szCs w:val="13"/>
                <w:color w:val="auto"/>
              </w:rPr>
              <w:t>below)</w:t>
            </w:r>
          </w:p>
        </w:tc>
        <w:tc>
          <w:tcPr>
            <w:tcW w:w="960" w:type="dxa"/>
            <w:vAlign w:val="bottom"/>
          </w:tcPr>
          <w:p>
            <w:pPr>
              <w:spacing w:after="0"/>
              <w:rPr>
                <w:sz w:val="10"/>
                <w:szCs w:val="10"/>
                <w:color w:val="auto"/>
              </w:rPr>
            </w:pPr>
          </w:p>
        </w:tc>
        <w:tc>
          <w:tcPr>
            <w:tcW w:w="1320" w:type="dxa"/>
            <w:vAlign w:val="bottom"/>
            <w:gridSpan w:val="2"/>
          </w:tcPr>
          <w:p>
            <w:pPr>
              <w:ind w:left="12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09/28/2018</w:t>
            </w: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Arial" w:cs="Arial" w:eastAsia="Arial" w:hAnsi="Arial"/>
                <w:sz w:val="17"/>
                <w:szCs w:val="17"/>
                <w:color w:val="0000FF"/>
              </w:rPr>
              <w:t>1800 AVE OF THE STATE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2ND FLR</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38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20" w:type="dxa"/>
            <w:vAlign w:val="bottom"/>
            <w:gridSpan w:val="4"/>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38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4"/>
          </w:tcPr>
          <w:p>
            <w:pPr>
              <w:ind w:left="2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w w:val="99"/>
              </w:rPr>
              <w:t>LOS ANGELES</w:t>
            </w:r>
          </w:p>
        </w:tc>
        <w:tc>
          <w:tcPr>
            <w:tcW w:w="132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260" w:type="dxa"/>
            <w:vAlign w:val="bottom"/>
          </w:tcPr>
          <w:p>
            <w:pPr>
              <w:ind w:left="2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gridSpan w:val="4"/>
          </w:tcPr>
          <w:p>
            <w:pPr>
              <w:ind w:left="6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3"/>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gridSpan w:val="4"/>
          </w:tcPr>
          <w:p>
            <w:pPr>
              <w:ind w:left="4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 or Indirect</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163"/>
              <w:spacing w:after="0"/>
              <w:rPr>
                <w:sz w:val="20"/>
                <w:szCs w:val="20"/>
                <w:color w:val="auto"/>
              </w:rPr>
            </w:pPr>
            <w:r>
              <w:rPr>
                <w:rFonts w:ascii="Arial" w:cs="Arial" w:eastAsia="Arial" w:hAnsi="Arial"/>
                <w:sz w:val="12"/>
                <w:szCs w:val="12"/>
                <w:b w:val="1"/>
                <w:bCs w:val="1"/>
                <w:color w:val="auto"/>
                <w:w w:val="95"/>
              </w:rPr>
              <w:t>Price</w:t>
            </w:r>
          </w:p>
        </w:tc>
        <w:tc>
          <w:tcPr>
            <w:tcW w:w="2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6"/>
              </w:rPr>
              <w:t>09/28/2018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8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45,405</w:t>
            </w:r>
          </w:p>
        </w:tc>
        <w:tc>
          <w:tcPr>
            <w:tcW w:w="52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45,405</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w w:val="93"/>
              </w:rPr>
              <w:t>Ssee footnotes</w:t>
            </w:r>
            <w:r>
              <w:rPr>
                <w:rFonts w:ascii="Arial" w:cs="Arial" w:eastAsia="Arial" w:hAnsi="Arial"/>
                <w:sz w:val="21"/>
                <w:szCs w:val="21"/>
                <w:color w:val="008000"/>
                <w:w w:val="93"/>
                <w:vertAlign w:val="superscript"/>
              </w:rPr>
              <w:t>(1)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6"/>
              </w:rPr>
              <w:t>09/28/2018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45,405</w:t>
            </w:r>
          </w:p>
        </w:tc>
        <w:tc>
          <w:tcPr>
            <w:tcW w:w="52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right"/>
              <w:ind w:right="1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w w:val="99"/>
              </w:rPr>
              <w:t>See footnotes</w:t>
            </w:r>
            <w:r>
              <w:rPr>
                <w:rFonts w:ascii="Arial" w:cs="Arial" w:eastAsia="Arial" w:hAnsi="Arial"/>
                <w:sz w:val="21"/>
                <w:szCs w:val="21"/>
                <w:color w:val="008000"/>
                <w:w w:val="99"/>
                <w:vertAlign w:val="superscript"/>
              </w:rPr>
              <w:t>(1)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2"/>
              </w:rPr>
              <w:t>75,104</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Partners</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w w:val="94"/>
              </w:rPr>
              <w:t>Robert and Rosa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Sinnott Living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Trust dtd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37,104</w:t>
            </w:r>
          </w:p>
        </w:tc>
        <w:tc>
          <w:tcPr>
            <w:tcW w:w="880" w:type="dxa"/>
            <w:vAlign w:val="bottom"/>
            <w:vMerge w:val="restart"/>
          </w:tcPr>
          <w:p>
            <w:pPr>
              <w:ind w:left="760"/>
              <w:spacing w:after="0"/>
              <w:rPr>
                <w:sz w:val="20"/>
                <w:szCs w:val="20"/>
                <w:color w:val="auto"/>
              </w:rPr>
            </w:pPr>
            <w:r>
              <w:rPr>
                <w:rFonts w:ascii="Arial" w:cs="Arial" w:eastAsia="Arial" w:hAnsi="Arial"/>
                <w:sz w:val="17"/>
                <w:szCs w:val="17"/>
                <w:color w:val="0000FF"/>
              </w:rPr>
              <w:t>I</w:t>
            </w:r>
          </w:p>
        </w:tc>
        <w:tc>
          <w:tcPr>
            <w:tcW w:w="1660" w:type="dxa"/>
            <w:vAlign w:val="bottom"/>
            <w:gridSpan w:val="2"/>
          </w:tcPr>
          <w:p>
            <w:pPr>
              <w:ind w:left="440"/>
              <w:spacing w:after="0"/>
              <w:rPr>
                <w:sz w:val="20"/>
                <w:szCs w:val="20"/>
                <w:color w:val="auto"/>
              </w:rPr>
            </w:pPr>
            <w:r>
              <w:rPr>
                <w:rFonts w:ascii="Arial" w:cs="Arial" w:eastAsia="Arial" w:hAnsi="Arial"/>
                <w:sz w:val="17"/>
                <w:szCs w:val="17"/>
                <w:color w:val="0000FF"/>
              </w:rPr>
              <w:t>10/24/97,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80" w:type="dxa"/>
            <w:vAlign w:val="bottom"/>
            <w:gridSpan w:val="3"/>
            <w:vMerge w:val="restart"/>
          </w:tcPr>
          <w:p>
            <w:pPr>
              <w:ind w:left="440"/>
              <w:spacing w:after="0"/>
              <w:rPr>
                <w:sz w:val="20"/>
                <w:szCs w:val="20"/>
                <w:color w:val="auto"/>
              </w:rPr>
            </w:pPr>
            <w:r>
              <w:rPr>
                <w:rFonts w:ascii="Arial" w:cs="Arial" w:eastAsia="Arial" w:hAnsi="Arial"/>
                <w:sz w:val="17"/>
                <w:szCs w:val="17"/>
                <w:color w:val="0000FF"/>
              </w:rPr>
              <w:t>Robert V.</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Sinnott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Rosa R.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Trustees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272,288</w:t>
            </w:r>
          </w:p>
        </w:tc>
        <w:tc>
          <w:tcPr>
            <w:tcW w:w="880" w:type="dxa"/>
            <w:vAlign w:val="bottom"/>
            <w:vMerge w:val="restart"/>
          </w:tcPr>
          <w:p>
            <w:pPr>
              <w:ind w:left="760"/>
              <w:spacing w:after="0"/>
              <w:rPr>
                <w:sz w:val="20"/>
                <w:szCs w:val="20"/>
                <w:color w:val="auto"/>
              </w:rPr>
            </w:pPr>
            <w:r>
              <w:rPr>
                <w:rFonts w:ascii="Arial" w:cs="Arial" w:eastAsia="Arial" w:hAnsi="Arial"/>
                <w:sz w:val="17"/>
                <w:szCs w:val="17"/>
                <w:color w:val="0000FF"/>
              </w:rPr>
              <w:t>I</w:t>
            </w: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w w:val="93"/>
              </w:rPr>
              <w:t>Ssee footnotes</w:t>
            </w:r>
            <w:r>
              <w:rPr>
                <w:rFonts w:ascii="Arial" w:cs="Arial" w:eastAsia="Arial" w:hAnsi="Arial"/>
                <w:sz w:val="21"/>
                <w:szCs w:val="21"/>
                <w:color w:val="008000"/>
                <w:w w:val="93"/>
                <w:vertAlign w:val="superscript"/>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vMerge w:val="restart"/>
          </w:tcPr>
          <w:p>
            <w:pPr>
              <w:ind w:left="440"/>
              <w:spacing w:after="0"/>
              <w:rPr>
                <w:sz w:val="20"/>
                <w:szCs w:val="20"/>
                <w:color w:val="auto"/>
              </w:rPr>
            </w:pPr>
            <w:r>
              <w:rPr>
                <w:rFonts w:ascii="Arial" w:cs="Arial" w:eastAsia="Arial" w:hAnsi="Arial"/>
                <w:sz w:val="11"/>
                <w:szCs w:val="11"/>
                <w:color w:val="008000"/>
              </w:rPr>
              <w:t>(7)</w:t>
            </w: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54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18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0000FF"/>
                <w:w w:val="86"/>
              </w:rPr>
              <w:t>See footnotes</w:t>
            </w:r>
            <w:r>
              <w:rPr>
                <w:rFonts w:ascii="Arial" w:cs="Arial" w:eastAsia="Arial" w:hAnsi="Arial"/>
                <w:sz w:val="21"/>
                <w:szCs w:val="21"/>
                <w:color w:val="008000"/>
                <w:w w:val="86"/>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3"/>
              </w:rPr>
              <w:t>Shares/Class</w:t>
            </w: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right"/>
              <w:ind w:right="182"/>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45,405</w:t>
            </w: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vMerge w:val="restart"/>
          </w:tcPr>
          <w:p>
            <w:pPr>
              <w:ind w:left="60"/>
              <w:spacing w:after="0" w:line="207" w:lineRule="exact"/>
              <w:rPr>
                <w:sz w:val="20"/>
                <w:szCs w:val="20"/>
                <w:color w:val="auto"/>
              </w:rPr>
            </w:pPr>
            <w:r>
              <w:rPr>
                <w:rFonts w:ascii="Arial" w:cs="Arial" w:eastAsia="Arial" w:hAnsi="Arial"/>
                <w:sz w:val="13"/>
                <w:szCs w:val="13"/>
                <w:color w:val="0000FF"/>
                <w:w w:val="97"/>
              </w:rPr>
              <w:t>16,634,621</w:t>
            </w:r>
            <w:r>
              <w:rPr>
                <w:rFonts w:ascii="Arial" w:cs="Arial" w:eastAsia="Arial" w:hAnsi="Arial"/>
                <w:sz w:val="21"/>
                <w:szCs w:val="21"/>
                <w:color w:val="008000"/>
                <w:w w:val="97"/>
                <w:vertAlign w:val="superscript"/>
              </w:rPr>
              <w:t>(6)</w:t>
            </w:r>
          </w:p>
        </w:tc>
        <w:tc>
          <w:tcPr>
            <w:tcW w:w="7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ind w:left="3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60" w:type="dxa"/>
            <w:vAlign w:val="bottom"/>
          </w:tcPr>
          <w:p>
            <w:pPr>
              <w:jc w:val="right"/>
              <w:ind w:right="139"/>
              <w:spacing w:after="0" w:line="141" w:lineRule="exact"/>
              <w:rPr>
                <w:sz w:val="20"/>
                <w:szCs w:val="20"/>
                <w:color w:val="auto"/>
              </w:rPr>
            </w:pPr>
            <w:r>
              <w:rPr>
                <w:rFonts w:ascii="Arial" w:cs="Arial" w:eastAsia="Arial" w:hAnsi="Arial"/>
                <w:sz w:val="13"/>
                <w:szCs w:val="13"/>
                <w:color w:val="0000FF"/>
              </w:rPr>
              <w:t>09/28/2018</w:t>
            </w:r>
          </w:p>
        </w:tc>
        <w:tc>
          <w:tcPr>
            <w:tcW w:w="1160" w:type="dxa"/>
            <w:vAlign w:val="bottom"/>
          </w:tcPr>
          <w:p>
            <w:pPr>
              <w:spacing w:after="0"/>
              <w:rPr>
                <w:sz w:val="12"/>
                <w:szCs w:val="12"/>
                <w:color w:val="auto"/>
              </w:rPr>
            </w:pPr>
          </w:p>
        </w:tc>
        <w:tc>
          <w:tcPr>
            <w:tcW w:w="82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00" w:type="dxa"/>
            <w:vAlign w:val="bottom"/>
          </w:tcPr>
          <w:p>
            <w:pPr>
              <w:ind w:left="80"/>
              <w:spacing w:after="0" w:line="141" w:lineRule="exact"/>
              <w:rPr>
                <w:sz w:val="20"/>
                <w:szCs w:val="20"/>
                <w:color w:val="auto"/>
              </w:rPr>
            </w:pPr>
            <w:r>
              <w:rPr>
                <w:rFonts w:ascii="Arial" w:cs="Arial" w:eastAsia="Arial" w:hAnsi="Arial"/>
                <w:sz w:val="13"/>
                <w:szCs w:val="13"/>
                <w:color w:val="0000FF"/>
              </w:rPr>
              <w:t>45,405</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80" w:type="dxa"/>
            <w:vAlign w:val="bottom"/>
          </w:tcPr>
          <w:p>
            <w:pPr>
              <w:ind w:left="200"/>
              <w:spacing w:after="0" w:line="141" w:lineRule="exact"/>
              <w:rPr>
                <w:sz w:val="20"/>
                <w:szCs w:val="20"/>
                <w:color w:val="auto"/>
              </w:rPr>
            </w:pPr>
            <w:r>
              <w:rPr>
                <w:rFonts w:ascii="Arial" w:cs="Arial" w:eastAsia="Arial" w:hAnsi="Arial"/>
                <w:sz w:val="13"/>
                <w:szCs w:val="13"/>
                <w:color w:val="0000FF"/>
              </w:rPr>
              <w:t>A</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2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vMerge w:val="continue"/>
          </w:tcPr>
          <w:p>
            <w:pPr>
              <w:spacing w:after="0"/>
              <w:rPr>
                <w:sz w:val="12"/>
                <w:szCs w:val="12"/>
                <w:color w:val="auto"/>
              </w:rPr>
            </w:pPr>
          </w:p>
        </w:tc>
        <w:tc>
          <w:tcPr>
            <w:tcW w:w="760" w:type="dxa"/>
            <w:vAlign w:val="bottom"/>
          </w:tcPr>
          <w:p>
            <w:pPr>
              <w:ind w:left="360"/>
              <w:spacing w:after="0" w:line="141" w:lineRule="exact"/>
              <w:rPr>
                <w:sz w:val="20"/>
                <w:szCs w:val="20"/>
                <w:color w:val="auto"/>
              </w:rPr>
            </w:pPr>
            <w:r>
              <w:rPr>
                <w:rFonts w:ascii="Arial" w:cs="Arial" w:eastAsia="Arial" w:hAnsi="Arial"/>
                <w:sz w:val="13"/>
                <w:szCs w:val="13"/>
                <w:color w:val="0000FF"/>
              </w:rPr>
              <w:t>I</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tcPr>
          <w:p>
            <w:pPr>
              <w:ind w:left="60"/>
              <w:spacing w:after="0" w:line="84" w:lineRule="exact"/>
              <w:rPr>
                <w:sz w:val="20"/>
                <w:szCs w:val="20"/>
                <w:color w:val="auto"/>
              </w:rPr>
            </w:pPr>
            <w:r>
              <w:rPr>
                <w:rFonts w:ascii="Arial" w:cs="Arial" w:eastAsia="Arial" w:hAnsi="Arial"/>
                <w:sz w:val="9"/>
                <w:szCs w:val="9"/>
                <w:color w:val="0000FF"/>
              </w:rPr>
              <w:t>A Units/GP</w:t>
            </w: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w w:val="97"/>
              </w:rPr>
              <w:t>Shares</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ind w:left="60"/>
              <w:spacing w:after="0" w:line="84" w:lineRule="exact"/>
              <w:rPr>
                <w:sz w:val="20"/>
                <w:szCs w:val="20"/>
                <w:color w:val="auto"/>
              </w:rPr>
            </w:pPr>
            <w:r>
              <w:rPr>
                <w:rFonts w:ascii="Arial" w:cs="Arial" w:eastAsia="Arial" w:hAnsi="Arial"/>
                <w:sz w:val="9"/>
                <w:szCs w:val="9"/>
                <w:color w:val="008000"/>
              </w:rPr>
              <w:t>(2)(3)</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(QP), L.P.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29" w:lineRule="exact"/>
        <w:rPr>
          <w:rFonts w:ascii="Arial" w:cs="Arial" w:eastAsia="Arial" w:hAnsi="Arial"/>
          <w:sz w:val="13"/>
          <w:szCs w:val="13"/>
          <w:color w:val="008000"/>
        </w:rPr>
      </w:pPr>
    </w:p>
    <w:p>
      <w:pPr>
        <w:ind w:left="40" w:right="4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 On September 28, 2018, KAFU Holdings (QP), L.P. exercised the Exchange Right with respect to 45,405 Class A Units.</w:t>
      </w:r>
    </w:p>
    <w:p>
      <w:pPr>
        <w:sectPr>
          <w:pgSz w:w="11900" w:h="16921" w:orient="portrait"/>
          <w:cols w:equalWidth="0" w:num="1">
            <w:col w:w="11520"/>
          </w:cols>
          <w:pgMar w:left="240" w:top="223" w:right="139" w:bottom="0" w:gutter="0" w:footer="0" w:header="0"/>
          <w:type w:val="continuous"/>
        </w:sectPr>
      </w:pPr>
    </w:p>
    <w:bookmarkStart w:id="1" w:name="page2"/>
    <w:bookmarkEnd w:id="1"/>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involve in-kind distributions to redeeming limited partners of KAFU Holdings (QP), L.P.</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pacing w:after="0" w:line="48" w:lineRule="exact"/>
        <w:rPr>
          <w:rFonts w:ascii="Arial" w:cs="Arial" w:eastAsia="Arial" w:hAnsi="Arial"/>
          <w:sz w:val="13"/>
          <w:szCs w:val="13"/>
          <w:color w:val="008000"/>
        </w:rPr>
      </w:pPr>
    </w:p>
    <w:p>
      <w:pPr>
        <w:ind w:firstLine="5"/>
        <w:spacing w:after="0" w:line="245"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183,225 Class A units. As a result, such Class A units were cancelled and 183,225 Common Units of Plains All American Pipeline, L.P. were distributed by AAP to KAFU. The number of derivative securities owned reflects both the exchange transaction reported herein and the simultaneous redemption transaction.</w:t>
      </w:r>
    </w:p>
    <w:p>
      <w:pPr>
        <w:spacing w:after="0" w:line="29"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KACALP. The Reporting Person is Co-Chairman of KACALP and may be deemed to beneficially own the Class A Shares.</w:t>
      </w:r>
    </w:p>
    <w:p>
      <w:pPr>
        <w:spacing w:after="0" w:line="5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Arial" w:cs="Arial" w:eastAsia="Arial" w:hAnsi="Arial"/>
                <w:sz w:val="17"/>
                <w:szCs w:val="17"/>
                <w:color w:val="0000FF"/>
                <w:w w:val="91"/>
              </w:rPr>
              <w:t>Robert V. Sinnott</w:t>
            </w:r>
          </w:p>
        </w:tc>
        <w:tc>
          <w:tcPr>
            <w:tcW w:w="90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09/28/2018</w:t>
            </w:r>
          </w:p>
        </w:tc>
      </w:tr>
      <w:tr>
        <w:trPr>
          <w:trHeight w:val="20"/>
        </w:trPr>
        <w:tc>
          <w:tcPr>
            <w:tcW w:w="1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700"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2020-01-12T19:30:20Z</dcterms:created>
  <dcterms:modified xsi:type="dcterms:W3CDTF">2020-01-12T19:30:20Z</dcterms:modified>
</cp:coreProperties>
</file>