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2, 2016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8" w:right="23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38" w:right="23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420"/>
          </w:cols>
          <w:pgMar w:left="240" w:top="538" w:right="239" w:bottom="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(d)</w:t>
        <w:tab/>
        <w:t>Exhibit 99.1 — Press Release dated November 2, 2016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(the “Partnership”, “PAA”) today issued a press release reporting its third-quarter 2016 results. We are furnishing the press release, attached as Exhibit 99.1, pursuant to Item 2.02 and Item 7.01 of Form 8-K. Pursuant to Item 7.01, we are also providing detailed guidance of financial performance for the fourth quarter and full year of 2016 and preliminary guidance for 2017.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the 2016 Fourth-Quarter and Full Year 2017 Preliminary Guidance</w:t>
      </w:r>
    </w:p>
    <w:p>
      <w:pPr>
        <w:spacing w:after="0" w:line="229" w:lineRule="exact"/>
        <w:rPr>
          <w:sz w:val="24"/>
          <w:szCs w:val="24"/>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based our guidance for the three-month and twelve-month periods ending December 31, 2016 on assumptions and estimates that we believe are reasonable, given our assessment of historical trends (modified for changes in market conditions, including an assumption that competitive crude oil and NGL market conditions continue), business cycles and other reasonably available information. Projections covering multi-quarter periods contemplate inter-period changes in future performance resulting from new expansion projects, seasonal operational changes (such as NGL sales) and acquisition synergies. Our 2016 guidance and our preliminary 2017 guidance do not include the impact of any pending or future acquisitions. Such guidance is also based on the assumption that the simplification transaction announced on July 11, 2016 by PAA and PAGP closes on November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2016. Our assumptions and future performance, however, are both subject to a wide range of business risks and uncertainties, so we can provide no assurance that assumed events or outcomes will actually take place as assumed or that actual performance will fall within the guidance ranges. Please refer to information under the caption “Forward-Looking Statements” included in this document. These risks and uncertainties, as well as other unforeseeable risks and uncertainties, could cause our actual results to differ materially from those in the following table. The operating and financial guidance provided in the following pages is given as of the date hereof, based on information known to us as of November 1, 2016. We undertake no obligation to publicly update or revise any forward-looking statements.</w:t>
      </w:r>
    </w:p>
    <w:p>
      <w:pPr>
        <w:spacing w:after="0" w:line="200" w:lineRule="exact"/>
        <w:rPr>
          <w:sz w:val="24"/>
          <w:szCs w:val="24"/>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w:t>
      </w:r>
    </w:p>
    <w:p>
      <w:pPr>
        <w:sectPr>
          <w:pgSz w:w="11900" w:h="16838" w:orient="portrait"/>
          <w:cols w:equalWidth="0" w:num="1">
            <w:col w:w="11420"/>
          </w:cols>
          <w:pgMar w:left="240" w:top="538" w:right="239" w:bottom="0" w:gutter="0" w:footer="0" w:header="0"/>
          <w:type w:val="continuous"/>
        </w:sectPr>
      </w:pPr>
    </w:p>
    <w:bookmarkStart w:id="1" w:name="page2"/>
    <w:bookmarkEnd w:id="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 (“adjusted EBITDA”) and implied distributable cash flow (“DCF”).</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 calculation of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(“MVC’s”)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definition and calculation of certain non-GAAP financial measures may not be comparable to similarly-titled measures of other companies. Net income represents the most directly comparable GAAP measure to EBITDA. In Note 9, we reconcile net income to EBITDA, adjusted EBITDA and Implied DCF for the periods presented. In addition, we encourage you to visit our website at </w:t>
      </w:r>
      <w:r>
        <w:rPr>
          <w:rFonts w:ascii="Times New Roman" w:cs="Times New Roman" w:eastAsia="Times New Roman" w:hAnsi="Times New Roman"/>
          <w:sz w:val="18"/>
          <w:szCs w:val="18"/>
          <w:i w:val="1"/>
          <w:iCs w:val="1"/>
          <w:color w:val="auto"/>
        </w:rPr>
        <w:t>www.plainsallamerican.com</w:t>
      </w:r>
      <w:r>
        <w:rPr>
          <w:rFonts w:ascii="Times New Roman" w:cs="Times New Roman" w:eastAsia="Times New Roman" w:hAnsi="Times New Roman"/>
          <w:sz w:val="18"/>
          <w:szCs w:val="18"/>
          <w:color w:val="auto"/>
        </w:rPr>
        <w:t xml:space="preserve">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178"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Guidance </w:t>
            </w:r>
            <w:r>
              <w:rPr>
                <w:rFonts w:ascii="Times New Roman" w:cs="Times New Roman" w:eastAsia="Times New Roman" w:hAnsi="Times New Roman"/>
                <w:sz w:val="17"/>
                <w:szCs w:val="17"/>
                <w:b w:val="1"/>
                <w:bCs w:val="1"/>
                <w:color w:val="auto"/>
                <w:vertAlign w:val="superscript"/>
              </w:rPr>
              <w:t>(a)</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5"/>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5"/>
          </w:tcPr>
          <w:p>
            <w:pPr>
              <w:jc w:val="right"/>
              <w:ind w:right="251"/>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180" w:type="dxa"/>
            <w:vAlign w:val="bottom"/>
          </w:tcPr>
          <w:p>
            <w:pPr>
              <w:spacing w:after="0"/>
              <w:rPr>
                <w:sz w:val="15"/>
                <w:szCs w:val="15"/>
                <w:color w:val="auto"/>
              </w:rPr>
            </w:pPr>
          </w:p>
        </w:tc>
        <w:tc>
          <w:tcPr>
            <w:tcW w:w="17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Sep 30, 2016</w:t>
            </w: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Profit</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revenues (including equity earnings in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unconsolidated entities)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2,364</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40" w:type="dxa"/>
            <w:vAlign w:val="bottom"/>
          </w:tcPr>
          <w:p>
            <w:pPr>
              <w:spacing w:after="0"/>
              <w:rPr>
                <w:sz w:val="20"/>
                <w:szCs w:val="20"/>
                <w:color w:val="auto"/>
              </w:rPr>
            </w:pP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Field operating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607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331</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330</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income allocated to common unitholders </w:t>
            </w:r>
            <w:r>
              <w:rPr>
                <w:rFonts w:ascii="Times New Roman" w:cs="Times New Roman" w:eastAsia="Times New Roman" w:hAnsi="Times New Roman"/>
                <w:sz w:val="23"/>
                <w:szCs w:val="23"/>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net income per common unit </w:t>
            </w:r>
            <w:r>
              <w:rPr>
                <w:rFonts w:ascii="Times New Roman" w:cs="Times New Roman" w:eastAsia="Times New Roman" w:hAnsi="Times New Roman"/>
                <w:sz w:val="23"/>
                <w:szCs w:val="23"/>
                <w:color w:val="auto"/>
                <w:vertAlign w:val="superscript"/>
              </w:rPr>
              <w:t>(b)</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Weighted average common units outstanding </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unit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Diluted net income per common unit</w:t>
            </w:r>
            <w:r>
              <w:rPr>
                <w:rFonts w:ascii="Times New Roman" w:cs="Times New Roman" w:eastAsia="Times New Roman" w:hAnsi="Times New Roman"/>
                <w:sz w:val="23"/>
                <w:szCs w:val="23"/>
                <w:color w:val="auto"/>
                <w:vertAlign w:val="superscript"/>
              </w:rPr>
              <w:t>(b)</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Weighted average common units outstanding </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common unit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22"/>
                <w:szCs w:val="22"/>
                <w:color w:val="auto"/>
              </w:rPr>
            </w:pP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Items Impacting Comparability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Losses from derivative activities net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21" w:right="299" w:bottom="0" w:gutter="0" w:footer="0" w:header="0"/>
        </w:sectPr>
      </w:pPr>
    </w:p>
    <w:bookmarkStart w:id="2" w:name="page3"/>
    <w:bookmarkEnd w:id="2"/>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net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gain/(loss) on foreign currency revaluation</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20" w:type="dxa"/>
            <w:vAlign w:val="bottom"/>
            <w:tcBorders>
              <w:top w:val="single" w:sz="8" w:color="CCEEFF"/>
            </w:tcBorders>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Tax effect on selected items impacting</w:t>
            </w:r>
          </w:p>
        </w:tc>
        <w:tc>
          <w:tcPr>
            <w:tcW w:w="4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comparability</w:t>
            </w: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gridSpan w:val="2"/>
            <w:vMerge w:val="restart"/>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42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Excluding Selected Items Impacting</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Comparability</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Transportation</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18"/>
                <w:szCs w:val="18"/>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and Logistics</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Adjusted net income attributable to PAA</w:t>
            </w: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342</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 xml:space="preserve">Basic adjusted net income per common unit </w:t>
            </w:r>
            <w:r>
              <w:rPr>
                <w:rFonts w:ascii="Times New Roman" w:cs="Times New Roman" w:eastAsia="Times New Roman" w:hAnsi="Times New Roman"/>
                <w:sz w:val="23"/>
                <w:szCs w:val="23"/>
                <w:color w:val="auto"/>
                <w:vertAlign w:val="superscript"/>
              </w:rPr>
              <w:t>(b)</w:t>
            </w: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Diluted adjusted net income per common unit </w:t>
            </w:r>
            <w:r>
              <w:rPr>
                <w:rFonts w:ascii="Times New Roman" w:cs="Times New Roman" w:eastAsia="Times New Roman" w:hAnsi="Times New Roman"/>
                <w:sz w:val="22"/>
                <w:szCs w:val="22"/>
                <w:color w:val="auto"/>
                <w:vertAlign w:val="superscript"/>
              </w:rPr>
              <w:t>(b)(c)</w:t>
            </w:r>
          </w:p>
        </w:tc>
        <w:tc>
          <w:tcPr>
            <w:tcW w:w="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right="280" w:hanging="492"/>
        <w:spacing w:after="0" w:line="235" w:lineRule="auto"/>
        <w:tabs>
          <w:tab w:leader="none" w:pos="50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assumed average foreign exchange rate is $1.30 Canadian dollar (CAD) to $1.00 U.S. dollar (USD) for the three-month period ending December 31, 2016. The rate as of November 1, 2016 was $1.34 CAD to $1.00 USD. We do not anticipate that fluctuations in the foreign exchange rate will have significant impact on aggregate reported financial results, but such fluctuations will result in variations between segments.</w:t>
      </w:r>
    </w:p>
    <w:p>
      <w:pPr>
        <w:spacing w:after="0" w:line="200" w:lineRule="exact"/>
        <w:rPr>
          <w:rFonts w:ascii="Times New Roman" w:cs="Times New Roman" w:eastAsia="Times New Roman" w:hAnsi="Times New Roman"/>
          <w:sz w:val="23"/>
          <w:szCs w:val="23"/>
          <w:color w:val="auto"/>
          <w:vertAlign w:val="superscript"/>
        </w:rPr>
      </w:pPr>
    </w:p>
    <w:p>
      <w:pPr>
        <w:ind w:left="500" w:right="120" w:hanging="492"/>
        <w:spacing w:after="0" w:line="244" w:lineRule="auto"/>
        <w:tabs>
          <w:tab w:leader="none" w:pos="50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determining net income per common unit, Net Income Attributable to PAA is allocated among our Series A Preferred Unitholders, Common Unitholders and General Partner interest as prescribed by applicable authoritative accounting guidance for calculating earnings per unit including application of the two-class method in accordance with applicable authoritative accounting guidance. Under the two-class method, we allocate Net Income Attributable to PAA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 See Note 5 for additional information regarding our assumed capital structure for three month period ending December 31, 2016.</w:t>
      </w:r>
    </w:p>
    <w:p>
      <w:pPr>
        <w:spacing w:after="0" w:line="197" w:lineRule="exact"/>
        <w:rPr>
          <w:rFonts w:ascii="Times New Roman" w:cs="Times New Roman" w:eastAsia="Times New Roman" w:hAnsi="Times New Roman"/>
          <w:sz w:val="23"/>
          <w:szCs w:val="23"/>
          <w:color w:val="auto"/>
          <w:vertAlign w:val="superscript"/>
        </w:rPr>
      </w:pPr>
    </w:p>
    <w:p>
      <w:pPr>
        <w:ind w:left="500" w:hanging="492"/>
        <w:spacing w:after="0" w:line="241" w:lineRule="auto"/>
        <w:tabs>
          <w:tab w:leader="none" w:pos="50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Basic and diluted weighted average common units outstanding for the three- and twelve-month periods ending December 31, 2016 are calculated giving effect to the Simplification Transactions and assume the associated units are outstanding for the fourth quarter of 2016. See Note 5 for additional information regarding our assumed capital structure for three month period ending December 31, 2016. Diluted net income per common unit is computed based on the weighted average number of common units outstanding plus the effect of dilutive potential units outstanding during the period using the two-class method, unless the effects of such units are anti-dilutive.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Significant Assumptions:</w:t>
      </w:r>
    </w:p>
    <w:p>
      <w:pPr>
        <w:spacing w:after="0" w:line="22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i w:val="1"/>
          <w:iCs w:val="1"/>
          <w:color w:val="auto"/>
        </w:rPr>
        <w:t>Definitions.</w:t>
      </w:r>
    </w:p>
    <w:p>
      <w:pPr>
        <w:sectPr>
          <w:pgSz w:w="11900" w:h="16838" w:orient="portrait"/>
          <w:cols w:equalWidth="0" w:num="1">
            <w:col w:w="11420"/>
          </w:cols>
          <w:pgMar w:left="240" w:top="140" w:right="239" w:bottom="6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Profit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DCF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Bbls/d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(GP)</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before interest, taxes and depreciation and amortization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(including equity earnings in unconsolidated entities, as applicable) less segment field operating costs and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Barrels per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liquids, including ethane and natural gasoline products as well as propane and butane, which are often referred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context requires, “general partner” or “GP” refers to any or all of (i) PAA GP LLC, the owner of our 2%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(ii) Plains AAP, L.P., the sole member of PAA GP LLC and owner of our incentive distribution rights and (iii) Plains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American GP LLC, the general partner of Plains AAP, L.P.</w:t>
      </w:r>
    </w:p>
    <w:p>
      <w:pPr>
        <w:spacing w:after="0" w:line="200" w:lineRule="exact"/>
        <w:rPr>
          <w:sz w:val="20"/>
          <w:szCs w:val="20"/>
          <w:color w:val="auto"/>
        </w:rPr>
      </w:pPr>
    </w:p>
    <w:p>
      <w:pPr>
        <w:sectPr>
          <w:pgSz w:w="11900" w:h="16838" w:orient="portrait"/>
          <w:cols w:equalWidth="0" w:num="2">
            <w:col w:w="1520" w:space="700"/>
            <w:col w:w="9200"/>
          </w:cols>
          <w:pgMar w:left="240" w:top="140" w:right="239" w:bottom="60" w:gutter="0" w:footer="0" w:header="0"/>
          <w:type w:val="continuous"/>
        </w:sectPr>
      </w:pPr>
    </w:p>
    <w:p>
      <w:pPr>
        <w:spacing w:after="0" w:line="5" w:lineRule="exact"/>
        <w:rPr>
          <w:sz w:val="20"/>
          <w:szCs w:val="20"/>
          <w:color w:val="auto"/>
        </w:rPr>
      </w:pPr>
    </w:p>
    <w:p>
      <w:pPr>
        <w:ind w:left="340" w:right="20" w:hanging="332"/>
        <w:spacing w:after="0" w:line="28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We manage our operations through three operating segments: Transportation, Facilities, and Supply and Logistics. The following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brief explanation of the operating activities for each segment as well as key metrics.</w:t>
      </w:r>
    </w:p>
    <w:p>
      <w:pPr>
        <w:spacing w:after="0" w:line="158" w:lineRule="exact"/>
        <w:rPr>
          <w:rFonts w:ascii="Times New Roman" w:cs="Times New Roman" w:eastAsia="Times New Roman" w:hAnsi="Times New Roman"/>
          <w:sz w:val="18"/>
          <w:szCs w:val="18"/>
          <w:color w:val="auto"/>
        </w:rPr>
      </w:pPr>
    </w:p>
    <w:p>
      <w:pPr>
        <w:ind w:left="980" w:right="20" w:hanging="324"/>
        <w:spacing w:after="0" w:line="259"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Our Transportation segment operations generally consist of fee-based activities associated with transporting crude oil and NGL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pipelines, gathering systems, trucks and barges. The Transportation segment generates revenue through a combination of tariffs, third-party pipeline capacity agreements and other transportation fees. Our transportation segment also includes equity earnings from our investments in the entities that own BridgeTex, Cheyenne, Eagle Ford, Frontier, Saddlehorn, STACK, White Cliffs, and Butte pipeline systems as well as Settoon Towing, in which we own interests ranging from 22% to 50%. We account for these investments under the equity method of accounting.</w:t>
      </w:r>
    </w:p>
    <w:p>
      <w:pPr>
        <w:sectPr>
          <w:pgSz w:w="11900" w:h="16838" w:orient="portrait"/>
          <w:cols w:equalWidth="0" w:num="1">
            <w:col w:w="11420"/>
          </w:cols>
          <w:pgMar w:left="240" w:top="140" w:right="239" w:bottom="60" w:gutter="0" w:footer="0" w:header="0"/>
          <w:type w:val="continuous"/>
        </w:sectPr>
      </w:pPr>
    </w:p>
    <w:bookmarkStart w:id="3" w:name="page4"/>
    <w:bookmarkEnd w:id="3"/>
    <w:p>
      <w:pPr>
        <w:ind w:left="324" w:right="60"/>
        <w:spacing w:after="0" w:line="255" w:lineRule="auto"/>
        <w:rPr>
          <w:sz w:val="20"/>
          <w:szCs w:val="20"/>
          <w:color w:val="auto"/>
        </w:rPr>
      </w:pPr>
      <w:r>
        <w:rPr>
          <w:rFonts w:ascii="Times New Roman" w:cs="Times New Roman" w:eastAsia="Times New Roman" w:hAnsi="Times New Roman"/>
          <w:sz w:val="18"/>
          <w:szCs w:val="18"/>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following table, priced at forecasted tariff rates, less estimated field operating costs and G&amp;A expenses. Field operating costs do not include depreciation. Actual adjusted segment profit could vary materially depending on the level and mix of volumes transported or expenses incurred during the period, as well as any differences between forecasted and actual recognition of minimum volume commitments. The following table summarizes our total transportation volumes and is broken down by crude oil geographic area as well as total NGL and trucking volumes.</w:t>
      </w:r>
    </w:p>
    <w:p>
      <w:pPr>
        <w:spacing w:after="0" w:line="18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96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5"/>
                <w:szCs w:val="15"/>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3 Months</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12 Months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30, 2016</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Volumes from tariff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Gulf Coast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volumes from tariff activities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Trucking</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segment profit per barrel ($/Bbl)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0.62</w:t>
            </w:r>
            <w:r>
              <w:rPr>
                <w:rFonts w:ascii="Times New Roman" w:cs="Times New Roman" w:eastAsia="Times New Roman" w:hAnsi="Times New Roman"/>
                <w:sz w:val="11"/>
                <w:szCs w:val="11"/>
                <w:color w:val="auto"/>
              </w:rPr>
              <w:t>(2)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0.64</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segment profit (excluding MVC</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0.62</w:t>
            </w:r>
            <w:r>
              <w:rPr>
                <w:rFonts w:ascii="Times New Roman" w:cs="Times New Roman" w:eastAsia="Times New Roman" w:hAnsi="Times New Roman"/>
                <w:sz w:val="23"/>
                <w:szCs w:val="23"/>
                <w:color w:val="auto"/>
                <w:vertAlign w:val="superscript"/>
              </w:rPr>
              <w:t>(2)</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0.61</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selected item) per barrel ($/Bbl)</w:t>
            </w:r>
          </w:p>
        </w:tc>
        <w:tc>
          <w:tcPr>
            <w:tcW w:w="14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4" w:hanging="320"/>
        <w:spacing w:after="0"/>
        <w:tabs>
          <w:tab w:leader="none" w:pos="644" w:val="left"/>
        </w:tabs>
        <w:numPr>
          <w:ilvl w:val="1"/>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1" w:lineRule="exact"/>
        <w:rPr>
          <w:rFonts w:ascii="Times New Roman" w:cs="Times New Roman" w:eastAsia="Times New Roman" w:hAnsi="Times New Roman"/>
          <w:sz w:val="23"/>
          <w:szCs w:val="23"/>
          <w:color w:val="auto"/>
          <w:vertAlign w:val="superscript"/>
        </w:rPr>
      </w:pPr>
    </w:p>
    <w:p>
      <w:pPr>
        <w:ind w:left="644" w:hanging="320"/>
        <w:spacing w:after="0" w:line="194" w:lineRule="auto"/>
        <w:tabs>
          <w:tab w:leader="none" w:pos="644" w:val="left"/>
        </w:tabs>
        <w:numPr>
          <w:ilvl w:val="1"/>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midpoint of guidance.</w:t>
      </w:r>
    </w:p>
    <w:p>
      <w:pPr>
        <w:spacing w:after="0" w:line="196" w:lineRule="exact"/>
        <w:rPr>
          <w:rFonts w:ascii="Times New Roman" w:cs="Times New Roman" w:eastAsia="Times New Roman" w:hAnsi="Times New Roman"/>
          <w:sz w:val="23"/>
          <w:szCs w:val="23"/>
          <w:color w:val="auto"/>
          <w:vertAlign w:val="superscript"/>
        </w:rPr>
      </w:pPr>
    </w:p>
    <w:p>
      <w:pPr>
        <w:ind w:left="324" w:right="260" w:hanging="324"/>
        <w:spacing w:after="0" w:line="261"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Our Facilities segment operations generally consist of fee-based activities associated with providing storage, terminalling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2" w:lineRule="exact"/>
        <w:rPr>
          <w:rFonts w:ascii="Times New Roman" w:cs="Times New Roman" w:eastAsia="Times New Roman" w:hAnsi="Times New Roman"/>
          <w:sz w:val="18"/>
          <w:szCs w:val="18"/>
          <w:color w:val="auto"/>
        </w:rPr>
      </w:pPr>
    </w:p>
    <w:p>
      <w:pPr>
        <w:ind w:left="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 Adjusted segment profit is forecasted using the volume assumptions in the following table, priced at forecasted rates, less estimated field operating costs and G&amp;A expenses. Field operating costs do not include depreciation.</w:t>
      </w:r>
    </w:p>
    <w:p>
      <w:pPr>
        <w:sectPr>
          <w:pgSz w:w="11900" w:h="16838" w:orient="portrait"/>
          <w:cols w:equalWidth="0" w:num="1">
            <w:col w:w="10764"/>
          </w:cols>
          <w:pgMar w:left="896"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64"/>
        <w:spacing w:after="0"/>
        <w:rPr>
          <w:sz w:val="20"/>
          <w:szCs w:val="20"/>
          <w:color w:val="auto"/>
        </w:rPr>
      </w:pPr>
      <w:r>
        <w:rPr>
          <w:rFonts w:ascii="Times New Roman" w:cs="Times New Roman" w:eastAsia="Times New Roman" w:hAnsi="Times New Roman"/>
          <w:sz w:val="18"/>
          <w:szCs w:val="18"/>
          <w:color w:val="auto"/>
        </w:rPr>
        <w:t>Operating Data</w:t>
      </w:r>
    </w:p>
    <w:p>
      <w:pPr>
        <w:spacing w:after="0" w:line="27" w:lineRule="exact"/>
        <w:rPr>
          <w:sz w:val="20"/>
          <w:szCs w:val="20"/>
          <w:color w:val="auto"/>
        </w:rPr>
      </w:pPr>
    </w:p>
    <w:p>
      <w:pPr>
        <w:jc w:val="both"/>
        <w:ind w:left="1704" w:hanging="179"/>
        <w:spacing w:after="0" w:line="248" w:lineRule="auto"/>
        <w:rPr>
          <w:sz w:val="20"/>
          <w:szCs w:val="20"/>
          <w:color w:val="auto"/>
        </w:rPr>
      </w:pPr>
      <w:r>
        <w:rPr>
          <w:rFonts w:ascii="Times New Roman" w:cs="Times New Roman" w:eastAsia="Times New Roman" w:hAnsi="Times New Roman"/>
          <w:sz w:val="18"/>
          <w:szCs w:val="18"/>
          <w:color w:val="auto"/>
        </w:rPr>
        <w:t>Crude oil, refined products and NGL terminalling and storage capacity (MMBbls/Mo.)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1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Guidance</w:t>
            </w:r>
          </w:p>
        </w:tc>
      </w:tr>
      <w:tr>
        <w:trPr>
          <w:trHeight w:val="117"/>
        </w:trPr>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20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3 Months</w:t>
            </w: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12 Months</w:t>
            </w:r>
          </w:p>
        </w:tc>
      </w:tr>
      <w:tr>
        <w:trPr>
          <w:trHeight w:val="149"/>
        </w:trPr>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2016</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-8255</wp:posOffset>
            </wp:positionV>
            <wp:extent cx="448500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85005" cy="1371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600"/>
        <w:spacing w:after="0"/>
        <w:tabs>
          <w:tab w:leader="none" w:pos="1820" w:val="left"/>
          <w:tab w:leader="none" w:pos="29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107</w:t>
      </w:r>
    </w:p>
    <w:p>
      <w:pPr>
        <w:spacing w:after="0" w:line="35" w:lineRule="exact"/>
        <w:rPr>
          <w:sz w:val="20"/>
          <w:szCs w:val="20"/>
          <w:color w:val="auto"/>
        </w:rPr>
      </w:pPr>
    </w:p>
    <w:p>
      <w:pPr>
        <w:sectPr>
          <w:pgSz w:w="11900" w:h="16838" w:orient="portrait"/>
          <w:cols w:equalWidth="0" w:num="2">
            <w:col w:w="4184" w:space="520"/>
            <w:col w:w="6060"/>
          </w:cols>
          <w:pgMar w:left="896" w:top="121" w:right="239" w:bottom="0" w:gutter="0" w:footer="0" w:header="0"/>
          <w:type w:val="continuous"/>
        </w:sectPr>
      </w:pPr>
    </w:p>
    <w:tbl>
      <w:tblPr>
        <w:tblLayout w:type="fixed"/>
        <w:tblInd w:w="1164" w:type="dxa"/>
        <w:tblCellMar>
          <w:top w:w="0" w:type="dxa"/>
          <w:left w:w="0" w:type="dxa"/>
          <w:bottom w:w="0" w:type="dxa"/>
          <w:right w:w="0" w:type="dxa"/>
        </w:tblCellMar>
      </w:tblPr>
      <w:tr>
        <w:trPr>
          <w:trHeight w:val="230"/>
        </w:trPr>
        <w:tc>
          <w:tcPr>
            <w:tcW w:w="3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Rail load / unload volumes (MBbls/d)</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Natural gas storage capacity (Bcf/Mo.)</w:t>
            </w: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4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NGL fractionation volumes (MBbls/d)</w:t>
            </w:r>
          </w:p>
        </w:tc>
        <w:tc>
          <w:tcPr>
            <w:tcW w:w="3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Facilities segment total volumes</w:t>
            </w: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Avg. Capacity (MMBbls/Mo.)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segment profit per barrel ($/Bbl)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r>
              <w:rPr>
                <w:rFonts w:ascii="Times New Roman" w:cs="Times New Roman" w:eastAsia="Times New Roman" w:hAnsi="Times New Roman"/>
                <w:sz w:val="11"/>
                <w:szCs w:val="11"/>
                <w:color w:val="auto"/>
              </w:rPr>
              <w:t>(2)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0.43</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segment profit (excluding MVC</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r>
              <w:rPr>
                <w:rFonts w:ascii="Times New Roman" w:cs="Times New Roman" w:eastAsia="Times New Roman" w:hAnsi="Times New Roman"/>
                <w:sz w:val="23"/>
                <w:szCs w:val="23"/>
                <w:color w:val="auto"/>
                <w:vertAlign w:val="superscript"/>
              </w:rPr>
              <w:t>(2)</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0.42</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selected item) per barrel ($/Bbl)</w:t>
            </w:r>
          </w:p>
        </w:tc>
        <w:tc>
          <w:tcPr>
            <w:tcW w:w="32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4" w:right="20" w:hanging="320"/>
        <w:spacing w:after="0" w:line="229" w:lineRule="auto"/>
        <w:tabs>
          <w:tab w:leader="none" w:pos="63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w:t>
      </w:r>
    </w:p>
    <w:p>
      <w:pPr>
        <w:sectPr>
          <w:pgSz w:w="11900" w:h="16838" w:orient="portrait"/>
          <w:cols w:equalWidth="0" w:num="1">
            <w:col w:w="10764"/>
          </w:cols>
          <w:pgMar w:left="896" w:top="121" w:right="239" w:bottom="0" w:gutter="0" w:footer="0" w:header="0"/>
          <w:type w:val="continuous"/>
        </w:sectPr>
      </w:pPr>
    </w:p>
    <w:bookmarkStart w:id="4" w:name="page5"/>
    <w:bookmarkEnd w:id="4"/>
    <w:p>
      <w:pPr>
        <w:spacing w:after="0" w:line="5" w:lineRule="exact"/>
        <w:rPr>
          <w:sz w:val="20"/>
          <w:szCs w:val="20"/>
          <w:color w:val="auto"/>
        </w:rPr>
      </w:pPr>
    </w:p>
    <w:p>
      <w:pPr>
        <w:jc w:val="both"/>
        <w:ind w:left="1292" w:right="400"/>
        <w:spacing w:after="0" w:line="257" w:lineRule="auto"/>
        <w:rPr>
          <w:sz w:val="20"/>
          <w:szCs w:val="20"/>
          <w:color w:val="auto"/>
        </w:rPr>
      </w:pPr>
      <w:r>
        <w:rPr>
          <w:rFonts w:ascii="Times New Roman" w:cs="Times New Roman" w:eastAsia="Times New Roman" w:hAnsi="Times New Roman"/>
          <w:sz w:val="18"/>
          <w:szCs w:val="18"/>
          <w:color w:val="auto"/>
        </w:rPr>
        <w:t>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ind w:left="1292" w:hanging="320"/>
        <w:spacing w:after="0" w:line="197" w:lineRule="auto"/>
        <w:tabs>
          <w:tab w:leader="none" w:pos="129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midpoint of guidance.</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12" w:hanging="240"/>
        <w:spacing w:after="0"/>
        <w:tabs>
          <w:tab w:leader="none" w:pos="12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 and Logistics. </w:t>
      </w:r>
      <w:r>
        <w:rPr>
          <w:rFonts w:ascii="Times New Roman" w:cs="Times New Roman" w:eastAsia="Times New Roman" w:hAnsi="Times New Roman"/>
          <w:sz w:val="18"/>
          <w:szCs w:val="18"/>
          <w:color w:val="auto"/>
        </w:rPr>
        <w:t>Our Supply and Logistics segment operations generally consist of the following merchant-related activities:</w:t>
      </w:r>
    </w:p>
    <w:p>
      <w:pPr>
        <w:spacing w:after="0" w:line="227" w:lineRule="exact"/>
        <w:rPr>
          <w:rFonts w:ascii="Times New Roman" w:cs="Times New Roman" w:eastAsia="Times New Roman" w:hAnsi="Times New Roman"/>
          <w:sz w:val="18"/>
          <w:szCs w:val="18"/>
          <w:color w:val="auto"/>
        </w:rPr>
      </w:pPr>
    </w:p>
    <w:p>
      <w:pPr>
        <w:ind w:left="1692" w:right="140" w:hanging="233"/>
        <w:spacing w:after="0" w:line="282" w:lineRule="auto"/>
        <w:tabs>
          <w:tab w:leader="none" w:pos="16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61" w:lineRule="exact"/>
        <w:rPr>
          <w:rFonts w:ascii="Times New Roman" w:cs="Times New Roman" w:eastAsia="Times New Roman" w:hAnsi="Times New Roman"/>
          <w:sz w:val="18"/>
          <w:szCs w:val="18"/>
          <w:color w:val="auto"/>
        </w:rPr>
      </w:pPr>
    </w:p>
    <w:p>
      <w:pPr>
        <w:ind w:left="1672" w:hanging="213"/>
        <w:spacing w:after="0"/>
        <w:tabs>
          <w:tab w:leader="none" w:pos="16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storage of inventory during contango market conditions and the seasonal storage of NGL and natural gas;</w:t>
      </w:r>
    </w:p>
    <w:p>
      <w:pPr>
        <w:spacing w:after="0" w:line="225" w:lineRule="exact"/>
        <w:rPr>
          <w:rFonts w:ascii="Times New Roman" w:cs="Times New Roman" w:eastAsia="Times New Roman" w:hAnsi="Times New Roman"/>
          <w:sz w:val="18"/>
          <w:szCs w:val="18"/>
          <w:color w:val="auto"/>
        </w:rPr>
      </w:pPr>
    </w:p>
    <w:p>
      <w:pPr>
        <w:ind w:left="1672" w:hanging="213"/>
        <w:spacing w:after="0"/>
        <w:tabs>
          <w:tab w:leader="none" w:pos="16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NGL from producers, refiners, processors and other marketers;</w:t>
      </w:r>
    </w:p>
    <w:p>
      <w:pPr>
        <w:spacing w:after="0" w:line="225" w:lineRule="exact"/>
        <w:rPr>
          <w:rFonts w:ascii="Times New Roman" w:cs="Times New Roman" w:eastAsia="Times New Roman" w:hAnsi="Times New Roman"/>
          <w:sz w:val="18"/>
          <w:szCs w:val="18"/>
          <w:color w:val="auto"/>
        </w:rPr>
      </w:pPr>
    </w:p>
    <w:p>
      <w:pPr>
        <w:ind w:left="1672" w:hanging="213"/>
        <w:spacing w:after="0"/>
        <w:tabs>
          <w:tab w:leader="none" w:pos="16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or exchange of crude oil and NGL at various points along the distribution chain to refiners or other resellers;</w:t>
      </w:r>
    </w:p>
    <w:p>
      <w:pPr>
        <w:spacing w:after="0" w:line="225" w:lineRule="exact"/>
        <w:rPr>
          <w:rFonts w:ascii="Times New Roman" w:cs="Times New Roman" w:eastAsia="Times New Roman" w:hAnsi="Times New Roman"/>
          <w:sz w:val="18"/>
          <w:szCs w:val="18"/>
          <w:color w:val="auto"/>
        </w:rPr>
      </w:pPr>
    </w:p>
    <w:p>
      <w:pPr>
        <w:ind w:left="1692" w:right="320" w:hanging="233"/>
        <w:spacing w:after="0" w:line="282" w:lineRule="auto"/>
        <w:tabs>
          <w:tab w:leader="none" w:pos="165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61" w:lineRule="exact"/>
        <w:rPr>
          <w:rFonts w:ascii="Times New Roman" w:cs="Times New Roman" w:eastAsia="Times New Roman" w:hAnsi="Times New Roman"/>
          <w:sz w:val="18"/>
          <w:szCs w:val="18"/>
          <w:color w:val="auto"/>
        </w:rPr>
      </w:pPr>
    </w:p>
    <w:p>
      <w:pPr>
        <w:ind w:left="1672" w:hanging="213"/>
        <w:spacing w:after="0"/>
        <w:tabs>
          <w:tab w:leader="none" w:pos="16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natural gas.</w:t>
      </w:r>
    </w:p>
    <w:p>
      <w:pPr>
        <w:spacing w:after="0" w:line="225" w:lineRule="exact"/>
        <w:rPr>
          <w:sz w:val="20"/>
          <w:szCs w:val="20"/>
          <w:color w:val="auto"/>
        </w:rPr>
      </w:pPr>
    </w:p>
    <w:p>
      <w:pPr>
        <w:ind w:left="972" w:right="40"/>
        <w:spacing w:after="0" w:line="255" w:lineRule="auto"/>
        <w:rPr>
          <w:sz w:val="20"/>
          <w:szCs w:val="20"/>
          <w:color w:val="auto"/>
        </w:rPr>
      </w:pPr>
      <w:r>
        <w:rPr>
          <w:rFonts w:ascii="Times New Roman" w:cs="Times New Roman" w:eastAsia="Times New Roman" w:hAnsi="Times New Roman"/>
          <w:sz w:val="18"/>
          <w:szCs w:val="18"/>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December 31, 2016 reflect current market structure as well as seasonal, weather-related and other anticipated variations in crude oil, NGL and natural gas sales. Variations in weather, market structure or volatility could cause actual results to differ materially from forecasted results.</w:t>
      </w:r>
    </w:p>
    <w:p>
      <w:pPr>
        <w:spacing w:after="0" w:line="185" w:lineRule="exact"/>
        <w:rPr>
          <w:sz w:val="20"/>
          <w:szCs w:val="20"/>
          <w:color w:val="auto"/>
        </w:rPr>
      </w:pPr>
    </w:p>
    <w:p>
      <w:pPr>
        <w:ind w:left="972"/>
        <w:spacing w:after="0" w:line="256" w:lineRule="auto"/>
        <w:rPr>
          <w:sz w:val="20"/>
          <w:szCs w:val="20"/>
          <w:color w:val="auto"/>
        </w:rPr>
      </w:pPr>
      <w:r>
        <w:rPr>
          <w:rFonts w:ascii="Times New Roman" w:cs="Times New Roman" w:eastAsia="Times New Roman" w:hAnsi="Times New Roman"/>
          <w:sz w:val="18"/>
          <w:szCs w:val="18"/>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adjusted segment profit per barrel can vary significantly even if aggregate volumes are in line with the forecasted levels.</w:t>
      </w:r>
    </w:p>
    <w:p>
      <w:pPr>
        <w:spacing w:after="0" w:line="181" w:lineRule="exact"/>
        <w:rPr>
          <w:sz w:val="20"/>
          <w:szCs w:val="20"/>
          <w:color w:val="auto"/>
        </w:rPr>
      </w:pPr>
    </w:p>
    <w:tbl>
      <w:tblPr>
        <w:tblLayout w:type="fixed"/>
        <w:tblInd w:w="1292"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17"/>
        </w:trPr>
        <w:tc>
          <w:tcPr>
            <w:tcW w:w="3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3 Months</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12 Months</w:t>
            </w:r>
          </w:p>
        </w:tc>
        <w:tc>
          <w:tcPr>
            <w:tcW w:w="280" w:type="dxa"/>
            <w:vAlign w:val="bottom"/>
          </w:tcPr>
          <w:p>
            <w:pPr>
              <w:spacing w:after="0"/>
              <w:rPr>
                <w:sz w:val="10"/>
                <w:szCs w:val="10"/>
                <w:color w:val="auto"/>
              </w:rPr>
            </w:pPr>
          </w:p>
        </w:tc>
      </w:tr>
      <w:tr>
        <w:trPr>
          <w:trHeight w:val="149"/>
        </w:trPr>
        <w:tc>
          <w:tcPr>
            <w:tcW w:w="3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73"/>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 30, 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 31, 2016</w:t>
            </w:r>
          </w:p>
        </w:tc>
      </w:tr>
      <w:tr>
        <w:trPr>
          <w:trHeight w:val="196"/>
        </w:trPr>
        <w:tc>
          <w:tcPr>
            <w:tcW w:w="3640" w:type="dxa"/>
            <w:vAlign w:val="bottom"/>
            <w:tcBorders>
              <w:top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Average daily volumes (MBbls/d)</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NGL sales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Waterborne cargos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and Logistics total segment volumes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3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segment profit per barrel ($/Bbl)</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0.67</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w:t>
            </w:r>
            <w:r>
              <w:rPr>
                <w:rFonts w:ascii="Times New Roman" w:cs="Times New Roman" w:eastAsia="Times New Roman" w:hAnsi="Times New Roman"/>
                <w:sz w:val="11"/>
                <w:szCs w:val="11"/>
                <w:color w:val="auto"/>
              </w:rPr>
              <w:t>(1)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0.88</w:t>
            </w:r>
            <w:r>
              <w:rPr>
                <w:rFonts w:ascii="Times New Roman" w:cs="Times New Roman" w:eastAsia="Times New Roman" w:hAnsi="Times New Roman"/>
                <w:sz w:val="11"/>
                <w:szCs w:val="11"/>
                <w:color w:val="auto"/>
              </w:rPr>
              <w:t>(1)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972"/>
        <w:spacing w:after="0"/>
        <w:tabs>
          <w:tab w:leader="none" w:pos="1272"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Represents the midpoint of guidance.</w:t>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2" w:right="140" w:hanging="332"/>
        <w:spacing w:after="0" w:line="267"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We forecast depreciation and amortization based on our existing depreciable assets, forecasted capital expenditures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projected in-service dates. Depreciation may also vary due to gains and losses on intermittent sales of assets, asset retirement obligations, asset impairments, and acceleration of depreciation or foreign exchange rates.</w:t>
      </w:r>
    </w:p>
    <w:p>
      <w:pPr>
        <w:spacing w:after="0" w:line="173" w:lineRule="exact"/>
        <w:rPr>
          <w:rFonts w:ascii="Times New Roman" w:cs="Times New Roman" w:eastAsia="Times New Roman" w:hAnsi="Times New Roman"/>
          <w:sz w:val="18"/>
          <w:szCs w:val="18"/>
          <w:color w:val="auto"/>
        </w:rPr>
      </w:pPr>
    </w:p>
    <w:p>
      <w:pPr>
        <w:ind w:left="332" w:right="20" w:hanging="332"/>
        <w:spacing w:after="0" w:line="259" w:lineRule="auto"/>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and Acquisitions. </w:t>
      </w:r>
      <w:r>
        <w:rPr>
          <w:rFonts w:ascii="Times New Roman" w:cs="Times New Roman" w:eastAsia="Times New Roman" w:hAnsi="Times New Roman"/>
          <w:sz w:val="18"/>
          <w:szCs w:val="18"/>
          <w:color w:val="auto"/>
        </w:rPr>
        <w:t>Although acquisitions constitute a key element of our growth strategy, the forecasted results and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do not include any forecasts for acquisitions that we may commit to after the date hereof. We forecast capital expenditures during calendar year 2016 to be approximately $1.425 billion for expansion projects with an additional $175 million to $185 million for maintenance capital projects. During the first nine months of 2016, we invested $1.065 billion and $128 million for expansion and maintenance projects, respectively. The following are some of the more notable projects and forecasted expenditures for the year ending December 31, 2016:</w:t>
      </w:r>
    </w:p>
    <w:p>
      <w:pPr>
        <w:spacing w:after="0" w:line="175" w:lineRule="exact"/>
        <w:rPr>
          <w:sz w:val="20"/>
          <w:szCs w:val="20"/>
          <w:color w:val="auto"/>
        </w:rPr>
      </w:pPr>
    </w:p>
    <w:tbl>
      <w:tblPr>
        <w:tblLayout w:type="fixed"/>
        <w:tblInd w:w="1952"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Calendar 2016</w:t>
            </w:r>
          </w:p>
        </w:tc>
      </w:tr>
      <w:tr>
        <w:trPr>
          <w:trHeight w:val="142"/>
        </w:trPr>
        <w:tc>
          <w:tcPr>
            <w:tcW w:w="50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Expansion Capital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Red River Pipeline (Cushing to Longview)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Fort Saskatchewan Facility Projects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Permian Basin Area Pipeline Projects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Saddlehorn Pipeline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r>
    </w:tbl>
    <w:p>
      <w:pPr>
        <w:sectPr>
          <w:pgSz w:w="11900" w:h="16843" w:orient="portrait"/>
          <w:cols w:equalWidth="0" w:num="1">
            <w:col w:w="11392"/>
          </w:cols>
          <w:pgMar w:left="248" w:top="121" w:right="259" w:bottom="0" w:gutter="0" w:footer="0" w:header="0"/>
        </w:sectPr>
      </w:pPr>
    </w:p>
    <w:bookmarkStart w:id="5" w:name="page6"/>
    <w:bookmarkEnd w:id="5"/>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Diamond Pipeline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Cushing Terminal Expansions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St. James Terminal Expansions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Caddo Pipeline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Eagle Ford JV Project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Cactus Pipeline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Other Projects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8"/>
                <w:szCs w:val="18"/>
                <w:color w:val="auto"/>
              </w:rPr>
            </w:pPr>
          </w:p>
        </w:tc>
      </w:tr>
      <w:tr>
        <w:trPr>
          <w:trHeight w:val="210"/>
        </w:trPr>
        <w:tc>
          <w:tcPr>
            <w:tcW w:w="50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$1,425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Potential Adjustments for Timing / Scope Refinement </w:t>
            </w:r>
            <w:r>
              <w:rPr>
                <w:rFonts w:ascii="Times New Roman" w:cs="Times New Roman" w:eastAsia="Times New Roman" w:hAnsi="Times New Roman"/>
                <w:sz w:val="23"/>
                <w:szCs w:val="23"/>
                <w:color w:val="auto"/>
                <w:vertAlign w:val="superscript"/>
              </w:rPr>
              <w:t>(1)</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$50 + $50</w:t>
            </w:r>
          </w:p>
        </w:tc>
        <w:tc>
          <w:tcPr>
            <w:tcW w:w="10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Projected Expansion Capital Expenditures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$1,375 - $1,475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$175 - $185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2"/>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Potential variation to current capital costs estimates may result from (i) changes to project design, (ii) final cost of materials and labor and</w:t>
      </w:r>
    </w:p>
    <w:p>
      <w:pPr>
        <w:spacing w:after="0" w:line="1" w:lineRule="exact"/>
        <w:rPr>
          <w:rFonts w:ascii="Times New Roman" w:cs="Times New Roman" w:eastAsia="Times New Roman" w:hAnsi="Times New Roman"/>
          <w:sz w:val="23"/>
          <w:szCs w:val="23"/>
          <w:color w:val="auto"/>
          <w:vertAlign w:val="superscript"/>
        </w:rPr>
      </w:pPr>
    </w:p>
    <w:p>
      <w:pPr>
        <w:ind w:left="1620" w:hanging="315"/>
        <w:spacing w:after="0"/>
        <w:tabs>
          <w:tab w:leader="none" w:pos="162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incurrence of costs due to uncontrollable factors such as receipt of permits, or regulatory approvals and weather.</w:t>
      </w:r>
    </w:p>
    <w:p>
      <w:pPr>
        <w:spacing w:after="0" w:line="203" w:lineRule="exact"/>
        <w:rPr>
          <w:rFonts w:ascii="Times New Roman" w:cs="Times New Roman" w:eastAsia="Times New Roman" w:hAnsi="Times New Roman"/>
          <w:sz w:val="18"/>
          <w:szCs w:val="18"/>
          <w:color w:val="auto"/>
        </w:rPr>
      </w:pPr>
    </w:p>
    <w:p>
      <w:pPr>
        <w:ind w:left="340" w:right="160" w:hanging="332"/>
        <w:spacing w:after="0" w:line="243"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This guidance is based on our capital structure as of September 30, 2016, adjusted for estimated potential equity issuances and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offerings. This guidance further assumes that the simplification transaction announced by PAA and PAGP on July 11, 2016 closes on November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2016, and in connection with such closing PAA issues or agrees to issue 245.5 million common units to AAP in exchange for the cancellation of the incentive distribution rights in PAA that are owned by AAP, and the conversion of the 2% general partner interest in PAA indirectly held by AAP into a non-economic general partner interest in PAA and the assumption by PAA of AAP’s outstanding third party bank debt (the “AAP Debt Assumption”).</w:t>
      </w:r>
    </w:p>
    <w:p>
      <w:pPr>
        <w:spacing w:after="0" w:line="196" w:lineRule="exact"/>
        <w:rPr>
          <w:rFonts w:ascii="Times New Roman" w:cs="Times New Roman" w:eastAsia="Times New Roman" w:hAnsi="Times New Roman"/>
          <w:sz w:val="18"/>
          <w:szCs w:val="18"/>
          <w:color w:val="auto"/>
        </w:rPr>
      </w:pPr>
    </w:p>
    <w:p>
      <w:pPr>
        <w:ind w:left="340" w:right="40" w:hanging="332"/>
        <w:spacing w:after="0" w:line="24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Debt balances, which assume the AAP Debt Assumption takes place in connection with the closing of the simplification transaction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2016 as described in Note 5,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October 2016.</w:t>
      </w:r>
    </w:p>
    <w:p>
      <w:pPr>
        <w:spacing w:after="0" w:line="196" w:lineRule="exact"/>
        <w:rPr>
          <w:rFonts w:ascii="Times New Roman" w:cs="Times New Roman" w:eastAsia="Times New Roman" w:hAnsi="Times New Roman"/>
          <w:sz w:val="18"/>
          <w:szCs w:val="18"/>
          <w:color w:val="auto"/>
        </w:rPr>
      </w:pPr>
    </w:p>
    <w:p>
      <w:pPr>
        <w:ind w:left="34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59" w:lineRule="exact"/>
        <w:rPr>
          <w:rFonts w:ascii="Times New Roman" w:cs="Times New Roman" w:eastAsia="Times New Roman" w:hAnsi="Times New Roman"/>
          <w:sz w:val="18"/>
          <w:szCs w:val="18"/>
          <w:color w:val="auto"/>
        </w:rPr>
      </w:pPr>
    </w:p>
    <w:p>
      <w:pPr>
        <w:ind w:left="340" w:right="140" w:hanging="314"/>
        <w:spacing w:after="0" w:line="261" w:lineRule="auto"/>
        <w:tabs>
          <w:tab w:leader="none" w:pos="3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expect our Canadian income tax expense to be approximately $45 million and $60 million for the three-month and twelve-month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ending December 31, 2016, respectively, of which approximately $23 million and $68 million, respectively, is classified as a current income tax expense. For the twelve-month period ending December 31, 2016 we expect to have a deferred tax benefit of $8 million. All or part of the annual income tax expense of $60 million may result in a tax credit to our equity holders.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340" w:right="280" w:hanging="332"/>
        <w:spacing w:after="0" w:line="26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Equity-Indexed Compensation Plans. </w:t>
      </w:r>
      <w:r>
        <w:rPr>
          <w:rFonts w:ascii="Times New Roman" w:cs="Times New Roman" w:eastAsia="Times New Roman" w:hAnsi="Times New Roman"/>
          <w:sz w:val="18"/>
          <w:szCs w:val="18"/>
          <w:color w:val="auto"/>
        </w:rPr>
        <w:t>Certain grants outstanding under our various equity-indexed compensation plans contain vesting criteria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 combination of performance benchmarks and service periods. The grants will vest in various percentages, typically on the later to occur of specified vesting dates and the dates on which minimum distribution levels are reached.</w:t>
      </w:r>
    </w:p>
    <w:p>
      <w:pPr>
        <w:spacing w:after="0" w:line="175" w:lineRule="exact"/>
        <w:rPr>
          <w:rFonts w:ascii="Times New Roman" w:cs="Times New Roman" w:eastAsia="Times New Roman" w:hAnsi="Times New Roman"/>
          <w:sz w:val="18"/>
          <w:szCs w:val="18"/>
          <w:color w:val="auto"/>
        </w:rPr>
      </w:pPr>
    </w:p>
    <w:p>
      <w:pPr>
        <w:ind w:left="3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assumes a market price of $31 per unit as well as an accrual associated with awards that will vest on a certain date. A $2 change in the unit price would change the fourth-quarter equity-indexed compensation expense by approximately $2 million. Therefore, actual net income could differ from our projections.</w:t>
      </w:r>
    </w:p>
    <w:p>
      <w:pPr>
        <w:spacing w:after="0" w:line="174" w:lineRule="exact"/>
        <w:rPr>
          <w:rFonts w:ascii="Times New Roman" w:cs="Times New Roman" w:eastAsia="Times New Roman" w:hAnsi="Times New Roman"/>
          <w:sz w:val="18"/>
          <w:szCs w:val="18"/>
          <w:color w:val="auto"/>
        </w:rPr>
      </w:pPr>
    </w:p>
    <w:p>
      <w:pPr>
        <w:ind w:left="340" w:right="660" w:hanging="332"/>
        <w:spacing w:after="0" w:line="28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Reconciliation of Net Income to EBITDA, Adjusted EBITDA, and Implied DCF. </w:t>
      </w:r>
      <w:r>
        <w:rPr>
          <w:rFonts w:ascii="Times New Roman" w:cs="Times New Roman" w:eastAsia="Times New Roman" w:hAnsi="Times New Roman"/>
          <w:sz w:val="18"/>
          <w:szCs w:val="18"/>
          <w:color w:val="auto"/>
        </w:rPr>
        <w:t>The following table reconciles net income to EBITDA,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and Implied DCF for the indicated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9 Months</w:t>
            </w: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 Months Ending</w:t>
            </w: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5"/>
          </w:tcPr>
          <w:p>
            <w:pPr>
              <w:jc w:val="right"/>
              <w:ind w:right="631"/>
              <w:spacing w:after="0" w:line="118" w:lineRule="exact"/>
              <w:rPr>
                <w:sz w:val="20"/>
                <w:szCs w:val="20"/>
                <w:color w:val="auto"/>
              </w:rPr>
            </w:pPr>
            <w:r>
              <w:rPr>
                <w:rFonts w:ascii="Times New Roman" w:cs="Times New Roman" w:eastAsia="Times New Roman" w:hAnsi="Times New Roman"/>
                <w:sz w:val="13"/>
                <w:szCs w:val="13"/>
                <w:b w:val="1"/>
                <w:bCs w:val="1"/>
                <w:color w:val="auto"/>
              </w:rPr>
              <w:t>12 Months Ending</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Sep 30, 2016</w:t>
            </w: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to EBITDA, Adjusted EBITDA and</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Implied DCF</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Selected items impacting comparability of EBITDA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360"/>
              <w:spacing w:after="0" w:line="23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(327)</w:t>
            </w: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Implied DCF</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certain non-cash items impacting interest expense such as amortization of debt issuance costs and terminated interest rate swaps.</w:t>
      </w:r>
    </w:p>
    <w:p>
      <w:pPr>
        <w:sectPr>
          <w:pgSz w:w="11900" w:h="16838" w:orient="portrait"/>
          <w:cols w:equalWidth="0" w:num="1">
            <w:col w:w="11420"/>
          </w:cols>
          <w:pgMar w:left="240" w:top="121" w:right="2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Preliminary 2017 Guidance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have been recent indications that the current industry cycle for crude oil markets has stabilized and upstream activity levels are increasing in certain regions. However, certain of these positive developments will impact the midstream sector on a delayed basis. Additionally, as production growth returns in certain basins impacted by shippers with minimum volume commitments (MVCs) in excess of volumes they control, a meaningful portion of the incremental production will go to fill current MVC shortfalls on either PAA’s or competitors’ pipelines and therefore will not have a linear impact on transportation revenues. Accordingly, as a result of these factors and uncertainty generally, we anticipate the next nine months or more will continue to be challenging for the midstream sector and competition for the marginal crude oil and NGL barrel will remain high, resulting in continued margin compression.</w:t>
      </w:r>
    </w:p>
    <w:p>
      <w:pPr>
        <w:spacing w:after="0" w:line="18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Adjusted EBITDA also reflects reductions associated with recent and anticipated assets sales and assets contributed to joint ventures, which are reported on the equity method of accounting. The impact on DCF of these reductions is partially offset by associated reductions in maintenance capital and adding back distributions in excess of our share of joint venture income. On that basis, our preliminary 2017 guidance forecast is as follows:</w:t>
      </w:r>
    </w:p>
    <w:p>
      <w:pPr>
        <w:spacing w:after="0" w:line="172" w:lineRule="exact"/>
        <w:rPr>
          <w:sz w:val="20"/>
          <w:szCs w:val="20"/>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 $2.3 billion</w:t>
      </w:r>
    </w:p>
    <w:p>
      <w:pPr>
        <w:spacing w:after="0" w:line="3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Capital: </w:t>
      </w:r>
      <w:r>
        <w:rPr>
          <w:rFonts w:ascii="Times New Roman" w:cs="Times New Roman" w:eastAsia="Times New Roman" w:hAnsi="Times New Roman"/>
          <w:sz w:val="18"/>
          <w:szCs w:val="18"/>
          <w:color w:val="auto"/>
        </w:rPr>
        <w:t>+/- $180 million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Interest Expense: </w:t>
      </w:r>
      <w:r>
        <w:rPr>
          <w:rFonts w:ascii="Times New Roman" w:cs="Times New Roman" w:eastAsia="Times New Roman" w:hAnsi="Times New Roman"/>
          <w:sz w:val="18"/>
          <w:szCs w:val="18"/>
          <w:color w:val="auto"/>
        </w:rPr>
        <w:t>+/- $470 million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Taxes &amp; Other, net: </w:t>
      </w:r>
      <w:r>
        <w:rPr>
          <w:rFonts w:ascii="Times New Roman" w:cs="Times New Roman" w:eastAsia="Times New Roman" w:hAnsi="Times New Roman"/>
          <w:sz w:val="18"/>
          <w:szCs w:val="18"/>
          <w:color w:val="auto"/>
        </w:rPr>
        <w:t>+/- $50 million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Implied Distributable Cash Flow: </w:t>
      </w:r>
      <w:r>
        <w:rPr>
          <w:rFonts w:ascii="Times New Roman" w:cs="Times New Roman" w:eastAsia="Times New Roman" w:hAnsi="Times New Roman"/>
          <w:sz w:val="18"/>
          <w:szCs w:val="18"/>
          <w:color w:val="auto"/>
        </w:rPr>
        <w:t>+/- $1.6 billion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Capital: </w:t>
      </w:r>
      <w:r>
        <w:rPr>
          <w:rFonts w:ascii="Times New Roman" w:cs="Times New Roman" w:eastAsia="Times New Roman" w:hAnsi="Times New Roman"/>
          <w:sz w:val="18"/>
          <w:szCs w:val="18"/>
          <w:color w:val="auto"/>
        </w:rPr>
        <w:t>$500 million - $700 million</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285"/>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jc w:val="both"/>
        <w:ind w:left="340" w:right="80" w:hanging="332"/>
        <w:spacing w:after="0" w:line="266"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6"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expansion projects;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or events that are not covered by an indemnity, insurance or existing reserves;</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or other event, including attacks on our electronic and computer systems;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 and ability to receive open credit from our suppliers and trade counterparties;</w:t>
      </w:r>
    </w:p>
    <w:p>
      <w:pPr>
        <w:spacing w:after="0" w:line="22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creditworthiness of, and performance by, our counterparties, including financial institutions and trading companies with which we do business;</w:t>
      </w:r>
    </w:p>
    <w:p>
      <w:pPr>
        <w:spacing w:after="0" w:line="225" w:lineRule="exact"/>
        <w:rPr>
          <w:rFonts w:ascii="Times New Roman" w:cs="Times New Roman" w:eastAsia="Times New Roman" w:hAnsi="Times New Roman"/>
          <w:sz w:val="18"/>
          <w:szCs w:val="18"/>
          <w:color w:val="auto"/>
        </w:rPr>
      </w:pPr>
    </w:p>
    <w:p>
      <w:pPr>
        <w:ind w:left="340" w:right="660" w:hanging="332"/>
        <w:spacing w:after="0" w:line="282"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non-utilization of our assets and facilities;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 or combination opportunities;</w:t>
      </w:r>
    </w:p>
    <w:p>
      <w:pPr>
        <w:spacing w:after="0" w:line="225"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ectPr>
          <w:pgSz w:w="11900" w:h="16838" w:orient="portrait"/>
          <w:cols w:equalWidth="0" w:num="1">
            <w:col w:w="11380"/>
          </w:cols>
          <w:pgMar w:left="240" w:top="333" w:right="279" w:bottom="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governmental regulations, accounting standards and statements, and related interpretations;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including our ability to satisfy our contractual obligations to our customers;</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demand for natural gas and natural gas storage services and rates;</w:t>
      </w:r>
    </w:p>
    <w:p>
      <w:pPr>
        <w:spacing w:after="0" w:line="225" w:lineRule="exact"/>
        <w:rPr>
          <w:rFonts w:ascii="Times New Roman" w:cs="Times New Roman" w:eastAsia="Times New Roman" w:hAnsi="Times New Roman"/>
          <w:sz w:val="18"/>
          <w:szCs w:val="18"/>
          <w:color w:val="auto"/>
        </w:rPr>
      </w:pPr>
    </w:p>
    <w:p>
      <w:pPr>
        <w:ind w:left="340" w:right="760" w:hanging="332"/>
        <w:spacing w:after="0" w:line="282" w:lineRule="auto"/>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and the amplification of other risks caused by volatile financial markets, capital constraints and pervasive liquidity concerns; and</w:t>
      </w:r>
    </w:p>
    <w:p>
      <w:pPr>
        <w:spacing w:after="0" w:line="161"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80" w:firstLine="2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2016</w:t>
            </w:r>
          </w:p>
        </w:tc>
        <w:tc>
          <w:tcPr>
            <w:tcW w:w="2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Spurlin</w:t>
            </w:r>
          </w:p>
        </w:tc>
        <w:tc>
          <w:tcPr>
            <w:tcW w:w="40" w:type="dxa"/>
            <w:vAlign w:val="bottom"/>
          </w:tcPr>
          <w:p>
            <w:pPr>
              <w:spacing w:after="0"/>
              <w:rPr>
                <w:sz w:val="24"/>
                <w:szCs w:val="24"/>
                <w:color w:val="auto"/>
              </w:rPr>
            </w:pPr>
          </w:p>
        </w:tc>
      </w:tr>
      <w:tr>
        <w:trPr>
          <w:trHeight w:val="189"/>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Sharon Spurlin</w:t>
            </w:r>
          </w:p>
        </w:tc>
        <w:tc>
          <w:tcPr>
            <w:tcW w:w="40" w:type="dxa"/>
            <w:vAlign w:val="bottom"/>
          </w:tcPr>
          <w:p>
            <w:pPr>
              <w:spacing w:after="0"/>
              <w:rPr>
                <w:sz w:val="16"/>
                <w:szCs w:val="16"/>
                <w:color w:val="auto"/>
              </w:rPr>
            </w:pPr>
          </w:p>
        </w:tc>
      </w:tr>
      <w:tr>
        <w:trPr>
          <w:trHeight w:val="236"/>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w w:val="97"/>
              </w:rPr>
              <w:t>Title:</w:t>
            </w:r>
            <w:r>
              <w:rPr>
                <w:rFonts w:ascii="Times New Roman" w:cs="Times New Roman" w:eastAsia="Times New Roman" w:hAnsi="Times New Roman"/>
                <w:sz w:val="18"/>
                <w:szCs w:val="18"/>
                <w:i w:val="1"/>
                <w:iCs w:val="1"/>
                <w:color w:val="auto"/>
                <w:w w:val="97"/>
              </w:rPr>
              <w:t>Vice President and Treasurer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12</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6174740" cy="831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Third-Quarter 2016 Results</w:t>
      </w:r>
    </w:p>
    <w:p>
      <w:pPr>
        <w:spacing w:after="0" w:line="229" w:lineRule="exact"/>
        <w:rPr>
          <w:sz w:val="20"/>
          <w:szCs w:val="20"/>
          <w:color w:val="auto"/>
        </w:rPr>
      </w:pPr>
    </w:p>
    <w:p>
      <w:pPr>
        <w:ind w:firstLine="706"/>
        <w:spacing w:after="0" w:line="282" w:lineRule="auto"/>
        <w:rPr>
          <w:sz w:val="20"/>
          <w:szCs w:val="20"/>
          <w:color w:val="auto"/>
        </w:rPr>
      </w:pPr>
      <w:r>
        <w:rPr>
          <w:rFonts w:ascii="Times New Roman" w:cs="Times New Roman" w:eastAsia="Times New Roman" w:hAnsi="Times New Roman"/>
          <w:sz w:val="18"/>
          <w:szCs w:val="18"/>
          <w:color w:val="auto"/>
        </w:rPr>
        <w:t>(Houston — November 2, 2016) Plains All American Pipeline, L.P. (NYSE: PAA) and Plains GP Holdings (NYSE: PAGP) today reported third-quarter 2016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common unit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1200" w:type="dxa"/>
            <w:vAlign w:val="bottom"/>
            <w:tcBorders>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common units outstanding</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40"/>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common unit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200" w:type="dxa"/>
            <w:vAlign w:val="bottom"/>
            <w:tcBorders>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20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120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common unit declared for the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700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5"/>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20" w:hanging="332"/>
        <w:spacing w:after="0" w:line="241"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“PAA reported third-quarter adjusted EBITDA of $450 million, which included solid performance in our fee-based Facilities segment and in-line performance from our fee-based Transportation segment, offset by Supply and Logistics segment performance that was below the low-end of our third quarter guidance. Our third quarter Supply and Logistics segment was impacted by a combination of delayed EBITDA recognition associated with our NGL inventory costing and the timing of crude oil sales, as well as lower than forecasted EBITDA as a result of continued margin compression and less favorable market conditions for both our crude oil and NGL activities,” said Greg Armstrong, Chairman and CEO of Plains All American.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“Looking forward, we are encouraged by recent signals that indicate the current industry cycle has reached a bottom and are supportive of PAA’s positive intermediate-to-long term view. However, we continue to anticipate a challenging midstream environment over the near term and we have incorporated those expectations into our forward guidance.”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Armstrong noted that in response to the industry downturn that began approximately two years ago, PAA had taken a number of actions to mitigate the adverse impacts and position PAA to manage through challenging market conditions. Such actions include:</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capital commitments through scope changes and project deferrals;</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non-core assets and entering into strategic joint ventures which collectively raised approximately $550 million, reduced PAA’s capital commitments by approximately $600 million and secured complementary partners/shippers;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$1.6 billion of non-conventional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Intensifying efforts to capture incremental gathering and transportation barrels; and</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Lowering its incremental cost of equity capital by executing an agreement to eliminate PAA’s incentive distribution rights and, in connection therewith, resetting PAA’s annualized distribution from $2.80 to $2.20 per common unit, which resulted in a $320 million annual reduction in cash distributions.</w:t>
      </w:r>
    </w:p>
    <w:p>
      <w:pPr>
        <w:sectPr>
          <w:pgSz w:w="11900" w:h="16838" w:orient="portrait"/>
          <w:cols w:equalWidth="0" w:num="1">
            <w:col w:w="11420"/>
          </w:cols>
          <w:pgMar w:left="240" w:top="117" w:right="239" w:bottom="0" w:gutter="0" w:footer="0" w:header="0"/>
        </w:sectPr>
      </w:pPr>
    </w:p>
    <w:bookmarkStart w:id="9" w:name="page10"/>
    <w:bookmarkEnd w:id="9"/>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Armstrong continued “As a result of these actions, we believe PAA is positioned to manage through the balance of the down-cycle, benefit significantly during a recovery as U.S. &amp; Canadian oil production increases and capitalize on attractive opportunities.”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PAA financial information by segment for the third quarter and first nine months of 2016: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ectPr>
          <w:pgSz w:w="11900" w:h="16838" w:orient="portrait"/>
          <w:cols w:equalWidth="0" w:num="1">
            <w:col w:w="11460"/>
          </w:cols>
          <w:pgMar w:left="240" w:top="337" w:right="199"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segment profit/(loss)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Selected items impacting</w:t>
      </w:r>
    </w:p>
    <w:p>
      <w:pPr>
        <w:spacing w:after="0" w:line="23" w:lineRule="exact"/>
        <w:rPr>
          <w:sz w:val="20"/>
          <w:szCs w:val="20"/>
          <w:color w:val="auto"/>
        </w:rPr>
      </w:pPr>
    </w:p>
    <w:p>
      <w:pPr>
        <w:ind w:left="380" w:right="400"/>
        <w:spacing w:after="0" w:line="220" w:lineRule="auto"/>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segment profit/(loss)</w:t>
      </w:r>
    </w:p>
    <w:p>
      <w:pPr>
        <w:spacing w:after="0" w:line="12" w:lineRule="exact"/>
        <w:rPr>
          <w:sz w:val="20"/>
          <w:szCs w:val="20"/>
          <w:color w:val="auto"/>
        </w:rPr>
      </w:pPr>
    </w:p>
    <w:p>
      <w:pPr>
        <w:ind w:left="180" w:hanging="18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Percentage change in reported segment profit/(loss) versus 2015 period</w:t>
      </w:r>
    </w:p>
    <w:p>
      <w:pPr>
        <w:ind w:left="180" w:hanging="18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Percentage change in adjusted segment profit/(loss) versus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right="620" w:hanging="181"/>
        <w:spacing w:after="0" w:line="284" w:lineRule="auto"/>
        <w:rPr>
          <w:sz w:val="20"/>
          <w:szCs w:val="20"/>
          <w:color w:val="auto"/>
        </w:rPr>
      </w:pPr>
      <w:r>
        <w:rPr>
          <w:rFonts w:ascii="Times New Roman" w:cs="Times New Roman" w:eastAsia="Times New Roman" w:hAnsi="Times New Roman"/>
          <w:sz w:val="17"/>
          <w:szCs w:val="17"/>
          <w:color w:val="auto"/>
        </w:rPr>
        <w:t>Reported segment profit Selected items impacting</w:t>
      </w:r>
    </w:p>
    <w:p>
      <w:pPr>
        <w:spacing w:after="0" w:line="1" w:lineRule="exact"/>
        <w:rPr>
          <w:sz w:val="20"/>
          <w:szCs w:val="20"/>
          <w:color w:val="auto"/>
        </w:rPr>
      </w:pPr>
    </w:p>
    <w:p>
      <w:pPr>
        <w:ind w:left="380" w:right="400"/>
        <w:spacing w:after="0" w:line="220" w:lineRule="auto"/>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segment profit</w:t>
      </w:r>
    </w:p>
    <w:p>
      <w:pPr>
        <w:spacing w:after="0" w:line="12" w:lineRule="exact"/>
        <w:rPr>
          <w:sz w:val="20"/>
          <w:szCs w:val="20"/>
          <w:color w:val="auto"/>
        </w:rPr>
      </w:pPr>
    </w:p>
    <w:p>
      <w:pPr>
        <w:ind w:left="180" w:right="340" w:hanging="18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Percentage change in reported segment profit versus 2015 period</w:t>
      </w:r>
    </w:p>
    <w:p>
      <w:pPr>
        <w:ind w:left="180" w:right="340" w:hanging="18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Percentage change in adjusted segment profit versus 2015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1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00" w:type="dxa"/>
            <w:vAlign w:val="bottom"/>
            <w:tcBorders>
              <w:right w:val="single" w:sz="8" w:color="auto"/>
            </w:tcBorders>
            <w:gridSpan w:val="2"/>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right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(107)%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(118)%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30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2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(95)%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(49)%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-3627120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-3069590</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-2503805</wp:posOffset>
            </wp:positionV>
            <wp:extent cx="724662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-1551305</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-994410</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-427990</wp:posOffset>
            </wp:positionV>
            <wp:extent cx="724662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260"/>
            <w:col w:w="8580"/>
          </w:cols>
          <w:pgMar w:left="240" w:top="337" w:right="199" w:bottom="121" w:gutter="0" w:footer="0" w:header="0"/>
          <w:type w:val="continuous"/>
        </w:sectPr>
      </w:pPr>
    </w:p>
    <w:p>
      <w:pPr>
        <w:spacing w:after="0" w:line="227" w:lineRule="exact"/>
        <w:rPr>
          <w:sz w:val="20"/>
          <w:szCs w:val="20"/>
          <w:color w:val="auto"/>
        </w:rPr>
      </w:pPr>
    </w:p>
    <w:p>
      <w:pPr>
        <w:ind w:left="340" w:right="260" w:hanging="332"/>
        <w:spacing w:after="0" w:line="23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Q3 2016</w:t>
            </w:r>
          </w:p>
        </w:tc>
        <w:tc>
          <w:tcPr>
            <w:tcW w:w="2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Q2 2016</w:t>
            </w:r>
          </w:p>
        </w:tc>
        <w:tc>
          <w:tcPr>
            <w:tcW w:w="24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Q3 2015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Class A share declared for the period</w:t>
            </w:r>
          </w:p>
        </w:tc>
        <w:tc>
          <w:tcPr>
            <w:tcW w:w="1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0.2065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Q3 2016 distribution percentage change from prior periods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00" w:type="dxa"/>
            <w:vAlign w:val="bottom"/>
            <w:gridSpan w:val="2"/>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 more –</w:t>
            </w: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1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760" w:type="dxa"/>
            <w:vAlign w:val="bottom"/>
            <w:gridSpan w:val="4"/>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46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ectPr>
          <w:pgSz w:w="11900" w:h="16838" w:orient="portrait"/>
          <w:cols w:equalWidth="0" w:num="1">
            <w:col w:w="11460"/>
          </w:cols>
          <w:pgMar w:left="240" w:top="337" w:right="199" w:bottom="121" w:gutter="0" w:footer="0" w:header="0"/>
          <w:type w:val="continuous"/>
        </w:sectPr>
      </w:pPr>
    </w:p>
    <w:bookmarkStart w:id="10" w:name="page11"/>
    <w:bookmarkEnd w:id="10"/>
    <w:p>
      <w:pPr>
        <w:spacing w:after="0" w:line="3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PAA and PAGP will hold a conference call on November 3, 2016 (see details below). Prior to this conference call, PAA will furnish a current report on Form 8-K, which will include material in this news release as well as PAA’s financial and operational guidance for the fourth quarter and full year of 2016. A copy of the Form 8-K will be available at www.plainsallamerican.com, where PAA and PAGP routinely post important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PAA and PAGP conference call will be held at 11:00 a.m. ET on Thursday, November 3,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third-quarter 2016 performance;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the fourth quarter and full year of 2016;</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Preliminary Guidance;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and PAGP’s outlook for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Webcast Instructions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8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w:t>
      </w:r>
    </w:p>
    <w:p>
      <w:pPr>
        <w:sectPr>
          <w:pgSz w:w="11900" w:h="16870" w:orient="portrait"/>
          <w:cols w:equalWidth="0" w:num="1">
            <w:col w:w="11420"/>
          </w:cols>
          <w:pgMar w:left="240" w:top="121" w:right="239" w:bottom="0" w:gutter="0" w:footer="0" w:header="0"/>
        </w:sectPr>
      </w:pPr>
    </w:p>
    <w:bookmarkStart w:id="11" w:name="page12"/>
    <w:bookmarkEnd w:id="11"/>
    <w:p>
      <w:pPr>
        <w:ind w:right="260"/>
        <w:spacing w:after="0" w:line="282" w:lineRule="auto"/>
        <w:rPr>
          <w:sz w:val="20"/>
          <w:szCs w:val="20"/>
          <w:color w:val="auto"/>
        </w:rPr>
      </w:pPr>
      <w:r>
        <w:rPr>
          <w:rFonts w:ascii="Times New Roman" w:cs="Times New Roman" w:eastAsia="Times New Roman" w:hAnsi="Times New Roman"/>
          <w:sz w:val="18"/>
          <w:szCs w:val="18"/>
          <w:color w:val="auto"/>
        </w:rPr>
        <w:t>deficiency payments received from customers who fail to ship or move more than minimum contracted volumes until the related credits expire or are used; non-utilization of our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9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2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5,551</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14,231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(2)</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298</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allocated to common unitholders — Basic</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r>
      <w:tr>
        <w:trPr>
          <w:trHeight w:val="25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r>
      <w:tr>
        <w:trPr>
          <w:trHeight w:val="197"/>
        </w:trPr>
        <w:tc>
          <w:tcPr>
            <w:tcW w:w="4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allocated to common unitholders — Diluted</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402</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64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ind w:left="320" w:hanging="312"/>
        <w:spacing w:after="0" w:line="196"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gains and losses on asset dispositions and asset impairments.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1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1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more –</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18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2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17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9,634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13" w:name="page14"/>
    <w:bookmarkEnd w:id="1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20,092</w:t>
            </w:r>
          </w:p>
        </w:tc>
        <w:tc>
          <w:tcPr>
            <w:tcW w:w="28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4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more –</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3"/>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Transportation segment (average daily volumes in thousands</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of barrels per day):</w:t>
            </w: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Volumes from tariff activities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2,129</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Western</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Gulf Coast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538</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3"/>
                <w:szCs w:val="23"/>
                <w:color w:val="auto"/>
                <w:vertAlign w:val="superscript"/>
              </w:rPr>
              <w:t>(2)</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379</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volumes from tariff activities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Trucking</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5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Facilities segment (average monthly volumes):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 and storage</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17"/>
                <w:szCs w:val="17"/>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17"/>
                <w:szCs w:val="17"/>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monthly capacity in millions of barrels)</w:t>
            </w:r>
          </w:p>
        </w:tc>
        <w:tc>
          <w:tcPr>
            <w:tcW w:w="8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Rail load / unload volumes (average volumes in thousands of</w:t>
            </w:r>
          </w:p>
        </w:tc>
        <w:tc>
          <w:tcPr>
            <w:tcW w:w="8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barrels per day)</w:t>
            </w:r>
          </w:p>
        </w:tc>
        <w:tc>
          <w:tcPr>
            <w:tcW w:w="5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Natural gas storage (average monthly working capacity 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billions of cubic feet)</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NGL fractionation (average volumes in thousands of barrels</w:t>
            </w:r>
          </w:p>
        </w:tc>
        <w:tc>
          <w:tcPr>
            <w:tcW w:w="8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5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 day)</w:t>
            </w:r>
          </w:p>
        </w:tc>
        <w:tc>
          <w:tcPr>
            <w:tcW w:w="82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Facilities segment total volumes (average monthly volumes 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131</w:t>
            </w:r>
          </w:p>
        </w:tc>
        <w:tc>
          <w:tcPr>
            <w:tcW w:w="52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52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20" w:type="dxa"/>
            <w:vAlign w:val="bottom"/>
            <w:gridSpan w:val="2"/>
          </w:tcPr>
          <w:p>
            <w:pPr>
              <w:ind w:left="340"/>
              <w:spacing w:after="0" w:line="221" w:lineRule="exact"/>
              <w:rPr>
                <w:sz w:val="20"/>
                <w:szCs w:val="20"/>
                <w:color w:val="auto"/>
              </w:rPr>
            </w:pPr>
            <w:r>
              <w:rPr>
                <w:rFonts w:ascii="Times New Roman" w:cs="Times New Roman" w:eastAsia="Times New Roman" w:hAnsi="Times New Roman"/>
                <w:sz w:val="18"/>
                <w:szCs w:val="18"/>
                <w:color w:val="auto"/>
              </w:rPr>
              <w:t xml:space="preserve">millions of barrels) </w:t>
            </w:r>
            <w:r>
              <w:rPr>
                <w:rFonts w:ascii="Times New Roman" w:cs="Times New Roman" w:eastAsia="Times New Roman" w:hAnsi="Times New Roman"/>
                <w:sz w:val="23"/>
                <w:szCs w:val="23"/>
                <w:color w:val="auto"/>
                <w:vertAlign w:val="superscript"/>
              </w:rPr>
              <w:t>(3)</w:t>
            </w:r>
          </w:p>
        </w:tc>
        <w:tc>
          <w:tcPr>
            <w:tcW w:w="82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Supply and Logistics segment (average daily volumes in</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thousands of barrels per day):</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230</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Waterborne cargos</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Supply and Logistics segment total volumes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are calculated as total volumes for the period (attributable to our interest) divided by the number of days or months in the period.</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2" w:lineRule="exact"/>
        <w:rPr>
          <w:rFonts w:ascii="Times New Roman" w:cs="Times New Roman" w:eastAsia="Times New Roman" w:hAnsi="Times New Roman"/>
          <w:sz w:val="23"/>
          <w:szCs w:val="23"/>
          <w:color w:val="auto"/>
          <w:vertAlign w:val="superscript"/>
        </w:rPr>
      </w:pPr>
    </w:p>
    <w:p>
      <w:pPr>
        <w:ind w:left="340" w:right="360" w:hanging="332"/>
        <w:spacing w:after="0" w:line="248" w:lineRule="auto"/>
        <w:tabs>
          <w:tab w:leader="none" w:pos="32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ectPr>
          <w:pgSz w:w="11900" w:h="16852" w:orient="portrait"/>
          <w:cols w:equalWidth="0" w:num="1">
            <w:col w:w="11460"/>
          </w:cols>
          <w:pgMar w:left="240" w:top="120" w:right="199" w:bottom="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right="48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COMMON UNIT </w:t>
      </w:r>
      <w:r>
        <w:rPr>
          <w:rFonts w:ascii="Times New Roman" w:cs="Times New Roman" w:eastAsia="Times New Roman" w:hAnsi="Times New Roman"/>
          <w:sz w:val="18"/>
          <w:szCs w:val="18"/>
          <w:color w:val="auto"/>
        </w:rPr>
        <w:t>(in millions, except per unit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Common Unit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Series A preferred units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general partner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participating securities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Undistributed loss allocated to general partner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 for MLPs</w:t>
            </w:r>
          </w:p>
        </w:tc>
        <w:tc>
          <w:tcPr>
            <w:tcW w:w="102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102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Common Unit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297</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Series A preferred units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general partner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participating securities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Undistributed loss allocated to general partner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 for MLPs</w:t>
            </w:r>
          </w:p>
        </w:tc>
        <w:tc>
          <w:tcPr>
            <w:tcW w:w="102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402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Diluted net income per common unit </w:t>
            </w:r>
            <w:r>
              <w:rPr>
                <w:rFonts w:ascii="Times New Roman" w:cs="Times New Roman" w:eastAsia="Times New Roman" w:hAnsi="Times New Roman"/>
                <w:sz w:val="23"/>
                <w:szCs w:val="23"/>
                <w:color w:val="auto"/>
                <w:vertAlign w:val="superscript"/>
              </w:rPr>
              <w:t>(3)</w:t>
            </w:r>
          </w:p>
        </w:tc>
        <w:tc>
          <w:tcPr>
            <w:tcW w:w="102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40" w:hanging="332"/>
        <w:spacing w:after="0" w:line="23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ind w:left="340" w:right="20" w:hanging="332"/>
        <w:spacing w:after="0" w:line="234"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Times New Roman" w:cs="Times New Roman" w:eastAsia="Times New Roman" w:hAnsi="Times New Roman"/>
          <w:sz w:val="23"/>
          <w:szCs w:val="23"/>
          <w:color w:val="auto"/>
          <w:vertAlign w:val="superscript"/>
        </w:rPr>
      </w:pPr>
    </w:p>
    <w:p>
      <w:pPr>
        <w:ind w:left="340" w:right="160" w:hanging="332"/>
        <w:spacing w:after="0" w:line="219"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the three and nine months ended September 30, 2016 as the effect was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 net of inventory valuation</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(2)</w:t>
            </w:r>
          </w:p>
        </w:tc>
        <w:tc>
          <w:tcPr>
            <w:tcW w:w="134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0"/>
                <w:szCs w:val="20"/>
                <w:color w:val="auto"/>
              </w:rPr>
            </w:pP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(3)</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(4)</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(5)</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(6)</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(7)</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Selected items impacting comparability of EBITDA</w:t>
            </w:r>
          </w:p>
        </w:tc>
        <w:tc>
          <w:tcPr>
            <w:tcW w:w="5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6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Deferred income tax expense </w:t>
            </w:r>
            <w:r>
              <w:rPr>
                <w:rFonts w:ascii="Times New Roman" w:cs="Times New Roman" w:eastAsia="Times New Roman" w:hAnsi="Times New Roman"/>
                <w:sz w:val="22"/>
                <w:szCs w:val="22"/>
                <w:color w:val="auto"/>
                <w:vertAlign w:val="superscript"/>
              </w:rPr>
              <w:t>(8)</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77"/>
        </w:trPr>
        <w:tc>
          <w:tcPr>
            <w:tcW w:w="53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Selected items impacting comparability of net income attributable to PAA</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gridSpan w:val="2"/>
            <w:shd w:val="clear" w:color="auto" w:fill="CCEEFF"/>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basic net income per common unit</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gridSpan w:val="2"/>
            <w:shd w:val="clear" w:color="auto" w:fill="CCEEFF"/>
          </w:tcPr>
          <w:p>
            <w:pPr>
              <w:jc w:val="right"/>
              <w:ind w:right="28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Impact to diluted net income per common unit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80" w:type="dxa"/>
            <w:vAlign w:val="bottom"/>
            <w:vMerge w:val="continue"/>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 w:lineRule="exact"/>
        <w:rPr>
          <w:rFonts w:ascii="Times New Roman" w:cs="Times New Roman" w:eastAsia="Times New Roman" w:hAnsi="Times New Roman"/>
          <w:sz w:val="23"/>
          <w:szCs w:val="23"/>
          <w:color w:val="auto"/>
          <w:vertAlign w:val="superscript"/>
        </w:rPr>
      </w:pPr>
    </w:p>
    <w:p>
      <w:pPr>
        <w:ind w:left="340" w:right="80" w:hanging="332"/>
        <w:spacing w:after="0" w:line="239"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Times New Roman" w:cs="Times New Roman" w:eastAsia="Times New Roman" w:hAnsi="Times New Roman"/>
          <w:sz w:val="23"/>
          <w:szCs w:val="23"/>
          <w:color w:val="auto"/>
          <w:vertAlign w:val="superscript"/>
        </w:rPr>
      </w:pPr>
    </w:p>
    <w:p>
      <w:pPr>
        <w:ind w:left="340" w:right="20" w:hanging="332"/>
        <w:spacing w:after="0" w:line="243"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6" w:lineRule="exact"/>
        <w:rPr>
          <w:rFonts w:ascii="Times New Roman" w:cs="Times New Roman" w:eastAsia="Times New Roman" w:hAnsi="Times New Roman"/>
          <w:sz w:val="23"/>
          <w:szCs w:val="23"/>
          <w:color w:val="auto"/>
          <w:vertAlign w:val="superscript"/>
        </w:rPr>
      </w:pPr>
    </w:p>
    <w:p>
      <w:pPr>
        <w:ind w:left="340" w:right="140" w:hanging="332"/>
        <w:spacing w:after="0" w:line="239"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right="560" w:hanging="332"/>
        <w:spacing w:after="0" w:line="219" w:lineRule="auto"/>
        <w:tabs>
          <w:tab w:leader="none" w:pos="357"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initial cumulative effect of a change in Canadian tax legislation impacting the period.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180"/>
              <w:spacing w:after="0" w:line="234"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Reported segment profit/(loss)</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6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right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of inventory valuation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2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24"/>
        </w:trPr>
        <w:tc>
          <w:tcPr>
            <w:tcW w:w="3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9"/>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Equity-indexed compensation</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expense/(benefit)</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on foreign currency revaluation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9"/>
              </w:rPr>
              <w:t>34</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segment profit/(loss)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771"/>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Times New Roman" w:cs="Times New Roman" w:eastAsia="Times New Roman" w:hAnsi="Times New Roman"/>
                <w:sz w:val="18"/>
                <w:szCs w:val="18"/>
                <w:color w:val="auto"/>
                <w:w w:val="99"/>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 (3)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1120" w:type="dxa"/>
            <w:vAlign w:val="bottom"/>
            <w:gridSpan w:val="2"/>
          </w:tcPr>
          <w:p>
            <w:pPr>
              <w:jc w:val="center"/>
              <w:ind w:left="691"/>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20" w:type="dxa"/>
            <w:vAlign w:val="bottom"/>
          </w:tcPr>
          <w:p>
            <w:pPr>
              <w:spacing w:after="0"/>
              <w:rPr>
                <w:sz w:val="18"/>
                <w:szCs w:val="18"/>
                <w:color w:val="auto"/>
              </w:rPr>
            </w:pPr>
          </w:p>
        </w:tc>
        <w:tc>
          <w:tcPr>
            <w:tcW w:w="104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88"/>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revaluation</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20" w:type="dxa"/>
            <w:vAlign w:val="bottom"/>
          </w:tcPr>
          <w:p>
            <w:pPr>
              <w:spacing w:after="0"/>
              <w:rPr>
                <w:sz w:val="18"/>
                <w:szCs w:val="18"/>
                <w:color w:val="auto"/>
              </w:rPr>
            </w:pPr>
          </w:p>
        </w:tc>
        <w:tc>
          <w:tcPr>
            <w:tcW w:w="1120" w:type="dxa"/>
            <w:vAlign w:val="bottom"/>
            <w:gridSpan w:val="2"/>
          </w:tcPr>
          <w:p>
            <w:pPr>
              <w:jc w:val="center"/>
              <w:ind w:left="691"/>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771"/>
              <w:spacing w:after="0"/>
              <w:rPr>
                <w:sz w:val="20"/>
                <w:szCs w:val="20"/>
                <w:color w:val="auto"/>
              </w:rPr>
            </w:pPr>
            <w:r>
              <w:rPr>
                <w:rFonts w:ascii="Times New Roman" w:cs="Times New Roman" w:eastAsia="Times New Roman" w:hAnsi="Times New Roman"/>
                <w:sz w:val="18"/>
                <w:szCs w:val="18"/>
                <w:color w:val="auto"/>
                <w:w w:val="99"/>
              </w:rPr>
              <w:t>86</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1" w:lineRule="exact"/>
        <w:rPr>
          <w:rFonts w:ascii="Times New Roman" w:cs="Times New Roman" w:eastAsia="Times New Roman" w:hAnsi="Times New Roman"/>
          <w:sz w:val="23"/>
          <w:szCs w:val="23"/>
          <w:color w:val="auto"/>
          <w:vertAlign w:val="superscript"/>
        </w:rPr>
      </w:pPr>
    </w:p>
    <w:p>
      <w:pPr>
        <w:ind w:left="340" w:right="180" w:hanging="332"/>
        <w:spacing w:after="0" w:line="219"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19"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DATA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74"/>
        </w:trPr>
        <w:tc>
          <w:tcPr>
            <w:tcW w:w="57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to Earnings Before Interest, Taxes, Depreciation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Amortization (“EBITDA”), Excluding Selected Items Impacting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Comparability (“Adjusted EBITDA”) and Implied Distributable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Flow (“DCF”) Reconciliations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bl>
    <w:p>
      <w:pPr>
        <w:sectPr>
          <w:pgSz w:w="11900" w:h="16900" w:orient="portrait"/>
          <w:cols w:equalWidth="0" w:num="1">
            <w:col w:w="11420"/>
          </w:cols>
          <w:pgMar w:left="240" w:top="130"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EBITDA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capital</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earnings in unconsolidated entities, net of distributions</w:t>
            </w: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8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3"/>
                <w:szCs w:val="23"/>
                <w:color w:val="auto"/>
                <w:vertAlign w:val="superscript"/>
              </w:rPr>
              <w:t>(4)</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distributions that pertain to the current period’s net income, which are paid in the subsequent period.</w:t>
      </w:r>
    </w:p>
    <w:p>
      <w:pPr>
        <w:spacing w:after="0" w:line="2" w:lineRule="exact"/>
        <w:rPr>
          <w:rFonts w:ascii="Times New Roman" w:cs="Times New Roman" w:eastAsia="Times New Roman" w:hAnsi="Times New Roman"/>
          <w:sz w:val="23"/>
          <w:szCs w:val="23"/>
          <w:color w:val="auto"/>
          <w:vertAlign w:val="superscript"/>
        </w:rPr>
      </w:pPr>
    </w:p>
    <w:p>
      <w:pPr>
        <w:ind w:left="340" w:right="460" w:hanging="332"/>
        <w:spacing w:after="0" w:line="219" w:lineRule="auto"/>
        <w:tabs>
          <w:tab w:leader="none" w:pos="3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Including costs recognized during the period related to the Line 901 incident that occurred during May 2015, Implied DCF would have been $1,027 million for the nine months ended September 30, 2015.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38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ADJUSTED BASIC AND DILUTED NET INCOME PER COMMON UNIT </w:t>
      </w:r>
      <w:r>
        <w:rPr>
          <w:rFonts w:ascii="Times New Roman" w:cs="Times New Roman" w:eastAsia="Times New Roman" w:hAnsi="Times New Roman"/>
          <w:sz w:val="18"/>
          <w:szCs w:val="18"/>
          <w:color w:val="auto"/>
        </w:rPr>
        <w:t>(in millions, except per unit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Common Unit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8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8"/>
                <w:szCs w:val="18"/>
                <w:color w:val="auto"/>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Series A preferred units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general partner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participating securities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Undistributed loss allocated to general partner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allocated to common unitholders in accordance with</w:t>
            </w: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4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 for MLPs</w:t>
            </w: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adjusted net income per common unit</w:t>
            </w:r>
          </w:p>
        </w:tc>
        <w:tc>
          <w:tcPr>
            <w:tcW w:w="98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0.73</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Common Unit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98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8"/>
                <w:szCs w:val="18"/>
                <w:color w:val="auto"/>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Series A preferred units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general partner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participating securities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Undistributed loss allocated to general partner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allocated to common unitholders in accordance with</w:t>
            </w: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4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 for MLPs</w:t>
            </w: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Diluted adjusted net income per common unit </w:t>
            </w:r>
            <w:r>
              <w:rPr>
                <w:rFonts w:ascii="Times New Roman" w:cs="Times New Roman" w:eastAsia="Times New Roman" w:hAnsi="Times New Roman"/>
                <w:sz w:val="23"/>
                <w:szCs w:val="23"/>
                <w:color w:val="auto"/>
                <w:vertAlign w:val="superscript"/>
              </w:rPr>
              <w:t>(4)</w:t>
            </w:r>
          </w:p>
        </w:tc>
        <w:tc>
          <w:tcPr>
            <w:tcW w:w="98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0.72</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340" w:right="120" w:hanging="332"/>
        <w:spacing w:after="0" w:line="233"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ectPr>
          <w:pgSz w:w="11900" w:h="16838" w:orient="portrait"/>
          <w:cols w:equalWidth="0" w:num="1">
            <w:col w:w="11420"/>
          </w:cols>
          <w:pgMar w:left="240" w:top="140" w:right="239" w:bottom="0" w:gutter="0" w:footer="0" w:header="0"/>
        </w:sectPr>
      </w:pPr>
    </w:p>
    <w:bookmarkStart w:id="18" w:name="page19"/>
    <w:bookmarkEnd w:id="18"/>
    <w:p>
      <w:pPr>
        <w:ind w:left="340" w:right="20" w:hanging="332"/>
        <w:spacing w:after="0" w:line="239"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ind w:left="340" w:right="180" w:hanging="332"/>
        <w:spacing w:after="0" w:line="219"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adjusted net income per common unit for the three and nine months ended September 30, 2016 as the effect was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right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NET INCOME PER CLASS 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PER CLASS 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WEIGHTED AVERAGE CLASS 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WEIGHTED AVERAGE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780" w:hanging="332"/>
        <w:spacing w:after="0" w:line="229"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ind w:left="320" w:hanging="312"/>
        <w:spacing w:after="0" w:line="196"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ectPr>
          <w:pgSz w:w="11900" w:h="16838" w:orient="portrait"/>
          <w:cols w:equalWidth="0" w:num="1">
            <w:col w:w="11420"/>
          </w:cols>
          <w:pgMar w:left="240" w:top="121" w:right="239" w:bottom="0" w:gutter="0" w:footer="0" w:header="0"/>
          <w:type w:val="continuous"/>
        </w:sectPr>
      </w:pPr>
    </w:p>
    <w:bookmarkStart w:id="19" w:name="page20"/>
    <w:bookmarkEnd w:id="1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7"/>
                <w:szCs w:val="17"/>
                <w:b w:val="1"/>
                <w:bCs w:val="1"/>
                <w:color w:val="auto"/>
                <w:vertAlign w:val="superscript"/>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right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NET INCOME PER CLASS 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NET INCOME PER CLASS 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WEIGHTED AVERAGE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DILUTED WEIGHTED AVERAGE</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780" w:hanging="332"/>
        <w:spacing w:after="0" w:line="22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ind w:left="320" w:hanging="312"/>
        <w:spacing w:after="0" w:line="196" w:lineRule="auto"/>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PAA</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right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3,776</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05"/>
        </w:trPr>
        <w:tc>
          <w:tcPr>
            <w:tcW w:w="3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7"/>
                <w:szCs w:val="17"/>
                <w:color w:val="auto"/>
              </w:rPr>
            </w:pP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1,886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2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notes, net of unamortized discounts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debt issuance costs</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9,130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long-term debt, net of unamortized</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677</w:t>
            </w: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w:t>
            </w: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(6,119)</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DISTRIBUTION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Q3 2016 PAGP DISTRIBUTION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Q3 2016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GP Distribution/Common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Common Units Outstanding at 10/31/16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Distribution from PAA to AAP </w:t>
            </w:r>
            <w:r>
              <w:rPr>
                <w:rFonts w:ascii="Times New Roman" w:cs="Times New Roman" w:eastAsia="Times New Roman" w:hAnsi="Times New Roman"/>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Plus: Borrowings to Fund True-up Distribution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Available for Distribution by 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to AAP Partners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AAP Owners &amp; AAP Management (59% economic 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PAGP (41% economic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distributions to AAP Partners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PAGP Investors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PAGP Class A Shares Outstanding at 10/31/16</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PAGP Distribution/Class A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may not recalculate due to rounding.</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Plains AAP, L.P. (“AAP”) is the general partner of PAA.</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228" w:lineRule="auto"/>
        <w:tabs>
          <w:tab w:leader="none" w:pos="32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AAP has agreed to borrow funds under its credit agreement as necessary to make a special ‘‘true-up’’ distribution to its partners that, when added to the distributions to be paid to AAP in respect of the 2% general partner interest in PAA and the IDRs, equals the total distribution AAP’s partners would have received if the closing of the Simplification Transactions had occurred immediately prior to the record date for the third quarter distribution.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5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3" w:lineRule="exact"/>
        <w:rPr>
          <w:sz w:val="20"/>
          <w:szCs w:val="20"/>
          <w:color w:val="auto"/>
        </w:rPr>
      </w:pPr>
    </w:p>
    <w:p>
      <w:pPr>
        <w:ind w:right="4800" w:firstLine="14"/>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Class A Share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net income per Class A share</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1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Class A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Incremental net income allocated to PAGP resulting from</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assumed exchange of AAP units and AAP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Net income allocated to PAGP including incremental net</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assumed exchange of AAP units and AAP</w:t>
            </w: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Management Units</w:t>
            </w:r>
          </w:p>
        </w:tc>
        <w:tc>
          <w:tcPr>
            <w:tcW w:w="60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Dilutive shares resulting from assumed exchange of AAP</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units and AAP Management Units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366</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net income per Class A share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0.14</w:t>
            </w:r>
          </w:p>
        </w:tc>
        <w:tc>
          <w:tcPr>
            <w:tcW w:w="10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Contacts:</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Smith</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Al Swanson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(866) 809-1291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(800) 564-3036</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4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1."/>
      <w:numFmt w:val="decimal"/>
      <w:start w:val="2"/>
    </w:lvl>
    <w:lvl w:ilvl="1">
      <w:lvlJc w:val="left"/>
      <w:lvlText w:val="%2."/>
      <w:numFmt w:val="lowerLetter"/>
      <w:start w:val="1"/>
    </w:lvl>
  </w:abstractNum>
  <w:abstractNum w:abstractNumId="3">
    <w:nsid w:val="431BD7B7"/>
    <w:multiLevelType w:val="hybridMultilevel"/>
    <w:lvl w:ilvl="0">
      <w:lvlJc w:val="left"/>
      <w:lvlText w:val="%1"/>
      <w:numFmt w:val="lowerLetter"/>
      <w:start w:val="1"/>
    </w:lvl>
    <w:lvl w:ilvl="1">
      <w:lvlJc w:val="left"/>
      <w:lvlText w:val="(%2)"/>
      <w:numFmt w:val="decimal"/>
      <w:start w:val="1"/>
    </w:lvl>
  </w:abstractNum>
  <w:abstractNum w:abstractNumId="4">
    <w:nsid w:val="3F2DBA31"/>
    <w:multiLevelType w:val="hybridMultilevel"/>
    <w:lvl w:ilvl="0">
      <w:lvlJc w:val="left"/>
      <w:lvlText w:val="%1."/>
      <w:numFmt w:val="lowerLetter"/>
      <w:start w:val="2"/>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lowerLetter"/>
      <w:start w:val="3"/>
    </w:lvl>
    <w:lvl w:ilvl="1">
      <w:lvlJc w:val="left"/>
      <w:lvlText w:val="·"/>
      <w:numFmt w:val="bullet"/>
      <w:start w:val="1"/>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3"/>
    </w:lvl>
  </w:abstractNum>
  <w:abstractNum w:abstractNumId="10">
    <w:nsid w:val="333AB105"/>
    <w:multiLevelType w:val="hybridMultilevel"/>
    <w:lvl w:ilvl="0">
      <w:lvlJc w:val="left"/>
      <w:lvlText w:val="%1."/>
      <w:numFmt w:val="decimal"/>
      <w:start w:val="5"/>
    </w:lvl>
    <w:lvl w:ilvl="1">
      <w:lvlJc w:val="left"/>
      <w:lvlText w:val="%2."/>
      <w:numFmt w:val="decimal"/>
      <w:start w:val="7"/>
    </w:lvl>
    <w:lvl w:ilvl="2">
      <w:lvlJc w:val="left"/>
      <w:lvlText w:val="%3"/>
      <w:numFmt w:val="decimal"/>
      <w:start w:val="1"/>
    </w:lvl>
    <w:lvl w:ilvl="3">
      <w:lvlJc w:val="left"/>
      <w:lvlText w:val="%4"/>
      <w:numFmt w:val="lowerRoman"/>
      <w:start w:val="1"/>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3"/>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2020-01-21T16:25:10Z</dcterms:created>
  <dcterms:modified xsi:type="dcterms:W3CDTF">2020-01-21T16:25:10Z</dcterms:modified>
</cp:coreProperties>
</file>