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4, 2015</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20" w:space="720"/>
            <w:col w:w="2900" w:space="720"/>
            <w:col w:w="2940"/>
          </w:cols>
          <w:pgMar w:left="240" w:top="544" w:right="35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00"/>
          </w:cols>
          <w:pgMar w:left="240" w:top="544" w:right="359" w:bottom="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August 4, 2015, the Registrant issued a press release reporting its second-quarter 2015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Exhibit 99.1 —  Press Release dated August 4, 2015.</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6040"/>
        <w:spacing w:after="0"/>
        <w:rPr>
          <w:sz w:val="20"/>
          <w:szCs w:val="20"/>
          <w:color w:val="auto"/>
        </w:rPr>
      </w:pPr>
      <w:r>
        <w:rPr>
          <w:rFonts w:ascii="Arial" w:cs="Arial" w:eastAsia="Arial" w:hAnsi="Arial"/>
          <w:sz w:val="18"/>
          <w:szCs w:val="18"/>
          <w:color w:val="auto"/>
        </w:rPr>
        <w:t>PLAINS GP HOLDINGS, L.P.</w:t>
      </w:r>
    </w:p>
    <w:p>
      <w:pPr>
        <w:spacing w:after="0" w:line="225" w:lineRule="exact"/>
        <w:rPr>
          <w:sz w:val="24"/>
          <w:szCs w:val="24"/>
          <w:color w:val="auto"/>
        </w:rPr>
      </w:pPr>
    </w:p>
    <w:p>
      <w:pPr>
        <w:spacing w:after="0"/>
        <w:tabs>
          <w:tab w:leader="none" w:pos="6020" w:val="left"/>
          <w:tab w:leader="none" w:pos="6560" w:val="left"/>
        </w:tabs>
        <w:rPr>
          <w:sz w:val="20"/>
          <w:szCs w:val="20"/>
          <w:color w:val="auto"/>
        </w:rPr>
      </w:pPr>
      <w:r>
        <w:rPr>
          <w:rFonts w:ascii="Arial" w:cs="Arial" w:eastAsia="Arial" w:hAnsi="Arial"/>
          <w:sz w:val="18"/>
          <w:szCs w:val="18"/>
          <w:color w:val="auto"/>
        </w:rPr>
        <w:t>Date: August 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4"/>
          <w:szCs w:val="24"/>
          <w:color w:val="auto"/>
        </w:rPr>
      </w:pPr>
    </w:p>
    <w:p>
      <w:pPr>
        <w:spacing w:after="0" w:line="241" w:lineRule="exact"/>
        <w:rPr>
          <w:sz w:val="24"/>
          <w:szCs w:val="24"/>
          <w:color w:val="auto"/>
        </w:rPr>
      </w:pPr>
    </w:p>
    <w:p>
      <w:pPr>
        <w:ind w:left="6040"/>
        <w:spacing w:after="0"/>
        <w:tabs>
          <w:tab w:leader="none" w:pos="6560" w:val="left"/>
        </w:tabs>
        <w:rPr>
          <w:sz w:val="20"/>
          <w:szCs w:val="20"/>
          <w:color w:val="auto"/>
        </w:rPr>
      </w:pPr>
      <w:r>
        <w:rPr>
          <w:rFonts w:ascii="Arial" w:cs="Arial" w:eastAsia="Arial" w:hAnsi="Arial"/>
          <w:sz w:val="18"/>
          <w:szCs w:val="18"/>
          <w:color w:val="auto"/>
        </w:rPr>
        <w:t>By:</w:t>
        <w:tab/>
        <w:t>/S/ Al Swanson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4173220</wp:posOffset>
            </wp:positionH>
            <wp:positionV relativeFrom="paragraph">
              <wp:posOffset>14605</wp:posOffset>
            </wp:positionV>
            <wp:extent cx="3078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ectPr>
          <w:pgSz w:w="11900" w:h="16838" w:orient="portrait"/>
          <w:cols w:equalWidth="0" w:num="1">
            <w:col w:w="11300"/>
          </w:cols>
          <w:pgMar w:left="240" w:top="544" w:right="359" w:bottom="0" w:gutter="0" w:footer="0" w:header="0"/>
          <w:type w:val="continuous"/>
        </w:sectPr>
      </w:pPr>
    </w:p>
    <w:bookmarkStart w:id="1" w:name="page2"/>
    <w:bookmarkEnd w:id="1"/>
    <w:p>
      <w:pPr>
        <w:ind w:left="5380"/>
        <w:spacing w:after="0"/>
        <w:tabs>
          <w:tab w:leader="none" w:pos="6120" w:val="left"/>
        </w:tabs>
        <w:rPr>
          <w:sz w:val="20"/>
          <w:szCs w:val="20"/>
          <w:color w:val="auto"/>
        </w:rPr>
      </w:pPr>
      <w:r>
        <w:rPr>
          <w:rFonts w:ascii="Arial" w:cs="Arial" w:eastAsia="Arial" w:hAnsi="Arial"/>
          <w:sz w:val="18"/>
          <w:szCs w:val="18"/>
          <w:color w:val="auto"/>
        </w:rPr>
        <w:t>Name:</w:t>
        <w:tab/>
        <w:t>Al Swanson</w:t>
      </w:r>
    </w:p>
    <w:p>
      <w:pPr>
        <w:spacing w:after="0" w:line="23" w:lineRule="exact"/>
        <w:rPr>
          <w:sz w:val="20"/>
          <w:szCs w:val="20"/>
          <w:color w:val="auto"/>
        </w:rPr>
      </w:pPr>
    </w:p>
    <w:p>
      <w:pPr>
        <w:ind w:left="5380"/>
        <w:spacing w:after="0"/>
        <w:tabs>
          <w:tab w:leader="none" w:pos="61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980"/>
          </w:cols>
          <w:pgMar w:left="1440" w:top="125"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154940</wp:posOffset>
            </wp:positionV>
            <wp:extent cx="6157595" cy="702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575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Second-Quarter 2015 Results</w:t>
      </w:r>
    </w:p>
    <w:p>
      <w:pPr>
        <w:spacing w:after="0" w:line="229" w:lineRule="exact"/>
        <w:rPr>
          <w:sz w:val="20"/>
          <w:szCs w:val="20"/>
          <w:color w:val="auto"/>
        </w:rPr>
      </w:pPr>
    </w:p>
    <w:p>
      <w:pPr>
        <w:ind w:right="380" w:firstLine="689"/>
        <w:spacing w:after="0" w:line="277" w:lineRule="auto"/>
        <w:rPr>
          <w:sz w:val="20"/>
          <w:szCs w:val="20"/>
          <w:color w:val="auto"/>
        </w:rPr>
      </w:pPr>
      <w:r>
        <w:rPr>
          <w:rFonts w:ascii="Arial" w:cs="Arial" w:eastAsia="Arial" w:hAnsi="Arial"/>
          <w:sz w:val="18"/>
          <w:szCs w:val="18"/>
          <w:color w:val="auto"/>
        </w:rPr>
        <w:t>(Houston — August 4, 2015) Plains All American Pipeline, L.P. (NYSE: PAA) and Plains GP Holdings (NYSE: PAGP) today reported second-quarter 2015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Six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458"/>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0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income/(loss) per limited partner</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unit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(113)%</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 limited partner units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5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Six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458"/>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0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Diluted adjusted net income per limited partner</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unit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Distribution per limited partner unit declared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for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0.695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0.645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7.8%</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tabs>
          <w:tab w:leader="none" w:pos="64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reported solid second quarter results, with adjusted EBITDA of $486 million, which was approximately $26 million above the mid-point of our quarterly guidance range,” said Greg L. Armstrong, Chairman and CEO of Plains All American. “PAA will pay a quarterly distribution of $0.695 per limited partner unit next week, which is the equivalent of $2.78 per unit on an annualized basis, while PAGP will pay a quarterly distribution of $0.227 per Class A share, or $0.908 per share on an annualized basis. These distributions represent a 7.8% and 23.8% increase over comparative distributions paid in the same quarter of 2014,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“Over the intermediate to long-term, we remain very constructive on the outlook for the North American crude oil industry. Near term, we are cautious as high crude oil and refined product inventory levels will influence oilfield activity and crude oil production levels over the next six to twelve months and competition for the marginal barrel will intensify. Additionally, our current forecast assumes that our All American pipeline in California will not be returned to service during the balance of 2015.”</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Armstrong added, “Based on this outlook, we have reduced the midpoint of our full-year guidance for adjusted EBITDA by $50 million. The resulting midpoint guidance of $2.275 billion remains in line with the full-year guidance range provided at the beginning of the year, albeit near the lower end of the initial range. Importantly, PAA remains well positioned to manage through industry down cycles and capitalize on attractive opportunities as it ended</w:t>
      </w:r>
    </w:p>
    <w:p>
      <w:pPr>
        <w:sectPr>
          <w:pgSz w:w="11900" w:h="16838" w:orient="portrait"/>
          <w:cols w:equalWidth="0" w:num="1">
            <w:col w:w="11420"/>
          </w:cols>
          <w:pgMar w:left="240" w:top="121" w:right="239" w:bottom="0" w:gutter="0" w:footer="0" w:header="0"/>
        </w:sectPr>
      </w:pPr>
    </w:p>
    <w:bookmarkStart w:id="3" w:name="page4"/>
    <w:bookmarkEnd w:id="3"/>
    <w:p>
      <w:pPr>
        <w:ind w:right="520"/>
        <w:spacing w:after="0" w:line="277" w:lineRule="auto"/>
        <w:rPr>
          <w:sz w:val="20"/>
          <w:szCs w:val="20"/>
          <w:color w:val="auto"/>
        </w:rPr>
      </w:pPr>
      <w:r>
        <w:rPr>
          <w:rFonts w:ascii="Arial" w:cs="Arial" w:eastAsia="Arial" w:hAnsi="Arial"/>
          <w:sz w:val="18"/>
          <w:szCs w:val="18"/>
          <w:color w:val="auto"/>
        </w:rPr>
        <w:t>the second quarter of 2015 with approximately $3.1 billion of committed liquidity, a strong balance sheet and credit metrics that are consistent with our targeted levels.”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second quarter and first half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7"/>
          </w:tcPr>
          <w:p>
            <w:pPr>
              <w:jc w:val="center"/>
              <w:ind w:left="796"/>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tcPr>
          <w:p>
            <w:pPr>
              <w:jc w:val="center"/>
              <w:ind w:left="857"/>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0"/>
              </w:rPr>
              <w:t>June 30, 2015</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 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6"/>
              </w:rPr>
              <w:t>Facilities</w:t>
            </w: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tcBorders>
              <w:right w:val="single" w:sz="8" w:color="auto"/>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i w:val="1"/>
                <w:iCs w:val="1"/>
                <w:color w:val="auto"/>
              </w:rPr>
              <w:t>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i w:val="1"/>
                <w:iCs w:val="1"/>
                <w:color w:val="auto"/>
              </w:rPr>
              <w:t>146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84</w:t>
            </w:r>
          </w:p>
        </w:tc>
        <w:tc>
          <w:tcPr>
            <w:tcW w:w="34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229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138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9"/>
              </w:rPr>
              <w:t>Percentage change in adjusted segment</w:t>
            </w:r>
          </w:p>
        </w:tc>
        <w:tc>
          <w:tcPr>
            <w:tcW w:w="160" w:type="dxa"/>
            <w:vAlign w:val="bottom"/>
            <w:shd w:val="clear" w:color="auto" w:fill="CCEEFF"/>
          </w:tcPr>
          <w:p>
            <w:pPr>
              <w:spacing w:after="0"/>
              <w:rPr>
                <w:sz w:val="17"/>
                <w:szCs w:val="17"/>
                <w:color w:val="auto"/>
              </w:rPr>
            </w:pPr>
          </w:p>
        </w:tc>
        <w:tc>
          <w:tcPr>
            <w:tcW w:w="14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140" w:type="dxa"/>
            <w:vAlign w:val="bottom"/>
            <w:shd w:val="clear" w:color="auto" w:fill="CCEEFF"/>
          </w:tcPr>
          <w:p>
            <w:pPr>
              <w:spacing w:after="0"/>
              <w:rPr>
                <w:sz w:val="17"/>
                <w:szCs w:val="17"/>
                <w:color w:val="auto"/>
              </w:rPr>
            </w:pPr>
          </w:p>
        </w:tc>
        <w:tc>
          <w:tcPr>
            <w:tcW w:w="10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6%</w:t>
            </w:r>
          </w:p>
        </w:tc>
        <w:tc>
          <w:tcPr>
            <w:tcW w:w="120" w:type="dxa"/>
            <w:vAlign w:val="bottom"/>
            <w:shd w:val="clear" w:color="auto" w:fill="CCEEFF"/>
          </w:tcPr>
          <w:p>
            <w:pPr>
              <w:spacing w:after="0"/>
              <w:rPr>
                <w:sz w:val="17"/>
                <w:szCs w:val="17"/>
                <w:color w:val="auto"/>
              </w:rPr>
            </w:pPr>
          </w:p>
        </w:tc>
        <w:tc>
          <w:tcPr>
            <w:tcW w:w="12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i w:val="1"/>
                <w:iCs w:val="1"/>
                <w:color w:val="auto"/>
              </w:rPr>
              <w:t>(42)%</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40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7"/>
          </w:tcPr>
          <w:p>
            <w:pPr>
              <w:jc w:val="center"/>
              <w:ind w:left="796"/>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center"/>
              <w:ind w:left="857"/>
              <w:spacing w:after="0"/>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0"/>
              </w:rPr>
              <w:t>June 30, 2015</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 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6"/>
              </w:rPr>
              <w:t>Facilities</w:t>
            </w: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i w:val="1"/>
                <w:iCs w:val="1"/>
                <w:color w:val="auto"/>
              </w:rPr>
              <w:t>502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i w:val="1"/>
                <w:iCs w:val="1"/>
                <w:color w:val="auto"/>
              </w:rPr>
              <w:t>315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443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9"/>
              </w:rPr>
              <w:t>Percentage change in adjusted segment</w:t>
            </w:r>
          </w:p>
        </w:tc>
        <w:tc>
          <w:tcPr>
            <w:tcW w:w="160" w:type="dxa"/>
            <w:vAlign w:val="bottom"/>
            <w:shd w:val="clear" w:color="auto" w:fill="CCEEFF"/>
          </w:tcPr>
          <w:p>
            <w:pPr>
              <w:spacing w:after="0"/>
              <w:rPr>
                <w:sz w:val="17"/>
                <w:szCs w:val="17"/>
                <w:color w:val="auto"/>
              </w:rPr>
            </w:pPr>
          </w:p>
        </w:tc>
        <w:tc>
          <w:tcPr>
            <w:tcW w:w="14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w:t>
            </w:r>
          </w:p>
        </w:tc>
        <w:tc>
          <w:tcPr>
            <w:tcW w:w="140" w:type="dxa"/>
            <w:vAlign w:val="bottom"/>
            <w:shd w:val="clear" w:color="auto" w:fill="CCEEFF"/>
          </w:tcPr>
          <w:p>
            <w:pPr>
              <w:spacing w:after="0"/>
              <w:rPr>
                <w:sz w:val="17"/>
                <w:szCs w:val="17"/>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w:t>
            </w:r>
          </w:p>
        </w:tc>
        <w:tc>
          <w:tcPr>
            <w:tcW w:w="120" w:type="dxa"/>
            <w:vAlign w:val="bottom"/>
            <w:shd w:val="clear" w:color="auto" w:fill="CCEEFF"/>
          </w:tcPr>
          <w:p>
            <w:pPr>
              <w:spacing w:after="0"/>
              <w:rPr>
                <w:sz w:val="17"/>
                <w:szCs w:val="17"/>
                <w:color w:val="auto"/>
              </w:rPr>
            </w:pPr>
          </w:p>
        </w:tc>
        <w:tc>
          <w:tcPr>
            <w:tcW w:w="12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i w:val="1"/>
                <w:iCs w:val="1"/>
                <w:color w:val="auto"/>
              </w:rPr>
              <w:t>(7)%</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40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0" w:hanging="11"/>
        <w:spacing w:after="0" w:line="259" w:lineRule="auto"/>
        <w:rPr>
          <w:sz w:val="20"/>
          <w:szCs w:val="20"/>
          <w:color w:val="auto"/>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Second-quarter 2015 Transportation adjusted segment profit increased 12% versus comparable 2014 results. This increase was driven by earnings from our 50% interest in the BridgeTex pipeline acquired in November 2014 and higher crude oil pipeline volumes associated with recently completed organic growth projects primarily within the Permian Basin and Eagle Ford producing regions.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Second-quarter 2015 Facilities adjusted segment profit increased by 6% over comparable 2014 results. This increase was primarily due to lower field operating costs associated with our NGL fractionation and Canadian natural gas processing activities.</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Second-quarter 2015 Supply and Logistics adjusted segment profit exceeded the high end of our quarterly guidance range but decreased by 42% compared to 2014 results. This decrease was primarily driven by lower margins associated with less favorable crude oil market conditions.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39"/>
              <w:spacing w:after="0"/>
              <w:rPr>
                <w:sz w:val="20"/>
                <w:szCs w:val="20"/>
                <w:color w:val="auto"/>
              </w:rPr>
            </w:pPr>
            <w:r>
              <w:rPr>
                <w:rFonts w:ascii="Arial" w:cs="Arial" w:eastAsia="Arial" w:hAnsi="Arial"/>
                <w:sz w:val="14"/>
                <w:szCs w:val="14"/>
                <w:b w:val="1"/>
                <w:bCs w:val="1"/>
                <w:color w:val="auto"/>
              </w:rPr>
              <w:t>Q2 2015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Q1 2015</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Q2 2014</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0.1834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Q2 2015 distribution percentage growth from prior periods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PAA and PAGP will hold a conference call on August 5, 2015 (see details below). Prior to this conference call, PAA will furnish a current report on Form 8-K, which will include material in this news release as well as PAA’s financial and operational guidance for the third and fourth quarter and full year of 2015. A copy of the Form 8-K will be available at www.plainsallamerican.com, where PAA and PAGP routinely post important information.</w:t>
      </w:r>
    </w:p>
    <w:p>
      <w:pPr>
        <w:sectPr>
          <w:pgSz w:w="11900" w:h="16838" w:orient="portrait"/>
          <w:cols w:equalWidth="0" w:num="1">
            <w:col w:w="11420"/>
          </w:cols>
          <w:pgMar w:left="240" w:top="125" w:right="239" w:bottom="0" w:gutter="0" w:footer="0" w:header="0"/>
          <w:type w:val="continuous"/>
        </w:sectPr>
      </w:pPr>
    </w:p>
    <w:bookmarkStart w:id="4" w:name="page5"/>
    <w:bookmarkEnd w:id="4"/>
    <w:p>
      <w:pPr>
        <w:ind w:left="660"/>
        <w:spacing w:after="0"/>
        <w:rPr>
          <w:sz w:val="20"/>
          <w:szCs w:val="20"/>
          <w:color w:val="auto"/>
        </w:rPr>
      </w:pPr>
      <w:r>
        <w:rPr>
          <w:rFonts w:ascii="Arial" w:cs="Arial" w:eastAsia="Arial" w:hAnsi="Arial"/>
          <w:sz w:val="18"/>
          <w:szCs w:val="18"/>
          <w:color w:val="auto"/>
        </w:rPr>
        <w:t>The PAA and PAGP conference call will be held at 11:00 a.m. EDT on Wednesday, August 5, 2015 to discuss the following items:</w:t>
      </w:r>
    </w:p>
    <w:p>
      <w:pPr>
        <w:spacing w:after="0" w:line="225"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PAA’s second-quarter 2015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and operating guidance for the third and fourth quarter and full year of 2015;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To access the Internet webcast of the conference call, please go to www.plainsallamerican.com, navigate to “Investor Relations,” select “PAA” or “PAGP,” then “News &amp; Events,” and then “Quarterly Earnings.” Following the live webcast, the call will be archived for a period of sixty (60) days on the website.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230-1059. International callers should dial (612) 234-9959. No password is required. The slide presentation accompanying the conference call will be available a few minutes prior to the call at the above referenced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363940. The replay will be available beginning Wednesday, August 5, 2015, at approximately 1:00 p.m. EDT and will continue until 11:59 a.m. EDT on September 5,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(such as adjusted EBITDA and implied distributable cash flow (“DCF”))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8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jc w:val="both"/>
        <w:ind w:right="14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measures as reported in accordance with GAAP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“PAA” under the “Investor Relations” tab on the home page, select the “Financial Information” tab and navigate to the “Non-GAAP Reconciliations” link.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w:t>
      </w:r>
    </w:p>
    <w:p>
      <w:pPr>
        <w:sectPr>
          <w:pgSz w:w="11900" w:h="16838" w:orient="portrait"/>
          <w:cols w:equalWidth="0" w:num="1">
            <w:col w:w="11420"/>
          </w:cols>
          <w:pgMar w:left="240" w:top="125" w:right="239" w:bottom="0" w:gutter="0" w:footer="0" w:header="0"/>
        </w:sectPr>
      </w:pPr>
    </w:p>
    <w:bookmarkStart w:id="5" w:name="page6"/>
    <w:bookmarkEnd w:id="5"/>
    <w:p>
      <w:pPr>
        <w:spacing w:after="0" w:line="1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These risks and uncertainties include, among other things, failure to implement or capitalize, or delays in implementing or capitalizing, on planned growth projects;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effects of competition; the occurrence of a natural disaster, catastrophe, terrorist attack or other event, including attacks on our electronic and computer systems;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maintenance of our credit rating and ability to receive open credit from our suppliers and trade counterparties;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increased costs, or lack of availability, of insurance; non-utilization of our assets and facilities;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approximately 4.3 million barrels per day of crude oil and NGL on its pipelines.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6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240" w:type="dxa"/>
            <w:vAlign w:val="bottom"/>
            <w:gridSpan w:val="6"/>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ind w:left="51"/>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6,663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7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5,848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10,280</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10,890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6,454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10,830</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3"/>
              </w:rPr>
              <w:t>12,027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bl>
    <w:p>
      <w:pPr>
        <w:sectPr>
          <w:pgSz w:w="11900" w:h="16857"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Current income tax expense</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b w:val="1"/>
                <w:bCs w:val="1"/>
                <w:color w:val="auto"/>
              </w:rPr>
              <w:t>LIMITED PARTNERS</w:t>
            </w:r>
          </w:p>
        </w:tc>
        <w:tc>
          <w:tcPr>
            <w:tcW w:w="168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tcBorders>
              <w:top w:val="single" w:sz="8" w:color="CCEEFF"/>
              <w:bottom w:val="single" w:sz="8" w:color="CCEEFF"/>
            </w:tcBorders>
            <w:gridSpan w:val="2"/>
            <w:shd w:val="clear" w:color="auto" w:fill="CCEEFF"/>
          </w:tcPr>
          <w:p>
            <w:pPr>
              <w:ind w:left="180"/>
              <w:spacing w:after="0" w:line="195" w:lineRule="exact"/>
              <w:rPr>
                <w:sz w:val="20"/>
                <w:szCs w:val="20"/>
                <w:color w:val="auto"/>
              </w:rPr>
            </w:pPr>
            <w:r>
              <w:rPr>
                <w:rFonts w:ascii="Arial" w:cs="Arial" w:eastAsia="Arial" w:hAnsi="Arial"/>
                <w:sz w:val="18"/>
                <w:szCs w:val="18"/>
                <w:b w:val="1"/>
                <w:bCs w:val="1"/>
                <w:color w:val="auto"/>
              </w:rPr>
              <w:t>GENERAL PARTNER</w:t>
            </w: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BASIC NET INCOME/(LOSS) PER LIMITED PARTNER UNIT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DILUTED NET INCOME/(LOSS) PER LIMITED PARTNER UNIT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gridSpan w:val="3"/>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BASIC WEIGHTED AVERAGE LIMITED PARTNER UNITS</w:t>
            </w:r>
          </w:p>
        </w:tc>
        <w:tc>
          <w:tcPr>
            <w:tcW w:w="3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OUTSTANDING</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gridSpan w:val="3"/>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DILUTED WEIGHTED AVERAGE LIMITED PARTNER UNITS</w:t>
            </w:r>
          </w:p>
        </w:tc>
        <w:tc>
          <w:tcPr>
            <w:tcW w:w="3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OUTSTANDING</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RESULTS</w:t>
            </w: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gridSpan w:val="3"/>
          </w:tcPr>
          <w:p>
            <w:pPr>
              <w:spacing w:after="0"/>
              <w:rPr>
                <w:sz w:val="20"/>
                <w:szCs w:val="20"/>
                <w:color w:val="auto"/>
              </w:rPr>
            </w:pPr>
            <w:r>
              <w:rPr>
                <w:rFonts w:ascii="Arial" w:cs="Arial" w:eastAsia="Arial" w:hAnsi="Arial"/>
                <w:sz w:val="18"/>
                <w:szCs w:val="18"/>
                <w:color w:val="auto"/>
              </w:rPr>
              <w:t>(in millions, except per unit data)</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22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8"/>
                <w:szCs w:val="18"/>
                <w:color w:val="auto"/>
              </w:rPr>
              <w:t>– more –</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gridSpan w:val="7"/>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0" w:type="dxa"/>
            <w:vAlign w:val="bottom"/>
          </w:tcPr>
          <w:p>
            <w:pPr>
              <w:ind w:left="500"/>
              <w:spacing w:after="0"/>
              <w:rPr>
                <w:sz w:val="20"/>
                <w:szCs w:val="20"/>
                <w:color w:val="auto"/>
              </w:rPr>
            </w:pPr>
            <w:r>
              <w:rPr>
                <w:rFonts w:ascii="Arial" w:cs="Arial" w:eastAsia="Arial" w:hAnsi="Arial"/>
                <w:sz w:val="18"/>
                <w:szCs w:val="18"/>
                <w:b w:val="1"/>
                <w:bCs w:val="1"/>
                <w:color w:val="auto"/>
                <w:w w:val="99"/>
              </w:rPr>
              <w:t>333 Clay Street, Suite 1600</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Houston, Texas 77002</w:t>
            </w:r>
          </w:p>
        </w:tc>
        <w:tc>
          <w:tcPr>
            <w:tcW w:w="2620" w:type="dxa"/>
            <w:vAlign w:val="bottom"/>
            <w:gridSpan w:val="7"/>
          </w:tcPr>
          <w:p>
            <w:pPr>
              <w:jc w:val="right"/>
              <w:ind w:right="25"/>
              <w:spacing w:after="0"/>
              <w:rPr>
                <w:sz w:val="20"/>
                <w:szCs w:val="20"/>
                <w:color w:val="auto"/>
              </w:rPr>
            </w:pPr>
            <w:r>
              <w:rPr>
                <w:rFonts w:ascii="Arial" w:cs="Arial" w:eastAsia="Arial" w:hAnsi="Arial"/>
                <w:sz w:val="18"/>
                <w:szCs w:val="18"/>
                <w:b w:val="1"/>
                <w:bCs w:val="1"/>
                <w:color w:val="auto"/>
              </w:rPr>
              <w:t>713-646-4100 / 866-809-1291</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Current assets</w:t>
            </w:r>
          </w:p>
        </w:tc>
        <w:tc>
          <w:tcPr>
            <w:tcW w:w="2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3,944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13,028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Goodwill</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2,442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Linefill and base gas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976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Current liabilities</w:t>
            </w:r>
          </w:p>
        </w:tc>
        <w:tc>
          <w:tcPr>
            <w:tcW w:w="2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4,474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long-term debt</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8,647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partners’ capital</w:t>
            </w:r>
          </w:p>
        </w:tc>
        <w:tc>
          <w:tcPr>
            <w:tcW w:w="2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8,705</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22,884</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CAPITALIZATION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60"/>
          </w:cols>
          <w:pgMar w:left="240" w:top="125" w:right="19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Long-term debt</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9,137</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Partners’ capital</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8,705</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book capitalization</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22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Borders>
              <w:bottom w:val="single" w:sz="8" w:color="CCEEFF"/>
            </w:tcBorders>
            <w:vMerge w:val="continue"/>
          </w:tcPr>
          <w:p>
            <w:pPr>
              <w:spacing w:after="0"/>
              <w:rPr>
                <w:sz w:val="20"/>
                <w:szCs w:val="20"/>
                <w:color w:val="auto"/>
              </w:rPr>
            </w:pPr>
          </w:p>
        </w:tc>
        <w:tc>
          <w:tcPr>
            <w:tcW w:w="22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18,757</w:t>
            </w:r>
          </w:p>
        </w:tc>
        <w:tc>
          <w:tcPr>
            <w:tcW w:w="2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18,240</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1980" w:type="dxa"/>
            <w:vAlign w:val="bottom"/>
          </w:tcPr>
          <w:p>
            <w:pPr>
              <w:spacing w:after="0"/>
              <w:rPr>
                <w:sz w:val="18"/>
                <w:szCs w:val="18"/>
                <w:color w:val="auto"/>
              </w:rPr>
            </w:pPr>
          </w:p>
        </w:tc>
        <w:tc>
          <w:tcPr>
            <w:tcW w:w="3700" w:type="dxa"/>
            <w:vAlign w:val="bottom"/>
          </w:tcPr>
          <w:p>
            <w:pPr>
              <w:jc w:val="right"/>
              <w:ind w:right="550"/>
              <w:spacing w:after="0"/>
              <w:rPr>
                <w:sz w:val="20"/>
                <w:szCs w:val="20"/>
                <w:color w:val="auto"/>
              </w:rPr>
            </w:pPr>
            <w:r>
              <w:rPr>
                <w:rFonts w:ascii="Arial" w:cs="Arial" w:eastAsia="Arial" w:hAnsi="Arial"/>
                <w:sz w:val="18"/>
                <w:szCs w:val="18"/>
                <w:color w:val="auto"/>
              </w:rPr>
              <w:t>51%</w:t>
            </w: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37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r>
      <w:tr>
        <w:trPr>
          <w:trHeight w:val="432"/>
        </w:trPr>
        <w:tc>
          <w:tcPr>
            <w:tcW w:w="474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Arial" w:cs="Arial" w:eastAsia="Arial" w:hAnsi="Arial"/>
                <w:sz w:val="18"/>
                <w:szCs w:val="18"/>
                <w:color w:val="auto"/>
              </w:rPr>
              <w:t>– more –</w:t>
            </w: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474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3700" w:type="dxa"/>
            <w:vAlign w:val="bottom"/>
          </w:tcPr>
          <w:p>
            <w:pPr>
              <w:jc w:val="right"/>
              <w:ind w:right="1210"/>
              <w:spacing w:after="0"/>
              <w:rPr>
                <w:sz w:val="20"/>
                <w:szCs w:val="20"/>
                <w:color w:val="auto"/>
              </w:rPr>
            </w:pPr>
            <w:r>
              <w:rPr>
                <w:rFonts w:ascii="Arial" w:cs="Arial" w:eastAsia="Arial" w:hAnsi="Arial"/>
                <w:sz w:val="18"/>
                <w:szCs w:val="18"/>
                <w:b w:val="1"/>
                <w:bCs w:val="1"/>
                <w:color w:val="auto"/>
                <w:w w:val="99"/>
              </w:rPr>
              <w:t>713-646-4100 / 866-809-1291</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0"/>
        </w:trPr>
        <w:tc>
          <w:tcPr>
            <w:tcW w:w="47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center"/>
              <w:ind w:left="733"/>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center"/>
              <w:ind w:left="733"/>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 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Transportation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Facilities</w:t>
            </w:r>
          </w:p>
        </w:tc>
        <w:tc>
          <w:tcPr>
            <w:tcW w:w="100" w:type="dxa"/>
            <w:vAlign w:val="bottom"/>
          </w:tcPr>
          <w:p>
            <w:pPr>
              <w:spacing w:after="0"/>
              <w:rPr>
                <w:sz w:val="10"/>
                <w:szCs w:val="10"/>
                <w:color w:val="auto"/>
              </w:rPr>
            </w:pPr>
          </w:p>
        </w:tc>
        <w:tc>
          <w:tcPr>
            <w:tcW w:w="84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Facilities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(6,168)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Equity-indexed compensation expense - operations</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w w:val="99"/>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Selected items impacting comparability of segment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jc w:val="center"/>
              <w:ind w:left="753"/>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jc w:val="center"/>
              <w:ind w:left="713"/>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 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Transportation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Facilities</w:t>
            </w:r>
          </w:p>
        </w:tc>
        <w:tc>
          <w:tcPr>
            <w:tcW w:w="100" w:type="dxa"/>
            <w:vAlign w:val="bottom"/>
          </w:tcPr>
          <w:p>
            <w:pPr>
              <w:spacing w:after="0"/>
              <w:rPr>
                <w:sz w:val="10"/>
                <w:szCs w:val="10"/>
                <w:color w:val="auto"/>
              </w:rPr>
            </w:pPr>
          </w:p>
        </w:tc>
        <w:tc>
          <w:tcPr>
            <w:tcW w:w="84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Facilities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Equity-indexed compensation expense - operations</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w w:val="99"/>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Selected items impacting comparability of segment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320"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intersegment amounts.</w:t>
      </w:r>
    </w:p>
    <w:p>
      <w:pPr>
        <w:spacing w:after="0" w:line="23" w:lineRule="exact"/>
        <w:rPr>
          <w:sz w:val="20"/>
          <w:szCs w:val="20"/>
          <w:color w:val="auto"/>
        </w:rPr>
      </w:pPr>
    </w:p>
    <w:p>
      <w:pPr>
        <w:ind w:left="20" w:right="80" w:hanging="11"/>
        <w:spacing w:after="0" w:line="250"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1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31750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40" w:space="500"/>
            <w:col w:w="10820"/>
          </w:cols>
          <w:pgMar w:left="240" w:top="320" w:right="199" w:bottom="0" w:gutter="0" w:footer="0" w:header="0"/>
          <w:type w:val="continuous"/>
        </w:sectPr>
      </w:pPr>
    </w:p>
    <w:bookmarkStart w:id="8" w:name="page9"/>
    <w:bookmarkEnd w:id="8"/>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380" w:type="dxa"/>
            <w:vAlign w:val="bottom"/>
            <w:gridSpan w:val="6"/>
          </w:tcPr>
          <w:p>
            <w:pPr>
              <w:ind w:lef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692"/>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020" w:type="dxa"/>
            <w:vAlign w:val="bottom"/>
            <w:tcBorders>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Transportation segment (average daily volumes in thousands of barrels per day):</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Tariff activities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All American</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23"/>
                <w:szCs w:val="23"/>
                <w:color w:val="auto"/>
                <w:vertAlign w:val="superscript"/>
              </w:rPr>
              <w:t>(2)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Basin / Mesa / Sunrise</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714</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839</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BridgeTex</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Cactus</w:t>
            </w: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Capline</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23"/>
                <w:szCs w:val="23"/>
                <w:color w:val="auto"/>
                <w:vertAlign w:val="superscript"/>
              </w:rPr>
              <w:t>(2)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Line 63 / Line 2000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Manito</w:t>
            </w: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Mid-Continent Area Systems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Permian Basin Area Systems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836</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795</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Rainbow</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Rangeland</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3"/>
                <w:szCs w:val="23"/>
                <w:color w:val="auto"/>
                <w:vertAlign w:val="superscript"/>
              </w:rPr>
              <w:t>(2)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South Saskatchewan</w:t>
            </w: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White Cliffs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Other</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740</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Pipelines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Co-Ed</w:t>
            </w: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Tariff activities total</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Transportation segment 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22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4,387</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 monthly</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capacity in millions of barrels)</w:t>
            </w:r>
          </w:p>
        </w:tc>
        <w:tc>
          <w:tcPr>
            <w:tcW w:w="10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Rail load / unload volumes (average volumes in thousands of barrels per day)</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vMerge w:val="continue"/>
          </w:tcPr>
          <w:p>
            <w:pPr>
              <w:spacing w:after="0"/>
              <w:rPr>
                <w:sz w:val="20"/>
                <w:szCs w:val="20"/>
                <w:color w:val="auto"/>
              </w:rPr>
            </w:pPr>
          </w:p>
        </w:tc>
        <w:tc>
          <w:tcPr>
            <w:tcW w:w="1020" w:type="dxa"/>
            <w:vAlign w:val="bottom"/>
            <w:tcBorders>
              <w:bottom w:val="single" w:sz="8" w:color="auto"/>
            </w:tcBorders>
          </w:tcPr>
          <w:p>
            <w:pPr>
              <w:ind w:left="760"/>
              <w:spacing w:after="0" w:line="196" w:lineRule="exact"/>
              <w:rPr>
                <w:sz w:val="20"/>
                <w:szCs w:val="20"/>
                <w:color w:val="auto"/>
              </w:rPr>
            </w:pPr>
            <w:r>
              <w:rPr>
                <w:rFonts w:ascii="Arial" w:cs="Arial" w:eastAsia="Arial" w:hAnsi="Arial"/>
                <w:sz w:val="18"/>
                <w:szCs w:val="18"/>
                <w:color w:val="auto"/>
                <w:w w:val="79"/>
              </w:rPr>
              <w:t>220</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Natural gas storage (average monthly working capacity in billions of cubic feet)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tcPr>
          <w:p>
            <w:pPr>
              <w:ind w:left="16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220" w:type="dxa"/>
            <w:vAlign w:val="bottom"/>
            <w:tcBorders>
              <w:bottom w:val="single" w:sz="8" w:color="CCEEFF"/>
            </w:tcBorders>
            <w:vMerge w:val="continue"/>
          </w:tcPr>
          <w:p>
            <w:pPr>
              <w:spacing w:after="0"/>
              <w:rPr>
                <w:sz w:val="20"/>
                <w:szCs w:val="20"/>
                <w:color w:val="auto"/>
              </w:rPr>
            </w:pPr>
          </w:p>
        </w:tc>
        <w:tc>
          <w:tcPr>
            <w:tcW w:w="1020" w:type="dxa"/>
            <w:vAlign w:val="bottom"/>
            <w:tcBorders>
              <w:bottom w:val="single" w:sz="8" w:color="auto"/>
            </w:tcBorders>
          </w:tcPr>
          <w:p>
            <w:pPr>
              <w:ind w:left="760"/>
              <w:spacing w:after="0" w:line="196" w:lineRule="exact"/>
              <w:rPr>
                <w:sz w:val="20"/>
                <w:szCs w:val="20"/>
                <w:color w:val="auto"/>
              </w:rPr>
            </w:pPr>
            <w:r>
              <w:rPr>
                <w:rFonts w:ascii="Arial" w:cs="Arial" w:eastAsia="Arial" w:hAnsi="Arial"/>
                <w:sz w:val="18"/>
                <w:szCs w:val="18"/>
                <w:color w:val="auto"/>
                <w:w w:val="79"/>
              </w:rPr>
              <w:t>103</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tcBorders>
              <w:bottom w:val="single" w:sz="8" w:color="CCEEFF"/>
            </w:tcBorders>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Facilities segment total (average monthly volumes in millions of barrels) </w:t>
            </w:r>
            <w:r>
              <w:rPr>
                <w:rFonts w:ascii="Arial" w:cs="Arial" w:eastAsia="Arial" w:hAnsi="Arial"/>
                <w:sz w:val="22"/>
                <w:szCs w:val="22"/>
                <w:color w:val="auto"/>
                <w:vertAlign w:val="superscript"/>
              </w:rPr>
              <w:t>(3)</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760"/>
              <w:spacing w:after="0" w:line="196" w:lineRule="exact"/>
              <w:rPr>
                <w:sz w:val="20"/>
                <w:szCs w:val="20"/>
                <w:color w:val="auto"/>
              </w:rPr>
            </w:pPr>
            <w:r>
              <w:rPr>
                <w:rFonts w:ascii="Arial" w:cs="Arial" w:eastAsia="Arial" w:hAnsi="Arial"/>
                <w:sz w:val="18"/>
                <w:szCs w:val="18"/>
                <w:color w:val="auto"/>
                <w:w w:val="79"/>
              </w:rPr>
              <w:t>125</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Supply and Logistics segment (average daily volumes in thousands of barrels per</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day):</w:t>
            </w: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Crude oil lease gathering purchases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967</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974</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Supply and Logistics segment 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70"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Volumes associated with assets employed through acquisitions and capital expansion projects represent total volumes (attributable to our interest) for the number of days or months we employed the assets divided by the number of days or months in the period. Area systems include volumes (attributable to our interest) from our investments in unconsolidated entities.</w:t>
      </w:r>
    </w:p>
    <w:p>
      <w:pPr>
        <w:ind w:left="20" w:hanging="11"/>
        <w:spacing w:after="0" w:line="295"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6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70" w:orient="portrait"/>
          <w:cols w:equalWidth="0" w:num="2">
            <w:col w:w="140" w:space="500"/>
            <w:col w:w="10780"/>
          </w:cols>
          <w:pgMar w:left="240" w:top="12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ectPr>
          <w:pgSz w:w="11900" w:h="16870" w:orient="portrait"/>
          <w:cols w:equalWidth="0" w:num="1">
            <w:col w:w="11420"/>
          </w:cols>
          <w:pgMar w:left="240" w:top="121" w:right="239" w:bottom="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right="400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7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287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6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income/(loss) attributable to limited partners</w:t>
            </w: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w w:val="94"/>
              </w:rPr>
              <w:t xml:space="preserve">Less: Undistributed earnings allocated and distributions to participating securities </w:t>
            </w:r>
            <w:r>
              <w:rPr>
                <w:rFonts w:ascii="Arial" w:cs="Arial" w:eastAsia="Arial" w:hAnsi="Arial"/>
                <w:sz w:val="23"/>
                <w:szCs w:val="23"/>
                <w:color w:val="auto"/>
                <w:w w:val="94"/>
                <w:vertAlign w:val="superscript"/>
              </w:rPr>
              <w:t>(1)</w:t>
            </w:r>
          </w:p>
        </w:tc>
        <w:tc>
          <w:tcPr>
            <w:tcW w:w="6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income/(loss) attributable to limited partners in accordance with application of the</w:t>
            </w: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vMerge w:val="continue"/>
            <w:shd w:val="clear" w:color="auto" w:fill="CCEEFF"/>
          </w:tcPr>
          <w:p>
            <w:pPr>
              <w:spacing w:after="0"/>
              <w:rPr>
                <w:sz w:val="15"/>
                <w:szCs w:val="15"/>
                <w:color w:val="auto"/>
              </w:rPr>
            </w:pPr>
          </w:p>
        </w:tc>
        <w:tc>
          <w:tcPr>
            <w:tcW w:w="660" w:type="dxa"/>
            <w:vAlign w:val="bottom"/>
            <w:vMerge w:val="restart"/>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78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660" w:type="dxa"/>
            <w:vAlign w:val="bottom"/>
            <w:vMerge w:val="continue"/>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income/(loss) per limited partner unit</w:t>
            </w: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(0.06)</w:t>
            </w:r>
          </w:p>
        </w:tc>
        <w:tc>
          <w:tcPr>
            <w:tcW w:w="7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0.45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7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287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6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income/(loss) attributable to limited partners</w:t>
            </w: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w w:val="94"/>
              </w:rPr>
              <w:t xml:space="preserve">Less: Undistributed earnings allocated and distributions to participating securities </w:t>
            </w:r>
            <w:r>
              <w:rPr>
                <w:rFonts w:ascii="Arial" w:cs="Arial" w:eastAsia="Arial" w:hAnsi="Arial"/>
                <w:sz w:val="23"/>
                <w:szCs w:val="23"/>
                <w:color w:val="auto"/>
                <w:w w:val="94"/>
                <w:vertAlign w:val="superscript"/>
              </w:rPr>
              <w:t>(1)</w:t>
            </w:r>
          </w:p>
        </w:tc>
        <w:tc>
          <w:tcPr>
            <w:tcW w:w="6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income/(loss) attributable to limited partners in accordance with application of the</w:t>
            </w: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vMerge w:val="continue"/>
            <w:shd w:val="clear" w:color="auto" w:fill="CCEEFF"/>
          </w:tcPr>
          <w:p>
            <w:pPr>
              <w:spacing w:after="0"/>
              <w:rPr>
                <w:sz w:val="15"/>
                <w:szCs w:val="15"/>
                <w:color w:val="auto"/>
              </w:rPr>
            </w:pPr>
          </w:p>
        </w:tc>
        <w:tc>
          <w:tcPr>
            <w:tcW w:w="660" w:type="dxa"/>
            <w:vAlign w:val="bottom"/>
            <w:vMerge w:val="restart"/>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78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660" w:type="dxa"/>
            <w:vAlign w:val="bottom"/>
            <w:vMerge w:val="continue"/>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6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income/(loss) per limited partner unit</w:t>
            </w: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(0.06)</w:t>
            </w:r>
          </w:p>
        </w:tc>
        <w:tc>
          <w:tcPr>
            <w:tcW w:w="7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0.45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60" w:hanging="11"/>
        <w:spacing w:after="0" w:line="254" w:lineRule="auto"/>
        <w:rPr>
          <w:sz w:val="20"/>
          <w:szCs w:val="20"/>
          <w:color w:val="auto"/>
        </w:rPr>
      </w:pPr>
      <w:r>
        <w:rPr>
          <w:rFonts w:ascii="Arial" w:cs="Arial" w:eastAsia="Arial" w:hAnsi="Arial"/>
          <w:sz w:val="18"/>
          <w:szCs w:val="18"/>
          <w:color w:val="auto"/>
        </w:rPr>
        <w:t>We calculate net income/(loss) attributable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 w:lineRule="exact"/>
        <w:rPr>
          <w:sz w:val="20"/>
          <w:szCs w:val="20"/>
          <w:color w:val="auto"/>
        </w:rPr>
      </w:pPr>
    </w:p>
    <w:p>
      <w:pPr>
        <w:ind w:left="20" w:right="100" w:hanging="11"/>
        <w:spacing w:after="0" w:line="254" w:lineRule="auto"/>
        <w:rPr>
          <w:sz w:val="20"/>
          <w:szCs w:val="20"/>
          <w:color w:val="auto"/>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9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4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3"/>
                <w:szCs w:val="23"/>
                <w:color w:val="auto"/>
                <w:vertAlign w:val="superscript"/>
              </w:rPr>
              <w:t>(2)</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7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(4)</w:t>
            </w:r>
          </w:p>
        </w:tc>
        <w:tc>
          <w:tcPr>
            <w:tcW w:w="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gain/(loss) on foreign currency revaluation</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Line 901 incident</w:t>
            </w:r>
          </w:p>
        </w:tc>
        <w:tc>
          <w:tcPr>
            <w:tcW w:w="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Deferred income tax expense </w:t>
            </w:r>
            <w:r>
              <w:rPr>
                <w:rFonts w:ascii="Arial" w:cs="Arial" w:eastAsia="Arial" w:hAnsi="Arial"/>
                <w:sz w:val="23"/>
                <w:szCs w:val="23"/>
                <w:color w:val="auto"/>
                <w:vertAlign w:val="superscript"/>
              </w:rPr>
              <w:t>(5)</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6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 of net income attributable to PAA</w:t>
            </w:r>
          </w:p>
        </w:tc>
        <w:tc>
          <w:tcPr>
            <w:tcW w:w="660" w:type="dxa"/>
            <w:vAlign w:val="bottom"/>
            <w:tcBorders>
              <w:top w:val="single" w:sz="8" w:color="auto"/>
              <w:bottom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limited partner unit</w:t>
            </w: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(0.33)</w:t>
            </w:r>
          </w:p>
        </w:tc>
        <w:tc>
          <w:tcPr>
            <w:tcW w:w="7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(0.06)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limited partner unit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vMerge w:val="continue"/>
          </w:tcPr>
          <w:p>
            <w:pPr>
              <w:spacing w:after="0"/>
              <w:rPr>
                <w:sz w:val="17"/>
                <w:szCs w:val="17"/>
                <w:color w:val="auto"/>
              </w:rPr>
            </w:pPr>
          </w:p>
        </w:tc>
        <w:tc>
          <w:tcPr>
            <w:tcW w:w="6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(0.33</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2"/>
              </w:rPr>
              <w:t>(0.05</w:t>
            </w:r>
          </w:p>
        </w:tc>
        <w:tc>
          <w:tcPr>
            <w:tcW w:w="2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(0.54</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type w:val="continuous"/>
        </w:sectPr>
      </w:pPr>
    </w:p>
    <w:bookmarkStart w:id="10" w:name="page11"/>
    <w:bookmarkEnd w:id="10"/>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-198755</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 w:lineRule="exact"/>
        <w:rPr>
          <w:sz w:val="20"/>
          <w:szCs w:val="20"/>
          <w:color w:val="auto"/>
        </w:rPr>
      </w:pPr>
    </w:p>
    <w:p>
      <w:pPr>
        <w:jc w:val="both"/>
        <w:ind w:left="20" w:right="180" w:firstLine="17"/>
        <w:spacing w:after="0" w:line="250" w:lineRule="auto"/>
        <w:rPr>
          <w:sz w:val="20"/>
          <w:szCs w:val="20"/>
          <w:color w:val="auto"/>
        </w:rPr>
      </w:pPr>
      <w:r>
        <w:rPr>
          <w:rFonts w:ascii="Arial" w:cs="Arial" w:eastAsia="Arial" w:hAnsi="Arial"/>
          <w:sz w:val="18"/>
          <w:szCs w:val="18"/>
          <w:color w:val="auto"/>
        </w:rPr>
        <w:t>Includes mark-to-market and other gains and losses resulting from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w:t>
      </w:r>
    </w:p>
    <w:p>
      <w:pPr>
        <w:spacing w:after="0" w:line="1" w:lineRule="exact"/>
        <w:rPr>
          <w:sz w:val="20"/>
          <w:szCs w:val="20"/>
          <w:color w:val="auto"/>
        </w:rPr>
      </w:pPr>
    </w:p>
    <w:p>
      <w:pPr>
        <w:ind w:left="20" w:right="40" w:hanging="11"/>
        <w:spacing w:after="0" w:line="265" w:lineRule="auto"/>
        <w:rPr>
          <w:sz w:val="20"/>
          <w:szCs w:val="20"/>
          <w:color w:val="auto"/>
        </w:rPr>
      </w:pPr>
      <w:r>
        <w:rPr>
          <w:rFonts w:ascii="Arial" w:cs="Arial" w:eastAsia="Arial" w:hAnsi="Arial"/>
          <w:sz w:val="17"/>
          <w:szCs w:val="17"/>
          <w:color w:val="auto"/>
        </w:rPr>
        <w:t>Includes the impact of changes in the average cost of long-term inventory that result from fluctuations in market prices and writedowns of such inventory that result from price declines. Long-term inventory consists of minimum working inventory requirements in third-party assets and other working inventory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See Note 5 to our Consolidated Financial Statements included in Part IV of our 2014 Annual Report on Form 10-K for a complete discussion of our long-term inventory.</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Includes equity-indexed compensation expense associated with LTIP awards that will or may be settled in units, as the dilutive impact of these outstanding awards is included in our diluted net income per unit calculation and the majority of these awards are expected to be settled in units. Includes the initial cumulative effect of the recent change in Canadian tax legislation.</w:t>
      </w:r>
    </w:p>
    <w:p>
      <w:pPr>
        <w:spacing w:after="0" w:line="19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57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60" w:type="dxa"/>
            <w:vAlign w:val="bottom"/>
            <w:gridSpan w:val="5"/>
          </w:tcPr>
          <w:p>
            <w:pPr>
              <w:jc w:val="right"/>
              <w:ind w:right="7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Limited Partner Unit</w:t>
            </w: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287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attributable to limited partners</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line="216" w:lineRule="exact"/>
              <w:rPr>
                <w:sz w:val="20"/>
                <w:szCs w:val="20"/>
                <w:color w:val="auto"/>
              </w:rPr>
            </w:pPr>
            <w:r>
              <w:rPr>
                <w:rFonts w:ascii="Arial" w:cs="Arial" w:eastAsia="Arial" w:hAnsi="Arial"/>
                <w:sz w:val="18"/>
                <w:szCs w:val="18"/>
                <w:color w:val="auto"/>
                <w:w w:val="94"/>
              </w:rPr>
              <w:t xml:space="preserve">Less: Undistributed earnings allocated and distributions to participating securities </w:t>
            </w:r>
            <w:r>
              <w:rPr>
                <w:rFonts w:ascii="Arial" w:cs="Arial" w:eastAsia="Arial" w:hAnsi="Arial"/>
                <w:sz w:val="23"/>
                <w:szCs w:val="23"/>
                <w:color w:val="auto"/>
                <w:w w:val="94"/>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68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limited partner unit</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0.27</w:t>
            </w: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0.51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0.84</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287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attributable to limited partners</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line="216" w:lineRule="exact"/>
              <w:rPr>
                <w:sz w:val="20"/>
                <w:szCs w:val="20"/>
                <w:color w:val="auto"/>
              </w:rPr>
            </w:pPr>
            <w:r>
              <w:rPr>
                <w:rFonts w:ascii="Arial" w:cs="Arial" w:eastAsia="Arial" w:hAnsi="Arial"/>
                <w:sz w:val="18"/>
                <w:szCs w:val="18"/>
                <w:color w:val="auto"/>
                <w:w w:val="94"/>
              </w:rPr>
              <w:t xml:space="preserve">Less: Undistributed earnings allocated and distributions to participating securities </w:t>
            </w:r>
            <w:r>
              <w:rPr>
                <w:rFonts w:ascii="Arial" w:cs="Arial" w:eastAsia="Arial" w:hAnsi="Arial"/>
                <w:sz w:val="23"/>
                <w:szCs w:val="23"/>
                <w:color w:val="auto"/>
                <w:w w:val="94"/>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68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limited partner unit</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0.27</w:t>
            </w: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0.50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0.83</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71"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3" w:lineRule="exact"/>
        <w:rPr>
          <w:sz w:val="20"/>
          <w:szCs w:val="20"/>
          <w:color w:val="auto"/>
        </w:rPr>
      </w:pPr>
    </w:p>
    <w:p>
      <w:pPr>
        <w:ind w:left="20" w:right="60" w:hanging="11"/>
        <w:spacing w:after="0" w:line="254" w:lineRule="auto"/>
        <w:rPr>
          <w:sz w:val="20"/>
          <w:szCs w:val="20"/>
          <w:color w:val="auto"/>
        </w:rPr>
      </w:pPr>
      <w:r>
        <w:rPr>
          <w:rFonts w:ascii="Arial" w:cs="Arial" w:eastAsia="Arial" w:hAnsi="Arial"/>
          <w:sz w:val="18"/>
          <w:szCs w:val="18"/>
          <w:color w:val="auto"/>
        </w:rPr>
        <w:t>We calculate adjusted net income attributable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9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1660"/>
        <w:spacing w:after="0"/>
        <w:tabs>
          <w:tab w:leader="none" w:pos="4160" w:val="left"/>
          <w:tab w:leader="none" w:pos="62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57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Page 14</w:t>
      </w:r>
    </w:p>
    <w:p>
      <w:pPr>
        <w:sectPr>
          <w:pgSz w:w="11900" w:h="16838" w:orient="portrait"/>
          <w:cols w:equalWidth="0" w:num="1">
            <w:col w:w="11420"/>
          </w:cols>
          <w:pgMar w:left="240" w:top="571" w:right="239" w:bottom="0" w:gutter="0" w:footer="0" w:header="0"/>
          <w:type w:val="continuous"/>
        </w:sectPr>
      </w:pPr>
    </w:p>
    <w:bookmarkStart w:id="11" w:name="page12"/>
    <w:bookmarkEnd w:id="11"/>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98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5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65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Net Income to Earnings Before Interest, Taxes, Depreciation and Amortization</w:t>
            </w: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(“EBITDA”) and Excluding Selected Items Impacting Comparability</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 Reconciliations</w:t>
            </w: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124</w:t>
            </w:r>
          </w:p>
        </w:tc>
        <w:tc>
          <w:tcPr>
            <w:tcW w:w="82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288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Interest expense, net</w:t>
            </w: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Add: Income tax expense</w:t>
            </w: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Depreciation and amortization</w:t>
            </w: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EBITDA</w:t>
            </w:r>
          </w:p>
        </w:tc>
        <w:tc>
          <w:tcPr>
            <w:tcW w:w="720" w:type="dxa"/>
            <w:vAlign w:val="bottom"/>
            <w:tcBorders>
              <w:top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492</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Adjusted EBITDA</w:t>
            </w:r>
          </w:p>
        </w:tc>
        <w:tc>
          <w:tcPr>
            <w:tcW w:w="72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512</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98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 Reconciliation</w:t>
            </w: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Adjusted EBITDA</w:t>
            </w: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486</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512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1,108</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1,079</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Equity earnings in unconsolidated entities, net of distributions</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652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(2)</w:t>
            </w: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367</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60"/>
          </w:cols>
          <w:pgMar w:left="240" w:top="337"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distributions that pertain to the current period’s net income, which are paid in the subsequent period.</w:t>
      </w:r>
    </w:p>
    <w:p>
      <w:pPr>
        <w:spacing w:after="0" w:line="23" w:lineRule="exact"/>
        <w:rPr>
          <w:sz w:val="20"/>
          <w:szCs w:val="20"/>
          <w:color w:val="auto"/>
        </w:rPr>
      </w:pPr>
    </w:p>
    <w:p>
      <w:pPr>
        <w:ind w:left="20" w:right="60" w:hanging="11"/>
        <w:spacing w:after="0" w:line="261" w:lineRule="auto"/>
        <w:rPr>
          <w:sz w:val="20"/>
          <w:szCs w:val="20"/>
          <w:color w:val="auto"/>
        </w:rPr>
      </w:pPr>
      <w:r>
        <w:rPr>
          <w:rFonts w:ascii="Arial" w:cs="Arial" w:eastAsia="Arial" w:hAnsi="Arial"/>
          <w:sz w:val="18"/>
          <w:szCs w:val="18"/>
          <w:color w:val="auto"/>
        </w:rPr>
        <w:t>Including costs of $65 million related to our Line 901 incident that occurred during May 2015, Implied DCF would have been $241 million and $684 million for the three and six months ended June 30, 2015, respectively.</w:t>
      </w:r>
    </w:p>
    <w:p>
      <w:pPr>
        <w:spacing w:after="0" w:line="163" w:lineRule="exact"/>
        <w:rPr>
          <w:sz w:val="20"/>
          <w:szCs w:val="20"/>
          <w:color w:val="auto"/>
        </w:rPr>
      </w:pPr>
    </w:p>
    <w:p>
      <w:pPr>
        <w:sectPr>
          <w:pgSz w:w="11900" w:h="16900" w:orient="portrait"/>
          <w:cols w:equalWidth="0" w:num="2">
            <w:col w:w="140" w:space="500"/>
            <w:col w:w="10820"/>
          </w:cols>
          <w:pgMar w:left="240" w:top="337" w:right="19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Net Cash Provided by Operating Activities Reconciliation</w:t>
            </w: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EBITDA</w:t>
            </w:r>
          </w:p>
        </w:tc>
        <w:tc>
          <w:tcPr>
            <w:tcW w:w="19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492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881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assets and liabilities, net of acquisitions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Other items to reconcile to net cash provided by operating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cash provided by/(used in) operating activities</w:t>
            </w:r>
          </w:p>
        </w:tc>
        <w:tc>
          <w:tcPr>
            <w:tcW w:w="19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900" w:type="dxa"/>
            <w:vAlign w:val="bottom"/>
            <w:vMerge w:val="restart"/>
          </w:tcPr>
          <w:p>
            <w:pPr>
              <w:ind w:left="780"/>
              <w:spacing w:after="0"/>
              <w:rPr>
                <w:sz w:val="20"/>
                <w:szCs w:val="20"/>
                <w:color w:val="auto"/>
              </w:rPr>
            </w:pPr>
            <w:r>
              <w:rPr>
                <w:rFonts w:ascii="Arial" w:cs="Arial" w:eastAsia="Arial" w:hAnsi="Arial"/>
                <w:sz w:val="18"/>
                <w:szCs w:val="18"/>
                <w:color w:val="auto"/>
              </w:rPr>
              <w:t>– more –</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00" w:type="dxa"/>
            <w:vAlign w:val="bottom"/>
          </w:tcPr>
          <w:p>
            <w:pPr>
              <w:ind w:left="200"/>
              <w:spacing w:after="0"/>
              <w:rPr>
                <w:sz w:val="20"/>
                <w:szCs w:val="20"/>
                <w:color w:val="auto"/>
              </w:rPr>
            </w:pPr>
            <w:r>
              <w:rPr>
                <w:rFonts w:ascii="Arial" w:cs="Arial" w:eastAsia="Arial" w:hAnsi="Arial"/>
                <w:sz w:val="18"/>
                <w:szCs w:val="18"/>
                <w:b w:val="1"/>
                <w:bCs w:val="1"/>
                <w:color w:val="auto"/>
                <w:w w:val="88"/>
              </w:rPr>
              <w:t>Houston, Texas 77002</w:t>
            </w:r>
          </w:p>
        </w:tc>
        <w:tc>
          <w:tcPr>
            <w:tcW w:w="240" w:type="dxa"/>
            <w:vAlign w:val="bottom"/>
          </w:tcPr>
          <w:p>
            <w:pPr>
              <w:spacing w:after="0"/>
              <w:rPr>
                <w:sz w:val="20"/>
                <w:szCs w:val="20"/>
                <w:color w:val="auto"/>
              </w:rPr>
            </w:pPr>
          </w:p>
        </w:tc>
        <w:tc>
          <w:tcPr>
            <w:tcW w:w="2520" w:type="dxa"/>
            <w:vAlign w:val="bottom"/>
            <w:gridSpan w:val="7"/>
          </w:tcPr>
          <w:p>
            <w:pPr>
              <w:jc w:val="right"/>
              <w:ind w:right="85"/>
              <w:spacing w:after="0"/>
              <w:rPr>
                <w:sz w:val="20"/>
                <w:szCs w:val="20"/>
                <w:color w:val="auto"/>
              </w:rPr>
            </w:pPr>
            <w:r>
              <w:rPr>
                <w:rFonts w:ascii="Arial" w:cs="Arial" w:eastAsia="Arial" w:hAnsi="Arial"/>
                <w:sz w:val="18"/>
                <w:szCs w:val="18"/>
                <w:b w:val="1"/>
                <w:bCs w:val="1"/>
                <w:color w:val="auto"/>
                <w:w w:val="97"/>
              </w:rPr>
              <w:t>713-646-4100 / 866-809-1291</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62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 2015</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w w:val="92"/>
              </w:rPr>
              <w:t>June 30, 2014</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20" w:type="dxa"/>
            <w:vAlign w:val="bottom"/>
          </w:tcPr>
          <w:p>
            <w:pPr>
              <w:spacing w:after="0"/>
              <w:rPr>
                <w:sz w:val="10"/>
                <w:szCs w:val="10"/>
                <w:color w:val="auto"/>
              </w:rPr>
            </w:pPr>
          </w:p>
        </w:tc>
        <w:tc>
          <w:tcPr>
            <w:tcW w:w="9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2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6,663</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5,848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5,848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10,280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7"/>
              </w:rPr>
              <w:t>General and administrative expenses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37" w:right="199"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6,454</w:t>
            </w:r>
          </w:p>
        </w:tc>
        <w:tc>
          <w:tcPr>
            <w:tcW w:w="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6,455</w:t>
            </w: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10,830</w:t>
            </w: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209</w:t>
            </w:r>
          </w:p>
        </w:tc>
        <w:tc>
          <w:tcPr>
            <w:tcW w:w="8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365</w:t>
            </w:r>
          </w:p>
        </w:tc>
        <w:tc>
          <w:tcPr>
            <w:tcW w:w="4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earnings in unconsolidated entities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8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4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310</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8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(18)</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(21)</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(73)</w:t>
            </w:r>
          </w:p>
        </w:tc>
        <w:tc>
          <w:tcPr>
            <w:tcW w:w="36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vMerge w:val="continue"/>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5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880" w:type="dxa"/>
            <w:vAlign w:val="bottom"/>
            <w:vMerge w:val="restart"/>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w w:val="99"/>
              </w:rPr>
              <w:t>(94)</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287</w:t>
            </w: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(272)</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10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40" w:type="dxa"/>
            <w:vAlign w:val="bottom"/>
            <w:tcBorders>
              <w:right w:val="single" w:sz="8" w:color="auto"/>
            </w:tcBorders>
            <w:gridSpan w:val="2"/>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w w:val="98"/>
              </w:rPr>
              <w:t>BASIC WEIGHTED AVERAGE CLASS A SHARES OUTSTANDING</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gridSpan w:val="3"/>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3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 2015</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2014</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4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2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2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10,890</w:t>
            </w: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10,890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20,950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12,027</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12,030</w:t>
            </w: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earnings in unconsolidated entities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vMerge w:val="continue"/>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407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(642)</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10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80" w:type="dxa"/>
            <w:vAlign w:val="bottom"/>
            <w:tcBorders>
              <w:right w:val="single" w:sz="8" w:color="auto"/>
            </w:tcBorders>
            <w:gridSpan w:val="2"/>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13" w:name="page14"/>
    <w:bookmarkEnd w:id="1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0.28</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0.27</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4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218</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4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606</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2015</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Borders>
              <w:right w:val="single" w:sz="8" w:color="auto"/>
            </w:tcBorders>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3,944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3,946</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13,028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13,048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2,442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Long-term inventory</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22,884</w:t>
            </w:r>
          </w:p>
        </w:tc>
        <w:tc>
          <w:tcPr>
            <w:tcW w:w="2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24,754</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4,475</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Senior notes, net of unamortized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discount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8,759</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8,759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9"/>
              </w:rPr>
              <w:t>Other long-term liabilities and deferred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credits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14,740</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8,647</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1,801</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8,213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7,666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Pr>
          <w:p>
            <w:pPr>
              <w:ind w:left="360"/>
              <w:spacing w:after="0" w:line="182" w:lineRule="exact"/>
              <w:rPr>
                <w:sz w:val="20"/>
                <w:szCs w:val="20"/>
                <w:color w:val="auto"/>
              </w:rPr>
            </w:pPr>
            <w:r>
              <w:rPr>
                <w:rFonts w:ascii="Arial" w:cs="Arial" w:eastAsia="Arial" w:hAnsi="Arial"/>
                <w:sz w:val="18"/>
                <w:szCs w:val="18"/>
                <w:color w:val="auto"/>
              </w:rPr>
              <w:t>Total liabilities and partners’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22,884</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1,870</w:t>
            </w:r>
          </w:p>
        </w:tc>
        <w:tc>
          <w:tcPr>
            <w:tcW w:w="140" w:type="dxa"/>
            <w:vAlign w:val="bottom"/>
          </w:tcPr>
          <w:p>
            <w:pPr>
              <w:spacing w:after="0"/>
              <w:rPr>
                <w:sz w:val="15"/>
                <w:szCs w:val="15"/>
                <w:color w:val="auto"/>
              </w:rPr>
            </w:pPr>
          </w:p>
        </w:tc>
        <w:tc>
          <w:tcPr>
            <w:tcW w:w="3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24,754</w:t>
            </w:r>
          </w:p>
        </w:tc>
        <w:tc>
          <w:tcPr>
            <w:tcW w:w="46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22,256</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1,727</w:t>
            </w:r>
          </w:p>
        </w:tc>
        <w:tc>
          <w:tcPr>
            <w:tcW w:w="240" w:type="dxa"/>
            <w:vAlign w:val="bottom"/>
            <w:gridSpan w:val="2"/>
            <w:vMerge w:val="restart"/>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23,983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tcPr>
          <w:p>
            <w:pPr>
              <w:ind w:left="540"/>
              <w:spacing w:after="0"/>
              <w:rPr>
                <w:sz w:val="20"/>
                <w:szCs w:val="20"/>
                <w:color w:val="auto"/>
              </w:rPr>
            </w:pPr>
            <w:r>
              <w:rPr>
                <w:rFonts w:ascii="Arial" w:cs="Arial" w:eastAsia="Arial" w:hAnsi="Arial"/>
                <w:sz w:val="18"/>
                <w:szCs w:val="18"/>
                <w:color w:val="auto"/>
              </w:rPr>
              <w:t>capital</w:t>
            </w:r>
          </w:p>
        </w:tc>
        <w:tc>
          <w:tcPr>
            <w:tcW w:w="26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160" w:type="dxa"/>
            <w:vAlign w:val="bottom"/>
            <w:tcBorders>
              <w:right w:val="single" w:sz="8" w:color="auto"/>
            </w:tcBorders>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Q2 2015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202" w:lineRule="exact"/>
        <w:rPr>
          <w:sz w:val="20"/>
          <w:szCs w:val="20"/>
          <w:color w:val="auto"/>
        </w:rPr>
      </w:pPr>
    </w:p>
    <w:p>
      <w:pPr>
        <w:ind w:left="10320"/>
        <w:spacing w:after="0"/>
        <w:rPr>
          <w:sz w:val="20"/>
          <w:szCs w:val="20"/>
          <w:color w:val="auto"/>
        </w:rPr>
      </w:pPr>
      <w:r>
        <w:rPr>
          <w:rFonts w:ascii="Arial" w:cs="Arial" w:eastAsia="Arial" w:hAnsi="Arial"/>
          <w:sz w:val="14"/>
          <w:szCs w:val="14"/>
          <w:b w:val="1"/>
          <w:bCs w:val="1"/>
          <w:color w:val="auto"/>
        </w:rPr>
        <w:t xml:space="preserve">Q2 2015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60" w:orient="portrait"/>
          <w:cols w:equalWidth="0" w:num="1">
            <w:col w:w="11420"/>
          </w:cols>
          <w:pgMar w:left="240" w:top="356"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Distribution/LP Unit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Distribution/LP Unit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0.3822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Distribution/LP Unit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LP Units Outstanding at 7/31/15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IDR Reduction</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Debt Service</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G&amp;A Expense</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Available for Distribution by AAP</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Distributions to AAP Partners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AAP Owners &amp; AAP Management (65.6% economic interest)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PAGP (34.4% economic interest)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7/31/15</w:t>
            </w: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Distribution/Class A Share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40" w:right="199" w:bottom="262"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recalculate due to rounding.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AAP, L.P. (“AAP”) is the general partner of PAA.</w:t>
      </w:r>
    </w:p>
    <w:p>
      <w:pPr>
        <w:spacing w:after="0" w:line="21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jc w:val="right"/>
        <w:ind w:right="2340"/>
        <w:spacing w:after="0"/>
        <w:tabs>
          <w:tab w:leader="none" w:pos="4280" w:val="left"/>
          <w:tab w:leader="none" w:pos="216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820"/>
          </w:cols>
          <w:pgMar w:left="240" w:top="140" w:right="199" w:bottom="26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80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Class A Share</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PAGP</w:t>
            </w:r>
          </w:p>
        </w:tc>
        <w:tc>
          <w:tcPr>
            <w:tcW w:w="6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6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PAGP</w:t>
            </w:r>
          </w:p>
        </w:tc>
        <w:tc>
          <w:tcPr>
            <w:tcW w:w="6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Incremental net income attributable to PAGP resulting from assumed exchange of</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AAP units</w:t>
            </w:r>
          </w:p>
        </w:tc>
        <w:tc>
          <w:tcPr>
            <w:tcW w:w="6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500" w:type="dxa"/>
            <w:vAlign w:val="bottom"/>
            <w:gridSpan w:val="4"/>
          </w:tcPr>
          <w:p>
            <w:pPr>
              <w:ind w:left="180"/>
              <w:spacing w:after="0" w:line="169" w:lineRule="exact"/>
              <w:rPr>
                <w:sz w:val="20"/>
                <w:szCs w:val="20"/>
                <w:color w:val="auto"/>
              </w:rPr>
            </w:pPr>
            <w:r>
              <w:rPr>
                <w:rFonts w:ascii="Arial" w:cs="Arial" w:eastAsia="Arial" w:hAnsi="Arial"/>
                <w:sz w:val="18"/>
                <w:szCs w:val="18"/>
                <w:color w:val="auto"/>
                <w:w w:val="97"/>
              </w:rPr>
              <w:t>Net income attributable to PAGP including incremental net income from assumed</w:t>
            </w: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gridSpan w:val="2"/>
          </w:tcPr>
          <w:p>
            <w:pPr>
              <w:ind w:left="360"/>
              <w:spacing w:after="0"/>
              <w:rPr>
                <w:sz w:val="20"/>
                <w:szCs w:val="20"/>
                <w:color w:val="auto"/>
              </w:rPr>
            </w:pPr>
            <w:r>
              <w:rPr>
                <w:rFonts w:ascii="Arial" w:cs="Arial" w:eastAsia="Arial" w:hAnsi="Arial"/>
                <w:sz w:val="18"/>
                <w:szCs w:val="18"/>
                <w:color w:val="auto"/>
              </w:rPr>
              <w:t>exchange of AAP units</w:t>
            </w:r>
          </w:p>
        </w:tc>
        <w:tc>
          <w:tcPr>
            <w:tcW w:w="640" w:type="dxa"/>
            <w:vAlign w:val="bottom"/>
          </w:tcPr>
          <w:p>
            <w:pPr>
              <w:spacing w:after="0"/>
              <w:rPr>
                <w:sz w:val="23"/>
                <w:szCs w:val="23"/>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9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7"/>
              </w:rPr>
              <w:t>Dilutive shares resulting from assumed exchange of AAP units</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6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rPr>
              <w:t>Diluted net income per Class A share</w:t>
            </w:r>
          </w:p>
        </w:tc>
        <w:tc>
          <w:tcPr>
            <w:tcW w:w="6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0.11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Contacts:</w:t>
            </w: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600" w:type="dxa"/>
            <w:vAlign w:val="bottom"/>
            <w:gridSpan w:val="3"/>
          </w:tcPr>
          <w:p>
            <w:pPr>
              <w:spacing w:after="0"/>
              <w:rPr>
                <w:sz w:val="20"/>
                <w:szCs w:val="20"/>
                <w:color w:val="auto"/>
              </w:rPr>
            </w:pPr>
            <w:r>
              <w:rPr>
                <w:rFonts w:ascii="Arial" w:cs="Arial" w:eastAsia="Arial" w:hAnsi="Arial"/>
                <w:sz w:val="18"/>
                <w:szCs w:val="18"/>
                <w:color w:val="auto"/>
              </w:rPr>
              <w:t>Ryan Smith</w:t>
            </w:r>
          </w:p>
        </w:tc>
        <w:tc>
          <w:tcPr>
            <w:tcW w:w="640" w:type="dxa"/>
            <w:vAlign w:val="bottom"/>
          </w:tcPr>
          <w:p>
            <w:pPr>
              <w:spacing w:after="0"/>
              <w:rPr>
                <w:sz w:val="24"/>
                <w:szCs w:val="24"/>
                <w:color w:val="auto"/>
              </w:rPr>
            </w:pP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Al Swanson</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Director, Investor Relations</w:t>
            </w:r>
          </w:p>
        </w:tc>
        <w:tc>
          <w:tcPr>
            <w:tcW w:w="640" w:type="dxa"/>
            <w:vAlign w:val="bottom"/>
          </w:tcPr>
          <w:p>
            <w:pPr>
              <w:spacing w:after="0"/>
              <w:rPr>
                <w:sz w:val="18"/>
                <w:szCs w:val="18"/>
                <w:color w:val="auto"/>
              </w:rPr>
            </w:pPr>
          </w:p>
        </w:tc>
        <w:tc>
          <w:tcPr>
            <w:tcW w:w="2820" w:type="dxa"/>
            <w:vAlign w:val="bottom"/>
            <w:gridSpan w:val="6"/>
          </w:tcPr>
          <w:p>
            <w:pPr>
              <w:ind w:left="480"/>
              <w:spacing w:after="0"/>
              <w:rPr>
                <w:sz w:val="20"/>
                <w:szCs w:val="20"/>
                <w:color w:val="auto"/>
              </w:rPr>
            </w:pPr>
            <w:r>
              <w:rPr>
                <w:rFonts w:ascii="Arial" w:cs="Arial" w:eastAsia="Arial" w:hAnsi="Arial"/>
                <w:sz w:val="18"/>
                <w:szCs w:val="18"/>
                <w:color w:val="auto"/>
                <w:w w:val="93"/>
              </w:rPr>
              <w:t>Executive Vice President, CFO</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(866) 809-1291</w:t>
            </w:r>
          </w:p>
        </w:tc>
        <w:tc>
          <w:tcPr>
            <w:tcW w:w="640" w:type="dxa"/>
            <w:vAlign w:val="bottom"/>
          </w:tcPr>
          <w:p>
            <w:pPr>
              <w:spacing w:after="0"/>
              <w:rPr>
                <w:sz w:val="20"/>
                <w:szCs w:val="20"/>
                <w:color w:val="auto"/>
              </w:rPr>
            </w:pP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w w:val="90"/>
              </w:rPr>
              <w:t>(800) 564-3036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2420" w:type="dxa"/>
            <w:vAlign w:val="bottom"/>
            <w:tcBorders>
              <w:bottom w:val="single" w:sz="8" w:color="auto"/>
            </w:tcBorders>
            <w:gridSpan w:val="7"/>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2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8"/>
              </w:rPr>
              <w:t>Houston, Texas 77002</w:t>
            </w:r>
          </w:p>
        </w:tc>
        <w:tc>
          <w:tcPr>
            <w:tcW w:w="2420" w:type="dxa"/>
            <w:vAlign w:val="bottom"/>
            <w:gridSpan w:val="7"/>
          </w:tcPr>
          <w:p>
            <w:pPr>
              <w:jc w:val="right"/>
              <w:ind w:right="85"/>
              <w:spacing w:after="0"/>
              <w:rPr>
                <w:sz w:val="20"/>
                <w:szCs w:val="20"/>
                <w:color w:val="auto"/>
              </w:rPr>
            </w:pPr>
            <w:r>
              <w:rPr>
                <w:rFonts w:ascii="Arial" w:cs="Arial" w:eastAsia="Arial" w:hAnsi="Arial"/>
                <w:sz w:val="18"/>
                <w:szCs w:val="18"/>
                <w:b w:val="1"/>
                <w:bCs w:val="1"/>
                <w:color w:val="auto"/>
                <w:w w:val="93"/>
              </w:rPr>
              <w:t>713-646-4100 / 866-809-1291</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2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2020-01-24T04:02:27Z</dcterms:created>
  <dcterms:modified xsi:type="dcterms:W3CDTF">2020-01-24T04:02:27Z</dcterms:modified>
</cp:coreProperties>
</file>