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10,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11"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001-36132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911" w:orient="portrait"/>
          <w:cols w:equalWidth="0" w:num="3">
            <w:col w:w="4020" w:space="720"/>
            <w:col w:w="3080" w:space="720"/>
            <w:col w:w="288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TX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911"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80" w:firstLine="648"/>
        <w:spacing w:after="0" w:line="287" w:lineRule="auto"/>
        <w:rPr>
          <w:sz w:val="20"/>
          <w:szCs w:val="20"/>
          <w:color w:val="auto"/>
        </w:rPr>
      </w:pPr>
      <w:r>
        <w:rPr>
          <w:rFonts w:ascii="Arial" w:cs="Arial" w:eastAsia="Arial" w:hAnsi="Arial"/>
          <w:sz w:val="16"/>
          <w:szCs w:val="16"/>
          <w:color w:val="auto"/>
        </w:rPr>
        <w:t>On November 10, 2014, Plains GP Holdings,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PAA GP Holdings LLC (the “</w:t>
      </w:r>
      <w:r>
        <w:rPr>
          <w:rFonts w:ascii="Arial" w:cs="Arial" w:eastAsia="Arial" w:hAnsi="Arial"/>
          <w:sz w:val="16"/>
          <w:szCs w:val="16"/>
          <w:b w:val="1"/>
          <w:bCs w:val="1"/>
          <w:i w:val="1"/>
          <w:iCs w:val="1"/>
          <w:color w:val="auto"/>
        </w:rPr>
        <w:t>General Partner</w:t>
      </w:r>
      <w:r>
        <w:rPr>
          <w:rFonts w:ascii="Arial" w:cs="Arial" w:eastAsia="Arial" w:hAnsi="Arial"/>
          <w:sz w:val="16"/>
          <w:szCs w:val="16"/>
          <w:color w:val="auto"/>
        </w:rPr>
        <w:t>”) and Oxy Holding Company (Pipeline), Inc. (the “</w:t>
      </w:r>
      <w:r>
        <w:rPr>
          <w:rFonts w:ascii="Arial" w:cs="Arial" w:eastAsia="Arial" w:hAnsi="Arial"/>
          <w:sz w:val="16"/>
          <w:szCs w:val="16"/>
          <w:b w:val="1"/>
          <w:bCs w:val="1"/>
          <w:i w:val="1"/>
          <w:iCs w:val="1"/>
          <w:color w:val="auto"/>
        </w:rPr>
        <w:t>Selling Shareholder</w:t>
      </w:r>
      <w:r>
        <w:rPr>
          <w:rFonts w:ascii="Arial" w:cs="Arial" w:eastAsia="Arial" w:hAnsi="Arial"/>
          <w:sz w:val="16"/>
          <w:szCs w:val="16"/>
          <w:color w:val="auto"/>
        </w:rPr>
        <w:t>”) entered into an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with J.P. Morgan Securities LLC and Citigroup Global Markets Inc., as representatives of the several underwriters named therein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with respect to the offering and sale of 60,000,000 Class A shares representing limited partner interests in the Partnership (the “</w:t>
      </w:r>
      <w:r>
        <w:rPr>
          <w:rFonts w:ascii="Arial" w:cs="Arial" w:eastAsia="Arial" w:hAnsi="Arial"/>
          <w:sz w:val="16"/>
          <w:szCs w:val="16"/>
          <w:b w:val="1"/>
          <w:bCs w:val="1"/>
          <w:i w:val="1"/>
          <w:iCs w:val="1"/>
          <w:color w:val="auto"/>
        </w:rPr>
        <w:t>Class A Shares</w:t>
      </w:r>
      <w:r>
        <w:rPr>
          <w:rFonts w:ascii="Arial" w:cs="Arial" w:eastAsia="Arial" w:hAnsi="Arial"/>
          <w:sz w:val="16"/>
          <w:szCs w:val="16"/>
          <w:color w:val="auto"/>
        </w:rPr>
        <w:t>”) to be sold by the Selling Shareholder at a price to the public of $25.00 per Class A Share ($24.4375 per Class A Share, net of underwriting discounts). Pursuant to the Underwriting Agreement, the Selling Shareholder also granted the Underwriters an option for a period of 30 days to purchase up to an additional 9,000,000 Class A Shares from the Selling Shareholder. On November 11, 2014, the Underwriters exercised the option in full. The material terms of the offering of the Class A Shares are described in the prospectus, dated November 10, 2014, as filed by the Partnership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November 12, 2014. The offer and sale of the Class A Shares was registered with the Commission pursuant to a registration statement on Form S-3 (Registration No. 333-199903), filed by the Partnership on November 6, 2014. Closing with respect to the Class A Shares is expected to occur on November 14, 2014, subject to the satisfaction of customary closing conditions. The Partnership will not receive any proceeds from the sale of the Class A Shares. The Partnership will pay certain expenses, other than underwriting discounts and commissions, associated with the sale of the Class A Shares.</w:t>
      </w:r>
    </w:p>
    <w:p>
      <w:pPr>
        <w:spacing w:after="0" w:line="169"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The Underwriting Agreement contains customary representations, warranties and agreements of the Partnership and certain affiliates, and customary conditions to closing, indemnification rights, obligations of the parties and termination provisions. The Partnership and the Selling Shareholder have agreed to indemnify the Underwriters against certain liabilities, including liabilities under the Securities Act, and to contribute to payments the Underwriters may be required to make because of any of those liabilities.</w:t>
      </w:r>
    </w:p>
    <w:p>
      <w:pPr>
        <w:spacing w:after="0" w:line="187"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description of the Underwriting Agreement is qualified in its entirety by reference to such Underwriting Agreement, a copy of which is filed herewith as Exhibit 1.1 and is incorporated herein by reference.</w:t>
      </w:r>
    </w:p>
    <w:p>
      <w:pPr>
        <w:spacing w:after="0" w:line="166" w:lineRule="exact"/>
        <w:rPr>
          <w:sz w:val="24"/>
          <w:szCs w:val="24"/>
          <w:color w:val="auto"/>
        </w:rPr>
      </w:pPr>
    </w:p>
    <w:p>
      <w:pPr>
        <w:ind w:left="80"/>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002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80" w:type="dxa"/>
            <w:vAlign w:val="bottom"/>
          </w:tcPr>
          <w:p>
            <w:pPr>
              <w:jc w:val="right"/>
              <w:ind w:right="339"/>
              <w:spacing w:after="0"/>
              <w:rPr>
                <w:sz w:val="20"/>
                <w:szCs w:val="20"/>
                <w:color w:val="auto"/>
              </w:rPr>
            </w:pPr>
            <w:r>
              <w:rPr>
                <w:rFonts w:ascii="Arial" w:cs="Arial" w:eastAsia="Arial" w:hAnsi="Arial"/>
                <w:sz w:val="18"/>
                <w:szCs w:val="18"/>
                <w:color w:val="auto"/>
              </w:rPr>
              <w:t>1.1</w:t>
            </w: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w w:val="96"/>
              </w:rPr>
              <w:t>Underwriting Agreement, dated November 10, 2014, by and among Plains GP Holdings, L.P., PAA GP Holdings LLC, Oxy Holding</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rPr>
              <w:t>Company (Pipeline), Inc. and J.P. Morgan Securities LLC and Citigroup Global Markets Inc., as representatives of the several</w:t>
            </w:r>
          </w:p>
        </w:tc>
      </w:tr>
    </w:tbl>
    <w:p>
      <w:pPr>
        <w:sectPr>
          <w:pgSz w:w="11900" w:h="16911" w:orient="portrait"/>
          <w:cols w:equalWidth="0" w:num="1">
            <w:col w:w="11420"/>
          </w:cols>
          <w:pgMar w:left="240" w:top="54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underwriters named therein.</w:t>
            </w:r>
          </w:p>
        </w:tc>
      </w:tr>
      <w:tr>
        <w:trPr>
          <w:trHeight w:val="216"/>
        </w:trPr>
        <w:tc>
          <w:tcPr>
            <w:tcW w:w="104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10420" w:type="dxa"/>
            <w:vAlign w:val="bottom"/>
          </w:tcPr>
          <w:p>
            <w:pPr>
              <w:ind w:left="360"/>
              <w:spacing w:after="0"/>
              <w:rPr>
                <w:sz w:val="20"/>
                <w:szCs w:val="20"/>
                <w:color w:val="auto"/>
              </w:rPr>
            </w:pPr>
            <w:r>
              <w:rPr>
                <w:rFonts w:ascii="Arial" w:cs="Arial" w:eastAsia="Arial" w:hAnsi="Arial"/>
                <w:sz w:val="18"/>
                <w:szCs w:val="18"/>
                <w:color w:val="auto"/>
              </w:rPr>
              <w:t>Opinion of Vinson &amp; Elkins L.L.P.</w:t>
            </w:r>
          </w:p>
        </w:tc>
      </w:tr>
      <w:tr>
        <w:trPr>
          <w:trHeight w:val="230"/>
        </w:trPr>
        <w:tc>
          <w:tcPr>
            <w:tcW w:w="1040" w:type="dxa"/>
            <w:vAlign w:val="bottom"/>
          </w:tcPr>
          <w:p>
            <w:pPr>
              <w:jc w:val="right"/>
              <w:ind w:right="250"/>
              <w:spacing w:after="0"/>
              <w:rPr>
                <w:sz w:val="20"/>
                <w:szCs w:val="20"/>
                <w:color w:val="auto"/>
              </w:rPr>
            </w:pPr>
            <w:r>
              <w:rPr>
                <w:rFonts w:ascii="Arial" w:cs="Arial" w:eastAsia="Arial" w:hAnsi="Arial"/>
                <w:sz w:val="18"/>
                <w:szCs w:val="18"/>
                <w:color w:val="auto"/>
              </w:rPr>
              <w:t>23.1</w:t>
            </w:r>
          </w:p>
        </w:tc>
        <w:tc>
          <w:tcPr>
            <w:tcW w:w="10420" w:type="dxa"/>
            <w:vAlign w:val="bottom"/>
          </w:tcPr>
          <w:p>
            <w:pPr>
              <w:ind w:left="36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432"/>
        </w:trPr>
        <w:tc>
          <w:tcPr>
            <w:tcW w:w="1040" w:type="dxa"/>
            <w:vAlign w:val="bottom"/>
          </w:tcPr>
          <w:p>
            <w:pPr>
              <w:spacing w:after="0"/>
              <w:rPr>
                <w:sz w:val="24"/>
                <w:szCs w:val="24"/>
                <w:color w:val="auto"/>
              </w:rPr>
            </w:pPr>
          </w:p>
        </w:tc>
        <w:tc>
          <w:tcPr>
            <w:tcW w:w="1042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1040" w:type="dxa"/>
            <w:vAlign w:val="bottom"/>
            <w:tcBorders>
              <w:bottom w:val="single" w:sz="8" w:color="010101"/>
            </w:tcBorders>
          </w:tcPr>
          <w:p>
            <w:pPr>
              <w:spacing w:after="0"/>
              <w:rPr>
                <w:sz w:val="11"/>
                <w:szCs w:val="11"/>
                <w:color w:val="auto"/>
              </w:rPr>
            </w:pPr>
          </w:p>
        </w:tc>
        <w:tc>
          <w:tcPr>
            <w:tcW w:w="10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GP HOLDINGS LLC, its 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2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02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08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w w:val="96"/>
              </w:rPr>
              <w:t>Underwriting Agreement, dated November 10, 2014, by and among Plains GP Holdings, L.P., PAA GP Holdings LLC, Oxy Holding</w:t>
            </w:r>
          </w:p>
        </w:tc>
        <w:tc>
          <w:tcPr>
            <w:tcW w:w="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rPr>
              <w:t>Company (Pipeline), Inc. and J.P. Morgan Securities LLC and Citigroup Global Markets Inc., as representatives of the several</w:t>
            </w:r>
          </w:p>
        </w:tc>
        <w:tc>
          <w:tcPr>
            <w:tcW w:w="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rPr>
              <w:t>underwriters named therein.</w:t>
            </w:r>
          </w:p>
        </w:tc>
        <w:tc>
          <w:tcPr>
            <w:tcW w:w="40" w:type="dxa"/>
            <w:vAlign w:val="bottom"/>
          </w:tcPr>
          <w:p>
            <w:pPr>
              <w:spacing w:after="0"/>
              <w:rPr>
                <w:sz w:val="18"/>
                <w:szCs w:val="18"/>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rPr>
              <w:t>Opinion of Vinson &amp; Elkins L.L.P.</w:t>
            </w:r>
          </w:p>
        </w:tc>
        <w:tc>
          <w:tcPr>
            <w:tcW w:w="40" w:type="dxa"/>
            <w:vAlign w:val="bottom"/>
          </w:tcPr>
          <w:p>
            <w:pPr>
              <w:spacing w:after="0"/>
              <w:rPr>
                <w:sz w:val="18"/>
                <w:szCs w:val="18"/>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340" w:type="dxa"/>
            <w:vAlign w:val="bottom"/>
            <w:gridSpan w:val="2"/>
          </w:tcPr>
          <w:p>
            <w:pPr>
              <w:ind w:left="320"/>
              <w:spacing w:after="0"/>
              <w:rPr>
                <w:sz w:val="20"/>
                <w:szCs w:val="20"/>
                <w:color w:val="auto"/>
              </w:rPr>
            </w:pPr>
            <w:r>
              <w:rPr>
                <w:rFonts w:ascii="Arial" w:cs="Arial" w:eastAsia="Arial" w:hAnsi="Arial"/>
                <w:sz w:val="18"/>
                <w:szCs w:val="18"/>
                <w:color w:val="auto"/>
              </w:rPr>
              <w:t>Consent of Vinson &amp; Elkins L.L.P. (included in Exhibit 5.1).</w:t>
            </w:r>
          </w:p>
        </w:tc>
        <w:tc>
          <w:tcPr>
            <w:tcW w:w="4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2"/>
          </w:tcPr>
          <w:p>
            <w:pPr>
              <w:ind w:left="45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60,000,000 Class A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10,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67"/>
        <w:spacing w:after="0" w:line="255" w:lineRule="auto"/>
        <w:rPr>
          <w:sz w:val="20"/>
          <w:szCs w:val="20"/>
          <w:color w:val="auto"/>
        </w:rPr>
      </w:pPr>
      <w:r>
        <w:rPr>
          <w:rFonts w:ascii="Arial" w:cs="Arial" w:eastAsia="Arial" w:hAnsi="Arial"/>
          <w:sz w:val="18"/>
          <w:szCs w:val="18"/>
          <w:color w:val="auto"/>
        </w:rPr>
        <w:t>Oxy Holding Company (Pipeline), Inc., a Delaware corporation (the “</w:t>
      </w:r>
      <w:r>
        <w:rPr>
          <w:rFonts w:ascii="Arial" w:cs="Arial" w:eastAsia="Arial" w:hAnsi="Arial"/>
          <w:sz w:val="18"/>
          <w:szCs w:val="18"/>
          <w:b w:val="1"/>
          <w:bCs w:val="1"/>
          <w:color w:val="auto"/>
        </w:rPr>
        <w:t>Selling Shareholder</w:t>
      </w:r>
      <w:r>
        <w:rPr>
          <w:rFonts w:ascii="Arial" w:cs="Arial" w:eastAsia="Arial" w:hAnsi="Arial"/>
          <w:sz w:val="18"/>
          <w:szCs w:val="18"/>
          <w:color w:val="auto"/>
        </w:rPr>
        <w:t xml:space="preserve">”), proposes to sell to the 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60,000,000 Class A shares representing limited partner interests (“</w:t>
      </w:r>
      <w:r>
        <w:rPr>
          <w:rFonts w:ascii="Arial" w:cs="Arial" w:eastAsia="Arial" w:hAnsi="Arial"/>
          <w:sz w:val="18"/>
          <w:szCs w:val="18"/>
          <w:b w:val="1"/>
          <w:bCs w:val="1"/>
          <w:color w:val="auto"/>
        </w:rPr>
        <w:t>Class A Shares</w:t>
      </w:r>
      <w:r>
        <w:rPr>
          <w:rFonts w:ascii="Arial" w:cs="Arial" w:eastAsia="Arial" w:hAnsi="Arial"/>
          <w:sz w:val="18"/>
          <w:szCs w:val="18"/>
          <w:color w:val="auto"/>
        </w:rPr>
        <w:t>”) in Plains GP Holdings,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(such 60,000,000 Class A Shares, the “</w:t>
      </w:r>
      <w:r>
        <w:rPr>
          <w:rFonts w:ascii="Arial" w:cs="Arial" w:eastAsia="Arial" w:hAnsi="Arial"/>
          <w:sz w:val="18"/>
          <w:szCs w:val="18"/>
          <w:b w:val="1"/>
          <w:bCs w:val="1"/>
          <w:color w:val="auto"/>
        </w:rPr>
        <w:t>Initial Shares</w:t>
      </w:r>
      <w:r>
        <w:rPr>
          <w:rFonts w:ascii="Arial" w:cs="Arial" w:eastAsia="Arial" w:hAnsi="Arial"/>
          <w:sz w:val="18"/>
          <w:szCs w:val="18"/>
          <w:color w:val="auto"/>
        </w:rPr>
        <w:t>”) for whom J.P. Morgan Securities LLC and Citigroup Global Markets Inc.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upon the terms and conditions set forth in Section 2 hereof. The Selling Shareholder also proposes to grant to the Underwriters, upon the terms and conditions set forth in Section 2 hereof, an option to purchase up to an additional 9,000,000 Class A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The Initial Shares and the Additional Shares, if purchased, are hereinafter collectively called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3" w:lineRule="exact"/>
        <w:rPr>
          <w:sz w:val="20"/>
          <w:szCs w:val="20"/>
          <w:color w:val="auto"/>
        </w:rPr>
      </w:pPr>
    </w:p>
    <w:p>
      <w:pPr>
        <w:ind w:right="140" w:firstLine="667"/>
        <w:spacing w:after="0" w:line="264" w:lineRule="auto"/>
        <w:rPr>
          <w:sz w:val="20"/>
          <w:szCs w:val="20"/>
          <w:color w:val="auto"/>
        </w:rPr>
      </w:pPr>
      <w:r>
        <w:rPr>
          <w:rFonts w:ascii="Arial" w:cs="Arial" w:eastAsia="Arial" w:hAnsi="Arial"/>
          <w:sz w:val="18"/>
          <w:szCs w:val="18"/>
          <w:color w:val="auto"/>
        </w:rPr>
        <w:t>This is to confirm the agreement among the Selling Shareholder, the Partnership and PAA GP Holdings LLC, a Delaware limited liability company and the general partner of the Partnership (the “</w:t>
      </w:r>
      <w:r>
        <w:rPr>
          <w:rFonts w:ascii="Arial" w:cs="Arial" w:eastAsia="Arial" w:hAnsi="Arial"/>
          <w:sz w:val="18"/>
          <w:szCs w:val="18"/>
          <w:b w:val="1"/>
          <w:bCs w:val="1"/>
          <w:color w:val="auto"/>
        </w:rPr>
        <w:t>General Partner</w:t>
      </w:r>
      <w:r>
        <w:rPr>
          <w:rFonts w:ascii="Arial" w:cs="Arial" w:eastAsia="Arial" w:hAnsi="Arial"/>
          <w:sz w:val="18"/>
          <w:szCs w:val="18"/>
          <w:color w:val="auto"/>
        </w:rPr>
        <w:t>,” and together with the Partnership, the “</w:t>
      </w:r>
      <w:r>
        <w:rPr>
          <w:rFonts w:ascii="Arial" w:cs="Arial" w:eastAsia="Arial" w:hAnsi="Arial"/>
          <w:sz w:val="18"/>
          <w:szCs w:val="18"/>
          <w:b w:val="1"/>
          <w:bCs w:val="1"/>
          <w:color w:val="auto"/>
        </w:rPr>
        <w:t>Partnership Parties</w:t>
      </w:r>
      <w:r>
        <w:rPr>
          <w:rFonts w:ascii="Arial" w:cs="Arial" w:eastAsia="Arial" w:hAnsi="Arial"/>
          <w:sz w:val="18"/>
          <w:szCs w:val="18"/>
          <w:color w:val="auto"/>
        </w:rPr>
        <w:t>”), and the Underwriters concerning the several purchases of the Shares by the Underwriters.</w:t>
      </w:r>
    </w:p>
    <w:p>
      <w:pPr>
        <w:spacing w:after="0" w:line="177" w:lineRule="exact"/>
        <w:rPr>
          <w:sz w:val="20"/>
          <w:szCs w:val="20"/>
          <w:color w:val="auto"/>
        </w:rPr>
      </w:pPr>
    </w:p>
    <w:p>
      <w:pPr>
        <w:ind w:right="420" w:firstLine="667"/>
        <w:spacing w:after="0" w:line="282" w:lineRule="auto"/>
        <w:rPr>
          <w:sz w:val="20"/>
          <w:szCs w:val="20"/>
          <w:color w:val="auto"/>
        </w:rPr>
      </w:pPr>
      <w:r>
        <w:rPr>
          <w:rFonts w:ascii="Arial" w:cs="Arial" w:eastAsia="Arial" w:hAnsi="Arial"/>
          <w:sz w:val="18"/>
          <w:szCs w:val="18"/>
          <w:color w:val="auto"/>
        </w:rPr>
        <w:t>PAA GP LLC, a Delaware limited liability company (“</w:t>
      </w:r>
      <w:r>
        <w:rPr>
          <w:rFonts w:ascii="Arial" w:cs="Arial" w:eastAsia="Arial" w:hAnsi="Arial"/>
          <w:sz w:val="18"/>
          <w:szCs w:val="18"/>
          <w:b w:val="1"/>
          <w:bCs w:val="1"/>
          <w:color w:val="auto"/>
        </w:rPr>
        <w:t>PAA GP</w:t>
      </w:r>
      <w:r>
        <w:rPr>
          <w:rFonts w:ascii="Arial" w:cs="Arial" w:eastAsia="Arial" w:hAnsi="Arial"/>
          <w:sz w:val="18"/>
          <w:szCs w:val="18"/>
          <w:color w:val="auto"/>
        </w:rPr>
        <w:t>”), is the general partner of Plains All American Pipeline, L.P. (“</w:t>
      </w:r>
      <w:r>
        <w:rPr>
          <w:rFonts w:ascii="Arial" w:cs="Arial" w:eastAsia="Arial" w:hAnsi="Arial"/>
          <w:sz w:val="18"/>
          <w:szCs w:val="18"/>
          <w:b w:val="1"/>
          <w:bCs w:val="1"/>
          <w:color w:val="auto"/>
        </w:rPr>
        <w:t>PAA</w:t>
      </w:r>
      <w:r>
        <w:rPr>
          <w:rFonts w:ascii="Arial" w:cs="Arial" w:eastAsia="Arial" w:hAnsi="Arial"/>
          <w:sz w:val="18"/>
          <w:szCs w:val="18"/>
          <w:color w:val="auto"/>
        </w:rPr>
        <w:t>”). Plains AAP, L.P., a Delaware limited partnership (“</w:t>
      </w:r>
      <w:r>
        <w:rPr>
          <w:rFonts w:ascii="Arial" w:cs="Arial" w:eastAsia="Arial" w:hAnsi="Arial"/>
          <w:sz w:val="18"/>
          <w:szCs w:val="18"/>
          <w:b w:val="1"/>
          <w:bCs w:val="1"/>
          <w:color w:val="auto"/>
        </w:rPr>
        <w:t>Plains AAP</w:t>
      </w:r>
      <w:r>
        <w:rPr>
          <w:rFonts w:ascii="Arial" w:cs="Arial" w:eastAsia="Arial" w:hAnsi="Arial"/>
          <w:sz w:val="18"/>
          <w:szCs w:val="18"/>
          <w:color w:val="auto"/>
        </w:rPr>
        <w:t>”), owns a 100% membership interest in PAA GP. Plains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American GP LLC, a Delaware limited liability company (“</w:t>
      </w:r>
      <w:r>
        <w:rPr>
          <w:rFonts w:ascii="Arial" w:cs="Arial" w:eastAsia="Arial" w:hAnsi="Arial"/>
          <w:sz w:val="18"/>
          <w:szCs w:val="18"/>
          <w:b w:val="1"/>
          <w:bCs w:val="1"/>
          <w:color w:val="auto"/>
        </w:rPr>
        <w:t>GP LLC</w:t>
      </w:r>
      <w:r>
        <w:rPr>
          <w:rFonts w:ascii="Arial" w:cs="Arial" w:eastAsia="Arial" w:hAnsi="Arial"/>
          <w:sz w:val="18"/>
          <w:szCs w:val="18"/>
          <w:color w:val="auto"/>
        </w:rPr>
        <w:t>” and, collectively with PAA GP and Plains AAP, the “</w:t>
      </w:r>
      <w:r>
        <w:rPr>
          <w:rFonts w:ascii="Arial" w:cs="Arial" w:eastAsia="Arial" w:hAnsi="Arial"/>
          <w:sz w:val="18"/>
          <w:szCs w:val="18"/>
          <w:b w:val="1"/>
          <w:bCs w:val="1"/>
          <w:color w:val="auto"/>
        </w:rPr>
        <w:t>PAA GP Entities</w:t>
      </w:r>
      <w:r>
        <w:rPr>
          <w:rFonts w:ascii="Arial" w:cs="Arial" w:eastAsia="Arial" w:hAnsi="Arial"/>
          <w:sz w:val="18"/>
          <w:szCs w:val="18"/>
          <w:color w:val="auto"/>
        </w:rPr>
        <w:t>”), is the general partner of Plains AAP.</w:t>
      </w:r>
    </w:p>
    <w:p>
      <w:pPr>
        <w:spacing w:after="0" w:line="162" w:lineRule="exact"/>
        <w:rPr>
          <w:sz w:val="20"/>
          <w:szCs w:val="20"/>
          <w:color w:val="auto"/>
        </w:rPr>
      </w:pPr>
    </w:p>
    <w:p>
      <w:pPr>
        <w:ind w:right="180" w:firstLine="667"/>
        <w:spacing w:after="0" w:line="266" w:lineRule="auto"/>
        <w:rPr>
          <w:sz w:val="20"/>
          <w:szCs w:val="20"/>
          <w:color w:val="auto"/>
        </w:rPr>
      </w:pPr>
      <w:r>
        <w:rPr>
          <w:rFonts w:ascii="Arial" w:cs="Arial" w:eastAsia="Arial" w:hAnsi="Arial"/>
          <w:sz w:val="18"/>
          <w:szCs w:val="18"/>
          <w:color w:val="auto"/>
        </w:rPr>
        <w:t xml:space="preserve">The subsidiaries of PAA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 The Partnership Parties, the PAA GP Entities, PAA and the Material Subsidiaries are collectively called the “</w:t>
      </w:r>
      <w:r>
        <w:rPr>
          <w:rFonts w:ascii="Arial" w:cs="Arial" w:eastAsia="Arial" w:hAnsi="Arial"/>
          <w:sz w:val="18"/>
          <w:szCs w:val="18"/>
          <w:b w:val="1"/>
          <w:bCs w:val="1"/>
          <w:color w:val="auto"/>
        </w:rPr>
        <w:t>Partnership Entities</w:t>
      </w:r>
      <w:r>
        <w:rPr>
          <w:rFonts w:ascii="Arial" w:cs="Arial" w:eastAsia="Arial" w:hAnsi="Arial"/>
          <w:sz w:val="18"/>
          <w:szCs w:val="18"/>
          <w:color w:val="auto"/>
        </w:rPr>
        <w:t>.”</w:t>
      </w:r>
    </w:p>
    <w:p>
      <w:pPr>
        <w:spacing w:after="0" w:line="180" w:lineRule="exact"/>
        <w:rPr>
          <w:sz w:val="20"/>
          <w:szCs w:val="20"/>
          <w:color w:val="auto"/>
        </w:rPr>
      </w:pPr>
    </w:p>
    <w:p>
      <w:pPr>
        <w:ind w:right="60" w:firstLine="667"/>
        <w:spacing w:after="0" w:line="259" w:lineRule="auto"/>
        <w:rPr>
          <w:sz w:val="20"/>
          <w:szCs w:val="20"/>
          <w:color w:val="auto"/>
        </w:rPr>
      </w:pPr>
      <w:r>
        <w:rPr>
          <w:rFonts w:ascii="Arial" w:cs="Arial" w:eastAsia="Arial" w:hAnsi="Arial"/>
          <w:sz w:val="18"/>
          <w:szCs w:val="18"/>
          <w:color w:val="auto"/>
        </w:rPr>
        <w:t>Pursuant to the Operative Documents (as defined below), in connection with and prior to the sale of Shares on the applicable Delivery Date, the Selling Shareholder will exchange a number of AAP Class A Units (as defined below), Class B shares representing limited partner interests in the Partnership (“</w:t>
      </w:r>
      <w:r>
        <w:rPr>
          <w:rFonts w:ascii="Arial" w:cs="Arial" w:eastAsia="Arial" w:hAnsi="Arial"/>
          <w:sz w:val="18"/>
          <w:szCs w:val="18"/>
          <w:b w:val="1"/>
          <w:bCs w:val="1"/>
          <w:color w:val="auto"/>
        </w:rPr>
        <w:t>Class B Shares</w:t>
      </w:r>
      <w:r>
        <w:rPr>
          <w:rFonts w:ascii="Arial" w:cs="Arial" w:eastAsia="Arial" w:hAnsi="Arial"/>
          <w:sz w:val="18"/>
          <w:szCs w:val="18"/>
          <w:color w:val="auto"/>
        </w:rPr>
        <w:t>”), and General Partner Units (as defined below) equal to the number of Shares being sold on such Delivery Date for an equal number of Class A Shares (such exchange(s) being referred to as the “</w:t>
      </w:r>
      <w:r>
        <w:rPr>
          <w:rFonts w:ascii="Arial" w:cs="Arial" w:eastAsia="Arial" w:hAnsi="Arial"/>
          <w:sz w:val="18"/>
          <w:szCs w:val="18"/>
          <w:b w:val="1"/>
          <w:bCs w:val="1"/>
          <w:color w:val="auto"/>
        </w:rPr>
        <w:t>Selling Shareholder Exchange</w:t>
      </w:r>
      <w:r>
        <w:rPr>
          <w:rFonts w:ascii="Arial" w:cs="Arial" w:eastAsia="Arial" w:hAnsi="Arial"/>
          <w:sz w:val="18"/>
          <w:szCs w:val="18"/>
          <w:color w:val="auto"/>
        </w:rPr>
        <w:t>”).</w:t>
      </w:r>
    </w:p>
    <w:p>
      <w:pPr>
        <w:spacing w:after="0" w:line="187"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of the Partnership Parties. </w:t>
      </w:r>
      <w:r>
        <w:rPr>
          <w:rFonts w:ascii="Arial" w:cs="Arial" w:eastAsia="Arial" w:hAnsi="Arial"/>
          <w:sz w:val="17"/>
          <w:szCs w:val="17"/>
          <w:color w:val="auto"/>
        </w:rPr>
        <w:t>The Partnership Parties represent and warrant to the Underwriters that:</w:t>
      </w:r>
    </w:p>
    <w:p>
      <w:pPr>
        <w:spacing w:after="0" w:line="236" w:lineRule="exact"/>
        <w:rPr>
          <w:rFonts w:ascii="Arial" w:cs="Arial" w:eastAsia="Arial" w:hAnsi="Arial"/>
          <w:sz w:val="17"/>
          <w:szCs w:val="17"/>
          <w:color w:val="auto"/>
        </w:rPr>
      </w:pPr>
    </w:p>
    <w:p>
      <w:pPr>
        <w:ind w:left="660" w:right="60" w:firstLine="1293"/>
        <w:spacing w:after="0" w:line="276" w:lineRule="auto"/>
        <w:tabs>
          <w:tab w:leader="none" w:pos="2626"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Registration</w:t>
      </w:r>
      <w:r>
        <w:rPr>
          <w:rFonts w:ascii="Arial" w:cs="Arial" w:eastAsia="Arial" w:hAnsi="Arial"/>
          <w:sz w:val="17"/>
          <w:szCs w:val="17"/>
          <w:color w:val="auto"/>
        </w:rPr>
        <w:t>. A registration statement on Form S-3 relating to the Shares (File No. 333-199903) (i) has been prepared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in conformity with the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(the “</w:t>
      </w:r>
      <w:r>
        <w:rPr>
          <w:rFonts w:ascii="Arial" w:cs="Arial" w:eastAsia="Arial" w:hAnsi="Arial"/>
          <w:sz w:val="17"/>
          <w:szCs w:val="17"/>
          <w:b w:val="1"/>
          <w:bCs w:val="1"/>
          <w:color w:val="auto"/>
        </w:rPr>
        <w:t>Rules and Regulations</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has been filed with the Commission under the Securities Act; and (iii) is effective under the Securities Act. Copies of such registration statement and any amendment thereto have been delivered by the Partnership to the Representatives. As used in this Agreement:</w:t>
      </w:r>
    </w:p>
    <w:p>
      <w:pPr>
        <w:spacing w:after="0" w:line="168" w:lineRule="exact"/>
        <w:rPr>
          <w:rFonts w:ascii="Arial" w:cs="Arial" w:eastAsia="Arial" w:hAnsi="Arial"/>
          <w:sz w:val="17"/>
          <w:szCs w:val="17"/>
          <w:color w:val="auto"/>
        </w:rPr>
      </w:pPr>
    </w:p>
    <w:p>
      <w:pPr>
        <w:ind w:left="660" w:right="20" w:firstLine="1941"/>
        <w:spacing w:after="0" w:line="282" w:lineRule="auto"/>
        <w:tabs>
          <w:tab w:leader="none" w:pos="3273"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7:00 p.m., New York City time, on November 10, 2014, which the Underwriters have informed the Partnership and its counsel is a time prior to the first sale of the Shares;</w:t>
      </w:r>
    </w:p>
    <w:p>
      <w:pPr>
        <w:spacing w:after="0" w:line="161" w:lineRule="exact"/>
        <w:rPr>
          <w:rFonts w:ascii="Arial" w:cs="Arial" w:eastAsia="Arial" w:hAnsi="Arial"/>
          <w:sz w:val="18"/>
          <w:szCs w:val="18"/>
          <w:color w:val="auto"/>
        </w:rPr>
      </w:pPr>
    </w:p>
    <w:p>
      <w:pPr>
        <w:ind w:left="660" w:right="520" w:firstLine="1941"/>
        <w:spacing w:after="0" w:line="313" w:lineRule="auto"/>
        <w:tabs>
          <w:tab w:leader="none" w:pos="3263"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any date as of which any part of such registration statement relating to the Shares became, or is deemed to have become, effective under the Securities Act in accordance with the Rules and Regulations;</w:t>
      </w:r>
    </w:p>
    <w:p>
      <w:pPr>
        <w:sectPr>
          <w:pgSz w:w="11900" w:h="16838" w:orient="portrait"/>
          <w:cols w:equalWidth="0" w:num="1">
            <w:col w:w="11420"/>
          </w:cols>
          <w:pgMar w:left="240" w:top="121" w:right="239" w:bottom="17" w:gutter="0" w:footer="0" w:header="0"/>
        </w:sectPr>
      </w:pPr>
    </w:p>
    <w:bookmarkStart w:id="3" w:name="page4"/>
    <w:bookmarkEnd w:id="3"/>
    <w:p>
      <w:pPr>
        <w:spacing w:after="0" w:line="137" w:lineRule="exact"/>
        <w:rPr>
          <w:sz w:val="20"/>
          <w:szCs w:val="20"/>
          <w:color w:val="auto"/>
        </w:rPr>
      </w:pPr>
    </w:p>
    <w:p>
      <w:pPr>
        <w:ind w:right="360" w:firstLine="1941"/>
        <w:spacing w:after="0" w:line="266" w:lineRule="auto"/>
        <w:tabs>
          <w:tab w:leader="none" w:pos="26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Shares;</w:t>
      </w:r>
    </w:p>
    <w:p>
      <w:pPr>
        <w:spacing w:after="0" w:line="176" w:lineRule="exact"/>
        <w:rPr>
          <w:rFonts w:ascii="Arial" w:cs="Arial" w:eastAsia="Arial" w:hAnsi="Arial"/>
          <w:sz w:val="18"/>
          <w:szCs w:val="18"/>
          <w:color w:val="auto"/>
        </w:rPr>
      </w:pPr>
    </w:p>
    <w:p>
      <w:pPr>
        <w:ind w:firstLine="1941"/>
        <w:spacing w:after="0" w:line="282" w:lineRule="auto"/>
        <w:tabs>
          <w:tab w:leader="none" w:pos="261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of the Rules and Regulations;</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941"/>
        <w:spacing w:after="0" w:line="261" w:lineRule="auto"/>
        <w:tabs>
          <w:tab w:leader="none" w:pos="260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as of the Applicable Time, (A) the most recent Preliminary Prospectus together with the pricing information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(B) each Issuer Free Writing Prospectus filed or used by the Partnership on or before the Applicable Time, other than a road show that is an Issuer Free Writing Prospectus but is not required to be filed under Rule 433 of the Rules and Regulations;</w:t>
      </w:r>
    </w:p>
    <w:p>
      <w:pPr>
        <w:spacing w:after="0" w:line="180" w:lineRule="exact"/>
        <w:rPr>
          <w:rFonts w:ascii="Arial" w:cs="Arial" w:eastAsia="Arial" w:hAnsi="Arial"/>
          <w:sz w:val="18"/>
          <w:szCs w:val="18"/>
          <w:color w:val="auto"/>
        </w:rPr>
      </w:pPr>
    </w:p>
    <w:p>
      <w:pPr>
        <w:ind w:left="2600" w:hanging="659"/>
        <w:spacing w:after="0"/>
        <w:tabs>
          <w:tab w:leader="none" w:pos="2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Prospectus</w:t>
      </w:r>
      <w:r>
        <w:rPr>
          <w:rFonts w:ascii="Arial" w:cs="Arial" w:eastAsia="Arial" w:hAnsi="Arial"/>
          <w:sz w:val="17"/>
          <w:szCs w:val="17"/>
          <w:color w:val="auto"/>
        </w:rPr>
        <w:t>” means the final prospectus relating to the Shares, as filed with the Commission pursuant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Rule 424(b) of the Rules and Regulations; and</w:t>
      </w:r>
    </w:p>
    <w:p>
      <w:pPr>
        <w:spacing w:after="0" w:line="207" w:lineRule="exact"/>
        <w:rPr>
          <w:sz w:val="20"/>
          <w:szCs w:val="20"/>
          <w:color w:val="auto"/>
        </w:rPr>
      </w:pPr>
    </w:p>
    <w:p>
      <w:pPr>
        <w:ind w:right="80" w:firstLine="1941"/>
        <w:spacing w:after="0" w:line="313" w:lineRule="auto"/>
        <w:tabs>
          <w:tab w:leader="none" w:pos="2613"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S-3 (File No. 333-199903), as amended as of the Effective Date, including any Preliminary Prospectus or the Prospectus and all exhibits to such registration statement.</w:t>
      </w:r>
    </w:p>
    <w:p>
      <w:pPr>
        <w:spacing w:after="0" w:line="142" w:lineRule="exact"/>
        <w:rPr>
          <w:sz w:val="20"/>
          <w:szCs w:val="20"/>
          <w:color w:val="auto"/>
        </w:rPr>
      </w:pPr>
    </w:p>
    <w:p>
      <w:pPr>
        <w:ind w:left="20" w:firstLine="667"/>
        <w:spacing w:after="0" w:line="285"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any of the Partnership Parties’ knowledge, threatened by the Commission. The Commission has not notified any of the Partnership Parties of any objection to the use of the form of the Registration Statement.</w:t>
      </w:r>
    </w:p>
    <w:p>
      <w:pPr>
        <w:spacing w:after="0" w:line="178" w:lineRule="exact"/>
        <w:rPr>
          <w:sz w:val="20"/>
          <w:szCs w:val="20"/>
          <w:color w:val="auto"/>
        </w:rPr>
      </w:pPr>
    </w:p>
    <w:p>
      <w:pPr>
        <w:ind w:right="300" w:firstLine="1293"/>
        <w:spacing w:after="0" w:line="264" w:lineRule="auto"/>
        <w:tabs>
          <w:tab w:leader="none" w:pos="197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defined in Rule 405 of the Rules and Regulations). At the earliest time after the initial filing of the Registration Statement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Rule 164(h)(2) of the Rules and Regulations) of the Shares, the Partnership was not an “ineligible issuer,” as defined in Rule 405 of the Rules and Regulations.</w:t>
      </w:r>
    </w:p>
    <w:p>
      <w:pPr>
        <w:spacing w:after="0" w:line="170" w:lineRule="exact"/>
        <w:rPr>
          <w:sz w:val="20"/>
          <w:szCs w:val="20"/>
          <w:color w:val="auto"/>
        </w:rPr>
      </w:pPr>
    </w:p>
    <w:p>
      <w:pPr>
        <w:ind w:right="40" w:firstLine="1293"/>
        <w:spacing w:after="0" w:line="272" w:lineRule="auto"/>
        <w:tabs>
          <w:tab w:leader="none" w:pos="198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Form of Documents</w:t>
      </w:r>
      <w:r>
        <w:rPr>
          <w:rFonts w:ascii="Arial" w:cs="Arial" w:eastAsia="Arial" w:hAnsi="Arial"/>
          <w:sz w:val="17"/>
          <w:szCs w:val="17"/>
          <w:color w:val="auto"/>
        </w:rPr>
        <w:t>. The Registration Statement conformed in all material respects on the Effective Date and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177" w:lineRule="exact"/>
        <w:rPr>
          <w:rFonts w:ascii="Arial" w:cs="Arial" w:eastAsia="Arial" w:hAnsi="Arial"/>
          <w:sz w:val="17"/>
          <w:szCs w:val="17"/>
          <w:color w:val="auto"/>
        </w:rPr>
      </w:pPr>
    </w:p>
    <w:p>
      <w:pPr>
        <w:ind w:firstLine="1293"/>
        <w:spacing w:after="0" w:line="276" w:lineRule="auto"/>
        <w:tabs>
          <w:tab w:leader="none" w:pos="1962"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Registration Statement</w:t>
      </w:r>
      <w:r>
        <w:rPr>
          <w:rFonts w:ascii="Arial" w:cs="Arial" w:eastAsia="Arial" w:hAnsi="Arial"/>
          <w:sz w:val="17"/>
          <w:szCs w:val="17"/>
          <w:color w:val="auto"/>
        </w:rPr>
        <w:t>. The Registration Statement did not, as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Section 13.</w:t>
      </w:r>
    </w:p>
    <w:p>
      <w:pPr>
        <w:spacing w:after="0" w:line="172" w:lineRule="exact"/>
        <w:rPr>
          <w:rFonts w:ascii="Arial" w:cs="Arial" w:eastAsia="Arial" w:hAnsi="Arial"/>
          <w:sz w:val="17"/>
          <w:szCs w:val="17"/>
          <w:color w:val="auto"/>
        </w:rPr>
      </w:pPr>
    </w:p>
    <w:p>
      <w:pPr>
        <w:ind w:right="100" w:firstLine="1293"/>
        <w:spacing w:after="0" w:line="297"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 in Prospectus</w:t>
      </w:r>
      <w:r>
        <w:rPr>
          <w:rFonts w:ascii="Arial" w:cs="Arial" w:eastAsia="Arial" w:hAnsi="Arial"/>
          <w:sz w:val="16"/>
          <w:szCs w:val="16"/>
          <w:color w:val="auto"/>
        </w:rPr>
        <w:t>. The Prospectus will not, as of its date and on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Delivery Date,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Section 13.</w:t>
      </w:r>
    </w:p>
    <w:p>
      <w:pPr>
        <w:spacing w:after="0" w:line="158" w:lineRule="exact"/>
        <w:rPr>
          <w:rFonts w:ascii="Arial" w:cs="Arial" w:eastAsia="Arial" w:hAnsi="Arial"/>
          <w:sz w:val="16"/>
          <w:szCs w:val="16"/>
          <w:color w:val="auto"/>
        </w:rPr>
      </w:pPr>
    </w:p>
    <w:p>
      <w:pPr>
        <w:ind w:right="100" w:firstLine="1293"/>
        <w:spacing w:after="0" w:line="286" w:lineRule="auto"/>
        <w:tabs>
          <w:tab w:leader="none" w:pos="1962"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Documents Incorporated by Reference</w:t>
      </w:r>
      <w:r>
        <w:rPr>
          <w:rFonts w:ascii="Arial" w:cs="Arial" w:eastAsia="Arial" w:hAnsi="Arial"/>
          <w:sz w:val="17"/>
          <w:szCs w:val="17"/>
          <w:color w:val="auto"/>
        </w:rPr>
        <w:t>. The Incorporated Documents, when</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jc w:val="both"/>
        <w:ind w:right="80" w:firstLine="1293"/>
        <w:spacing w:after="0" w:line="342" w:lineRule="auto"/>
        <w:tabs>
          <w:tab w:leader="none" w:pos="197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 in Pricing Disclosure Package</w:t>
      </w:r>
      <w:r>
        <w:rPr>
          <w:rFonts w:ascii="Arial" w:cs="Arial" w:eastAsia="Arial" w:hAnsi="Arial"/>
          <w:sz w:val="16"/>
          <w:szCs w:val="16"/>
          <w:color w:val="auto"/>
        </w:rPr>
        <w:t>. The Pricing Disclosure Package did not,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Applicable Time, include an untrue statement of a material fact or omit to state a material fact necessary in order to make the statements therein,</w:t>
      </w:r>
    </w:p>
    <w:p>
      <w:pPr>
        <w:sectPr>
          <w:pgSz w:w="11900" w:h="16975" w:orient="portrait"/>
          <w:cols w:equalWidth="0" w:num="1">
            <w:col w:w="10740"/>
          </w:cols>
          <w:pgMar w:left="900" w:top="121" w:right="259" w:bottom="0" w:gutter="0" w:footer="0" w:header="0"/>
        </w:sectPr>
      </w:pPr>
    </w:p>
    <w:bookmarkStart w:id="4" w:name="page5"/>
    <w:bookmarkEnd w:id="4"/>
    <w:p>
      <w:pPr>
        <w:jc w:val="center"/>
        <w:ind w:right="980"/>
        <w:spacing w:after="0"/>
        <w:rPr>
          <w:sz w:val="20"/>
          <w:szCs w:val="20"/>
          <w:color w:val="auto"/>
        </w:rPr>
      </w:pPr>
      <w:r>
        <w:rPr>
          <w:rFonts w:ascii="Arial" w:cs="Arial" w:eastAsia="Arial" w:hAnsi="Arial"/>
          <w:sz w:val="16"/>
          <w:szCs w:val="16"/>
          <w:color w:val="auto"/>
        </w:rPr>
        <w:t xml:space="preserve">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Section 13.</w:t>
      </w:r>
    </w:p>
    <w:p>
      <w:pPr>
        <w:spacing w:after="0" w:line="181" w:lineRule="exact"/>
        <w:rPr>
          <w:sz w:val="20"/>
          <w:szCs w:val="20"/>
          <w:color w:val="auto"/>
        </w:rPr>
      </w:pPr>
    </w:p>
    <w:p>
      <w:pPr>
        <w:ind w:right="160" w:firstLine="1293"/>
        <w:spacing w:after="0" w:line="272" w:lineRule="auto"/>
        <w:tabs>
          <w:tab w:leader="none" w:pos="198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Issuer Free Writing Prospectus</w:t>
      </w:r>
      <w:r>
        <w:rPr>
          <w:rFonts w:ascii="Arial" w:cs="Arial" w:eastAsia="Arial" w:hAnsi="Arial"/>
          <w:sz w:val="17"/>
          <w:szCs w:val="17"/>
          <w:color w:val="auto"/>
        </w:rPr>
        <w:t>. Each Issuer Free Writing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representation or warranty is made as 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Section 13.</w:t>
      </w:r>
    </w:p>
    <w:p>
      <w:pPr>
        <w:spacing w:after="0" w:line="177" w:lineRule="exact"/>
        <w:rPr>
          <w:rFonts w:ascii="Arial" w:cs="Arial" w:eastAsia="Arial" w:hAnsi="Arial"/>
          <w:sz w:val="17"/>
          <w:szCs w:val="17"/>
          <w:color w:val="auto"/>
        </w:rPr>
      </w:pPr>
    </w:p>
    <w:p>
      <w:pPr>
        <w:ind w:right="80" w:firstLine="1293"/>
        <w:spacing w:after="0" w:line="254" w:lineRule="auto"/>
        <w:tabs>
          <w:tab w:leader="none" w:pos="196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 Conformed to the Requirements of the Securities Act</w:t>
      </w:r>
      <w:r>
        <w:rPr>
          <w:rFonts w:ascii="Arial" w:cs="Arial" w:eastAsia="Arial" w:hAnsi="Arial"/>
          <w:sz w:val="18"/>
          <w:szCs w:val="18"/>
          <w:color w:val="auto"/>
        </w:rPr>
        <w:t>.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Shares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Shares will not be required to be filed pursuant to the Rules and Regulations.</w:t>
      </w:r>
    </w:p>
    <w:p>
      <w:pPr>
        <w:spacing w:after="0" w:line="192" w:lineRule="exact"/>
        <w:rPr>
          <w:rFonts w:ascii="Arial" w:cs="Arial" w:eastAsia="Arial" w:hAnsi="Arial"/>
          <w:sz w:val="18"/>
          <w:szCs w:val="18"/>
          <w:color w:val="auto"/>
        </w:rPr>
      </w:pPr>
    </w:p>
    <w:p>
      <w:pPr>
        <w:ind w:right="60" w:firstLine="1293"/>
        <w:spacing w:after="0" w:line="269" w:lineRule="auto"/>
        <w:tabs>
          <w:tab w:leader="none" w:pos="195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Formation and Qualification of Certain Entities</w:t>
      </w:r>
      <w:r>
        <w:rPr>
          <w:rFonts w:ascii="Arial" w:cs="Arial" w:eastAsia="Arial" w:hAnsi="Arial"/>
          <w:sz w:val="17"/>
          <w:szCs w:val="17"/>
          <w:color w:val="auto"/>
        </w:rPr>
        <w:t>. Each of the Partnership Entities has been duly formed or 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is validly existing in good standing as a limited partnership, limited liability company, corporation or unlimited liability company under the laws of its respective jurisdiction of formation or incorporation with full corporate, limited partnership, limited liability company or unlimited liability company power and authority, as the case may be, to own or lease its properties and to conduct its business, in each case in all material respects, as disclosed in the Pricing Disclosure Package and the Prospectus. Each of the Partnership Entities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 Parties, the PAA GP Entities, PAA and PAA’s direct or indirect majority owned subsidiaries (collectively, the</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Group Entities</w:t>
      </w:r>
      <w:r>
        <w:rPr>
          <w:rFonts w:ascii="Arial" w:cs="Arial" w:eastAsia="Arial" w:hAnsi="Arial"/>
          <w:sz w:val="18"/>
          <w:szCs w:val="18"/>
          <w:color w:val="auto"/>
        </w:rPr>
        <w:t>”), taken as a whole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or (ii) subject the limited partners of the Partnership to any material liability or disability.</w:t>
      </w:r>
    </w:p>
    <w:p>
      <w:pPr>
        <w:spacing w:after="0" w:line="166" w:lineRule="exact"/>
        <w:rPr>
          <w:sz w:val="20"/>
          <w:szCs w:val="20"/>
          <w:color w:val="auto"/>
        </w:rPr>
      </w:pPr>
    </w:p>
    <w:p>
      <w:pPr>
        <w:ind w:right="360" w:firstLine="1293"/>
        <w:spacing w:after="0" w:line="286" w:lineRule="auto"/>
        <w:tabs>
          <w:tab w:leader="none" w:pos="1962"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General Partners</w:t>
      </w:r>
      <w:r>
        <w:rPr>
          <w:rFonts w:ascii="Arial" w:cs="Arial" w:eastAsia="Arial" w:hAnsi="Arial"/>
          <w:sz w:val="17"/>
          <w:szCs w:val="17"/>
          <w:color w:val="auto"/>
        </w:rPr>
        <w:t>. As disclosed in the Pricing Disclosure Package and the Prospectus, in each case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each Partnership Group Entity that serves as a general partner of another Partnership Group Entity has full corporate or limited liability company power and authority, as the case may be, to serve as general partner of such Partnership Group Entity.</w:t>
      </w:r>
    </w:p>
    <w:p>
      <w:pPr>
        <w:spacing w:after="0" w:line="165" w:lineRule="exact"/>
        <w:rPr>
          <w:rFonts w:ascii="Arial" w:cs="Arial" w:eastAsia="Arial" w:hAnsi="Arial"/>
          <w:sz w:val="17"/>
          <w:szCs w:val="17"/>
          <w:color w:val="auto"/>
        </w:rPr>
      </w:pPr>
    </w:p>
    <w:p>
      <w:pPr>
        <w:ind w:firstLine="1293"/>
        <w:spacing w:after="0" w:line="269" w:lineRule="auto"/>
        <w:tabs>
          <w:tab w:leader="none" w:pos="197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w:t>
      </w:r>
      <w:r>
        <w:rPr>
          <w:rFonts w:ascii="Arial" w:cs="Arial" w:eastAsia="Arial" w:hAnsi="Arial"/>
          <w:sz w:val="17"/>
          <w:szCs w:val="17"/>
          <w:color w:val="auto"/>
        </w:rPr>
        <w:t>. At the applicable Delivery Date, after giving effect to the sale of the Shares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Shareholder and the Selling Shareholder Exchange (assuming the Underwriters do not exercise their option to acquire the Additional Shares), the General Partner will have outstanding 606,029,773 units representing membership interests in the General Partner (“</w:t>
      </w:r>
      <w:r>
        <w:rPr>
          <w:rFonts w:ascii="Arial" w:cs="Arial" w:eastAsia="Arial" w:hAnsi="Arial"/>
          <w:sz w:val="17"/>
          <w:szCs w:val="17"/>
          <w:b w:val="1"/>
          <w:bCs w:val="1"/>
          <w:color w:val="auto"/>
        </w:rPr>
        <w:t>General Partner Units</w:t>
      </w:r>
      <w:r>
        <w:rPr>
          <w:rFonts w:ascii="Arial" w:cs="Arial" w:eastAsia="Arial" w:hAnsi="Arial"/>
          <w:sz w:val="17"/>
          <w:szCs w:val="17"/>
          <w:color w:val="auto"/>
        </w:rPr>
        <w:t>”), of which the Partnership owns 196,046,637, representing a 32.3% membership interest in the General Partner; such General Partner Units have been duly authorized and validly issued in accordance with the Amended and Restated Limited Liability Company Agreement of the General Partner, dated October 21, 2013 (as amended, the “</w:t>
      </w:r>
      <w:r>
        <w:rPr>
          <w:rFonts w:ascii="Arial" w:cs="Arial" w:eastAsia="Arial" w:hAnsi="Arial"/>
          <w:sz w:val="17"/>
          <w:szCs w:val="17"/>
          <w:b w:val="1"/>
          <w:bCs w:val="1"/>
          <w:color w:val="auto"/>
        </w:rPr>
        <w:t>General Partner LLC Agreement</w:t>
      </w:r>
      <w:r>
        <w:rPr>
          <w:rFonts w:ascii="Arial" w:cs="Arial" w:eastAsia="Arial" w:hAnsi="Arial"/>
          <w:sz w:val="17"/>
          <w:szCs w:val="17"/>
          <w:color w:val="auto"/>
        </w:rPr>
        <w:t>”), and are fully paid (to the extent required under the General Partner LLC Agreement) and nonassessable (except as such nonassessability may be affected by Sections 18-607 and 18-804 of the Delaware Limited Liability Company Act (the “</w:t>
      </w:r>
      <w:r>
        <w:rPr>
          <w:rFonts w:ascii="Arial" w:cs="Arial" w:eastAsia="Arial" w:hAnsi="Arial"/>
          <w:sz w:val="17"/>
          <w:szCs w:val="17"/>
          <w:b w:val="1"/>
          <w:bCs w:val="1"/>
          <w:color w:val="auto"/>
        </w:rPr>
        <w:t>Delaware LLC Act</w:t>
      </w:r>
      <w:r>
        <w:rPr>
          <w:rFonts w:ascii="Arial" w:cs="Arial" w:eastAsia="Arial" w:hAnsi="Arial"/>
          <w:sz w:val="17"/>
          <w:szCs w:val="17"/>
          <w:color w:val="auto"/>
        </w:rPr>
        <w:t>”)); and such General Partner Units are owned free and clear of all liens, encumbrances, security interests, equities, charges or claims (“</w:t>
      </w:r>
      <w:r>
        <w:rPr>
          <w:rFonts w:ascii="Arial" w:cs="Arial" w:eastAsia="Arial" w:hAnsi="Arial"/>
          <w:sz w:val="17"/>
          <w:szCs w:val="17"/>
          <w:b w:val="1"/>
          <w:bCs w:val="1"/>
          <w:color w:val="auto"/>
        </w:rPr>
        <w:t>Liens</w:t>
      </w:r>
      <w:r>
        <w:rPr>
          <w:rFonts w:ascii="Arial" w:cs="Arial" w:eastAsia="Arial" w:hAnsi="Arial"/>
          <w:sz w:val="17"/>
          <w:szCs w:val="17"/>
          <w:color w:val="auto"/>
        </w:rPr>
        <w:t>”), except (i) 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 businesses as currently conducted and as contemplated by the Pricing Disclosure Package and the Prospectus to be conducted.</w:t>
      </w:r>
    </w:p>
    <w:p>
      <w:pPr>
        <w:spacing w:after="0" w:line="179" w:lineRule="exact"/>
        <w:rPr>
          <w:rFonts w:ascii="Arial" w:cs="Arial" w:eastAsia="Arial" w:hAnsi="Arial"/>
          <w:sz w:val="17"/>
          <w:szCs w:val="17"/>
          <w:color w:val="auto"/>
        </w:rPr>
      </w:pPr>
    </w:p>
    <w:p>
      <w:pPr>
        <w:ind w:right="20" w:firstLine="1293"/>
        <w:spacing w:after="0" w:line="257" w:lineRule="auto"/>
        <w:tabs>
          <w:tab w:leader="none" w:pos="198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Ownership of the General Partner Interest in the Partnership</w:t>
      </w:r>
      <w:r>
        <w:rPr>
          <w:rFonts w:ascii="Arial" w:cs="Arial" w:eastAsia="Arial" w:hAnsi="Arial"/>
          <w:sz w:val="18"/>
          <w:szCs w:val="18"/>
          <w:color w:val="auto"/>
        </w:rPr>
        <w:t>. The General Partner is, and at the applicable Delivery Date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the sole general partner of the Partnership, with a non-economic general partner interest in the Partnership; such general partner interest has been duly authorized and validly issued in accordance with the Amended and Restated Agreement of Limited Partnership of the Partnership, dated October 21, 2013 (as amended, the “</w:t>
      </w:r>
      <w:r>
        <w:rPr>
          <w:rFonts w:ascii="Arial" w:cs="Arial" w:eastAsia="Arial" w:hAnsi="Arial"/>
          <w:sz w:val="18"/>
          <w:szCs w:val="18"/>
          <w:b w:val="1"/>
          <w:bCs w:val="1"/>
          <w:color w:val="auto"/>
        </w:rPr>
        <w:t>Partnership Agreement</w:t>
      </w:r>
      <w:r>
        <w:rPr>
          <w:rFonts w:ascii="Arial" w:cs="Arial" w:eastAsia="Arial" w:hAnsi="Arial"/>
          <w:sz w:val="18"/>
          <w:szCs w:val="18"/>
          <w:color w:val="auto"/>
        </w:rPr>
        <w:t>”), and the General Partner owns such general partner interest free and clear of all Liens.</w:t>
      </w:r>
    </w:p>
    <w:p>
      <w:pPr>
        <w:spacing w:after="0" w:line="188" w:lineRule="exact"/>
        <w:rPr>
          <w:rFonts w:ascii="Arial" w:cs="Arial" w:eastAsia="Arial" w:hAnsi="Arial"/>
          <w:sz w:val="18"/>
          <w:szCs w:val="18"/>
          <w:color w:val="auto"/>
        </w:rPr>
      </w:pPr>
    </w:p>
    <w:p>
      <w:pPr>
        <w:ind w:right="60" w:firstLine="1293"/>
        <w:spacing w:after="0" w:line="293" w:lineRule="auto"/>
        <w:tabs>
          <w:tab w:leader="none" w:pos="1957"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Ownership of GP LLC</w:t>
      </w:r>
      <w:r>
        <w:rPr>
          <w:rFonts w:ascii="Arial" w:cs="Arial" w:eastAsia="Arial" w:hAnsi="Arial"/>
          <w:sz w:val="16"/>
          <w:szCs w:val="16"/>
          <w:color w:val="auto"/>
        </w:rPr>
        <w:t>. The Partnership owns, and at the applicable Delivery Date will own, a 100% membership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GP LLC; such membership interest has been duly authorized and validly issued in accordance with the Sixth Amended and Restated Limited Liability Company Agreement of GP LLC, dated October 21, 2013 (as amended, the “</w:t>
      </w:r>
      <w:r>
        <w:rPr>
          <w:rFonts w:ascii="Arial" w:cs="Arial" w:eastAsia="Arial" w:hAnsi="Arial"/>
          <w:sz w:val="16"/>
          <w:szCs w:val="16"/>
          <w:b w:val="1"/>
          <w:bCs w:val="1"/>
          <w:color w:val="auto"/>
        </w:rPr>
        <w:t>Plains GP LLC Agreement</w:t>
      </w:r>
      <w:r>
        <w:rPr>
          <w:rFonts w:ascii="Arial" w:cs="Arial" w:eastAsia="Arial" w:hAnsi="Arial"/>
          <w:sz w:val="16"/>
          <w:szCs w:val="16"/>
          <w:color w:val="auto"/>
        </w:rPr>
        <w:t>”), and is fully paid (to the extent required under the Plains GP LLC Agreement) and nonassessable (except as such nonassessability may be affected by Sections 18-607 and 18-804 of the Delaware LLC Act); and such membership interest is owned free and clear of all Liens, except (i) as disclosed in the Pricing Disclosure Package and the Prospectus or (ii) such as would not reasonably be expected to result in a change of control of the Partnership or</w:t>
      </w:r>
    </w:p>
    <w:p>
      <w:pPr>
        <w:sectPr>
          <w:pgSz w:w="11900" w:h="16838" w:orient="portrait"/>
          <w:cols w:equalWidth="0" w:num="1">
            <w:col w:w="10760"/>
          </w:cols>
          <w:pgMar w:left="900" w:top="125" w:right="239" w:bottom="0" w:gutter="0" w:footer="0" w:header="0"/>
        </w:sectPr>
      </w:pPr>
    </w:p>
    <w:bookmarkStart w:id="5" w:name="page6"/>
    <w:bookmarkEnd w:id="5"/>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reasonably be expected to materially adversely affect the ability of the Partnership Group Entities considered as a whole to conduct their businesses as currently conducted and as contemplated by the Pricing Disclosure Package and the Prospectus to be conducted.</w:t>
      </w:r>
    </w:p>
    <w:p>
      <w:pPr>
        <w:spacing w:after="0" w:line="147" w:lineRule="exact"/>
        <w:rPr>
          <w:sz w:val="20"/>
          <w:szCs w:val="20"/>
          <w:color w:val="auto"/>
        </w:rPr>
      </w:pPr>
    </w:p>
    <w:p>
      <w:pPr>
        <w:ind w:right="320" w:firstLine="1293"/>
        <w:spacing w:after="0" w:line="302" w:lineRule="auto"/>
        <w:tabs>
          <w:tab w:leader="none" w:pos="194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 Interest in Plains AAP</w:t>
      </w:r>
      <w:r>
        <w:rPr>
          <w:rFonts w:ascii="Arial" w:cs="Arial" w:eastAsia="Arial" w:hAnsi="Arial"/>
          <w:sz w:val="16"/>
          <w:szCs w:val="16"/>
          <w:color w:val="auto"/>
        </w:rPr>
        <w:t>. GP LLC is, and at the applicable Delivery Date will be, the</w:t>
      </w:r>
      <w:r>
        <w:rPr>
          <w:rFonts w:ascii="Arial" w:cs="Arial" w:eastAsia="Arial" w:hAnsi="Arial"/>
          <w:sz w:val="16"/>
          <w:szCs w:val="16"/>
          <w:i w:val="1"/>
          <w:iCs w:val="1"/>
          <w:color w:val="auto"/>
        </w:rPr>
        <w:t xml:space="preserve"> </w:t>
      </w:r>
      <w:r>
        <w:rPr>
          <w:rFonts w:ascii="Arial" w:cs="Arial" w:eastAsia="Arial" w:hAnsi="Arial"/>
          <w:sz w:val="16"/>
          <w:szCs w:val="16"/>
          <w:color w:val="auto"/>
        </w:rPr>
        <w:t>sole general partner of Plains AAP, with a non-economic general partner interest in Plains AAP; such general partner interest has been duly authorized and validly issued in accordance with the Seventh Amended and Restated Limited Partnership Agreement of Plains AAP, dated October 21, 2013 (as amended, the “</w:t>
      </w:r>
      <w:r>
        <w:rPr>
          <w:rFonts w:ascii="Arial" w:cs="Arial" w:eastAsia="Arial" w:hAnsi="Arial"/>
          <w:sz w:val="16"/>
          <w:szCs w:val="16"/>
          <w:b w:val="1"/>
          <w:bCs w:val="1"/>
          <w:color w:val="auto"/>
        </w:rPr>
        <w:t>AAP Partnership Agreement</w:t>
      </w:r>
      <w:r>
        <w:rPr>
          <w:rFonts w:ascii="Arial" w:cs="Arial" w:eastAsia="Arial" w:hAnsi="Arial"/>
          <w:sz w:val="16"/>
          <w:szCs w:val="16"/>
          <w:color w:val="auto"/>
        </w:rPr>
        <w:t>”), and GP LLC owns such general partner interest free and clear of all Liens.</w:t>
      </w:r>
    </w:p>
    <w:p>
      <w:pPr>
        <w:spacing w:after="0" w:line="154" w:lineRule="exact"/>
        <w:rPr>
          <w:rFonts w:ascii="Arial" w:cs="Arial" w:eastAsia="Arial" w:hAnsi="Arial"/>
          <w:sz w:val="16"/>
          <w:szCs w:val="16"/>
          <w:color w:val="auto"/>
        </w:rPr>
      </w:pPr>
    </w:p>
    <w:p>
      <w:pPr>
        <w:ind w:right="20" w:firstLine="1293"/>
        <w:spacing w:after="0" w:line="271" w:lineRule="auto"/>
        <w:tabs>
          <w:tab w:leader="none" w:pos="1957"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Ownership of PAA GP</w:t>
      </w:r>
      <w:r>
        <w:rPr>
          <w:rFonts w:ascii="Arial" w:cs="Arial" w:eastAsia="Arial" w:hAnsi="Arial"/>
          <w:sz w:val="17"/>
          <w:szCs w:val="17"/>
          <w:color w:val="auto"/>
        </w:rPr>
        <w:t>. Plains AAP owns, and at the applicable Delivery Date will own, a 100% membership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PAA GP; such membership interest has been duly authorized and validly issued in accordance with the Limited Liability Company Agreement of PAA GP, dated December 28, 2007 (as amended, the “</w:t>
      </w:r>
      <w:r>
        <w:rPr>
          <w:rFonts w:ascii="Arial" w:cs="Arial" w:eastAsia="Arial" w:hAnsi="Arial"/>
          <w:sz w:val="17"/>
          <w:szCs w:val="17"/>
          <w:b w:val="1"/>
          <w:bCs w:val="1"/>
          <w:color w:val="auto"/>
        </w:rPr>
        <w:t>PAA GP LLC Agreement</w:t>
      </w:r>
      <w:r>
        <w:rPr>
          <w:rFonts w:ascii="Arial" w:cs="Arial" w:eastAsia="Arial" w:hAnsi="Arial"/>
          <w:sz w:val="17"/>
          <w:szCs w:val="17"/>
          <w:color w:val="auto"/>
        </w:rPr>
        <w:t>”), and is fully paid (to the extent required under the PAA GP LLC Agreement) and nonassessable (except as such nonassessability may be affected by Sections 18-607 and 18-804 of the Delaware LLC Act); and such membership interest is owned free and clear of all Liens, except (i) 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 businesses as currently conducted and as contemplated by the Pricing Disclosure Package and the Prospectus to be conducted.</w:t>
      </w:r>
    </w:p>
    <w:p>
      <w:pPr>
        <w:spacing w:after="0" w:line="178" w:lineRule="exact"/>
        <w:rPr>
          <w:rFonts w:ascii="Arial" w:cs="Arial" w:eastAsia="Arial" w:hAnsi="Arial"/>
          <w:sz w:val="17"/>
          <w:szCs w:val="17"/>
          <w:color w:val="auto"/>
        </w:rPr>
      </w:pPr>
    </w:p>
    <w:p>
      <w:pPr>
        <w:ind w:right="360" w:firstLine="1293"/>
        <w:spacing w:after="0" w:line="279" w:lineRule="auto"/>
        <w:tabs>
          <w:tab w:leader="none" w:pos="1967"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 Interest in PAA</w:t>
      </w:r>
      <w:r>
        <w:rPr>
          <w:rFonts w:ascii="Arial" w:cs="Arial" w:eastAsia="Arial" w:hAnsi="Arial"/>
          <w:sz w:val="17"/>
          <w:szCs w:val="17"/>
          <w:color w:val="auto"/>
        </w:rPr>
        <w:t>. PAA GP is, and at the applicable Delivery Date will be, the sole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of PAA, with a 2.0% general partner interest in PAA; such general partner interest has been duly authorized and validly issued in accordance with the Fourth Amended and Restated Agreement of Limited Partnership of PAA, dated May 17, 2012 (as amended, the “</w:t>
      </w:r>
      <w:r>
        <w:rPr>
          <w:rFonts w:ascii="Arial" w:cs="Arial" w:eastAsia="Arial" w:hAnsi="Arial"/>
          <w:sz w:val="17"/>
          <w:szCs w:val="17"/>
          <w:b w:val="1"/>
          <w:b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color w:val="auto"/>
        </w:rPr>
        <w:t>Partnership Agreement</w:t>
      </w:r>
      <w:r>
        <w:rPr>
          <w:rFonts w:ascii="Arial" w:cs="Arial" w:eastAsia="Arial" w:hAnsi="Arial"/>
          <w:sz w:val="17"/>
          <w:szCs w:val="17"/>
          <w:color w:val="auto"/>
        </w:rPr>
        <w:t>”), and PAA GP owns such general partner interest free and clear of all Liens.</w:t>
      </w:r>
    </w:p>
    <w:p>
      <w:pPr>
        <w:spacing w:after="0" w:line="171" w:lineRule="exact"/>
        <w:rPr>
          <w:rFonts w:ascii="Arial" w:cs="Arial" w:eastAsia="Arial" w:hAnsi="Arial"/>
          <w:sz w:val="17"/>
          <w:szCs w:val="17"/>
          <w:color w:val="auto"/>
        </w:rPr>
      </w:pPr>
    </w:p>
    <w:p>
      <w:pPr>
        <w:ind w:right="120" w:firstLine="1293"/>
        <w:spacing w:after="0" w:line="270" w:lineRule="auto"/>
        <w:tabs>
          <w:tab w:leader="none" w:pos="197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Ownership of the Material Subsidiaries</w:t>
      </w:r>
      <w:r>
        <w:rPr>
          <w:rFonts w:ascii="Arial" w:cs="Arial" w:eastAsia="Arial" w:hAnsi="Arial"/>
          <w:sz w:val="17"/>
          <w:szCs w:val="17"/>
          <w:color w:val="auto"/>
        </w:rPr>
        <w:t>. All of the outstanding shares of capital stock or other equity interests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adopted, entered into, amended or restated prior to the applicable Delivery Date) (the “</w:t>
      </w:r>
      <w:r>
        <w:rPr>
          <w:rFonts w:ascii="Arial" w:cs="Arial" w:eastAsia="Arial" w:hAnsi="Arial"/>
          <w:sz w:val="17"/>
          <w:szCs w:val="17"/>
          <w:b w:val="1"/>
          <w:bCs w:val="1"/>
          <w:color w:val="auto"/>
        </w:rPr>
        <w:t>Subsidiary Organizational Documents</w:t>
      </w:r>
      <w:r>
        <w:rPr>
          <w:rFonts w:ascii="Arial" w:cs="Arial" w:eastAsia="Arial" w:hAnsi="Arial"/>
          <w:sz w:val="17"/>
          <w:szCs w:val="17"/>
          <w:color w:val="auto"/>
        </w:rPr>
        <w:t>” and, together with the Operating Documents (as defined below) and the PAA Partnership Agreement, the “</w:t>
      </w:r>
      <w:r>
        <w:rPr>
          <w:rFonts w:ascii="Arial" w:cs="Arial" w:eastAsia="Arial" w:hAnsi="Arial"/>
          <w:sz w:val="17"/>
          <w:szCs w:val="17"/>
          <w:b w:val="1"/>
          <w:bCs w:val="1"/>
          <w:color w:val="auto"/>
        </w:rPr>
        <w:t>Organizational Documents</w:t>
      </w:r>
      <w:r>
        <w:rPr>
          <w:rFonts w:ascii="Arial" w:cs="Arial" w:eastAsia="Arial" w:hAnsi="Arial"/>
          <w:sz w:val="17"/>
          <w:szCs w:val="17"/>
          <w:color w:val="auto"/>
        </w:rPr>
        <w:t>”) of such Material Subsidiary), are fully paid (in the case of an interest in a limited partnership or limited liability company, to the extent required under the Subsidiary Organizational Documents of such Material Subsidiary) and nonassessable (except (i) in the case of an interest in a Delaware limited partnership or Delaware limited liability company, as such nonassessability may be affected by Sections 17-607 and 17-804 of the Delaware Revised</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Uniform Limited Partnership Act (the “</w:t>
      </w:r>
      <w:r>
        <w:rPr>
          <w:rFonts w:ascii="Arial" w:cs="Arial" w:eastAsia="Arial" w:hAnsi="Arial"/>
          <w:sz w:val="18"/>
          <w:szCs w:val="18"/>
          <w:b w:val="1"/>
          <w:bCs w:val="1"/>
          <w:color w:val="auto"/>
        </w:rPr>
        <w:t>Delaware LP Act</w:t>
      </w:r>
      <w:r>
        <w:rPr>
          <w:rFonts w:ascii="Arial" w:cs="Arial" w:eastAsia="Arial" w:hAnsi="Arial"/>
          <w:sz w:val="18"/>
          <w:szCs w:val="18"/>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PAA. The direct or indirect subsidiaries of PAA other than the Material Subsidiaries did not, individually or in the aggregate, account for (i) more than 10% of the total consolidated assets of PAA as of the most recent fiscal year end or (ii) more than 10% of the consolidated net income of PAA for the most recent fiscal year end.</w:t>
      </w:r>
    </w:p>
    <w:p>
      <w:pPr>
        <w:spacing w:after="0" w:line="189" w:lineRule="exact"/>
        <w:rPr>
          <w:sz w:val="20"/>
          <w:szCs w:val="20"/>
          <w:color w:val="auto"/>
        </w:rPr>
      </w:pPr>
    </w:p>
    <w:p>
      <w:pPr>
        <w:ind w:right="20" w:firstLine="1293"/>
        <w:spacing w:after="0" w:line="255" w:lineRule="auto"/>
        <w:tabs>
          <w:tab w:leader="none" w:pos="195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Ownership of the Incentive Distribution Rights</w:t>
      </w:r>
      <w:r>
        <w:rPr>
          <w:rFonts w:ascii="Arial" w:cs="Arial" w:eastAsia="Arial" w:hAnsi="Arial"/>
          <w:sz w:val="18"/>
          <w:szCs w:val="18"/>
          <w:color w:val="auto"/>
        </w:rPr>
        <w:t>. Plains AAP owns, and at the applicable Delivery Date will own,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distribution rights of PAA (the “</w:t>
      </w:r>
      <w:r>
        <w:rPr>
          <w:rFonts w:ascii="Arial" w:cs="Arial" w:eastAsia="Arial" w:hAnsi="Arial"/>
          <w:sz w:val="18"/>
          <w:szCs w:val="18"/>
          <w:b w:val="1"/>
          <w:bCs w:val="1"/>
          <w:color w:val="auto"/>
        </w:rPr>
        <w:t>Incentive Distribution Rights</w:t>
      </w:r>
      <w:r>
        <w:rPr>
          <w:rFonts w:ascii="Arial" w:cs="Arial" w:eastAsia="Arial" w:hAnsi="Arial"/>
          <w:sz w:val="18"/>
          <w:szCs w:val="18"/>
          <w:color w:val="auto"/>
        </w:rPr>
        <w:t>”); the Incentive Distribution Rights and the limited partner interests represented thereby have been duly authorized and validly issued in accordance with the PAA Partnership Agreement and are fully paid (to the extent required under the PAA Partnership Agreement) and nonassessable (except as such nonassessability may be affected by matters described in Sections 17-607 and 17-804 of the Delaware LP Act); and Plains AAP owns such interests free and clear of all Liens, except as disclosed in the Pricing Disclosure Package and the Prospectus.</w:t>
      </w:r>
    </w:p>
    <w:p>
      <w:pPr>
        <w:spacing w:after="0" w:line="193" w:lineRule="exact"/>
        <w:rPr>
          <w:rFonts w:ascii="Arial" w:cs="Arial" w:eastAsia="Arial" w:hAnsi="Arial"/>
          <w:sz w:val="18"/>
          <w:szCs w:val="18"/>
          <w:color w:val="auto"/>
        </w:rPr>
      </w:pPr>
    </w:p>
    <w:p>
      <w:pPr>
        <w:ind w:firstLine="1293"/>
        <w:spacing w:after="0" w:line="271" w:lineRule="auto"/>
        <w:tabs>
          <w:tab w:leader="none" w:pos="194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Capitalization of Plains AAP</w:t>
      </w:r>
      <w:r>
        <w:rPr>
          <w:rFonts w:ascii="Arial" w:cs="Arial" w:eastAsia="Arial" w:hAnsi="Arial"/>
          <w:sz w:val="17"/>
          <w:szCs w:val="17"/>
          <w:color w:val="auto"/>
        </w:rPr>
        <w:t>. As of the date hereof, the issued and outstanding limited partner interests of Plains AAP</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606,029,773 Class A Units representing limited partner interests in Plains AAP (“</w:t>
      </w:r>
      <w:r>
        <w:rPr>
          <w:rFonts w:ascii="Arial" w:cs="Arial" w:eastAsia="Arial" w:hAnsi="Arial"/>
          <w:sz w:val="17"/>
          <w:szCs w:val="17"/>
          <w:b w:val="1"/>
          <w:bCs w:val="1"/>
          <w:color w:val="auto"/>
        </w:rPr>
        <w:t>AAP Class A Units</w:t>
      </w:r>
      <w:r>
        <w:rPr>
          <w:rFonts w:ascii="Arial" w:cs="Arial" w:eastAsia="Arial" w:hAnsi="Arial"/>
          <w:sz w:val="17"/>
          <w:szCs w:val="17"/>
          <w:color w:val="auto"/>
        </w:rPr>
        <w:t>”) and 49,072,830 Class B Units representing limited partner interests in Plains AAP (“</w:t>
      </w:r>
      <w:r>
        <w:rPr>
          <w:rFonts w:ascii="Arial" w:cs="Arial" w:eastAsia="Arial" w:hAnsi="Arial"/>
          <w:sz w:val="17"/>
          <w:szCs w:val="17"/>
          <w:b w:val="1"/>
          <w:bCs w:val="1"/>
          <w:color w:val="auto"/>
        </w:rPr>
        <w:t>AAP Class B Units</w:t>
      </w:r>
      <w:r>
        <w:rPr>
          <w:rFonts w:ascii="Arial" w:cs="Arial" w:eastAsia="Arial" w:hAnsi="Arial"/>
          <w:sz w:val="17"/>
          <w:szCs w:val="17"/>
          <w:color w:val="auto"/>
        </w:rPr>
        <w:t>”). The Partnership owns 32.3% of the AAP Class A Units, which AAP Class A Units are owned by the Partnership free and clear of all Liens, except as disclosed in the Pricing Disclosure Package and the Prospectus, and certain current and former members of PAA’s management own all of the AAP Class B Units. All outstanding AAP Class A Units and AAP Class B Units and the limited partner interests represented thereby have been duly authorized and validly issued in accordance with the AAP Partnership Agreement, and are fully paid (to the extent required under the AAP Partnership Agreement) and nonassessable (except as such nonassessability may be affected by Sections 17-607 and 17-804 of the Delaware LP Act).</w:t>
      </w:r>
    </w:p>
    <w:p>
      <w:pPr>
        <w:spacing w:after="0" w:line="178" w:lineRule="exact"/>
        <w:rPr>
          <w:rFonts w:ascii="Arial" w:cs="Arial" w:eastAsia="Arial" w:hAnsi="Arial"/>
          <w:sz w:val="17"/>
          <w:szCs w:val="17"/>
          <w:color w:val="auto"/>
        </w:rPr>
      </w:pPr>
    </w:p>
    <w:p>
      <w:pPr>
        <w:ind w:right="120" w:firstLine="1293"/>
        <w:spacing w:after="0" w:line="257" w:lineRule="auto"/>
        <w:tabs>
          <w:tab w:leader="none" w:pos="195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Capitalization of PAA</w:t>
      </w:r>
      <w:r>
        <w:rPr>
          <w:rFonts w:ascii="Arial" w:cs="Arial" w:eastAsia="Arial" w:hAnsi="Arial"/>
          <w:sz w:val="18"/>
          <w:szCs w:val="18"/>
          <w:color w:val="auto"/>
        </w:rPr>
        <w:t>. As of the date hereof, the issued and outstanding limited partner interests of PAA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372,033,831 common units representing limited partner interests and the Incentive Distribution Rights. All such outstanding common units and the limited partner interests represented thereby have been duly authorized and validly issued in accordance with the PAA Partnership Agreement and are fully paid (to the extent required under the PAA Partnership Agreement) and nonassessable (except as such nonassessability may be affected by Sections 17-607 and 17-804 of the Delaware LP Act).</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464" w:gutter="0" w:footer="0" w:header="0"/>
        </w:sectPr>
      </w:pPr>
    </w:p>
    <w:bookmarkStart w:id="6" w:name="page7"/>
    <w:bookmarkEnd w:id="6"/>
    <w:p>
      <w:pPr>
        <w:ind w:left="4" w:right="100" w:firstLine="1293"/>
        <w:spacing w:after="0" w:line="290" w:lineRule="auto"/>
        <w:tabs>
          <w:tab w:leader="none" w:pos="197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Capitalization of the Partnership</w:t>
      </w:r>
      <w:r>
        <w:rPr>
          <w:rFonts w:ascii="Arial" w:cs="Arial" w:eastAsia="Arial" w:hAnsi="Arial"/>
          <w:sz w:val="16"/>
          <w:szCs w:val="16"/>
          <w:color w:val="auto"/>
        </w:rPr>
        <w:t>. At the Initial Delivery Date, after giving effect to the sale of the Shares by the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and the Selling Shareholder Exchange (assuming the Underwriters do not exercise their option to acquire the Additional Shares), the issued and outstanding limited partner interests of the Partnership will consist of 196,046,637 Class A Shares and 409,983,136 Class B Shares. At each applicable Delivery Date, after giving effect to the Selling Shareholder Exchange, all outstanding Class A Shares and Class B Shares and the limited partner interests represented thereby will have been duly authorized and validly issued in accordance with the Partnership Agreement and will be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spacing w:after="0" w:line="166" w:lineRule="exact"/>
        <w:rPr>
          <w:rFonts w:ascii="Arial" w:cs="Arial" w:eastAsia="Arial" w:hAnsi="Arial"/>
          <w:sz w:val="16"/>
          <w:szCs w:val="16"/>
          <w:color w:val="auto"/>
        </w:rPr>
      </w:pPr>
    </w:p>
    <w:p>
      <w:pPr>
        <w:ind w:left="4" w:firstLine="1293"/>
        <w:spacing w:after="0" w:line="270" w:lineRule="auto"/>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No Preemptive or Other Rights</w:t>
      </w:r>
      <w:r>
        <w:rPr>
          <w:rFonts w:ascii="Arial" w:cs="Arial" w:eastAsia="Arial" w:hAnsi="Arial"/>
          <w:sz w:val="17"/>
          <w:szCs w:val="17"/>
          <w:color w:val="auto"/>
        </w:rPr>
        <w:t>. Except as described in the Pricing Disclosure Package and the Prospectus or as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AAP Partnership Agreement, the Partnership Agreement, the General Partner LLC Agreement and the Plains GP LLC Agreement (together, the “</w:t>
      </w:r>
      <w:r>
        <w:rPr>
          <w:rFonts w:ascii="Arial" w:cs="Arial" w:eastAsia="Arial" w:hAnsi="Arial"/>
          <w:sz w:val="17"/>
          <w:szCs w:val="17"/>
          <w:b w:val="1"/>
          <w:bCs w:val="1"/>
          <w:color w:val="auto"/>
        </w:rPr>
        <w:t>Operative Documents</w:t>
      </w:r>
      <w:r>
        <w:rPr>
          <w:rFonts w:ascii="Arial" w:cs="Arial" w:eastAsia="Arial" w:hAnsi="Arial"/>
          <w:sz w:val="17"/>
          <w:szCs w:val="17"/>
          <w:color w:val="auto"/>
        </w:rPr>
        <w:t>”), there are no preemptive rights or other rights to subscribe for or to purchase, nor any restriction upon the voting or transfer of, any equity securities of either of the Partnership or Plains AAP pursuant to any agreement or other instrument to which the Partnership or Plains AAP is a party or by which the Partnership or Plains AAP may be bound.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(i) as described in the Pricing Disclosure Package and the Prospectus (ii) for awards issued pursuant to the Partnership’s long-term incentive plan, there are no outstanding options, warrants or other rights to purchase or exchange any securities for any Shares or other equity interests in the Partnership.</w:t>
      </w:r>
    </w:p>
    <w:p>
      <w:pPr>
        <w:spacing w:after="0" w:line="181" w:lineRule="exact"/>
        <w:rPr>
          <w:rFonts w:ascii="Arial" w:cs="Arial" w:eastAsia="Arial" w:hAnsi="Arial"/>
          <w:sz w:val="17"/>
          <w:szCs w:val="17"/>
          <w:color w:val="auto"/>
        </w:rPr>
      </w:pPr>
    </w:p>
    <w:p>
      <w:pPr>
        <w:ind w:left="4" w:right="200" w:firstLine="1293"/>
        <w:spacing w:after="0" w:line="257" w:lineRule="auto"/>
        <w:tabs>
          <w:tab w:leader="none" w:pos="195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limited partnership power and authority to enter into this Agreement and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transactions contemplated hereby, including the Selling Shareholder Exchange. At each Delivery Date, all action required to be taken by the Partnership Parties or any of their respective unitholders, shareholders, members or partners for (i) the due and proper authorization, execution and delivery of this Agreement and (ii) the consummation of the transactions contemplated hereby, including the Selling Shareholder Exchange, shall have been duly and validly taken.</w:t>
      </w:r>
    </w:p>
    <w:p>
      <w:pPr>
        <w:spacing w:after="0" w:line="188" w:lineRule="exact"/>
        <w:rPr>
          <w:rFonts w:ascii="Arial" w:cs="Arial" w:eastAsia="Arial" w:hAnsi="Arial"/>
          <w:sz w:val="18"/>
          <w:szCs w:val="18"/>
          <w:color w:val="auto"/>
        </w:rPr>
      </w:pPr>
    </w:p>
    <w:p>
      <w:pPr>
        <w:ind w:left="4" w:firstLine="1293"/>
        <w:spacing w:after="0" w:line="277" w:lineRule="auto"/>
        <w:tabs>
          <w:tab w:leader="none" w:pos="194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by or on behalf of the Partnership Parties.</w:t>
      </w:r>
    </w:p>
    <w:p>
      <w:pPr>
        <w:spacing w:after="0" w:line="170" w:lineRule="exact"/>
        <w:rPr>
          <w:rFonts w:ascii="Arial" w:cs="Arial" w:eastAsia="Arial" w:hAnsi="Arial"/>
          <w:sz w:val="18"/>
          <w:szCs w:val="18"/>
          <w:color w:val="auto"/>
        </w:rPr>
      </w:pPr>
    </w:p>
    <w:p>
      <w:pPr>
        <w:ind w:left="4" w:right="320" w:firstLine="1293"/>
        <w:spacing w:after="0" w:line="264" w:lineRule="auto"/>
        <w:tabs>
          <w:tab w:leader="none" w:pos="195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Authorization, Execution and Enforceability of the Organizational Agreements</w:t>
      </w:r>
      <w:r>
        <w:rPr>
          <w:rFonts w:ascii="Arial" w:cs="Arial" w:eastAsia="Arial" w:hAnsi="Arial"/>
          <w:sz w:val="18"/>
          <w:szCs w:val="18"/>
          <w:color w:val="auto"/>
        </w:rPr>
        <w:t>. The partnership agreement or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agreement, as applicable, of each of the Partnership Group Entities has been duly authorized, executed and delivered by the Partnership Group Entities party thereto and each will be a valid and</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legally binding agreement of the parties thereto, enforceable against such parties thereto in accordance with their respective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7" w:lineRule="exact"/>
        <w:rPr>
          <w:sz w:val="20"/>
          <w:szCs w:val="20"/>
          <w:color w:val="auto"/>
        </w:rPr>
      </w:pPr>
    </w:p>
    <w:p>
      <w:pPr>
        <w:ind w:left="4" w:firstLine="1293"/>
        <w:spacing w:after="0" w:line="284" w:lineRule="auto"/>
        <w:tabs>
          <w:tab w:leader="none" w:pos="1966"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r>
        <w:rPr>
          <w:rFonts w:ascii="Arial" w:cs="Arial" w:eastAsia="Arial" w:hAnsi="Arial"/>
          <w:sz w:val="16"/>
          <w:szCs w:val="16"/>
          <w:color w:val="auto"/>
        </w:rPr>
        <w:t>. None of the (i) offering and sale by the Selling Shareholder of the Shares, (ii)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and performance of this Agreement by the Partnership Group Entities party hereto or thereto, or (iii) consummation of the Selling Shareholder Exchange: (A) conflicts or will conflict with or constitutes or will constitute a violation of the Organizational Documents of any of the Partnership Entities,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any of the Partnership Entities is a party or by which any of them or any of their respective properties may be bound, (C) violates or will violate any statute, law or regulation or any order, judgment, decree or injunction of any court or governmental agency or body directed to any of the Partnership Entities or any of their properties in a proceeding to which any of them or their property is a party or</w:t>
      </w:r>
    </w:p>
    <w:p>
      <w:pPr>
        <w:spacing w:after="0" w:line="1" w:lineRule="exact"/>
        <w:rPr>
          <w:rFonts w:ascii="Arial" w:cs="Arial" w:eastAsia="Arial" w:hAnsi="Arial"/>
          <w:sz w:val="16"/>
          <w:szCs w:val="16"/>
          <w:color w:val="auto"/>
        </w:rPr>
      </w:pPr>
    </w:p>
    <w:p>
      <w:pPr>
        <w:jc w:val="both"/>
        <w:ind w:left="4" w:right="80" w:hanging="4"/>
        <w:spacing w:after="0" w:line="254" w:lineRule="auto"/>
        <w:tabs>
          <w:tab w:leader="none" w:pos="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or will result in the creation or imposition of any Lien upon any property or assets of any of the Partnership Entities, which conflicts, breaches, violations, defaults or Liens, in the case of clauses (B), (C) or (D), would reasonably be expected to have a Material Adverse Effect or materially impair the ability of any of the Partnership Parties to consummate the transactions contemplated by this Agreement, including the Selling Shareholder Exchange.</w:t>
      </w:r>
    </w:p>
    <w:p>
      <w:pPr>
        <w:spacing w:after="0" w:line="189" w:lineRule="exact"/>
        <w:rPr>
          <w:rFonts w:ascii="Arial" w:cs="Arial" w:eastAsia="Arial" w:hAnsi="Arial"/>
          <w:sz w:val="18"/>
          <w:szCs w:val="18"/>
          <w:color w:val="auto"/>
        </w:rPr>
      </w:pPr>
    </w:p>
    <w:p>
      <w:pPr>
        <w:ind w:left="4" w:firstLine="1293"/>
        <w:spacing w:after="0" w:line="289" w:lineRule="auto"/>
        <w:tabs>
          <w:tab w:leader="none" w:pos="1975"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governmental agency or body having</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over any of the Partnership Entities or any of their respective properties is required in connection with (i) the offering and sale by the Selling Shareholder of the Shares, (ii) the execution, delivery and performance of, or the consummation of this Agreement by the Partnership Parties or (iii) the consummation of the transactions contemplated by this Agreement, including the Selling Shareholder Exchange,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purchase and distribution by the Underwriters of the Shares in the manner contemplated herein and in the Pricing Disclosure Package and the Prospectus and (iii) such that the failure to obtain or make would not reasonably be expected to have a Material Adverse Effect or materially impair the ability of any of the Partnership Parties or the PAA GP Entities to consummate the transactions contemplated by this Agreement, including the Selling Shareholder Exchange.</w:t>
      </w:r>
    </w:p>
    <w:p>
      <w:pPr>
        <w:spacing w:after="0" w:line="166" w:lineRule="exact"/>
        <w:rPr>
          <w:rFonts w:ascii="Arial" w:cs="Arial" w:eastAsia="Arial" w:hAnsi="Arial"/>
          <w:sz w:val="16"/>
          <w:szCs w:val="16"/>
          <w:color w:val="auto"/>
        </w:rPr>
      </w:pPr>
    </w:p>
    <w:p>
      <w:pPr>
        <w:ind w:left="4" w:right="180" w:firstLine="1293"/>
        <w:spacing w:after="0" w:line="277" w:lineRule="auto"/>
        <w:tabs>
          <w:tab w:leader="none" w:pos="1956"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None of the Partnership Entities is in (i) violation of its Organizational Documents in any material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(ii) violation of any law, statute, ordinance, administrative or governmental rule or regulation applicable to it or of any</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spacing w:after="0" w:line="302" w:lineRule="auto"/>
        <w:rPr>
          <w:sz w:val="20"/>
          <w:szCs w:val="20"/>
          <w:color w:val="auto"/>
        </w:rPr>
      </w:pPr>
      <w:r>
        <w:rPr>
          <w:rFonts w:ascii="Arial" w:cs="Arial" w:eastAsia="Arial" w:hAnsi="Arial"/>
          <w:sz w:val="16"/>
          <w:szCs w:val="16"/>
          <w:color w:val="auto"/>
        </w:rPr>
        <w:t>decree of any court or governmental agency or body having jurisdiction over it; or (iii)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w:t>
      </w:r>
    </w:p>
    <w:p>
      <w:pPr>
        <w:sectPr>
          <w:pgSz w:w="11900" w:h="16838" w:orient="portrait"/>
          <w:cols w:equalWidth="0" w:num="1">
            <w:col w:w="10744"/>
          </w:cols>
          <w:pgMar w:left="896" w:top="125" w:right="259" w:bottom="0" w:gutter="0" w:footer="0" w:header="0"/>
        </w:sectPr>
      </w:pPr>
    </w:p>
    <w:bookmarkStart w:id="7" w:name="page8"/>
    <w:bookmarkEnd w:id="7"/>
    <w:p>
      <w:pPr>
        <w:spacing w:after="0" w:line="106"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Adverse Effect or materially impair the ability of any of the Partnership Parties or the PAA GP Entities to consummate the transactions contemplated by this Agreement, including the Selling Shareholder Exchange.</w:t>
      </w:r>
    </w:p>
    <w:p>
      <w:pPr>
        <w:spacing w:after="0" w:line="170" w:lineRule="exact"/>
        <w:rPr>
          <w:sz w:val="20"/>
          <w:szCs w:val="20"/>
          <w:color w:val="auto"/>
        </w:rPr>
      </w:pPr>
    </w:p>
    <w:p>
      <w:pPr>
        <w:ind w:left="4" w:right="140" w:firstLine="1293"/>
        <w:spacing w:after="0" w:line="302" w:lineRule="auto"/>
        <w:tabs>
          <w:tab w:leader="none" w:pos="1947"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Independent Registered Public Accounting Firm</w:t>
      </w:r>
      <w:r>
        <w:rPr>
          <w:rFonts w:ascii="Arial" w:cs="Arial" w:eastAsia="Arial" w:hAnsi="Arial"/>
          <w:sz w:val="16"/>
          <w:szCs w:val="16"/>
          <w:color w:val="auto"/>
        </w:rPr>
        <w:t>. PricewaterhouseCoopers LLP, which has certified the audited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included or incorporated by reference in the Registration Statement, the Pricing Disclosure Package and the Prospectus (and any amendment or supplement thereto), is an independent registered public accounting firm with respect to the Partnership Parties and the Partnership’s consolidated subsidiaries as required by the Securities Act and the Rules and Regulations and the Public Company Accounting Oversight Board.</w:t>
      </w:r>
    </w:p>
    <w:p>
      <w:pPr>
        <w:spacing w:after="0" w:line="154" w:lineRule="exact"/>
        <w:rPr>
          <w:rFonts w:ascii="Arial" w:cs="Arial" w:eastAsia="Arial" w:hAnsi="Arial"/>
          <w:sz w:val="16"/>
          <w:szCs w:val="16"/>
          <w:color w:val="auto"/>
        </w:rPr>
      </w:pPr>
    </w:p>
    <w:p>
      <w:pPr>
        <w:ind w:left="4" w:right="60" w:firstLine="1293"/>
        <w:spacing w:after="0" w:line="270" w:lineRule="auto"/>
        <w:tabs>
          <w:tab w:leader="none" w:pos="195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The financial statements (including the related notes and supporting schedules) and other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Pricing Disclosure Package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Partnership are required by the Securities Act or the Exchange Act to be included in the Registration Statement, the Pricing Disclosure Package or the Prospectus.</w:t>
      </w:r>
    </w:p>
    <w:p>
      <w:pPr>
        <w:spacing w:after="0" w:line="177" w:lineRule="exact"/>
        <w:rPr>
          <w:rFonts w:ascii="Arial" w:cs="Arial" w:eastAsia="Arial" w:hAnsi="Arial"/>
          <w:sz w:val="17"/>
          <w:szCs w:val="17"/>
          <w:color w:val="auto"/>
        </w:rPr>
      </w:pPr>
    </w:p>
    <w:p>
      <w:pPr>
        <w:ind w:left="4" w:right="20" w:firstLine="1293"/>
        <w:spacing w:after="0" w:line="272" w:lineRule="auto"/>
        <w:tabs>
          <w:tab w:leader="none" w:pos="196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None of the Partnership Group Entities has sustained, since the date of the latest audited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there has not</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60"/>
        <w:spacing w:after="0" w:line="291" w:lineRule="auto"/>
        <w:rPr>
          <w:sz w:val="20"/>
          <w:szCs w:val="20"/>
          <w:color w:val="auto"/>
        </w:rPr>
      </w:pPr>
      <w:r>
        <w:rPr>
          <w:rFonts w:ascii="Arial" w:cs="Arial" w:eastAsia="Arial" w:hAnsi="Arial"/>
          <w:sz w:val="16"/>
          <w:szCs w:val="16"/>
          <w:color w:val="auto"/>
        </w:rPr>
        <w:t>been (i) any Material Adverse Effect, or any development that would, individually or in the aggregate, reasonably be expected to have a Material Adverse Effect, (ii) any transaction which is material to the Partnership Group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direct or indirect majority owned subsidiary of PAA to another direct or indirect majority owned subsidiary of PAA or PAA or from a PAA GP Entity to its members or other equity owners, declared, paid or made on the security interests of any of the Partnership Group Entities, in each case other than as set forth in the Registration Statement, the Pricing Disclosure Package and the Prospectus.</w:t>
      </w:r>
    </w:p>
    <w:p>
      <w:pPr>
        <w:spacing w:after="0" w:line="167" w:lineRule="exact"/>
        <w:rPr>
          <w:sz w:val="20"/>
          <w:szCs w:val="20"/>
          <w:color w:val="auto"/>
        </w:rPr>
      </w:pPr>
    </w:p>
    <w:p>
      <w:pPr>
        <w:ind w:left="4" w:firstLine="1293"/>
        <w:spacing w:after="0" w:line="273" w:lineRule="auto"/>
        <w:tabs>
          <w:tab w:leader="none" w:pos="1975"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Required Disclosures and Descriptions</w:t>
      </w:r>
      <w:r>
        <w:rPr>
          <w:rFonts w:ascii="Arial" w:cs="Arial" w:eastAsia="Arial" w:hAnsi="Arial"/>
          <w:sz w:val="17"/>
          <w:szCs w:val="17"/>
          <w:color w:val="auto"/>
        </w:rPr>
        <w:t>. There are no legal or governmental proceedings pending 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Parties, threatened, against any of the Partnership Group Entities, or to which any of the Partnership Group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78" w:lineRule="exact"/>
        <w:rPr>
          <w:rFonts w:ascii="Arial" w:cs="Arial" w:eastAsia="Arial" w:hAnsi="Arial"/>
          <w:sz w:val="17"/>
          <w:szCs w:val="17"/>
          <w:color w:val="auto"/>
        </w:rPr>
      </w:pPr>
    </w:p>
    <w:p>
      <w:pPr>
        <w:ind w:left="4" w:right="120" w:firstLine="1293"/>
        <w:spacing w:after="0" w:line="285" w:lineRule="auto"/>
        <w:tabs>
          <w:tab w:leader="none" w:pos="1952"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Partnership Group Entities, directly or indirectly, have good and indefeasible title to all real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good title to all personal property described in the Pricing Disclosure Package and the Prospectus as being owned by them, free and clear of all Liens except (i) as provided in the Third Amended and Restated Credit Agreement dated August 19, 2011, as amended, among Plains Marketing, L.P. and Plains Midstream ULC, as borrowers, PAA, as guarantor, Bank of America, N.A., as administrative agent thereunder and the lenders from time to time party thereto, filed as an exhibit to the Partnership’s Annual Report on Form 10-K for the year ended December 31, 2013,</w:t>
      </w:r>
    </w:p>
    <w:p>
      <w:pPr>
        <w:spacing w:after="0" w:line="2" w:lineRule="exact"/>
        <w:rPr>
          <w:rFonts w:ascii="Arial" w:cs="Arial" w:eastAsia="Arial" w:hAnsi="Arial"/>
          <w:sz w:val="16"/>
          <w:szCs w:val="16"/>
          <w:color w:val="auto"/>
        </w:rPr>
      </w:pPr>
    </w:p>
    <w:p>
      <w:pPr>
        <w:ind w:left="4" w:right="40" w:hanging="4"/>
        <w:spacing w:after="0" w:line="270" w:lineRule="auto"/>
        <w:tabs>
          <w:tab w:leader="none" w:pos="2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provided in the Second Amended and Restated Credit Agreement dated as of September 26, 2013 among Plains AAP, Citibank, N.A., as Administrative Agent thereunder and the other lenders party thereto, (as amended and restated, the “</w:t>
      </w:r>
      <w:r>
        <w:rPr>
          <w:rFonts w:ascii="Arial" w:cs="Arial" w:eastAsia="Arial" w:hAnsi="Arial"/>
          <w:sz w:val="17"/>
          <w:szCs w:val="17"/>
          <w:b w:val="1"/>
          <w:bCs w:val="1"/>
          <w:color w:val="auto"/>
        </w:rPr>
        <w:t>AAP Credit Agreement</w:t>
      </w:r>
      <w:r>
        <w:rPr>
          <w:rFonts w:ascii="Arial" w:cs="Arial" w:eastAsia="Arial" w:hAnsi="Arial"/>
          <w:sz w:val="17"/>
          <w:szCs w:val="17"/>
          <w:color w:val="auto"/>
        </w:rPr>
        <w:t>”), filed as an exhibit to the Partnership’s Annual Report on Form 10-K for the year ended December 31, 2013, and (iii) such as would not reasonably be expected to have, individually or in the aggregate, a Material Adverse Effect; and all real property and buildings held under lease by the any of the Partnership Group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178" w:lineRule="exact"/>
        <w:rPr>
          <w:rFonts w:ascii="Arial" w:cs="Arial" w:eastAsia="Arial" w:hAnsi="Arial"/>
          <w:sz w:val="17"/>
          <w:szCs w:val="17"/>
          <w:color w:val="auto"/>
        </w:rPr>
      </w:pPr>
    </w:p>
    <w:p>
      <w:pPr>
        <w:ind w:left="4" w:right="260" w:firstLine="1293"/>
        <w:spacing w:after="0" w:line="277" w:lineRule="auto"/>
        <w:tabs>
          <w:tab w:leader="none" w:pos="194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Each of the Partnership Group Entities, directly or indirectly, has such permits, consents, licenses, franchises,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and authorizations of governmental or regulatory authorities (“</w:t>
      </w:r>
      <w:r>
        <w:rPr>
          <w:rFonts w:ascii="Arial" w:cs="Arial" w:eastAsia="Arial" w:hAnsi="Arial"/>
          <w:sz w:val="18"/>
          <w:szCs w:val="18"/>
          <w:b w:val="1"/>
          <w:bCs w:val="1"/>
          <w:color w:val="auto"/>
        </w:rPr>
        <w:t>Permits</w:t>
      </w:r>
      <w:r>
        <w:rPr>
          <w:rFonts w:ascii="Arial" w:cs="Arial" w:eastAsia="Arial" w:hAnsi="Arial"/>
          <w:sz w:val="18"/>
          <w:szCs w:val="18"/>
          <w:color w:val="auto"/>
        </w:rPr>
        <w:t>”) as are necessary to own its</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Partnership Group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78" w:lineRule="exact"/>
        <w:rPr>
          <w:sz w:val="20"/>
          <w:szCs w:val="20"/>
          <w:color w:val="auto"/>
        </w:rPr>
      </w:pPr>
    </w:p>
    <w:p>
      <w:pPr>
        <w:ind w:left="4" w:right="40" w:firstLine="1293"/>
        <w:spacing w:after="0" w:line="302"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Rights-of-Way</w:t>
      </w:r>
      <w:r>
        <w:rPr>
          <w:rFonts w:ascii="Arial" w:cs="Arial" w:eastAsia="Arial" w:hAnsi="Arial"/>
          <w:sz w:val="16"/>
          <w:szCs w:val="16"/>
          <w:color w:val="auto"/>
        </w:rPr>
        <w:t>. Each of the Partnership Group Entities, directly or indirectly, has such consents, easements, rights-of-way</w:t>
      </w:r>
      <w:r>
        <w:rPr>
          <w:rFonts w:ascii="Arial" w:cs="Arial" w:eastAsia="Arial" w:hAnsi="Arial"/>
          <w:sz w:val="16"/>
          <w:szCs w:val="16"/>
          <w:i w:val="1"/>
          <w:iCs w:val="1"/>
          <w:color w:val="auto"/>
        </w:rPr>
        <w:t xml:space="preserve"> </w:t>
      </w:r>
      <w:r>
        <w:rPr>
          <w:rFonts w:ascii="Arial" w:cs="Arial" w:eastAsia="Arial" w:hAnsi="Arial"/>
          <w:sz w:val="16"/>
          <w:szCs w:val="16"/>
          <w:color w:val="auto"/>
        </w:rPr>
        <w:t>or licenses from any person (“</w:t>
      </w:r>
      <w:r>
        <w:rPr>
          <w:rFonts w:ascii="Arial" w:cs="Arial" w:eastAsia="Arial" w:hAnsi="Arial"/>
          <w:sz w:val="16"/>
          <w:szCs w:val="16"/>
          <w:b w:val="1"/>
          <w:bCs w:val="1"/>
          <w:color w:val="auto"/>
        </w:rPr>
        <w:t>rights-of-way</w:t>
      </w:r>
      <w:r>
        <w:rPr>
          <w:rFonts w:ascii="Arial" w:cs="Arial" w:eastAsia="Arial" w:hAnsi="Arial"/>
          <w:sz w:val="16"/>
          <w:szCs w:val="16"/>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w:t>
      </w:r>
    </w:p>
    <w:p>
      <w:pPr>
        <w:sectPr>
          <w:pgSz w:w="11900" w:h="16945" w:orient="portrait"/>
          <w:cols w:equalWidth="0" w:num="1">
            <w:col w:w="10764"/>
          </w:cols>
          <w:pgMar w:left="896" w:top="125" w:right="239" w:bottom="0" w:gutter="0" w:footer="0" w:header="0"/>
        </w:sectPr>
      </w:pPr>
    </w:p>
    <w:bookmarkStart w:id="8" w:name="page9"/>
    <w:bookmarkEnd w:id="8"/>
    <w:p>
      <w:pPr>
        <w:spacing w:after="0" w:line="79"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Effect; each of the Partnership Group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188" w:lineRule="exact"/>
        <w:rPr>
          <w:sz w:val="20"/>
          <w:szCs w:val="20"/>
          <w:color w:val="auto"/>
        </w:rPr>
      </w:pPr>
    </w:p>
    <w:p>
      <w:pPr>
        <w:ind w:left="4" w:right="60" w:firstLine="1293"/>
        <w:spacing w:after="0" w:line="288" w:lineRule="auto"/>
        <w:tabs>
          <w:tab w:leader="none" w:pos="1961"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Investment Company</w:t>
      </w:r>
      <w:r>
        <w:rPr>
          <w:rFonts w:ascii="Arial" w:cs="Arial" w:eastAsia="Arial" w:hAnsi="Arial"/>
          <w:sz w:val="16"/>
          <w:szCs w:val="16"/>
          <w:color w:val="auto"/>
        </w:rPr>
        <w:t>. None of the Partnership Group Entities is now, and after the Selling Shareholder Exchange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by the Selling Shareholder of the Shares none of the Partnership Group Entities will be, (i) an “investment company” or a company “controlled by” an “investment company,” each within the meaning of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ind w:left="4" w:right="180" w:hanging="4"/>
        <w:spacing w:after="0" w:line="255"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90" w:lineRule="exact"/>
        <w:rPr>
          <w:rFonts w:ascii="Arial" w:cs="Arial" w:eastAsia="Arial" w:hAnsi="Arial"/>
          <w:sz w:val="18"/>
          <w:szCs w:val="18"/>
          <w:color w:val="auto"/>
        </w:rPr>
      </w:pPr>
    </w:p>
    <w:p>
      <w:pPr>
        <w:ind w:left="4" w:right="40" w:firstLine="1293"/>
        <w:spacing w:after="0" w:line="276" w:lineRule="auto"/>
        <w:tabs>
          <w:tab w:leader="none" w:pos="1971"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Pricing Disclosure Package and the Prospectus, none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Group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Pricing Disclosure Package and the Prospectus</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or is violating any terms and conditions of any such permit, license or approval, which in each case would reasonably be expected to have a Material Adverse Effect.</w:t>
      </w:r>
    </w:p>
    <w:p>
      <w:pPr>
        <w:spacing w:after="0" w:line="170" w:lineRule="exact"/>
        <w:rPr>
          <w:sz w:val="20"/>
          <w:szCs w:val="20"/>
          <w:color w:val="auto"/>
        </w:rPr>
      </w:pPr>
    </w:p>
    <w:p>
      <w:pPr>
        <w:ind w:left="4" w:right="600" w:firstLine="1293"/>
        <w:spacing w:after="0" w:line="308" w:lineRule="auto"/>
        <w:tabs>
          <w:tab w:leader="none" w:pos="195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No Labor Disputes</w:t>
      </w:r>
      <w:r>
        <w:rPr>
          <w:rFonts w:ascii="Arial" w:cs="Arial" w:eastAsia="Arial" w:hAnsi="Arial"/>
          <w:sz w:val="17"/>
          <w:szCs w:val="17"/>
          <w:color w:val="auto"/>
        </w:rPr>
        <w:t>. No labor dispute with the employees of any of the Partnership Group Entities exists 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Partnership Parties, is imminent, that would reasonably be expected to have a Material Adverse Effect.</w:t>
      </w:r>
    </w:p>
    <w:p>
      <w:pPr>
        <w:spacing w:after="0" w:line="147" w:lineRule="exact"/>
        <w:rPr>
          <w:sz w:val="20"/>
          <w:szCs w:val="20"/>
          <w:color w:val="auto"/>
        </w:rPr>
      </w:pPr>
    </w:p>
    <w:p>
      <w:pPr>
        <w:ind w:left="4" w:right="40" w:firstLine="1297"/>
        <w:spacing w:after="0" w:line="257"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color w:val="auto"/>
        </w:rPr>
        <w:t>Insurance</w:t>
      </w:r>
      <w:r>
        <w:rPr>
          <w:rFonts w:ascii="Arial" w:cs="Arial" w:eastAsia="Arial" w:hAnsi="Arial"/>
          <w:sz w:val="18"/>
          <w:szCs w:val="18"/>
          <w:color w:val="auto"/>
        </w:rPr>
        <w:t>. The Partnership Group Entities maintain or are entitled to the benefits of insurance covering their properties, operations, personnel and businesses against such losses and risks as are reasonably adequate to protect them and their businesses in a manner consistent with other businesses similarly situated. All such insurance is outstanding and duly in force on the date hereof and will be outstanding and duly in force on each applicable Delivery Date, except for such insurance for which the failure to be outstanding and duly in force would not reasonably be expected to have a Material Adverse Effect.</w:t>
      </w:r>
    </w:p>
    <w:p>
      <w:pPr>
        <w:spacing w:after="0" w:line="188" w:lineRule="exact"/>
        <w:rPr>
          <w:sz w:val="20"/>
          <w:szCs w:val="20"/>
          <w:color w:val="auto"/>
        </w:rPr>
      </w:pPr>
    </w:p>
    <w:p>
      <w:pPr>
        <w:ind w:left="4" w:right="20" w:firstLine="1297"/>
        <w:spacing w:after="0" w:line="285" w:lineRule="auto"/>
        <w:rPr>
          <w:sz w:val="20"/>
          <w:szCs w:val="20"/>
          <w:color w:val="auto"/>
        </w:rPr>
      </w:pPr>
      <w:r>
        <w:rPr>
          <w:rFonts w:ascii="Arial" w:cs="Arial" w:eastAsia="Arial" w:hAnsi="Arial"/>
          <w:sz w:val="16"/>
          <w:szCs w:val="16"/>
          <w:color w:val="auto"/>
        </w:rPr>
        <w:t xml:space="preserve">(xli) </w:t>
      </w: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Pricing Disclosure Package and the Prospectus, there is (i) no action, suit or proceeding before or by any court, arbitrator or governmental agency, body or official, domestic or foreign, now pending or, to the knowledge of the Partnership Parties, threatened, to which any of the Partnership Group Entities is or may be a party or to which the business or property of any of the Partnership Group Entities is or may be subject, and (ii) no injunction, restraining order or order of any nature issued by a federal or state court or foreign court of competent jurisdiction to which any of the Partnership Group Entities is or may be subject, that, in the case of clauses (i) and</w:t>
      </w:r>
    </w:p>
    <w:p>
      <w:pPr>
        <w:spacing w:after="0" w:line="2" w:lineRule="exact"/>
        <w:rPr>
          <w:sz w:val="20"/>
          <w:szCs w:val="20"/>
          <w:color w:val="auto"/>
        </w:rPr>
      </w:pPr>
    </w:p>
    <w:p>
      <w:pPr>
        <w:ind w:left="4" w:right="40" w:hanging="4"/>
        <w:spacing w:after="0" w:line="261" w:lineRule="auto"/>
        <w:tabs>
          <w:tab w:leader="none" w:pos="2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above, would reasonably be expected to have, individually or in the aggregate, a Material Adverse Effect or prevent or result in the suspension of the offering of the Shares.</w:t>
      </w:r>
    </w:p>
    <w:p>
      <w:pPr>
        <w:spacing w:after="0" w:line="184" w:lineRule="exact"/>
        <w:rPr>
          <w:sz w:val="20"/>
          <w:szCs w:val="20"/>
          <w:color w:val="auto"/>
        </w:rPr>
      </w:pPr>
    </w:p>
    <w:p>
      <w:pPr>
        <w:ind w:left="4" w:right="100" w:firstLine="1297"/>
        <w:spacing w:after="0" w:line="272"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i w:val="1"/>
          <w:iCs w:val="1"/>
          <w:color w:val="auto"/>
        </w:rPr>
        <w:t>Distribution Restrictions</w:t>
      </w:r>
      <w:r>
        <w:rPr>
          <w:rFonts w:ascii="Arial" w:cs="Arial" w:eastAsia="Arial" w:hAnsi="Arial"/>
          <w:sz w:val="17"/>
          <w:szCs w:val="17"/>
          <w:color w:val="auto"/>
        </w:rPr>
        <w:t>. None of PAA, Plains AAP or any direct or indirect majority owned subsidiary of PAA is currently prohibited, directly or indirectly, from making any distributions to any Partnership Group Entity, as applicable, from making any other distribution on such entity’s equity interests, from repaying to any Partnership Group Entity any loans or advances to such entity from the Partnership Group Entities or from transferring any of such entity’s property or assets to the Partnership Group Entities, except (i) as described in or contemplated by the Pricing Disclosure Package and the Prospectus (exclusive of any amendment or supplement thereto), (ii) such prohibitions mandated by the laws of each such entity’s state of formation and the terms of the Organizational Documents of such entity and (iii) where such prohibition would not reasonably be expected to have a Material Adverse Effect.</w:t>
      </w:r>
    </w:p>
    <w:p>
      <w:pPr>
        <w:spacing w:after="0" w:line="178" w:lineRule="exact"/>
        <w:rPr>
          <w:sz w:val="20"/>
          <w:szCs w:val="20"/>
          <w:color w:val="auto"/>
        </w:rPr>
      </w:pPr>
    </w:p>
    <w:p>
      <w:pPr>
        <w:ind w:left="4" w:right="220" w:firstLine="1297"/>
        <w:spacing w:after="0" w:line="259"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Partnership Group Entities has distributed and, prior to the later to occur of (i) any Delivery Date and (ii) completion of the distribution of the Initial Shares or Additional Shares, as the case may be, will not distribute, any prospectus (as defined under the Securities Act) in connection with the offering and sale of the Shares other than any Preliminary Prospectus, the Prospectus, any Issuer Free Writing Prospectus, subject to the</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conditions in Section 1(a)(ix) of this Agreement, or other materials, if any, permitted by the Securities Act, including Rule 134 of the Rules and Regulations.</w:t>
      </w:r>
    </w:p>
    <w:p>
      <w:pPr>
        <w:spacing w:after="0" w:line="170" w:lineRule="exact"/>
        <w:rPr>
          <w:sz w:val="20"/>
          <w:szCs w:val="20"/>
          <w:color w:val="auto"/>
        </w:rPr>
      </w:pPr>
    </w:p>
    <w:p>
      <w:pPr>
        <w:ind w:left="1304"/>
        <w:spacing w:after="0"/>
        <w:tabs>
          <w:tab w:leader="none" w:pos="1943" w:val="left"/>
        </w:tabs>
        <w:rPr>
          <w:sz w:val="20"/>
          <w:szCs w:val="20"/>
          <w:color w:val="auto"/>
        </w:rPr>
      </w:pPr>
      <w:r>
        <w:rPr>
          <w:rFonts w:ascii="Arial" w:cs="Arial" w:eastAsia="Arial" w:hAnsi="Arial"/>
          <w:sz w:val="17"/>
          <w:szCs w:val="17"/>
          <w:color w:val="auto"/>
        </w:rPr>
        <w:t>(xliv)</w:t>
      </w:r>
      <w:r>
        <w:rPr>
          <w:sz w:val="20"/>
          <w:szCs w:val="20"/>
          <w:color w:val="auto"/>
        </w:rPr>
        <w:tab/>
      </w:r>
      <w:r>
        <w:rPr>
          <w:rFonts w:ascii="Arial" w:cs="Arial" w:eastAsia="Arial" w:hAnsi="Arial"/>
          <w:sz w:val="17"/>
          <w:szCs w:val="17"/>
          <w:i w:val="1"/>
          <w:iCs w:val="1"/>
          <w:color w:val="auto"/>
        </w:rPr>
        <w:t>NYSE Listing of Shares</w:t>
      </w:r>
      <w:r>
        <w:rPr>
          <w:rFonts w:ascii="Arial" w:cs="Arial" w:eastAsia="Arial" w:hAnsi="Arial"/>
          <w:sz w:val="17"/>
          <w:szCs w:val="17"/>
          <w:color w:val="auto"/>
        </w:rPr>
        <w:t>. The Class A Shares, including the Shares, are listed on the New York Stock Exchange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211" w:lineRule="exact"/>
        <w:rPr>
          <w:sz w:val="20"/>
          <w:szCs w:val="20"/>
          <w:color w:val="auto"/>
        </w:rPr>
      </w:pPr>
    </w:p>
    <w:p>
      <w:pPr>
        <w:ind w:left="4" w:firstLine="1297"/>
        <w:spacing w:after="0" w:line="255"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i w:val="1"/>
          <w:iCs w:val="1"/>
          <w:color w:val="auto"/>
        </w:rPr>
        <w:t>Books and Records; Accounting Controls</w:t>
      </w:r>
      <w:r>
        <w:rPr>
          <w:rFonts w:ascii="Arial" w:cs="Arial" w:eastAsia="Arial" w:hAnsi="Arial"/>
          <w:sz w:val="18"/>
          <w:szCs w:val="18"/>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sz w:val="20"/>
          <w:szCs w:val="20"/>
          <w:color w:val="auto"/>
        </w:rPr>
      </w:pPr>
    </w:p>
    <w:p>
      <w:pPr>
        <w:ind w:left="4" w:right="180" w:firstLine="1297"/>
        <w:spacing w:after="0" w:line="264" w:lineRule="auto"/>
        <w:rPr>
          <w:sz w:val="20"/>
          <w:szCs w:val="20"/>
          <w:color w:val="auto"/>
        </w:rPr>
      </w:pPr>
      <w:r>
        <w:rPr>
          <w:rFonts w:ascii="Arial" w:cs="Arial" w:eastAsia="Arial" w:hAnsi="Arial"/>
          <w:sz w:val="18"/>
          <w:szCs w:val="18"/>
          <w:color w:val="auto"/>
        </w:rPr>
        <w:t xml:space="preserve">(xlvi) </w:t>
      </w:r>
      <w:r>
        <w:rPr>
          <w:rFonts w:ascii="Arial" w:cs="Arial" w:eastAsia="Arial" w:hAnsi="Arial"/>
          <w:sz w:val="18"/>
          <w:szCs w:val="18"/>
          <w:i w:val="1"/>
          <w:iCs w:val="1"/>
          <w:color w:val="auto"/>
        </w:rPr>
        <w:t>FINRA Affiliations</w:t>
      </w:r>
      <w:r>
        <w:rPr>
          <w:rFonts w:ascii="Arial" w:cs="Arial" w:eastAsia="Arial" w:hAnsi="Arial"/>
          <w:sz w:val="18"/>
          <w:szCs w:val="18"/>
          <w:color w:val="auto"/>
        </w:rPr>
        <w:t>. To the actual knowledge of the Partnership Parties, there are no affiliations or associations between any member of FINRA and any of the General Partner’s officers or directors or 5% or greater security holders, except as described in the Registration Statement, the Pricing Disclosure Package and the Prospectus.</w:t>
      </w:r>
    </w:p>
    <w:p>
      <w:pPr>
        <w:sectPr>
          <w:pgSz w:w="11900" w:h="16918" w:orient="portrait"/>
          <w:cols w:equalWidth="0" w:num="1">
            <w:col w:w="10764"/>
          </w:cols>
          <w:pgMar w:left="896" w:top="125" w:right="239" w:bottom="0" w:gutter="0" w:footer="0" w:header="0"/>
        </w:sectPr>
      </w:pPr>
    </w:p>
    <w:bookmarkStart w:id="9" w:name="page10"/>
    <w:bookmarkEnd w:id="9"/>
    <w:p>
      <w:pPr>
        <w:spacing w:after="0" w:line="96" w:lineRule="exact"/>
        <w:rPr>
          <w:sz w:val="20"/>
          <w:szCs w:val="20"/>
          <w:color w:val="auto"/>
        </w:rPr>
      </w:pPr>
    </w:p>
    <w:p>
      <w:pPr>
        <w:ind w:left="660" w:right="240" w:firstLine="1297"/>
        <w:spacing w:after="0" w:line="264" w:lineRule="auto"/>
        <w:rPr>
          <w:sz w:val="20"/>
          <w:szCs w:val="20"/>
          <w:color w:val="auto"/>
        </w:rPr>
      </w:pPr>
      <w:r>
        <w:rPr>
          <w:rFonts w:ascii="Arial" w:cs="Arial" w:eastAsia="Arial" w:hAnsi="Arial"/>
          <w:sz w:val="18"/>
          <w:szCs w:val="18"/>
          <w:color w:val="auto"/>
        </w:rPr>
        <w:t xml:space="preserve">(xlvii) </w:t>
      </w: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Parties, the directors and officers of the General Partner in their capacities as such, are in compliance in all material respects with all applicable and effective provisions of the Sarbanes-Oxley Act of 2002 and the rules and regulations promulgated thereunder.</w:t>
      </w:r>
    </w:p>
    <w:p>
      <w:pPr>
        <w:spacing w:after="0" w:line="181" w:lineRule="exact"/>
        <w:rPr>
          <w:sz w:val="20"/>
          <w:szCs w:val="20"/>
          <w:color w:val="auto"/>
        </w:rPr>
      </w:pPr>
    </w:p>
    <w:p>
      <w:pPr>
        <w:ind w:left="660" w:right="20" w:firstLine="1297"/>
        <w:spacing w:after="0" w:line="255" w:lineRule="auto"/>
        <w:rPr>
          <w:sz w:val="20"/>
          <w:szCs w:val="20"/>
          <w:color w:val="auto"/>
        </w:rPr>
      </w:pPr>
      <w:r>
        <w:rPr>
          <w:rFonts w:ascii="Arial" w:cs="Arial" w:eastAsia="Arial" w:hAnsi="Arial"/>
          <w:sz w:val="18"/>
          <w:szCs w:val="18"/>
          <w:color w:val="auto"/>
        </w:rPr>
        <w:t xml:space="preserve">(xlviii) </w:t>
      </w:r>
      <w:r>
        <w:rPr>
          <w:rFonts w:ascii="Arial" w:cs="Arial" w:eastAsia="Arial" w:hAnsi="Arial"/>
          <w:sz w:val="18"/>
          <w:szCs w:val="18"/>
          <w:i w:val="1"/>
          <w:iCs w:val="1"/>
          <w:color w:val="auto"/>
        </w:rPr>
        <w:t>Disclosure Controls</w:t>
      </w:r>
      <w:r>
        <w:rPr>
          <w:rFonts w:ascii="Arial" w:cs="Arial" w:eastAsia="Arial" w:hAnsi="Arial"/>
          <w:sz w:val="18"/>
          <w:szCs w:val="18"/>
          <w:color w:val="auto"/>
        </w:rPr>
        <w:t>. 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 General Partner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89" w:lineRule="exact"/>
        <w:rPr>
          <w:sz w:val="20"/>
          <w:szCs w:val="20"/>
          <w:color w:val="auto"/>
        </w:rPr>
      </w:pPr>
    </w:p>
    <w:p>
      <w:pPr>
        <w:ind w:left="660" w:right="160" w:firstLine="1297"/>
        <w:spacing w:after="0" w:line="257" w:lineRule="auto"/>
        <w:rPr>
          <w:sz w:val="20"/>
          <w:szCs w:val="20"/>
          <w:color w:val="auto"/>
        </w:rPr>
      </w:pPr>
      <w:r>
        <w:rPr>
          <w:rFonts w:ascii="Arial" w:cs="Arial" w:eastAsia="Arial" w:hAnsi="Arial"/>
          <w:sz w:val="18"/>
          <w:szCs w:val="18"/>
          <w:color w:val="auto"/>
        </w:rPr>
        <w:t xml:space="preserve">(xlix) </w:t>
      </w: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 the preparation and filing of the Partnership’s Annual Report on Form 10-K for the most recent fiscal year end, the Partnership has not become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who have a significant role in the internal controls over financial reporting of the Partnership.</w:t>
      </w:r>
    </w:p>
    <w:p>
      <w:pPr>
        <w:spacing w:after="0" w:line="225" w:lineRule="exact"/>
        <w:rPr>
          <w:sz w:val="20"/>
          <w:szCs w:val="20"/>
          <w:color w:val="auto"/>
        </w:rPr>
      </w:pPr>
    </w:p>
    <w:p>
      <w:pPr>
        <w:ind w:left="660" w:right="280" w:firstLine="1293"/>
        <w:spacing w:after="0" w:line="259" w:lineRule="auto"/>
        <w:tabs>
          <w:tab w:leader="none" w:pos="262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FCPA</w:t>
      </w:r>
      <w:r>
        <w:rPr>
          <w:rFonts w:ascii="Arial" w:cs="Arial" w:eastAsia="Arial" w:hAnsi="Arial"/>
          <w:sz w:val="18"/>
          <w:szCs w:val="18"/>
          <w:color w:val="auto"/>
        </w:rPr>
        <w:t>. None of the Partnership Group Entities nor, to the knowledge of the Partnership Parties, any director,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or employee of the Partnership Group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87" w:lineRule="exact"/>
        <w:rPr>
          <w:sz w:val="20"/>
          <w:szCs w:val="20"/>
          <w:color w:val="auto"/>
        </w:rPr>
      </w:pPr>
    </w:p>
    <w:p>
      <w:pPr>
        <w:ind w:left="660" w:firstLine="1297"/>
        <w:spacing w:after="0" w:line="264" w:lineRule="auto"/>
        <w:rPr>
          <w:sz w:val="20"/>
          <w:szCs w:val="20"/>
          <w:color w:val="auto"/>
        </w:rPr>
      </w:pPr>
      <w:r>
        <w:rPr>
          <w:rFonts w:ascii="Arial" w:cs="Arial" w:eastAsia="Arial" w:hAnsi="Arial"/>
          <w:sz w:val="18"/>
          <w:szCs w:val="18"/>
          <w:color w:val="auto"/>
        </w:rPr>
        <w:t xml:space="preserve">(li) </w:t>
      </w: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 arbitrator involving the Partnership Group Entities that involve allegations of money laundering is pending or, to the knowledge of the Partnership, threatened.</w:t>
      </w:r>
    </w:p>
    <w:p>
      <w:pPr>
        <w:spacing w:after="0" w:line="181" w:lineRule="exact"/>
        <w:rPr>
          <w:sz w:val="20"/>
          <w:szCs w:val="20"/>
          <w:color w:val="auto"/>
        </w:rPr>
      </w:pPr>
    </w:p>
    <w:p>
      <w:pPr>
        <w:ind w:left="660" w:right="200" w:firstLine="1297"/>
        <w:spacing w:after="0" w:line="264" w:lineRule="auto"/>
        <w:rPr>
          <w:sz w:val="20"/>
          <w:szCs w:val="20"/>
          <w:color w:val="auto"/>
        </w:rPr>
      </w:pPr>
      <w:r>
        <w:rPr>
          <w:rFonts w:ascii="Arial" w:cs="Arial" w:eastAsia="Arial" w:hAnsi="Arial"/>
          <w:sz w:val="18"/>
          <w:szCs w:val="18"/>
          <w:color w:val="auto"/>
        </w:rPr>
        <w:t xml:space="preserve">(lii) </w:t>
      </w:r>
      <w:r>
        <w:rPr>
          <w:rFonts w:ascii="Arial" w:cs="Arial" w:eastAsia="Arial" w:hAnsi="Arial"/>
          <w:sz w:val="18"/>
          <w:szCs w:val="18"/>
          <w:i w:val="1"/>
          <w:iCs w:val="1"/>
          <w:color w:val="auto"/>
        </w:rPr>
        <w:t>OFAC</w:t>
      </w:r>
      <w:r>
        <w:rPr>
          <w:rFonts w:ascii="Arial" w:cs="Arial" w:eastAsia="Arial" w:hAnsi="Arial"/>
          <w:sz w:val="18"/>
          <w:szCs w:val="18"/>
          <w:color w:val="auto"/>
        </w:rPr>
        <w:t>. None of Partnership Group Entities nor, to the knowledge of the Partnership Parties, any director, officer or employee of the Partnership Group Entities (in their capacity as director, officer or employee) has received notice that it is subject to any sanctions administered by the Office of Foreign Assets Control of the U.S. Treasury Department.</w:t>
      </w:r>
    </w:p>
    <w:p>
      <w:pPr>
        <w:spacing w:after="0" w:line="181" w:lineRule="exact"/>
        <w:rPr>
          <w:sz w:val="20"/>
          <w:szCs w:val="20"/>
          <w:color w:val="auto"/>
        </w:rPr>
      </w:pPr>
    </w:p>
    <w:p>
      <w:pPr>
        <w:ind w:left="660" w:right="40" w:firstLine="1297"/>
        <w:spacing w:after="0" w:line="264" w:lineRule="auto"/>
        <w:rPr>
          <w:sz w:val="20"/>
          <w:szCs w:val="20"/>
          <w:color w:val="auto"/>
        </w:rPr>
      </w:pPr>
      <w:r>
        <w:rPr>
          <w:rFonts w:ascii="Arial" w:cs="Arial" w:eastAsia="Arial" w:hAnsi="Arial"/>
          <w:sz w:val="18"/>
          <w:szCs w:val="18"/>
          <w:color w:val="auto"/>
        </w:rPr>
        <w:t xml:space="preserve">(liii) </w:t>
      </w: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8(j) and 8(m) shall be deemed representations and warranties by the Partnership, as to matters covered thereby, to the Underwriters.</w:t>
      </w:r>
    </w:p>
    <w:p>
      <w:pPr>
        <w:spacing w:after="0" w:line="170" w:lineRule="exact"/>
        <w:rPr>
          <w:sz w:val="20"/>
          <w:szCs w:val="20"/>
          <w:color w:val="auto"/>
        </w:rPr>
      </w:pPr>
    </w:p>
    <w:p>
      <w:pPr>
        <w:ind w:right="300" w:firstLine="656"/>
        <w:spacing w:after="0" w:line="277"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Warranties and Agreements of the Selling Shareholder. </w:t>
      </w:r>
      <w:r>
        <w:rPr>
          <w:rFonts w:ascii="Arial" w:cs="Arial" w:eastAsia="Arial" w:hAnsi="Arial"/>
          <w:sz w:val="18"/>
          <w:szCs w:val="18"/>
          <w:color w:val="auto"/>
        </w:rPr>
        <w:t>The Selling Shareholder represents and warrants to, and agrees</w:t>
      </w:r>
      <w:r>
        <w:rPr>
          <w:rFonts w:ascii="Arial" w:cs="Arial" w:eastAsia="Arial" w:hAnsi="Arial"/>
          <w:sz w:val="18"/>
          <w:szCs w:val="18"/>
          <w:i w:val="1"/>
          <w:iCs w:val="1"/>
          <w:color w:val="auto"/>
        </w:rPr>
        <w:t xml:space="preserve"> </w:t>
      </w:r>
      <w:r>
        <w:rPr>
          <w:rFonts w:ascii="Arial" w:cs="Arial" w:eastAsia="Arial" w:hAnsi="Arial"/>
          <w:sz w:val="18"/>
          <w:szCs w:val="18"/>
          <w:color w:val="auto"/>
        </w:rPr>
        <w:t>with, each Underwriter that:</w:t>
      </w:r>
    </w:p>
    <w:p>
      <w:pPr>
        <w:spacing w:after="0" w:line="170" w:lineRule="exact"/>
        <w:rPr>
          <w:rFonts w:ascii="Arial" w:cs="Arial" w:eastAsia="Arial" w:hAnsi="Arial"/>
          <w:sz w:val="18"/>
          <w:szCs w:val="18"/>
          <w:color w:val="auto"/>
        </w:rPr>
      </w:pPr>
    </w:p>
    <w:p>
      <w:pPr>
        <w:ind w:left="660" w:right="20" w:firstLine="1293"/>
        <w:spacing w:after="0" w:line="264" w:lineRule="auto"/>
        <w:tabs>
          <w:tab w:leader="none" w:pos="2626"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Authority, Authorization, Execution and Delivery</w:t>
      </w:r>
      <w:r>
        <w:rPr>
          <w:rFonts w:ascii="Arial" w:cs="Arial" w:eastAsia="Arial" w:hAnsi="Arial"/>
          <w:sz w:val="18"/>
          <w:szCs w:val="18"/>
          <w:color w:val="auto"/>
        </w:rPr>
        <w:t>. The Selling Shareholder has all requisite corporate power and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to execute and deliver this Agreement and to perform its obligations hereunder; and this Agreement has been duly and validly authorized, executed and delivered by or on behalf of the Selling Shareholder.</w:t>
      </w:r>
    </w:p>
    <w:p>
      <w:pPr>
        <w:spacing w:after="0" w:line="181" w:lineRule="exact"/>
        <w:rPr>
          <w:rFonts w:ascii="Arial" w:cs="Arial" w:eastAsia="Arial" w:hAnsi="Arial"/>
          <w:sz w:val="18"/>
          <w:szCs w:val="18"/>
          <w:color w:val="auto"/>
        </w:rPr>
      </w:pPr>
    </w:p>
    <w:p>
      <w:pPr>
        <w:ind w:left="660" w:right="20" w:firstLine="1293"/>
        <w:spacing w:after="0" w:line="255" w:lineRule="auto"/>
        <w:tabs>
          <w:tab w:leader="none" w:pos="2636"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Ownership and Adverse Claims</w:t>
      </w:r>
      <w:r>
        <w:rPr>
          <w:rFonts w:ascii="Arial" w:cs="Arial" w:eastAsia="Arial" w:hAnsi="Arial"/>
          <w:sz w:val="18"/>
          <w:szCs w:val="18"/>
          <w:color w:val="auto"/>
        </w:rPr>
        <w:t>. At the applicable Delivery Date, after giving effect to the Selling Shareholder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assuming the Partnership Parties and the PAA GP Entities take the requisite actions to complete the Selling Shareholder Exchange and record ownership in the Selling Shareholder, the Selling Shareholder will be the record and beneficial owner of the Shares to be sold by it hereunder free and clear of all Liens and will have duly endorsed such Shares, if certificated, in blank, and has the requisite corporate power and authority to sell its interest in the Shares, and, assuming that each Underwriter acquires its interest in the Shares it has purchased from the Selling Shareholder without notice of any adverse claim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00"/>
        <w:spacing w:after="0" w:line="256" w:lineRule="auto"/>
        <w:rPr>
          <w:sz w:val="20"/>
          <w:szCs w:val="20"/>
          <w:color w:val="auto"/>
        </w:rPr>
      </w:pPr>
      <w:r>
        <w:rPr>
          <w:rFonts w:ascii="Arial" w:cs="Arial" w:eastAsia="Arial" w:hAnsi="Arial"/>
          <w:sz w:val="18"/>
          <w:szCs w:val="18"/>
          <w:color w:val="auto"/>
        </w:rPr>
        <w:t>(within the meaning of Section 8-105 of the New York Uniform Commercial Code (“</w:t>
      </w:r>
      <w:r>
        <w:rPr>
          <w:rFonts w:ascii="Arial" w:cs="Arial" w:eastAsia="Arial" w:hAnsi="Arial"/>
          <w:sz w:val="18"/>
          <w:szCs w:val="18"/>
          <w:b w:val="1"/>
          <w:bCs w:val="1"/>
          <w:color w:val="auto"/>
        </w:rPr>
        <w:t>UCC</w:t>
      </w:r>
      <w:r>
        <w:rPr>
          <w:rFonts w:ascii="Arial" w:cs="Arial" w:eastAsia="Arial" w:hAnsi="Arial"/>
          <w:sz w:val="18"/>
          <w:szCs w:val="18"/>
          <w:color w:val="auto"/>
        </w:rPr>
        <w:t>”)), each Underwriter that has purchased such Shares delivered on the applicable Delivery Date to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or other securities intermediary by making payment therefor as provided herein, and that has had such Shares credited to the securities account or accounts of such Underwriters maintained with DTC or such other securities intermediary will have acquired a security entitlement (within the meaning of Section 8-102(a)(17) of the UCC) to such Shares purchased by such Underwriter, and no action based on an adverse claim (within the meaning of Section 8-105 of the UCC) may be asserted against such Underwriter with respect to such Shares.</w:t>
      </w:r>
    </w:p>
    <w:p>
      <w:pPr>
        <w:spacing w:after="0" w:line="192" w:lineRule="exact"/>
        <w:rPr>
          <w:sz w:val="20"/>
          <w:szCs w:val="20"/>
          <w:color w:val="auto"/>
        </w:rPr>
      </w:pPr>
    </w:p>
    <w:p>
      <w:pPr>
        <w:ind w:left="660" w:firstLine="1293"/>
        <w:spacing w:after="0" w:line="293" w:lineRule="auto"/>
        <w:tabs>
          <w:tab w:leader="none" w:pos="264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r>
        <w:rPr>
          <w:rFonts w:ascii="Arial" w:cs="Arial" w:eastAsia="Arial" w:hAnsi="Arial"/>
          <w:sz w:val="16"/>
          <w:szCs w:val="16"/>
          <w:color w:val="auto"/>
        </w:rPr>
        <w:t>. None of the offering and sale of the Shares by the Selling Shareholder, the execution,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of this Agreement by the Selling Shareholder or the consummation by the Selling Shareholder of the transactions contemplated hereby, including the Selling Shareholder Exchange, (i) conflicts or will conflict with or constitutes or will constitute a violation of the organizational documents of the Selling Shareholder,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Selling Shareholder or any of its properties may be bound, (iii) violates or will</w:t>
      </w:r>
    </w:p>
    <w:p>
      <w:pPr>
        <w:sectPr>
          <w:pgSz w:w="11900" w:h="16934" w:orient="portrait"/>
          <w:cols w:equalWidth="0" w:num="1">
            <w:col w:w="11420"/>
          </w:cols>
          <w:pgMar w:left="240" w:top="341" w:right="239" w:bottom="0" w:gutter="0" w:footer="0" w:header="0"/>
        </w:sectPr>
      </w:pPr>
    </w:p>
    <w:bookmarkStart w:id="10" w:name="page11"/>
    <w:bookmarkEnd w:id="10"/>
    <w:p>
      <w:pPr>
        <w:spacing w:after="0" w:line="11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violate any statute, law or regulation or any order, judgment, decree or injunction of any court or governmental agency or body directed to the Selling Shareholder or any of its properties in a proceeding to which the Selling Shareholder or its property is a party or (iv) results or will result in the creation or imposition of any Lien upon any property or assets of the Selling Shareholder, which conflicts, breaches, violations, defaults or Liens, in the case of clauses (ii), (iii) or (iv), would, individually or in the aggregate, reasonably be expected to have a material adverse effect on the Selling Shareholder’s ability to perform its obligations hereunder.</w:t>
      </w:r>
    </w:p>
    <w:p>
      <w:pPr>
        <w:spacing w:after="0" w:line="188" w:lineRule="exact"/>
        <w:rPr>
          <w:sz w:val="20"/>
          <w:szCs w:val="20"/>
          <w:color w:val="auto"/>
        </w:rPr>
      </w:pPr>
    </w:p>
    <w:p>
      <w:pPr>
        <w:ind w:left="660" w:firstLine="1293"/>
        <w:spacing w:after="0" w:line="270" w:lineRule="auto"/>
        <w:tabs>
          <w:tab w:leader="none" w:pos="2622"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No Consents</w:t>
      </w:r>
      <w:r>
        <w:rPr>
          <w:rFonts w:ascii="Arial" w:cs="Arial" w:eastAsia="Arial" w:hAnsi="Arial"/>
          <w:sz w:val="17"/>
          <w:szCs w:val="17"/>
          <w:color w:val="auto"/>
        </w:rPr>
        <w:t>. No consent, approval, authorization, filing with or order of any court, governmental agency or body having</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over the Selling Shareholder or the property or assets of the Selling Shareholder is required in connection with the offering and sale of the Shares by the Selling Shareholder, the execution, delivery and performance of this Agreement by the Selling Shareholder and the consummation by the Selling Shareholder of the transactions contemplated hereby, except (i) such as have been, or prior to the Initial Delivery Date, will be obtained or made, (ii) for the registration of Shares under the Securities Act and such as may be required under the Exchange Act, blue sky laws of any jurisdiction or the by-laws and rules of FINRA in connection with the purchase and distribution by the Underwriters of the Shares in the manner contemplated herein and in the Pricing Disclosure Package and the Prospectus and (iii) where the failure to obtain such consent, approval, authorization, filing or order, individually or in the aggregate, would not reasonably be expected to have a material adverse effect on the Selling Shareholder’s ability to perform its obligations hereunder.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1293"/>
        <w:spacing w:after="0" w:line="264" w:lineRule="auto"/>
        <w:tabs>
          <w:tab w:leader="none" w:pos="261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Basis of Sale</w:t>
      </w:r>
      <w:r>
        <w:rPr>
          <w:rFonts w:ascii="Arial" w:cs="Arial" w:eastAsia="Arial" w:hAnsi="Arial"/>
          <w:sz w:val="18"/>
          <w:szCs w:val="18"/>
          <w:color w:val="auto"/>
        </w:rPr>
        <w:t>. The sale of Shares by the Selling Shareholder pursuant hereto is not prompted by any material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Partnership or any of its subsidiaries which is not set forth in the Registration Statement, Pricing Disclosure Package and the Prospectus or any amendment or supplement thereto.</w:t>
      </w:r>
    </w:p>
    <w:p>
      <w:pPr>
        <w:spacing w:after="0" w:line="181" w:lineRule="exact"/>
        <w:rPr>
          <w:rFonts w:ascii="Arial" w:cs="Arial" w:eastAsia="Arial" w:hAnsi="Arial"/>
          <w:sz w:val="18"/>
          <w:szCs w:val="18"/>
          <w:color w:val="auto"/>
        </w:rPr>
      </w:pPr>
    </w:p>
    <w:p>
      <w:pPr>
        <w:ind w:left="660" w:right="140" w:firstLine="1293"/>
        <w:spacing w:after="0" w:line="284" w:lineRule="auto"/>
        <w:tabs>
          <w:tab w:leader="none" w:pos="2622"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Selling Shareholder Information</w:t>
      </w:r>
      <w:r>
        <w:rPr>
          <w:rFonts w:ascii="Arial" w:cs="Arial" w:eastAsia="Arial" w:hAnsi="Arial"/>
          <w:sz w:val="16"/>
          <w:szCs w:val="16"/>
          <w:color w:val="auto"/>
        </w:rPr>
        <w:t>. In respect of any statements in or omissions from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Disclosure Package, the Prospectus or any Issuer Free Writing Prospectus or any amendment or supplement thereto used by the Partnership or any Underwriter, as the case may be, made in reliance upon and in conformity with information furnished in writing to the Partnership or to the Underwriters by the Selling Shareholder specifically for use in connection with the preparation thereof, none of such statements include an untrue statement of a material fact or omit to state a material fact necessary in order to make the statements therein (in the case of any Pricing Disclosure Package or the Prospectus, in the light of the circumstances under which any such statements were made) not misleading; it being understood and agreed that the foregoing applies only to such information furnished in writing by the Selling Shareholder to the Partnership, which consists of</w:t>
      </w:r>
    </w:p>
    <w:p>
      <w:pPr>
        <w:spacing w:after="0" w:line="2" w:lineRule="exact"/>
        <w:rPr>
          <w:rFonts w:ascii="Arial" w:cs="Arial" w:eastAsia="Arial" w:hAnsi="Arial"/>
          <w:sz w:val="16"/>
          <w:szCs w:val="16"/>
          <w:color w:val="auto"/>
        </w:rPr>
      </w:pPr>
    </w:p>
    <w:p>
      <w:pPr>
        <w:ind w:left="660" w:right="140" w:hanging="4"/>
        <w:spacing w:after="0" w:line="255" w:lineRule="auto"/>
        <w:tabs>
          <w:tab w:leader="none" w:pos="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legal name, address and the number of Shares owned by the Selling Shareholder, and (B) the other information with respect to the Selling Shareholder (excluding percentages) which appear in the table (and corresponding footnotes) under the caption “Selling Shareholder” (collectively, the “</w:t>
      </w:r>
      <w:r>
        <w:rPr>
          <w:rFonts w:ascii="Arial" w:cs="Arial" w:eastAsia="Arial" w:hAnsi="Arial"/>
          <w:sz w:val="18"/>
          <w:szCs w:val="18"/>
          <w:b w:val="1"/>
          <w:bCs w:val="1"/>
          <w:color w:val="auto"/>
        </w:rPr>
        <w:t>Selling Shareholder Information</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660" w:right="420" w:firstLine="1293"/>
        <w:spacing w:after="0" w:line="264" w:lineRule="auto"/>
        <w:tabs>
          <w:tab w:leader="none" w:pos="2631"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No Use of Free Writing Prospectus</w:t>
      </w:r>
      <w:r>
        <w:rPr>
          <w:rFonts w:ascii="Arial" w:cs="Arial" w:eastAsia="Arial" w:hAnsi="Arial"/>
          <w:sz w:val="18"/>
          <w:szCs w:val="18"/>
          <w:color w:val="auto"/>
        </w:rPr>
        <w:t>. Neither the Selling Shareholder nor any person acting on behalf of the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(other than, if applicable, the Partnership and the Underwriters) has used or referred to any “free writing prospectus” (as defined in Rule 405 of the Rules and Regulations) relating to the Shares.</w:t>
      </w:r>
    </w:p>
    <w:p>
      <w:pPr>
        <w:spacing w:after="0" w:line="181" w:lineRule="exact"/>
        <w:rPr>
          <w:sz w:val="20"/>
          <w:szCs w:val="20"/>
          <w:color w:val="auto"/>
        </w:rPr>
      </w:pPr>
    </w:p>
    <w:p>
      <w:pPr>
        <w:ind w:right="80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 8(o) shall be deemed representations and warranties by the Selling Shareholder, as to matters covered thereby, to the Underwriters.</w:t>
      </w:r>
    </w:p>
    <w:p>
      <w:pPr>
        <w:spacing w:after="0" w:line="17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right="120" w:firstLine="656"/>
        <w:spacing w:after="0" w:line="259" w:lineRule="auto"/>
        <w:tabs>
          <w:tab w:leader="none" w:pos="1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and in reliance upon the representations and warranties herein set forth, the Selling Shareholder agrees to sell to each Underwriter, and each Underwriter agrees, severally and not jointly, to purchase from the Selling Shareholder, at a purchase price of $24.4375 per Share, the number of Initial Shares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subject to adjustment as set forth in Section 10 hereof.</w:t>
      </w:r>
    </w:p>
    <w:p>
      <w:pPr>
        <w:spacing w:after="0" w:line="186" w:lineRule="exact"/>
        <w:rPr>
          <w:rFonts w:ascii="Arial" w:cs="Arial" w:eastAsia="Arial" w:hAnsi="Arial"/>
          <w:sz w:val="18"/>
          <w:szCs w:val="18"/>
          <w:color w:val="auto"/>
        </w:rPr>
      </w:pPr>
    </w:p>
    <w:p>
      <w:pPr>
        <w:ind w:right="80" w:firstLine="656"/>
        <w:spacing w:after="0" w:line="297" w:lineRule="auto"/>
        <w:tabs>
          <w:tab w:leader="none" w:pos="13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and in reliance upon the representations and warranties herein set forth, the Selling Shareholder hereby grants an option to the several Underwriters to purchase, severally and not jointly, up to 9,000,000 Additional Shares at the same purchase price per Share as the Underwriters shall pay for the Initial Shares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Said option may be exercised in whole or in part at any time and from time to time on or before the 30th day after the date of the Prospectus upon written or telegraphic notice by the Representatives to the Selling Shareholder setting forth the number of Additional Shares as to which the several Underwriters are exercising the option and the settlement date.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number of Additional Shares to be purchased by each Underwriter shall be the same percentage of the total number of Additional Shares to be purchased by the several Underwriters as such Underwriter is purchasing of the Initial Shares, subject to (i) such adjustments as the Representatives in their absolute discretion shall make to eliminate any fractional shares and (ii) adjustment as set forth in Section 10 hereof.</w:t>
      </w:r>
    </w:p>
    <w:p>
      <w:pPr>
        <w:spacing w:after="0" w:line="18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Initial Shares and the Additional Shares (if the option provided for in</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Section 2(b) hereof shall have been exercised on or before the third business day prior to the Initial Delivery Date) shall be made at the office of Baker Botts L.L.P., 910 Louisiana St, Houston, Texas 77002 at 8:00 a.m., Houston time, on November 14, 2014, or at such time on such later date not more than three business days after the foregoing date as the Representatives shall designate, which date and time may be postponed by agreement between the Representatives, the Selling Shareholder and the Partnership or as provided in Section 10 hereof (such date and time of delivery and payment for the Shares being herein called the “</w:t>
      </w:r>
      <w:r>
        <w:rPr>
          <w:rFonts w:ascii="Arial" w:cs="Arial" w:eastAsia="Arial" w:hAnsi="Arial"/>
          <w:sz w:val="17"/>
          <w:szCs w:val="17"/>
          <w:b w:val="1"/>
          <w:bCs w:val="1"/>
          <w:color w:val="auto"/>
        </w:rPr>
        <w:t>Initial Delivery Date</w:t>
      </w:r>
      <w:r>
        <w:rPr>
          <w:rFonts w:ascii="Arial" w:cs="Arial" w:eastAsia="Arial" w:hAnsi="Arial"/>
          <w:sz w:val="17"/>
          <w:szCs w:val="17"/>
          <w:color w:val="auto"/>
        </w:rPr>
        <w:t>”). Delivery of the Shares shall be made to the Underwriters for the respective accounts of the several Underwriters against payment by the several Underwriters of the purchase price thereof to or upon the order of the Selling Shareholder by wire transfer payable in same-day funds to an account specified by the Selling Shareholder. Delivery of the Initial Shares and the Additional Shares shall be made through the facilities of DTC unless the Representatives shall otherwise instruct.</w:t>
      </w:r>
    </w:p>
    <w:p>
      <w:pPr>
        <w:spacing w:after="0" w:line="184" w:lineRule="exact"/>
        <w:rPr>
          <w:sz w:val="20"/>
          <w:szCs w:val="20"/>
          <w:color w:val="auto"/>
        </w:rPr>
      </w:pPr>
    </w:p>
    <w:p>
      <w:pPr>
        <w:ind w:firstLine="667"/>
        <w:spacing w:after="0" w:line="312" w:lineRule="auto"/>
        <w:rPr>
          <w:sz w:val="20"/>
          <w:szCs w:val="20"/>
          <w:color w:val="auto"/>
        </w:rPr>
      </w:pPr>
      <w:r>
        <w:rPr>
          <w:rFonts w:ascii="Arial" w:cs="Arial" w:eastAsia="Arial" w:hAnsi="Arial"/>
          <w:sz w:val="16"/>
          <w:szCs w:val="16"/>
          <w:color w:val="auto"/>
        </w:rPr>
        <w:t>If the option provided for in Section 2(b) hereof is exercised after the third business day prior to the Initial Delivery Date, the Selling Shareholder will deliver the Additional Shares (at the expense of the Partnership) to the Representatives on the date (an “</w:t>
      </w:r>
      <w:r>
        <w:rPr>
          <w:rFonts w:ascii="Arial" w:cs="Arial" w:eastAsia="Arial" w:hAnsi="Arial"/>
          <w:sz w:val="16"/>
          <w:szCs w:val="16"/>
          <w:b w:val="1"/>
          <w:bCs w:val="1"/>
          <w:color w:val="auto"/>
        </w:rPr>
        <w:t>Additional Shares Delivery Date</w:t>
      </w:r>
      <w:r>
        <w:rPr>
          <w:rFonts w:ascii="Arial" w:cs="Arial" w:eastAsia="Arial" w:hAnsi="Arial"/>
          <w:sz w:val="16"/>
          <w:szCs w:val="16"/>
          <w:color w:val="auto"/>
        </w:rPr>
        <w:t>”) specified by the Underwriters (which shall be within three business days after each exercise of said option), for the respective accounts of the several Underwriters, against</w:t>
      </w:r>
    </w:p>
    <w:p>
      <w:pPr>
        <w:sectPr>
          <w:pgSz w:w="11900" w:h="16952" w:orient="portrait"/>
          <w:cols w:equalWidth="0" w:num="1">
            <w:col w:w="11400"/>
          </w:cols>
          <w:pgMar w:left="240" w:top="125" w:right="259" w:bottom="0" w:gutter="0" w:footer="0" w:header="0"/>
        </w:sectPr>
      </w:pPr>
    </w:p>
    <w:bookmarkStart w:id="11" w:name="page12"/>
    <w:bookmarkEnd w:id="11"/>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payment by the several Underwriters of the purchase price thereof to or upon the order of the Selling Shareholder by wire transfer payable in same-day funds to an account specified by the Selling Shareholder. If settlement for the Additional Shares occurs after the Initial Delivery Date, the Selling Shareholder will deliver to the Underwriters on the Additional Shares Delivery Date for the Additional Shares, and the obligation of the Underwriters to purchase the Additional Shares shall be conditioned upon receipt of, supplemental opinions, certificates and letters confirming as of such date the opinions, certificates and letters delivered on the Initial Delivery Date pursuant to Section 8 hereof. The Initial Delivery Date and any Additional Shares Delivery Date are each sometimes referred to as a “</w:t>
      </w:r>
      <w:r>
        <w:rPr>
          <w:rFonts w:ascii="Arial" w:cs="Arial" w:eastAsia="Arial" w:hAnsi="Arial"/>
          <w:sz w:val="18"/>
          <w:szCs w:val="18"/>
          <w:b w:val="1"/>
          <w:bCs w:val="1"/>
          <w:color w:val="auto"/>
        </w:rPr>
        <w:t>Delivery Date.</w:t>
      </w:r>
      <w:r>
        <w:rPr>
          <w:rFonts w:ascii="Arial" w:cs="Arial" w:eastAsia="Arial" w:hAnsi="Arial"/>
          <w:sz w:val="18"/>
          <w:szCs w:val="18"/>
          <w:color w:val="auto"/>
        </w:rPr>
        <w:t>”</w:t>
      </w:r>
    </w:p>
    <w:p>
      <w:pPr>
        <w:spacing w:after="0" w:line="193" w:lineRule="exact"/>
        <w:rPr>
          <w:sz w:val="20"/>
          <w:szCs w:val="20"/>
          <w:color w:val="auto"/>
        </w:rPr>
      </w:pPr>
    </w:p>
    <w:p>
      <w:pPr>
        <w:ind w:right="300" w:firstLine="656"/>
        <w:spacing w:after="0" w:line="277" w:lineRule="auto"/>
        <w:tabs>
          <w:tab w:leader="none" w:pos="129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(a) It is understood that the several Underwriters propose to offer the Shares for sale to the public as set forth in the Prospectus.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Parties acknowledge and agree with the Underwriters that:</w:t>
      </w:r>
    </w:p>
    <w:p>
      <w:pPr>
        <w:spacing w:after="0" w:line="225" w:lineRule="exact"/>
        <w:rPr>
          <w:sz w:val="20"/>
          <w:szCs w:val="20"/>
          <w:color w:val="auto"/>
        </w:rPr>
      </w:pPr>
    </w:p>
    <w:p>
      <w:pPr>
        <w:ind w:right="220" w:firstLine="656"/>
        <w:spacing w:after="0" w:line="264" w:lineRule="auto"/>
        <w:tabs>
          <w:tab w:leader="none" w:pos="129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effective before the offering of the Shares may commence, the Partnership will endeavor to cause such post-effective amendment to become effective as soon as possible and will advise the Representatives promptly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if requested by the Representatives, will confirm such advice in writing when such post-effective amendment has become effective.</w:t>
      </w:r>
    </w:p>
    <w:p>
      <w:pPr>
        <w:spacing w:after="0" w:line="225" w:lineRule="exact"/>
        <w:rPr>
          <w:sz w:val="20"/>
          <w:szCs w:val="20"/>
          <w:color w:val="auto"/>
        </w:rPr>
      </w:pPr>
    </w:p>
    <w:p>
      <w:pPr>
        <w:ind w:right="60" w:firstLine="656"/>
        <w:spacing w:after="0" w:line="286" w:lineRule="auto"/>
        <w:tabs>
          <w:tab w:leader="none" w:pos="130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Preparation of Prospectus and Registration Statement</w:t>
      </w:r>
      <w:r>
        <w:rPr>
          <w:rFonts w:ascii="Arial" w:cs="Arial" w:eastAsia="Arial" w:hAnsi="Arial"/>
          <w:sz w:val="16"/>
          <w:szCs w:val="16"/>
          <w:color w:val="auto"/>
        </w:rPr>
        <w:t>. The Partnership will advise the Representatives promptly and, if requested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Shares for offering or sale in any jurisdiction or the initiation of any proceeding for such purpose; and (iii) within the period of time referred to in paragraph (d) below, of any change in the condition (financial or other), business, prospects, properties, net worth or results of operations of the Partnership Group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4" w:lineRule="exact"/>
        <w:rPr>
          <w:rFonts w:ascii="Arial" w:cs="Arial" w:eastAsia="Arial" w:hAnsi="Arial"/>
          <w:sz w:val="16"/>
          <w:szCs w:val="16"/>
          <w:color w:val="auto"/>
        </w:rPr>
      </w:pPr>
    </w:p>
    <w:p>
      <w:pPr>
        <w:ind w:right="120" w:firstLine="656"/>
        <w:spacing w:after="0" w:line="285" w:lineRule="auto"/>
        <w:tabs>
          <w:tab w:leader="none" w:pos="1307"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Copies of Registration Statement</w:t>
      </w:r>
      <w:r>
        <w:rPr>
          <w:rFonts w:ascii="Arial" w:cs="Arial" w:eastAsia="Arial" w:hAnsi="Arial"/>
          <w:sz w:val="16"/>
          <w:szCs w:val="16"/>
          <w:color w:val="auto"/>
        </w:rPr>
        <w:t>. The Partnership will furnish to the Underwriters, without charge, (i) one copy of the manually signed</w:t>
      </w:r>
      <w:r>
        <w:rPr>
          <w:rFonts w:ascii="Arial" w:cs="Arial" w:eastAsia="Arial" w:hAnsi="Arial"/>
          <w:sz w:val="16"/>
          <w:szCs w:val="16"/>
          <w:i w:val="1"/>
          <w:iCs w:val="1"/>
          <w:color w:val="auto"/>
        </w:rPr>
        <w:t xml:space="preserve"> </w:t>
      </w:r>
      <w:r>
        <w:rPr>
          <w:rFonts w:ascii="Arial" w:cs="Arial" w:eastAsia="Arial" w:hAnsi="Arial"/>
          <w:sz w:val="16"/>
          <w:szCs w:val="16"/>
          <w:color w:val="auto"/>
        </w:rPr>
        <w:t>copy of the registration statement corresponding to the Commission’s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reasonably request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number of copies of the exhibits to the Incorporated Documents as the Underwriters may reasonably request.</w:t>
      </w:r>
    </w:p>
    <w:p>
      <w:pPr>
        <w:spacing w:after="0" w:line="210" w:lineRule="exact"/>
        <w:rPr>
          <w:rFonts w:ascii="Arial" w:cs="Arial" w:eastAsia="Arial" w:hAnsi="Arial"/>
          <w:sz w:val="18"/>
          <w:szCs w:val="18"/>
          <w:color w:val="auto"/>
        </w:rPr>
      </w:pPr>
    </w:p>
    <w:p>
      <w:pPr>
        <w:ind w:firstLine="656"/>
        <w:spacing w:after="0" w:line="255"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Filing of Amendment or Supplement</w:t>
      </w:r>
      <w:r>
        <w:rPr>
          <w:rFonts w:ascii="Arial" w:cs="Arial" w:eastAsia="Arial" w:hAnsi="Arial"/>
          <w:sz w:val="18"/>
          <w:szCs w:val="18"/>
          <w:color w:val="auto"/>
        </w:rPr>
        <w:t>. For such period as in the opinion of counsel for the Underwriters a prospectus is required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to be delivered in connection with sales by any Underwriter or dealer, the Partnership will not file any amendment to the Registration Statement, supplement to the Prospectus (or any other prospectus relating to the Shares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Representatives after it shall have received notice thereof of the time when any amendment to the Registration Statement becomes effective or when any supplement to the Prospectus has been filed.</w:t>
      </w:r>
    </w:p>
    <w:p>
      <w:pPr>
        <w:spacing w:after="0" w:line="170" w:lineRule="exact"/>
        <w:rPr>
          <w:sz w:val="20"/>
          <w:szCs w:val="20"/>
          <w:color w:val="auto"/>
        </w:rPr>
      </w:pPr>
    </w:p>
    <w:p>
      <w:pPr>
        <w:ind w:right="20" w:firstLine="656"/>
        <w:spacing w:after="0" w:line="285" w:lineRule="auto"/>
        <w:tabs>
          <w:tab w:leader="none" w:pos="1307"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Underwriters</w:t>
      </w:r>
      <w:r>
        <w:rPr>
          <w:rFonts w:ascii="Arial" w:cs="Arial" w:eastAsia="Arial" w:hAnsi="Arial"/>
          <w:sz w:val="16"/>
          <w:szCs w:val="16"/>
          <w:color w:val="auto"/>
        </w:rPr>
        <w:t>. As soon after the Applicable Time as possible and thereafter from time to time for such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as in the 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sale by the Selling Shareholder,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Shares by any Underwriter or dealer. The Partnership consents to the use of the Prospectus (and of any amendment or supplement thereto) in accordance with the provisions of the Securities Act and with the securities or Blue Sky laws of the jurisdictions in which the Shares are offered by the Underwriters and by all dealers to whom Shares may be sold, both in connection with the offering and sale of the Shares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(d)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w:t>
      </w:r>
    </w:p>
    <w:p>
      <w:pPr>
        <w:sectPr>
          <w:pgSz w:w="11900" w:h="16926" w:orient="portrait"/>
          <w:cols w:equalWidth="0" w:num="1">
            <w:col w:w="11420"/>
          </w:cols>
          <w:pgMar w:left="240" w:top="125" w:right="239" w:bottom="0" w:gutter="0" w:footer="0" w:header="0"/>
        </w:sectPr>
      </w:pPr>
    </w:p>
    <w:bookmarkStart w:id="12" w:name="page13"/>
    <w:bookmarkEnd w:id="12"/>
    <w:p>
      <w:pPr>
        <w:ind w:right="300"/>
        <w:spacing w:after="0" w:line="264" w:lineRule="auto"/>
        <w:rPr>
          <w:sz w:val="20"/>
          <w:szCs w:val="20"/>
          <w:color w:val="auto"/>
        </w:rPr>
      </w:pPr>
      <w:r>
        <w:rPr>
          <w:rFonts w:ascii="Arial" w:cs="Arial" w:eastAsia="Arial" w:hAnsi="Arial"/>
          <w:sz w:val="18"/>
          <w:szCs w:val="18"/>
          <w:color w:val="auto"/>
        </w:rPr>
        <w:t>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181" w:lineRule="exact"/>
        <w:rPr>
          <w:sz w:val="20"/>
          <w:szCs w:val="20"/>
          <w:color w:val="auto"/>
        </w:rPr>
      </w:pPr>
    </w:p>
    <w:p>
      <w:pPr>
        <w:ind w:right="140" w:firstLine="656"/>
        <w:spacing w:after="0" w:line="297" w:lineRule="auto"/>
        <w:tabs>
          <w:tab w:leader="none" w:pos="1301"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Blue Sky Laws</w:t>
      </w:r>
      <w:r>
        <w:rPr>
          <w:rFonts w:ascii="Arial" w:cs="Arial" w:eastAsia="Arial" w:hAnsi="Arial"/>
          <w:sz w:val="16"/>
          <w:szCs w:val="16"/>
          <w:color w:val="auto"/>
        </w:rPr>
        <w:t>. The Partnership will cooperate with the Representatives and with counsel for the Underwriters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or qualification of the Shares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Partnership Group Entity be obligated to qualify to do business in any jurisdiction where it is not now so qualified or to take any action that would subject it to service of process in suits, other than those arising out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offering or sale of the Shares, in any jurisdiction where it is not now so subject. The Partnership will promptly notify the Representatives of the receipt by the Partnership of any notification with respect to the suspension of the qualification of the Shares for sale in any jurisdiction or the initiation or threatening of any proceeding for such purpose.</w:t>
      </w:r>
    </w:p>
    <w:p>
      <w:pPr>
        <w:spacing w:after="0" w:line="181" w:lineRule="exact"/>
        <w:rPr>
          <w:sz w:val="20"/>
          <w:szCs w:val="20"/>
          <w:color w:val="auto"/>
        </w:rPr>
      </w:pPr>
    </w:p>
    <w:p>
      <w:pPr>
        <w:ind w:right="20" w:firstLine="656"/>
        <w:spacing w:after="0" w:line="279" w:lineRule="auto"/>
        <w:tabs>
          <w:tab w:leader="none" w:pos="1317"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Reports to Security Holders</w:t>
      </w:r>
      <w:r>
        <w:rPr>
          <w:rFonts w:ascii="Arial" w:cs="Arial" w:eastAsia="Arial" w:hAnsi="Arial"/>
          <w:sz w:val="17"/>
          <w:szCs w:val="17"/>
          <w:color w:val="auto"/>
        </w:rPr>
        <w:t>. In accordance with Section 11(a) of the Securities Act and Rule 158 of the Rules and Regulations,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Rules and Regulations) of the Registration Statement as soon as practicable after the end of such period.</w:t>
      </w:r>
    </w:p>
    <w:p>
      <w:pPr>
        <w:spacing w:after="0" w:line="171" w:lineRule="exact"/>
        <w:rPr>
          <w:rFonts w:ascii="Arial" w:cs="Arial" w:eastAsia="Arial" w:hAnsi="Arial"/>
          <w:sz w:val="17"/>
          <w:szCs w:val="17"/>
          <w:color w:val="auto"/>
        </w:rPr>
      </w:pPr>
    </w:p>
    <w:p>
      <w:pPr>
        <w:ind w:firstLine="656"/>
        <w:spacing w:after="0" w:line="276"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Termination Expenses</w:t>
      </w:r>
      <w:r>
        <w:rPr>
          <w:rFonts w:ascii="Arial" w:cs="Arial" w:eastAsia="Arial" w:hAnsi="Arial"/>
          <w:sz w:val="17"/>
          <w:szCs w:val="17"/>
          <w:color w:val="auto"/>
        </w:rPr>
        <w:t>. If this Agreement shall terminate or shall be terminated after execution pursuant to any provisions hereof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pursuant to Section 10 hereof or Section 11 hereof (except pursuant to the first clause of Section 10)) or if this Agreement shall be terminated by the Underwriters because of any failure or refusal on the part of the Selling Shareholder or the Partnership Parties to comply with the terms or fulfill any of the conditions of this Agreement, the Partnership Parties agree to reimburse the Underwriters for all reasonable out-of-pocket expenses (including reasonable fees and expenses of counsel for the Underwriters) incurred by the Underwriters in connection herewith.</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Partnership will timely file the Prospectus, and any amendment or supplement thereto,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Rule 424(b) of the Rules and Regulations and will advise the Underwriters of the time and manner of such filing.</w:t>
      </w:r>
    </w:p>
    <w:p>
      <w:pPr>
        <w:spacing w:after="0" w:line="211" w:lineRule="exact"/>
        <w:rPr>
          <w:sz w:val="20"/>
          <w:szCs w:val="20"/>
          <w:color w:val="auto"/>
        </w:rPr>
      </w:pPr>
    </w:p>
    <w:p>
      <w:pPr>
        <w:ind w:right="20" w:firstLine="656"/>
        <w:spacing w:after="0" w:line="268" w:lineRule="auto"/>
        <w:tabs>
          <w:tab w:leader="none" w:pos="1304"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Partnership Lock-Up Period</w:t>
      </w:r>
      <w:r>
        <w:rPr>
          <w:rFonts w:ascii="Arial" w:cs="Arial" w:eastAsia="Arial" w:hAnsi="Arial"/>
          <w:sz w:val="17"/>
          <w:szCs w:val="17"/>
          <w:color w:val="auto"/>
        </w:rPr>
        <w:t>. Except as provided in this Agreement, the Partnership will not (i) offer, sell, contract to sell, pledge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Class A Shares or any securities that are convertible into, or exercisable or exchangeable for, or that represent the right to receive, Class A Shares or any securities that are senior to or pari passu with Class A Shares, or publicly announce an intention to effect any such transaction or (ii) grant any options or warrants to purchase Class A Shares for a period of 90 days after the date of the Prospectus (the “</w:t>
      </w:r>
      <w:r>
        <w:rPr>
          <w:rFonts w:ascii="Arial" w:cs="Arial" w:eastAsia="Arial" w:hAnsi="Arial"/>
          <w:sz w:val="17"/>
          <w:szCs w:val="17"/>
          <w:b w:val="1"/>
          <w:b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without the prior written consent of J.P. Morgan Securities LLC, except that (A) the Partnership may issue the Shares, (B) the Partnership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Class A Shares or any securities convertible or exchangeable into Class A Shares as payment of any part of the purchase price for businesses that are acquired by the Partnership and its affiliates or any third parties, provided that any recipient of such Class A Shares must agree in writing to be bound by the terms of this Section 5(k) for the remaining term of the Lock-Up Period, (C) the Partnership may issue and sell Class A Shares or securities convertible into or exchangeable for Shares pursuant to any existing long-term incentive plan, employee share option plan, share ownership plan or distribution reinvestment plan of the Partnership in effect at the Applicable Time, (D)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Partnership may issue or deliver Class A Shares issuable upon the exchange, conversion, vesting or exercise of securities (including long-term incentive plan awards, options and warrants) outstanding at the Applicable Time and (E) the Partnership may file a resale shelf registration statement on Form S-3 pursuant to the Registration Rights Agreement by and among the Partnership and the other parties signatory thereto, dated October 21, 2013.</w:t>
      </w:r>
    </w:p>
    <w:p>
      <w:pPr>
        <w:spacing w:after="0" w:line="143" w:lineRule="exact"/>
        <w:rPr>
          <w:sz w:val="20"/>
          <w:szCs w:val="20"/>
          <w:color w:val="auto"/>
        </w:rPr>
      </w:pPr>
    </w:p>
    <w:p>
      <w:pPr>
        <w:ind w:right="700" w:firstLine="656"/>
        <w:spacing w:after="0" w:line="266"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Partnership Parties agree to cause each person and entity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B-1</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Lock-Up</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 to furnish to the Representatives, prior to the Initial Delivery Date, a letter,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Lock-Up Agreements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20" w:firstLine="656"/>
        <w:spacing w:after="0" w:line="264" w:lineRule="auto"/>
        <w:tabs>
          <w:tab w:leader="none" w:pos="131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Partnership has not taken, nor will it take,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designed to or that might reasonably be expected to cause or result in stabilization or manipulation of the price of the Shares to facilitate the sale or resale of the Shares.</w:t>
      </w:r>
    </w:p>
    <w:p>
      <w:pPr>
        <w:spacing w:after="0" w:line="181" w:lineRule="exact"/>
        <w:rPr>
          <w:rFonts w:ascii="Arial" w:cs="Arial" w:eastAsia="Arial" w:hAnsi="Arial"/>
          <w:sz w:val="18"/>
          <w:szCs w:val="18"/>
          <w:color w:val="auto"/>
        </w:rPr>
      </w:pPr>
    </w:p>
    <w:p>
      <w:pPr>
        <w:ind w:right="100" w:firstLine="656"/>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Parties will take such steps as shall be necessary to ensure that none of the Partnership Group</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shall become an “investment company” within the meaning of such term under the Investment Company Act of 1940, as amended, and the rules and regulations of the Commission thereunder.</w:t>
      </w:r>
    </w:p>
    <w:p>
      <w:pPr>
        <w:spacing w:after="0" w:line="181" w:lineRule="exact"/>
        <w:rPr>
          <w:rFonts w:ascii="Arial" w:cs="Arial" w:eastAsia="Arial" w:hAnsi="Arial"/>
          <w:sz w:val="18"/>
          <w:szCs w:val="18"/>
          <w:color w:val="auto"/>
        </w:rPr>
      </w:pPr>
    </w:p>
    <w:p>
      <w:pPr>
        <w:ind w:right="100" w:firstLine="656"/>
        <w:spacing w:after="0" w:line="259"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Private Placement</w:t>
      </w:r>
      <w:r>
        <w:rPr>
          <w:rFonts w:ascii="Arial" w:cs="Arial" w:eastAsia="Arial" w:hAnsi="Arial"/>
          <w:sz w:val="18"/>
          <w:szCs w:val="18"/>
          <w:color w:val="auto"/>
        </w:rPr>
        <w:t>. The issuance of the Class A Shares to the Selling Shareholder in the Selling Shareholder Exchange is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requirements of the Securities Act, the Rules and Regulations and the securities laws of any state having jurisdiction with respect thereto. The Partnership has not sold or issued any securities that would be integrated with the offering of the Shares contemplated by this Agreement pursuant to the Securities Act, the Rules and Regulations or the interpretations thereof by the Commission.</w:t>
      </w:r>
    </w:p>
    <w:p>
      <w:pPr>
        <w:spacing w:after="0" w:line="186" w:lineRule="exact"/>
        <w:rPr>
          <w:rFonts w:ascii="Arial" w:cs="Arial" w:eastAsia="Arial" w:hAnsi="Arial"/>
          <w:sz w:val="18"/>
          <w:szCs w:val="18"/>
          <w:color w:val="auto"/>
        </w:rPr>
      </w:pPr>
    </w:p>
    <w:p>
      <w:pPr>
        <w:ind w:firstLine="656"/>
        <w:spacing w:after="0" w:line="308" w:lineRule="auto"/>
        <w:tabs>
          <w:tab w:leader="none" w:pos="130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Exchange Act Reports</w:t>
      </w:r>
      <w:r>
        <w:rPr>
          <w:rFonts w:ascii="Arial" w:cs="Arial" w:eastAsia="Arial" w:hAnsi="Arial"/>
          <w:sz w:val="17"/>
          <w:szCs w:val="17"/>
          <w:color w:val="auto"/>
        </w:rPr>
        <w:t>. The Partnership, during the period when the Prospectus is required to be delivered under the Securities Act, will file</w:t>
      </w:r>
      <w:r>
        <w:rPr>
          <w:rFonts w:ascii="Arial" w:cs="Arial" w:eastAsia="Arial" w:hAnsi="Arial"/>
          <w:sz w:val="17"/>
          <w:szCs w:val="17"/>
          <w:i w:val="1"/>
          <w:iCs w:val="1"/>
          <w:color w:val="auto"/>
        </w:rPr>
        <w:t xml:space="preserve"> </w:t>
      </w:r>
      <w:r>
        <w:rPr>
          <w:rFonts w:ascii="Arial" w:cs="Arial" w:eastAsia="Arial" w:hAnsi="Arial"/>
          <w:sz w:val="17"/>
          <w:szCs w:val="17"/>
          <w:color w:val="auto"/>
        </w:rPr>
        <w:t>all documents required to be filed with the Commission pursuant to the Exchange Act within the time periods required by the Exchange Act.</w:t>
      </w:r>
    </w:p>
    <w:p>
      <w:pPr>
        <w:sectPr>
          <w:pgSz w:w="11900" w:h="16838" w:orient="portrait"/>
          <w:cols w:equalWidth="0" w:num="1">
            <w:col w:w="11400"/>
          </w:cols>
          <w:pgMar w:left="240" w:top="125" w:right="259" w:bottom="0" w:gutter="0" w:footer="0" w:header="0"/>
        </w:sectPr>
      </w:pPr>
    </w:p>
    <w:bookmarkStart w:id="13" w:name="page14"/>
    <w:bookmarkEnd w:id="13"/>
    <w:p>
      <w:pPr>
        <w:spacing w:after="0" w:line="88" w:lineRule="exact"/>
        <w:rPr>
          <w:sz w:val="20"/>
          <w:szCs w:val="20"/>
          <w:color w:val="auto"/>
        </w:rPr>
      </w:pPr>
    </w:p>
    <w:p>
      <w:pPr>
        <w:ind w:right="40" w:firstLine="656"/>
        <w:spacing w:after="0" w:line="270" w:lineRule="auto"/>
        <w:tabs>
          <w:tab w:leader="none" w:pos="1304"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The Partnership has complied and will comply with the requirements of Rule 433 under the 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provided, however,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Section 13.</w:t>
      </w:r>
    </w:p>
    <w:p>
      <w:pPr>
        <w:spacing w:after="0" w:line="18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Agreements of the Selling Shareholder</w:t>
      </w:r>
      <w:r>
        <w:rPr>
          <w:rFonts w:ascii="Arial" w:cs="Arial" w:eastAsia="Arial" w:hAnsi="Arial"/>
          <w:sz w:val="18"/>
          <w:szCs w:val="18"/>
          <w:color w:val="auto"/>
        </w:rPr>
        <w:t>. The Selling Shareholder agrees as follows:</w:t>
      </w:r>
    </w:p>
    <w:p>
      <w:pPr>
        <w:spacing w:after="0" w:line="225" w:lineRule="exact"/>
        <w:rPr>
          <w:sz w:val="20"/>
          <w:szCs w:val="20"/>
          <w:color w:val="auto"/>
        </w:rPr>
      </w:pPr>
    </w:p>
    <w:p>
      <w:pPr>
        <w:ind w:right="80" w:firstLine="656"/>
        <w:spacing w:after="0" w:line="285" w:lineRule="auto"/>
        <w:tabs>
          <w:tab w:leader="none" w:pos="129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Selling Shareholder Lock-Up Period</w:t>
      </w:r>
      <w:r>
        <w:rPr>
          <w:rFonts w:ascii="Arial" w:cs="Arial" w:eastAsia="Arial" w:hAnsi="Arial"/>
          <w:sz w:val="16"/>
          <w:szCs w:val="16"/>
          <w:color w:val="auto"/>
        </w:rPr>
        <w:t>. Except as provided in this Agreement, the Selling Shareholder will not offer, sell, contract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pledge or otherwise dispose of (or enter into any transaction that is designed to, or might reasonably be expected to, result in the disposition (whether by actual disposition or effective economic disposition due to cash settlement or otherwise) by the Selling Shareholder or any of its controlled affiliates or any person in privity with the Selling Shareholder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Class A Shares or any securities that are convertible into, or exercisable or exchangeable for, or that represent the right to receive, Class A Shares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Class A Shares, or publicly announce an intention to effect any such transaction, for a period of 90 days after the date of the Prospectus (the “</w:t>
      </w:r>
      <w:r>
        <w:rPr>
          <w:rFonts w:ascii="Arial" w:cs="Arial" w:eastAsia="Arial" w:hAnsi="Arial"/>
          <w:sz w:val="16"/>
          <w:szCs w:val="16"/>
          <w:b w:val="1"/>
          <w:bCs w:val="1"/>
          <w:color w:val="auto"/>
        </w:rPr>
        <w:t>Selling Shareholder Lock-Up Period</w:t>
      </w:r>
      <w:r>
        <w:rPr>
          <w:rFonts w:ascii="Arial" w:cs="Arial" w:eastAsia="Arial" w:hAnsi="Arial"/>
          <w:sz w:val="16"/>
          <w:szCs w:val="16"/>
          <w:color w:val="auto"/>
        </w:rPr>
        <w:t xml:space="preserve">”) without the prior written consent of J.P. Morgan Securities LLC;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restrictions contained in this Section 6(a) shall not apply to or restrict: (i) registration of or sale to the Underwriters of any Class A Shares pursuant to the offering and this Agreement; (ii) bona fide gifts of Class A Shares; provided that it shall be a condition to any transfer pursuant to this clause (ii) that the transferee/donee agrees to be bound by the terms of this Section 6(a) to the same extent as if the transferee/donee were a party hereto; (iii) transactions relating to any Class A Shares acquired in open market transactions after the completion of the offering; and (iv) any transfer of Class A Shares pursuant to a bona fide third party tender offer, merger, consolidation or other similar transaction made to all holders of Class A Shares involving a change of control of the Partnership in which all Class A Shares outstanding immediately prior to such change of control are transferred on substantially the same terms to such third party; provided that in the event such change of control is not consummated for any reason, the Selling Shareholder shall remain subject to this Section 6(a).</w:t>
      </w:r>
    </w:p>
    <w:p>
      <w:pPr>
        <w:spacing w:after="0" w:line="177" w:lineRule="exact"/>
        <w:rPr>
          <w:rFonts w:ascii="Arial" w:cs="Arial" w:eastAsia="Arial" w:hAnsi="Arial"/>
          <w:sz w:val="16"/>
          <w:szCs w:val="16"/>
          <w:color w:val="auto"/>
        </w:rPr>
      </w:pPr>
    </w:p>
    <w:p>
      <w:pPr>
        <w:ind w:right="140" w:firstLine="656"/>
        <w:spacing w:after="0" w:line="259"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Notice of Change</w:t>
      </w:r>
      <w:r>
        <w:rPr>
          <w:rFonts w:ascii="Arial" w:cs="Arial" w:eastAsia="Arial" w:hAnsi="Arial"/>
          <w:sz w:val="18"/>
          <w:szCs w:val="18"/>
          <w:color w:val="auto"/>
        </w:rPr>
        <w:t>. The Selling Shareholder will advise the Representatives promptly, and if requested by the Representatives, will confirm</w:t>
      </w:r>
      <w:r>
        <w:rPr>
          <w:rFonts w:ascii="Arial" w:cs="Arial" w:eastAsia="Arial" w:hAnsi="Arial"/>
          <w:sz w:val="18"/>
          <w:szCs w:val="18"/>
          <w:i w:val="1"/>
          <w:iCs w:val="1"/>
          <w:color w:val="auto"/>
        </w:rPr>
        <w:t xml:space="preserve"> </w:t>
      </w:r>
      <w:r>
        <w:rPr>
          <w:rFonts w:ascii="Arial" w:cs="Arial" w:eastAsia="Arial" w:hAnsi="Arial"/>
          <w:sz w:val="18"/>
          <w:szCs w:val="18"/>
          <w:color w:val="auto"/>
        </w:rPr>
        <w:t>such advice in writing, so long as delivery of a prospectus relating to the Shares by an underwriter or dealer may be required under the Act, of any material change in the Selling Shareholder Information in the Registration Statement, the Pricing Disclosure Package, the Prospectus or any Issuer Free Writing Prospectus or any amendment or supplement thereto.</w:t>
      </w:r>
    </w:p>
    <w:p>
      <w:pPr>
        <w:spacing w:after="0" w:line="186"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Selling Shareholder has not taken, nor will it take,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the Class A Shares to facilitate the sale or resale of the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342" w:lineRule="auto"/>
        <w:tabs>
          <w:tab w:leader="none" w:pos="1304"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No Use of Free Writing Prospectus</w:t>
      </w:r>
      <w:r>
        <w:rPr>
          <w:rFonts w:ascii="Arial" w:cs="Arial" w:eastAsia="Arial" w:hAnsi="Arial"/>
          <w:sz w:val="16"/>
          <w:szCs w:val="16"/>
          <w:color w:val="auto"/>
        </w:rPr>
        <w:t>. Neither the Selling Shareholder nor any person acting on behalf of the Selling Shareholder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if applicable, the Partnership and the Underwriters) shall use or refer to any “free writing prospectus” (as defined in Rule 405) relating to the Shares.</w:t>
      </w:r>
    </w:p>
    <w:p>
      <w:pPr>
        <w:spacing w:after="0" w:line="123" w:lineRule="exact"/>
        <w:rPr>
          <w:rFonts w:ascii="Arial" w:cs="Arial" w:eastAsia="Arial" w:hAnsi="Arial"/>
          <w:sz w:val="16"/>
          <w:szCs w:val="16"/>
          <w:color w:val="auto"/>
        </w:rPr>
      </w:pPr>
    </w:p>
    <w:p>
      <w:pPr>
        <w:ind w:right="100" w:firstLine="656"/>
        <w:spacing w:after="0" w:line="277"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Document Delivery</w:t>
      </w:r>
      <w:r>
        <w:rPr>
          <w:rFonts w:ascii="Arial" w:cs="Arial" w:eastAsia="Arial" w:hAnsi="Arial"/>
          <w:sz w:val="18"/>
          <w:szCs w:val="18"/>
          <w:color w:val="auto"/>
        </w:rPr>
        <w:t>. The Selling Shareholder will deliver to the Representatives prior to the Initial Delivery Date a properly completed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United States Treasury Department Form W-9 or other applicable form.</w:t>
      </w:r>
    </w:p>
    <w:p>
      <w:pPr>
        <w:spacing w:after="0" w:line="170"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5"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Partnership Parties, jointly and severally, agree to indemnify and hold harmless each Underwriter, the directors, officers, employees and agents of each Underwriter, each affiliate of any Underwriter who has participated in the distribution of the Shares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(A) the Registration Statement, any Preliminary Prospectus, the Prospectus, (B) any Issuer Free Writing Prospectus or in any amendment or supplement thereto, or (C) any materials or information provided to investors by, or with the approval of, the Partnership in connection with the marketing of the offering of the Shares, including any “road show” (as defined in Rule 433 of the Rules and Regulations) not constituting an Issuer Free Writing Prospectus (“</w:t>
      </w:r>
      <w:r>
        <w:rPr>
          <w:rFonts w:ascii="Arial" w:cs="Arial" w:eastAsia="Arial" w:hAnsi="Arial"/>
          <w:sz w:val="16"/>
          <w:szCs w:val="16"/>
          <w:b w:val="1"/>
          <w:bCs w:val="1"/>
          <w:color w:val="auto"/>
        </w:rPr>
        <w:t>Marketing Materials</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Marketing Materials,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Parties shall not be liable in any such case to the extent that any such loss, claim, damage or liability arises out of, or is based upon, any untrue statement or alleged untrue statement or omission or alleged omission made in the Registration Statement, any Preliminary Prospectus, the Prospectus, any Issuer Free Writing Prospectus or in any such amendment or supplement thereto or in</w:t>
      </w:r>
    </w:p>
    <w:p>
      <w:pPr>
        <w:sectPr>
          <w:pgSz w:w="11900" w:h="16926" w:orient="portrait"/>
          <w:cols w:equalWidth="0" w:num="1">
            <w:col w:w="11420"/>
          </w:cols>
          <w:pgMar w:left="240" w:top="125" w:right="239" w:bottom="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t>any Marketing Materials,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Section 13. The foregoing indemnity agreement is in addition to any liability that the Partnership Parties may otherwise have to any Underwriter or to any director, officer, employee or controlling person of that Underwriter.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4" w:lineRule="auto"/>
        <w:tabs>
          <w:tab w:leader="none" w:pos="130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Selling Shareholder agrees to indemnify and hold harmless each Underwriter, the directors, officers, employees and agents of each Underwriter, each affiliate of any Underwriter who has participated in the distribution of the Shares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in any Marketing Materials or in any “free writing prospectus” (as defined in Rule 405 of the Rules and Regulations), prepared by or on behalf of the Selling Shareholder or used or referred to by the Selling Shareholder in connection with the offering of the Shares in violation of Section 6(d) (“</w:t>
      </w:r>
      <w:r>
        <w:rPr>
          <w:rFonts w:ascii="Arial" w:cs="Arial" w:eastAsia="Arial" w:hAnsi="Arial"/>
          <w:sz w:val="16"/>
          <w:szCs w:val="16"/>
          <w:b w:val="1"/>
          <w:bCs w:val="1"/>
          <w:color w:val="auto"/>
        </w:rPr>
        <w:t>Selling Shareholder Free Writing Prospectus</w:t>
      </w:r>
      <w:r>
        <w:rPr>
          <w:rFonts w:ascii="Arial" w:cs="Arial" w:eastAsia="Arial" w:hAnsi="Arial"/>
          <w:sz w:val="16"/>
          <w:szCs w:val="16"/>
          <w:color w:val="auto"/>
        </w:rPr>
        <w:t>”), or (ii) the omission or alleged omission to state in the Registration Statement, any Preliminary Prospectus, the Prospectus, any Issuer Free Writing Prospectus or in any amendment or supplement thereto, any Marketing Materials or any Selling Shareholder Free Writing Prospectus,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provided, however, that the Selling Shareholder shall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the Selling Shareholder Information. The liability of the Selling Shareholder under the indemnity agreement contained in this paragraph (b) or paragraph (e) or (f) below shall be limited to an amount equal to the total net proceeds (before deducting expenses) from the offering of the Shares purchased under the Agreement received by the Selling Shareholder. The foregoing indemnity agreement is in addition to any liability that the Selling Shareholder may otherwise have to any Underwriter or to any director, officer, employee or controlling person of that Underwriter.</w:t>
      </w:r>
    </w:p>
    <w:p>
      <w:pPr>
        <w:spacing w:after="0" w:line="178" w:lineRule="exact"/>
        <w:rPr>
          <w:rFonts w:ascii="Arial" w:cs="Arial" w:eastAsia="Arial" w:hAnsi="Arial"/>
          <w:sz w:val="16"/>
          <w:szCs w:val="16"/>
          <w:color w:val="auto"/>
        </w:rPr>
      </w:pPr>
    </w:p>
    <w:p>
      <w:pPr>
        <w:ind w:right="60" w:firstLine="656"/>
        <w:spacing w:after="0" w:line="297" w:lineRule="auto"/>
        <w:tabs>
          <w:tab w:leader="none" w:pos="1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the Partnership Parties or the Selling Shareholder, such Underwriter or such director, officer, employee, agent or controlling person shall promptly notify the indemnifying party in writing, and the indemnifying party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indemnifying party has agreed in writing to pay such fees and expenses, (ii) the indemnifying party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indemnifying party (in which case the indemnifying party shall not have the right to direct the defense of such action, suit or proceeding on behalf of the indemnified party or parties), in any of which events the indemnifying party shall pay the reasonable fees and expenses of such counsel as such fees and expenses are incurred (it being understood, however, that the indemnifying party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73" w:lineRule="exact"/>
        <w:rPr>
          <w:sz w:val="20"/>
          <w:szCs w:val="20"/>
          <w:color w:val="auto"/>
        </w:rPr>
      </w:pPr>
    </w:p>
    <w:p>
      <w:pPr>
        <w:ind w:right="20" w:firstLine="656"/>
        <w:spacing w:after="0" w:line="286" w:lineRule="auto"/>
        <w:tabs>
          <w:tab w:leader="none" w:pos="1304"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Selling Shareholder, the Partnership, the General Partner’s directors and the officers who sign the Registration Statement, and any person who controls the Partnership within the meaning of Section 15 of the Securities Act or Section 20 of the Exchange Act, to the same extent as the foregoing indemnity from the Selling Shareholder and the Partnership Parties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Marketing Materials, which information is limited to the information set forth in Section 13. If any action, suit or proceeding shall be brought against the Selling Shareholder, the Partnership, any of such directors and officers of the General Partner or any such controlling person based on the Registration Statement, any Preliminary Prospectus, the Prospectus, any Issuer Free Writing Prospectus or in any amendment or supplement thereto or in any Marketing Materials, and in respect of which indemnity may be sought against any Underwriter pursuant to this paragraph (d), such Underwriter shall have the rights and duties given to the Partnership Parties by paragraph (c) above (except that if the Selling Shareholder or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Selling Shareholder, the Partnership Parties, any of such directors and officers of the General Partner and any such controlling person shall have the rights and duties given to the Underwriters by paragraph (c) above. The foregoing indemnity agreement shall be in addition to any liability that the Underwriters may otherwise have.</w:t>
      </w:r>
    </w:p>
    <w:p>
      <w:pPr>
        <w:spacing w:after="0" w:line="171" w:lineRule="exact"/>
        <w:rPr>
          <w:rFonts w:ascii="Arial" w:cs="Arial" w:eastAsia="Arial" w:hAnsi="Arial"/>
          <w:sz w:val="16"/>
          <w:szCs w:val="16"/>
          <w:color w:val="auto"/>
        </w:rPr>
      </w:pPr>
    </w:p>
    <w:p>
      <w:pPr>
        <w:ind w:right="120" w:firstLine="656"/>
        <w:spacing w:after="0" w:line="264" w:lineRule="auto"/>
        <w:tabs>
          <w:tab w:leader="none" w:pos="1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7 is unavailable to an indemnified party under paragraph (a), (b) or (d) hereof in respect of any losses, claims, damages, liabilities or expenses referred to therein, then an indemnifying party, in lieu of indemnifying such indemnified party, shall contribute to the amount paid or payable by such</w:t>
      </w:r>
    </w:p>
    <w:p>
      <w:pPr>
        <w:sectPr>
          <w:pgSz w:w="11900" w:h="16838" w:orient="portrait"/>
          <w:cols w:equalWidth="0" w:num="1">
            <w:col w:w="11380"/>
          </w:cols>
          <w:pgMar w:left="240" w:top="125" w:right="279" w:bottom="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5" w:name="page16"/>
    <w:bookmarkEnd w:id="15"/>
    <w:p>
      <w:pPr>
        <w:ind w:right="320"/>
        <w:spacing w:after="0" w:line="291" w:lineRule="auto"/>
        <w:rPr>
          <w:sz w:val="20"/>
          <w:szCs w:val="20"/>
          <w:color w:val="auto"/>
        </w:rPr>
      </w:pPr>
      <w:r>
        <w:rPr>
          <w:rFonts w:ascii="Arial" w:cs="Arial" w:eastAsia="Arial" w:hAnsi="Arial"/>
          <w:sz w:val="16"/>
          <w:szCs w:val="16"/>
          <w:color w:val="auto"/>
        </w:rPr>
        <w:t>indemnified party as a result of such losses, claims, damages, liabilities or expenses (i) in such proportion as is appropriate to reflect the relative benefits received by the Selling Shareholder and the Partnership Parties on the one hand and the Underwriters on the other hand from the offering of the Shares, or</w:t>
      </w:r>
    </w:p>
    <w:p>
      <w:pPr>
        <w:ind w:right="20" w:firstLine="8"/>
        <w:spacing w:after="0" w:line="267"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allocation provided by clause (i) above is not permitted by applicable law, in such proportion as is appropriate to reflect not only the relative benefits referred to in clause (i) above but also the relative fault of the Selling Shareholder and the Partnership Parties on the one hand and the Underwriters on the other in connection with the statements or omissions that resulted in such losses, claims, damages, liabilities or expenses, as well as any other relevant equitable considerations. The relative benefits received by the Selling Shareholder and the Partnership Parties on the one hand and the Underwriters on the other shall be deemed to be in the same proportion as the total net proceeds from the offering (before deducting expenses) received by the Selling Shareholder bear to the total underwriting discounts and commissions received by the Underwriters, in each case as set forth in the table on the cover page of the Prospectus. The relative fault of the Selling Shareholder and the Partnership Parties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Selling Shareholder and the Partnership Parties or any affiliate of the Selling Shareholder and the Partnership Parties on the one hand, or by the Underwriters on the other hand, and the parties’ relative intent, knowledge, access to information and opportunity to correct or prevent such statement or omission.</w:t>
      </w:r>
    </w:p>
    <w:p>
      <w:pPr>
        <w:spacing w:after="0" w:line="186" w:lineRule="exact"/>
        <w:rPr>
          <w:rFonts w:ascii="Arial" w:cs="Arial" w:eastAsia="Arial" w:hAnsi="Arial"/>
          <w:sz w:val="17"/>
          <w:szCs w:val="17"/>
          <w:color w:val="auto"/>
        </w:rPr>
      </w:pPr>
    </w:p>
    <w:p>
      <w:pPr>
        <w:ind w:right="140" w:firstLine="656"/>
        <w:spacing w:after="0" w:line="288" w:lineRule="auto"/>
        <w:tabs>
          <w:tab w:leader="none" w:pos="1301"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Selling Shareholder, the Partnership Parties and the Underwriters agree that it would not be just and equitable if contribution pursuant to this Section 7 were determined by a pro rata allocation (even if the Underwriters were treated as one entity for such purpose) or by any other method of allocation that does not take account of the equitable considerations referred to in paragraph (e) above. The amount paid or payable by an indemnified party as a result of the losses, claims, damages, liabilities and expenses referred to in paragraph (e)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no Underwriter shall be required to contribute any amount in excess of the amount by which the total price of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7 are several and not joint.</w:t>
      </w:r>
    </w:p>
    <w:p>
      <w:pPr>
        <w:spacing w:after="0" w:line="169" w:lineRule="exact"/>
        <w:rPr>
          <w:rFonts w:ascii="Arial" w:cs="Arial" w:eastAsia="Arial" w:hAnsi="Arial"/>
          <w:sz w:val="16"/>
          <w:szCs w:val="16"/>
          <w:color w:val="auto"/>
        </w:rPr>
      </w:pPr>
    </w:p>
    <w:p>
      <w:pPr>
        <w:ind w:right="60" w:firstLine="656"/>
        <w:spacing w:after="0" w:line="276" w:lineRule="auto"/>
        <w:tabs>
          <w:tab w:leader="none" w:pos="1317" w:val="left"/>
        </w:tabs>
        <w:numPr>
          <w:ilvl w:val="1"/>
          <w:numId w:val="50"/>
        </w:numPr>
        <w:rPr>
          <w:rFonts w:ascii="Arial" w:cs="Arial" w:eastAsia="Arial" w:hAnsi="Arial"/>
          <w:sz w:val="17"/>
          <w:szCs w:val="17"/>
          <w:color w:val="auto"/>
        </w:rPr>
      </w:pPr>
      <w:r>
        <w:rPr>
          <w:rFonts w:ascii="Arial" w:cs="Arial" w:eastAsia="Arial" w:hAnsi="Arial"/>
          <w:sz w:val="17"/>
          <w:szCs w:val="17"/>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81" w:lineRule="exact"/>
        <w:rPr>
          <w:sz w:val="20"/>
          <w:szCs w:val="20"/>
          <w:color w:val="auto"/>
        </w:rPr>
      </w:pPr>
    </w:p>
    <w:p>
      <w:pPr>
        <w:ind w:firstLine="656"/>
        <w:spacing w:after="0" w:line="270" w:lineRule="auto"/>
        <w:tabs>
          <w:tab w:leader="none" w:pos="130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Selling Shareholder and the Partnership Parties set forth in this Agreement shall remain operative and in full force and effect, regardless of (i) any investigation made by or on behalf of any Underwriter or any person controlling any Underwriter, the Selling Shareholder, Partnership or any of the General Partner’s directors or officers or any person controlling the Partnership Parties, (ii) acceptance of any Shares and payment therefor in accordance with the terms of this Agreement, and (iii) any termination of this Agreement. A successor to any Underwriter or any person controlling any Underwriter, or to the Selling Shareholder, the Partnership Parties or any of the General Partner’s directors or officers or any person controlling the Partnership Parties shall be entitled to the benefits of the indemnity, contribution and reimbursement agreements contained in this Section 7.</w:t>
      </w:r>
    </w:p>
    <w:p>
      <w:pPr>
        <w:spacing w:after="0" w:line="182" w:lineRule="exact"/>
        <w:rPr>
          <w:sz w:val="20"/>
          <w:szCs w:val="20"/>
          <w:color w:val="auto"/>
        </w:rPr>
      </w:pPr>
    </w:p>
    <w:p>
      <w:pPr>
        <w:ind w:right="560" w:firstLine="656"/>
        <w:spacing w:after="0" w:line="277" w:lineRule="auto"/>
        <w:tabs>
          <w:tab w:leader="none" w:pos="129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Initial Shares and the Additional Shares, as the case may be, hereunder are subject to the following conditions:</w:t>
      </w:r>
    </w:p>
    <w:p>
      <w:pPr>
        <w:spacing w:after="0" w:line="170" w:lineRule="exact"/>
        <w:rPr>
          <w:sz w:val="20"/>
          <w:szCs w:val="20"/>
          <w:color w:val="auto"/>
        </w:rPr>
      </w:pPr>
    </w:p>
    <w:p>
      <w:pPr>
        <w:ind w:firstLine="656"/>
        <w:spacing w:after="0" w:line="255" w:lineRule="auto"/>
        <w:tabs>
          <w:tab w:leader="none" w:pos="12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filings required by Rule 424 and Rule 430B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89" w:lineRule="exact"/>
        <w:rPr>
          <w:rFonts w:ascii="Arial" w:cs="Arial" w:eastAsia="Arial" w:hAnsi="Arial"/>
          <w:sz w:val="18"/>
          <w:szCs w:val="18"/>
          <w:color w:val="auto"/>
        </w:rPr>
      </w:pPr>
    </w:p>
    <w:p>
      <w:pPr>
        <w:ind w:right="40" w:firstLine="656"/>
        <w:spacing w:after="0" w:line="255" w:lineRule="auto"/>
        <w:tabs>
          <w:tab w:leader="none" w:pos="13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Shares or (ii) any event or development relating to or involving any of the Partnership Group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21"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misleading, if amending or supplementing the Prospectus to reflect such event or development would, in the Representatives’ opinion, materially adversely affect the market for the Shares.</w:t>
      </w:r>
    </w:p>
    <w:p>
      <w:pPr>
        <w:spacing w:after="0" w:line="170" w:lineRule="exact"/>
        <w:rPr>
          <w:sz w:val="20"/>
          <w:szCs w:val="20"/>
          <w:color w:val="auto"/>
        </w:rPr>
      </w:pPr>
    </w:p>
    <w:p>
      <w:pPr>
        <w:ind w:right="440" w:firstLine="656"/>
        <w:spacing w:after="0" w:line="264" w:lineRule="auto"/>
        <w:tabs>
          <w:tab w:leader="none" w:pos="13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each applicable Delivery Date, an opinion of Vinson &amp; Elkins L.L.P., counsel for the Partnership, dated the applicable Delivery Date and addressed to the Underwriters, in form and substance reasonably satisfactory to the Representatives, substantially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right="240" w:firstLine="656"/>
        <w:spacing w:after="0" w:line="264" w:lineRule="auto"/>
        <w:tabs>
          <w:tab w:leader="none" w:pos="1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each applicable Delivery Date an opinion of Richard McGee, general counsel for the General Partner, dated the applicable Delivery Date and addressed to the Underwriters, in form and substance reasonably satisfactory to the Representatives,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right="580" w:firstLine="656"/>
        <w:spacing w:after="0" w:line="264" w:lineRule="auto"/>
        <w:tabs>
          <w:tab w:leader="none" w:pos="13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each applicable Delivery Date, an opinion of special internal Canadian counsel of the Partnership with respect to the Provinces of Alberta and British Columbia and the federal laws of Canada, dated the Closing Date and addressed to the Underwriters, substantially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3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each applicable Delivery Date, an opinion of Kirkland &amp; Ellis LLP, counsel for the Selling Shareholder, dated the applicable Delivery Date and addressed to the Underwriters, in form and substance reasonably satisfactory to the Representatives, substantially in the form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right="100" w:firstLine="656"/>
        <w:spacing w:after="0" w:line="259" w:lineRule="auto"/>
        <w:tabs>
          <w:tab w:leader="none" w:pos="13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Representatives shall have received on each applicable Delivery Date an opinion of Baker Botts L.L.P., counsel for the Underwriters, dated the applicable Delivery Date and addressed to the Underwriters, with respect to the offering and sale of the Shares, the Registration Statement, the Pricing Disclosure Package, the Prospectus (together with any amendment or supplement thereto) and other related matters the Underwriters may reasonably require.</w:t>
      </w:r>
    </w:p>
    <w:p>
      <w:pPr>
        <w:spacing w:after="0" w:line="186" w:lineRule="exact"/>
        <w:rPr>
          <w:rFonts w:ascii="Arial" w:cs="Arial" w:eastAsia="Arial" w:hAnsi="Arial"/>
          <w:sz w:val="18"/>
          <w:szCs w:val="18"/>
          <w:color w:val="auto"/>
        </w:rPr>
      </w:pPr>
    </w:p>
    <w:p>
      <w:pPr>
        <w:ind w:right="40" w:firstLine="656"/>
        <w:spacing w:after="0" w:line="255" w:lineRule="auto"/>
        <w:tabs>
          <w:tab w:leader="none" w:pos="1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 and described in such letter shall be a date not more than five days prior to the date of such letter.</w:t>
      </w:r>
    </w:p>
    <w:p>
      <w:pPr>
        <w:spacing w:after="0" w:line="193" w:lineRule="exact"/>
        <w:rPr>
          <w:rFonts w:ascii="Arial" w:cs="Arial" w:eastAsia="Arial" w:hAnsi="Arial"/>
          <w:sz w:val="18"/>
          <w:szCs w:val="18"/>
          <w:color w:val="auto"/>
        </w:rPr>
      </w:pPr>
    </w:p>
    <w:p>
      <w:pPr>
        <w:jc w:val="both"/>
        <w:ind w:right="100" w:firstLine="656"/>
        <w:spacing w:after="0" w:line="312" w:lineRule="auto"/>
        <w:tabs>
          <w:tab w:leader="none" w:pos="13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each applicable the Delivery Date, the Representatives shall have received from PricewaterhouseCoopers LLP a letter, dated as of each such Delivery Date, to the effect that they reaffirm the statements made in the letter furnished pursuant to paragraph (h) of this Section 8, except that the date referred to in the proviso in Section 8(h) hereof shall be a date not more than three business days prior to each such Delivery Date.</w:t>
      </w:r>
    </w:p>
    <w:p>
      <w:pPr>
        <w:spacing w:after="0" w:line="146" w:lineRule="exact"/>
        <w:rPr>
          <w:rFonts w:ascii="Arial" w:cs="Arial" w:eastAsia="Arial" w:hAnsi="Arial"/>
          <w:sz w:val="16"/>
          <w:szCs w:val="16"/>
          <w:color w:val="auto"/>
        </w:rPr>
      </w:pPr>
    </w:p>
    <w:p>
      <w:pPr>
        <w:ind w:right="140" w:firstLine="656"/>
        <w:spacing w:after="0" w:line="277" w:lineRule="auto"/>
        <w:tabs>
          <w:tab w:leader="none" w:pos="1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Partnership Parties shall have furnished to the Representatives at each applicable Delivery Date a certificate of the Partnership, signed on behalf of the Partnership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President or any Vice President and the Chief Financial Officer of the General Partner, dated the applicable Delivery Date, to the effect that the signers of such certificate have examined the Registration Statement, the Pricing Disclosure Package, the Prospectus and any amendment or supplement thereto, and this Agreement and that:</w:t>
      </w:r>
    </w:p>
    <w:p>
      <w:pPr>
        <w:spacing w:after="0" w:line="181" w:lineRule="exact"/>
        <w:rPr>
          <w:sz w:val="20"/>
          <w:szCs w:val="20"/>
          <w:color w:val="auto"/>
        </w:rPr>
      </w:pPr>
    </w:p>
    <w:p>
      <w:pPr>
        <w:ind w:left="660" w:right="40" w:firstLine="645"/>
        <w:spacing w:after="0" w:line="312" w:lineRule="auto"/>
        <w:tabs>
          <w:tab w:leader="none" w:pos="1978"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representations and warranties of the Partnership Parties in this Agreement are true and correct on and as of the applicable Delivery Date with the same effect as if made on the applicable Delivery Date and the Partnership Parties have complied in all material respects with all the agreements and satisfied all the conditions on its part to be performed or satisfied at or prior to the applicable Delivery Date;</w:t>
      </w:r>
    </w:p>
    <w:p>
      <w:pPr>
        <w:spacing w:after="0" w:line="146" w:lineRule="exact"/>
        <w:rPr>
          <w:rFonts w:ascii="Arial" w:cs="Arial" w:eastAsia="Arial" w:hAnsi="Arial"/>
          <w:sz w:val="16"/>
          <w:szCs w:val="16"/>
          <w:color w:val="auto"/>
        </w:rPr>
      </w:pPr>
    </w:p>
    <w:p>
      <w:pPr>
        <w:ind w:left="660" w:right="160" w:firstLine="645"/>
        <w:spacing w:after="0" w:line="277" w:lineRule="auto"/>
        <w:tabs>
          <w:tab w:leader="none" w:pos="1987"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 Parties’ knowledge, threatened;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the Registration Statement, as of the Effective Date, (B) the Prospectus, as of its date and on the applicable Delivery Date, and</w:t>
      </w:r>
    </w:p>
    <w:p>
      <w:pPr>
        <w:spacing w:after="0" w:line="46" w:lineRule="exact"/>
        <w:rPr>
          <w:rFonts w:ascii="Arial" w:cs="Arial" w:eastAsia="Arial" w:hAnsi="Arial"/>
          <w:sz w:val="16"/>
          <w:szCs w:val="16"/>
          <w:color w:val="auto"/>
        </w:rPr>
      </w:pPr>
    </w:p>
    <w:p>
      <w:pPr>
        <w:ind w:left="660" w:right="100" w:hanging="4"/>
        <w:spacing w:after="0" w:line="255" w:lineRule="auto"/>
        <w:tabs>
          <w:tab w:leader="none" w:pos="9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90" w:lineRule="exact"/>
        <w:rPr>
          <w:sz w:val="20"/>
          <w:szCs w:val="20"/>
          <w:color w:val="auto"/>
        </w:rPr>
      </w:pPr>
    </w:p>
    <w:p>
      <w:pPr>
        <w:ind w:left="1320" w:hanging="664"/>
        <w:spacing w:after="0"/>
        <w:tabs>
          <w:tab w:leader="none" w:pos="1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NYSE shall have approved the Shares for listing, subject only to official notice of issuance and evidence of satisfactory distribution.</w:t>
      </w:r>
    </w:p>
    <w:p>
      <w:pPr>
        <w:spacing w:after="0" w:line="248" w:lineRule="exact"/>
        <w:rPr>
          <w:rFonts w:ascii="Arial" w:cs="Arial" w:eastAsia="Arial" w:hAnsi="Arial"/>
          <w:sz w:val="16"/>
          <w:szCs w:val="16"/>
          <w:color w:val="auto"/>
        </w:rPr>
      </w:pPr>
    </w:p>
    <w:p>
      <w:pPr>
        <w:ind w:right="160" w:firstLine="656"/>
        <w:spacing w:after="0" w:line="277" w:lineRule="auto"/>
        <w:tabs>
          <w:tab w:leader="none" w:pos="13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issuance and sale of the Shares.</w:t>
      </w:r>
    </w:p>
    <w:p>
      <w:pPr>
        <w:spacing w:after="0" w:line="170" w:lineRule="exact"/>
        <w:rPr>
          <w:rFonts w:ascii="Arial" w:cs="Arial" w:eastAsia="Arial" w:hAnsi="Arial"/>
          <w:sz w:val="18"/>
          <w:szCs w:val="18"/>
          <w:color w:val="auto"/>
        </w:rPr>
      </w:pPr>
    </w:p>
    <w:p>
      <w:pPr>
        <w:ind w:right="80" w:firstLine="656"/>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On or prior to the date hereof, the Partnership Parties shall have furnished to the Underwriters a letter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each person named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and signed by the chief financial officer of the General Partner.</w:t>
      </w:r>
    </w:p>
    <w:p>
      <w:pPr>
        <w:spacing w:after="0" w:line="170" w:lineRule="exact"/>
        <w:rPr>
          <w:rFonts w:ascii="Arial" w:cs="Arial" w:eastAsia="Arial" w:hAnsi="Arial"/>
          <w:sz w:val="18"/>
          <w:szCs w:val="18"/>
          <w:color w:val="auto"/>
        </w:rPr>
      </w:pPr>
    </w:p>
    <w:p>
      <w:pPr>
        <w:ind w:right="80" w:firstLine="656"/>
        <w:spacing w:after="0" w:line="257"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Selling Shareholder shall have furnished to the Representatives a certificate, signed by or on behalf of the Selling Shareholder, dated the Closing Date, to the effect that the signers of such certificate have examined the Selling Shareholder Information contained in the Registration Statement, the Pricing Disclosure Package, the Prospectus, any Issuer Free Writing Prospectus and any supplements or amendments thereto, and that the representations and warranties of the Selling Shareholder in this Agreement are true and correct in all material respects on and as of the Closing Date to the same effect as if made on the Closing Date.</w:t>
      </w:r>
    </w:p>
    <w:p>
      <w:pPr>
        <w:sectPr>
          <w:pgSz w:w="11900" w:h="16838" w:orient="portrait"/>
          <w:cols w:equalWidth="0" w:num="1">
            <w:col w:w="11420"/>
          </w:cols>
          <w:pgMar w:left="240" w:top="125" w:right="239" w:bottom="63" w:gutter="0" w:footer="0" w:header="0"/>
        </w:sectPr>
      </w:pPr>
    </w:p>
    <w:bookmarkStart w:id="17" w:name="page18"/>
    <w:bookmarkEnd w:id="17"/>
    <w:p>
      <w:pPr>
        <w:spacing w:after="0" w:line="13"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All such opinions, certificates, letters and other documents referred to in this Section 8 will be in compliance with the provisions hereof only if they are reasonably satisfactory in form and substance to the Representatives and counsel for the Underwriters. The Partnership shall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furnish to the Underwriters conformed copies of such opinions, certificates, letters and other documents in such number as they shall reasonably request.</w:t>
      </w:r>
    </w:p>
    <w:p>
      <w:pPr>
        <w:spacing w:after="0" w:line="248" w:lineRule="exact"/>
        <w:rPr>
          <w:sz w:val="20"/>
          <w:szCs w:val="20"/>
          <w:color w:val="auto"/>
        </w:rPr>
      </w:pPr>
    </w:p>
    <w:p>
      <w:pPr>
        <w:ind w:right="200" w:firstLine="667"/>
        <w:spacing w:after="0" w:line="291" w:lineRule="auto"/>
        <w:rPr>
          <w:sz w:val="20"/>
          <w:szCs w:val="20"/>
          <w:color w:val="auto"/>
        </w:rPr>
      </w:pPr>
      <w:r>
        <w:rPr>
          <w:rFonts w:ascii="Arial" w:cs="Arial" w:eastAsia="Arial" w:hAnsi="Arial"/>
          <w:sz w:val="16"/>
          <w:szCs w:val="16"/>
          <w:color w:val="auto"/>
        </w:rPr>
        <w:t>The several obligations of the Underwriters to purchase Additional Shares hereunder are subject to the satisfaction on and as of any Additional Shares Delivery Date of the conditions set forth in this Section 8, except that, if any Additional Shares Delivery Date is other than the Initial Delivery Date,</w:t>
      </w: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certificates, opinions and letters referred to in paragraphs (c) through (g), (i), (j) and (m) shall be dated the Additional Shares Delivery Date in question,</w:t>
      </w:r>
    </w:p>
    <w:p>
      <w:pPr>
        <w:spacing w:after="0" w:line="32" w:lineRule="exact"/>
        <w:rPr>
          <w:rFonts w:ascii="Arial" w:cs="Arial" w:eastAsia="Arial" w:hAnsi="Arial"/>
          <w:sz w:val="16"/>
          <w:szCs w:val="16"/>
          <w:color w:val="auto"/>
        </w:rPr>
      </w:pPr>
    </w:p>
    <w:p>
      <w:pPr>
        <w:ind w:right="120" w:firstLine="8"/>
        <w:spacing w:after="0" w:line="261"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opinions called for by paragraphs (c) through (g), as applicable, shall be revised to reflect the sale of Additional Shares and (iii) any references in this Section 8 to the Initial Delivery Date shall be deemed to be such Additional Shares Delivery Date.</w:t>
      </w:r>
    </w:p>
    <w:p>
      <w:pPr>
        <w:spacing w:after="0" w:line="184" w:lineRule="exact"/>
        <w:rPr>
          <w:sz w:val="20"/>
          <w:szCs w:val="20"/>
          <w:color w:val="auto"/>
        </w:rPr>
      </w:pPr>
    </w:p>
    <w:p>
      <w:pPr>
        <w:ind w:firstLine="667"/>
        <w:spacing w:after="0" w:line="257" w:lineRule="auto"/>
        <w:rPr>
          <w:sz w:val="20"/>
          <w:szCs w:val="20"/>
          <w:color w:val="auto"/>
        </w:rPr>
      </w:pPr>
      <w:r>
        <w:rPr>
          <w:rFonts w:ascii="Arial" w:cs="Arial" w:eastAsia="Arial" w:hAnsi="Arial"/>
          <w:sz w:val="18"/>
          <w:szCs w:val="18"/>
          <w:color w:val="auto"/>
        </w:rPr>
        <w:t>If any of the conditions specified in this Section 8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w:t>
      </w:r>
    </w:p>
    <w:p>
      <w:pPr>
        <w:spacing w:after="0" w:line="188"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6" w:lineRule="auto"/>
        <w:tabs>
          <w:tab w:leader="none" w:pos="1294"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Partnership Expenses. </w:t>
      </w:r>
      <w:r>
        <w:rPr>
          <w:rFonts w:ascii="Arial" w:cs="Arial" w:eastAsia="Arial" w:hAnsi="Arial"/>
          <w:sz w:val="16"/>
          <w:szCs w:val="16"/>
          <w:color w:val="auto"/>
        </w:rPr>
        <w:t>The Partnership agrees to pay the following costs and expenses and all other costs and expenses incident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Shares; (iii) the preparation, printing, authentication, issuance and delivery of certificates for the Shares, including any stamp taxes in connection with the original issuance and sale of the Shares; (iv) the printing (or reproduction) and delivery of this Agreement, the preliminary and supplemental Blue Sky Memoranda, and all other agreements or documents printed (or reproduced) and delivered in connection with the offering of the Shares; (v) the registration of the Shares under the Exchange Act and the listing of the Shares on the NYSE and any applicable listing or other similar fees; (vi) the registration or qualification of the Shares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costs and expenses related to investor presentations on any road show undertaken in connection with the marketing of the Shares, including, without limitation, expenses associated with any electronic road show, travel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lodging expenses of the Representatives and transportation and other expenses incurred by or on behalf of the officers and employees of the Partnership Parties; provided, however, that the Partnership is obligated to pay only 50% of the costs and expenses of any aircraft that is chartered in connection with the presentations to prospective purchasers of the Shares; (ix) the fees and expenses of the Partnership’s accountants and the fees and expenses of counsel (including local and special counsel) for the Partnership Group Entities; (x) all expenses in connection with the qualification of the Shares for offering and sale in any Province or Territory in Canada, including the reasonable fees, disbursements and expenses of counsel for the Underwriters in connection therewith; (xi) the costs and expenses of qualifying the Shares for inclusion in the book-entry settlement system of the DTC; and (xii) services provided by the transfer agent and registrar.</w:t>
      </w:r>
    </w:p>
    <w:p>
      <w:pPr>
        <w:spacing w:after="0" w:line="189" w:lineRule="exact"/>
        <w:rPr>
          <w:sz w:val="20"/>
          <w:szCs w:val="20"/>
          <w:color w:val="auto"/>
        </w:rPr>
      </w:pPr>
    </w:p>
    <w:p>
      <w:pPr>
        <w:ind w:right="120" w:firstLine="656"/>
        <w:spacing w:after="0" w:line="308" w:lineRule="auto"/>
        <w:tabs>
          <w:tab w:leader="none" w:pos="1304"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Selling Shareholder Expenses</w:t>
      </w:r>
      <w:r>
        <w:rPr>
          <w:rFonts w:ascii="Arial" w:cs="Arial" w:eastAsia="Arial" w:hAnsi="Arial"/>
          <w:sz w:val="17"/>
          <w:szCs w:val="17"/>
          <w:color w:val="auto"/>
        </w:rPr>
        <w:t>. It is understood, however, that except as otherwise provided in this Agreement, the Selling Shareholder will</w:t>
      </w:r>
      <w:r>
        <w:rPr>
          <w:rFonts w:ascii="Arial" w:cs="Arial" w:eastAsia="Arial" w:hAnsi="Arial"/>
          <w:sz w:val="17"/>
          <w:szCs w:val="17"/>
          <w:i w:val="1"/>
          <w:iCs w:val="1"/>
          <w:color w:val="auto"/>
        </w:rPr>
        <w:t xml:space="preserve"> </w:t>
      </w:r>
      <w:r>
        <w:rPr>
          <w:rFonts w:ascii="Arial" w:cs="Arial" w:eastAsia="Arial" w:hAnsi="Arial"/>
          <w:sz w:val="17"/>
          <w:szCs w:val="17"/>
          <w:color w:val="auto"/>
        </w:rPr>
        <w:t>only be responsible for paying all underwriting discounts and selling commissions applicable to the sale of the Shares hereunder.</w:t>
      </w:r>
    </w:p>
    <w:p>
      <w:pPr>
        <w:spacing w:after="0" w:line="146" w:lineRule="exact"/>
        <w:rPr>
          <w:rFonts w:ascii="Arial" w:cs="Arial" w:eastAsia="Arial" w:hAnsi="Arial"/>
          <w:sz w:val="17"/>
          <w:szCs w:val="17"/>
          <w:color w:val="auto"/>
        </w:rPr>
      </w:pPr>
    </w:p>
    <w:p>
      <w:pPr>
        <w:ind w:right="220" w:firstLine="656"/>
        <w:spacing w:after="0" w:line="259" w:lineRule="auto"/>
        <w:tabs>
          <w:tab w:leader="none" w:pos="130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Underwriter Expenses. </w:t>
      </w:r>
      <w:r>
        <w:rPr>
          <w:rFonts w:ascii="Arial" w:cs="Arial" w:eastAsia="Arial" w:hAnsi="Arial"/>
          <w:sz w:val="18"/>
          <w:szCs w:val="18"/>
          <w:color w:val="auto"/>
        </w:rPr>
        <w:t>It is understood, however, that except as otherwise provided in this Section 9 or Section 5(i)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will pay all of their own costs and expenses, including the fees of their counsel, transfer taxes on any resale of the Shares by any Underwriter, any advertising expenses connected with any offers they may make and the transportation and other expenses incurred by the Underwriters on their own behalf in connection with presentations to prospective purchasers of the Shares.</w:t>
      </w:r>
    </w:p>
    <w:p>
      <w:pPr>
        <w:spacing w:after="0" w:line="187" w:lineRule="exact"/>
        <w:rPr>
          <w:sz w:val="20"/>
          <w:szCs w:val="20"/>
          <w:color w:val="auto"/>
        </w:rPr>
      </w:pPr>
    </w:p>
    <w:p>
      <w:pPr>
        <w:ind w:firstLine="656"/>
        <w:spacing w:after="0" w:line="268" w:lineRule="auto"/>
        <w:tabs>
          <w:tab w:leader="none" w:pos="129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of the Underwriters shall fail or refuse to purchase Shares that it or they are obligated to purchase hereunder on the Initial Delivery Date, and the aggregate number of Shares that such defaulting Underwriter or Underwriters are obligated but fail or refuse to purchase is not more than one-tenth of the aggregate number of the Shares that the Underwriters are obligated to purchase on the Initial Delivery Date, each non-defaulting Underwriter shall be obligated, severally, in the proportion that the number of Initial Shares set forth opposite its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number of Initial Shares set forth opposite the names of all non-defaulting Underwriters or in such other proportion as the Representatives may specify in accordance with the Agreement Among Underwriters of J.P. Morgan Securities LLC to purchase the Shares that such defaulting Underwriter or Underwriters are obligated, but fail or refuse, to purchase. If any one or more of the Underwriters shall fail or refuse to purchase Shares that it or they are obligated to purchase on the Initial Delivery Date and the aggregate number of Shares with respect to which such default occurs is more than one-tenth of the aggregate number of Shares that the Underwriters are obligated to purchase on the Initial Delivery Date and arrangements satisfactory to the Representatives, the Selling Shareholder and the Partnership for the purchase of such Shares by one or more non-defaulting Underwriters or other party or parties approved by the Representatives, the Selling Shareholder and the Partnership are not made within five business days after such default, this Agreement will terminate without liability on the part of any party hereto (other than the defaulting Underwriter). In any such case that does not result in termination of this Agreement, any of the Representatives, the Selling Shareholder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w:t>
      </w:r>
    </w:p>
    <w:p>
      <w:pPr>
        <w:sectPr>
          <w:pgSz w:w="11900" w:h="16851" w:orient="portrait"/>
          <w:cols w:equalWidth="0" w:num="1">
            <w:col w:w="11420"/>
          </w:cols>
          <w:pgMar w:left="240" w:top="125" w:right="239" w:bottom="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51" w:orient="portrait"/>
          <w:cols w:equalWidth="0" w:num="1">
            <w:col w:w="11420"/>
          </w:cols>
          <w:pgMar w:left="240" w:top="125" w:right="239" w:bottom="0" w:gutter="0" w:footer="0" w:header="0"/>
          <w:type w:val="continuous"/>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Underwriters shall fail or refuse to purchase Additional Shares that it or they are obligated to purchase hereunder on the Additional Shares Delivery Date, each non-defaulting Underwriter shall be obligated, severally, in the proportion that the number of Initial Shares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number of Initial Shares set forth opposite the names of all non-defaulting Underwriters or in such other proportion as the Representatives may specify in accordance with the Agreement Among Underwriters of J.P. Morgan Securities LLC, to purchase the Additional Shares that such defaulting Underwriter or Underwriters are obligated, but fail or refuse, to purchase. Any action taken under this paragraph shall not relieve any defaulting Underwriter from liability in respect of any such default of any such Underwriter under this Agreement. The term “</w:t>
      </w:r>
      <w:r>
        <w:rPr>
          <w:rFonts w:ascii="Arial" w:cs="Arial" w:eastAsia="Arial" w:hAnsi="Arial"/>
          <w:sz w:val="16"/>
          <w:szCs w:val="16"/>
          <w:b w:val="1"/>
          <w:bCs w:val="1"/>
          <w:color w:val="auto"/>
        </w:rPr>
        <w:t>Underwriter</w:t>
      </w:r>
      <w:r>
        <w:rPr>
          <w:rFonts w:ascii="Arial" w:cs="Arial" w:eastAsia="Arial" w:hAnsi="Arial"/>
          <w:sz w:val="16"/>
          <w:szCs w:val="16"/>
          <w:color w:val="auto"/>
        </w:rPr>
        <w:t xml:space="preserve">”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Representatives’ approval and the approval of the Selling Shareholder and the Partnership, purchases Shares that a defaulting Underwriter is obligated, but fails or refuses, to purchase.</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notice under this Section 10 may be given by telegram, telecopy or telephone but shall be subsequently confirmed by letter.</w:t>
      </w:r>
    </w:p>
    <w:p>
      <w:pPr>
        <w:spacing w:after="0" w:line="225" w:lineRule="exact"/>
        <w:rPr>
          <w:sz w:val="20"/>
          <w:szCs w:val="20"/>
          <w:color w:val="auto"/>
        </w:rPr>
      </w:pPr>
    </w:p>
    <w:p>
      <w:pPr>
        <w:ind w:firstLine="656"/>
        <w:spacing w:after="0" w:line="269" w:lineRule="auto"/>
        <w:tabs>
          <w:tab w:leader="none" w:pos="128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shall be subject to termination in the Representatives’ absolute discretion, without liability on the part of any Underwriters to the Selling Shareholder or the Partnership, by notice to the Selling Shareholder and the Partnership, if prior to the Initial Delivery Date or any Additional Shares Delivery Date (if different from the Initial Delivery Date and then only as to the Additional Shares), as the case may be, (i) trading in the Shares or the common units representing limited partner interests in PAA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judgment of the Representatives, impractical or inadvisable to proceed with the offering or delivery of the Shares as contemplated by the Prospectus (exclusive of any amendment or supplement thereto). Notice of such termination may be given to the Partnership by telegram, telecopy or telephone and shall be subsequently confirmed by letter.</w:t>
      </w:r>
    </w:p>
    <w:p>
      <w:pPr>
        <w:spacing w:after="0" w:line="179" w:lineRule="exact"/>
        <w:rPr>
          <w:rFonts w:ascii="Arial" w:cs="Arial" w:eastAsia="Arial" w:hAnsi="Arial"/>
          <w:sz w:val="17"/>
          <w:szCs w:val="17"/>
          <w:color w:val="auto"/>
        </w:rPr>
      </w:pPr>
    </w:p>
    <w:p>
      <w:pPr>
        <w:ind w:right="300" w:firstLine="656"/>
        <w:spacing w:after="0" w:line="277" w:lineRule="auto"/>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 Successors</w:t>
      </w:r>
      <w:r>
        <w:rPr>
          <w:rFonts w:ascii="Arial" w:cs="Arial" w:eastAsia="Arial" w:hAnsi="Arial"/>
          <w:sz w:val="18"/>
          <w:szCs w:val="18"/>
          <w:color w:val="auto"/>
        </w:rPr>
        <w:t>. Except as otherwise provided in Sections 5, 10 and 11 hereof, all communications hereunder will be in writing and effective only on receipt, and will be mailed, delivered or telefaxed as follows:</w:t>
      </w:r>
    </w:p>
    <w:p>
      <w:pPr>
        <w:spacing w:after="0" w:line="170"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to the Representatives:</w:t>
      </w:r>
    </w:p>
    <w:p>
      <w:pPr>
        <w:spacing w:after="0" w:line="225" w:lineRule="exact"/>
        <w:rPr>
          <w:rFonts w:ascii="Arial" w:cs="Arial" w:eastAsia="Arial" w:hAnsi="Arial"/>
          <w:sz w:val="18"/>
          <w:szCs w:val="18"/>
          <w:color w:val="auto"/>
        </w:rPr>
      </w:pPr>
    </w:p>
    <w:p>
      <w:pPr>
        <w:ind w:left="1300" w:right="8060"/>
        <w:spacing w:after="0" w:line="271" w:lineRule="auto"/>
        <w:rPr>
          <w:rFonts w:ascii="Arial" w:cs="Arial" w:eastAsia="Arial" w:hAnsi="Arial"/>
          <w:sz w:val="18"/>
          <w:szCs w:val="18"/>
          <w:color w:val="auto"/>
        </w:rPr>
      </w:pPr>
      <w:r>
        <w:rPr>
          <w:rFonts w:ascii="Arial" w:cs="Arial" w:eastAsia="Arial" w:hAnsi="Arial"/>
          <w:sz w:val="17"/>
          <w:szCs w:val="17"/>
          <w:color w:val="auto"/>
        </w:rPr>
        <w:t>J.P. Morgan Securities LLC 383 Madison Avenue New York, NY 10179</w:t>
      </w:r>
    </w:p>
    <w:p>
      <w:pPr>
        <w:ind w:left="1300"/>
        <w:spacing w:after="0"/>
        <w:rPr>
          <w:rFonts w:ascii="Arial" w:cs="Arial" w:eastAsia="Arial" w:hAnsi="Arial"/>
          <w:sz w:val="18"/>
          <w:szCs w:val="18"/>
          <w:color w:val="auto"/>
        </w:rPr>
      </w:pPr>
      <w:r>
        <w:rPr>
          <w:rFonts w:ascii="Arial" w:cs="Arial" w:eastAsia="Arial" w:hAnsi="Arial"/>
          <w:sz w:val="18"/>
          <w:szCs w:val="18"/>
          <w:color w:val="auto"/>
        </w:rPr>
        <w:t>Attention Equity Syndicate Dept, 4th floor (fax: 212-622-8358)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the Partnership:</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Plains GP Holdings, L.P.</w:t>
      </w:r>
    </w:p>
    <w:p>
      <w:pPr>
        <w:spacing w:after="0" w:line="23" w:lineRule="exact"/>
        <w:rPr>
          <w:rFonts w:ascii="Arial" w:cs="Arial" w:eastAsia="Arial" w:hAnsi="Arial"/>
          <w:sz w:val="18"/>
          <w:szCs w:val="18"/>
          <w:color w:val="auto"/>
        </w:rPr>
      </w:pPr>
    </w:p>
    <w:p>
      <w:pPr>
        <w:ind w:left="1300" w:right="8080"/>
        <w:spacing w:after="0" w:line="295" w:lineRule="auto"/>
        <w:rPr>
          <w:rFonts w:ascii="Arial" w:cs="Arial" w:eastAsia="Arial" w:hAnsi="Arial"/>
          <w:sz w:val="18"/>
          <w:szCs w:val="18"/>
          <w:color w:val="auto"/>
        </w:rPr>
      </w:pPr>
      <w:r>
        <w:rPr>
          <w:rFonts w:ascii="Arial" w:cs="Arial" w:eastAsia="Arial" w:hAnsi="Arial"/>
          <w:sz w:val="16"/>
          <w:szCs w:val="16"/>
          <w:color w:val="auto"/>
        </w:rPr>
        <w:t>333 Clay St., Suite 1600 Houston, Texas 77002 Attention: General Counsel Fax: (713) 646-4313</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the Selling Shareholder:</w:t>
      </w:r>
    </w:p>
    <w:p>
      <w:pPr>
        <w:spacing w:after="0" w:line="225" w:lineRule="exact"/>
        <w:rPr>
          <w:rFonts w:ascii="Arial" w:cs="Arial" w:eastAsia="Arial" w:hAnsi="Arial"/>
          <w:sz w:val="18"/>
          <w:szCs w:val="18"/>
          <w:color w:val="auto"/>
        </w:rPr>
      </w:pPr>
    </w:p>
    <w:p>
      <w:pPr>
        <w:ind w:left="1300" w:right="7240"/>
        <w:spacing w:after="0" w:line="256" w:lineRule="auto"/>
        <w:rPr>
          <w:rFonts w:ascii="Arial" w:cs="Arial" w:eastAsia="Arial" w:hAnsi="Arial"/>
          <w:sz w:val="18"/>
          <w:szCs w:val="18"/>
          <w:color w:val="auto"/>
        </w:rPr>
      </w:pPr>
      <w:r>
        <w:rPr>
          <w:rFonts w:ascii="Arial" w:cs="Arial" w:eastAsia="Arial" w:hAnsi="Arial"/>
          <w:sz w:val="18"/>
          <w:szCs w:val="18"/>
          <w:color w:val="auto"/>
        </w:rPr>
        <w:t>Oxy Holding Company (Pipeline), Inc. 5 Greenway Plaza, Suite 110 Houston, Texas 77046</w:t>
      </w:r>
    </w:p>
    <w:p>
      <w:pPr>
        <w:ind w:left="130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60" w:firstLine="667"/>
        <w:spacing w:after="0" w:line="297" w:lineRule="auto"/>
        <w:rPr>
          <w:sz w:val="20"/>
          <w:szCs w:val="20"/>
          <w:color w:val="auto"/>
        </w:rPr>
      </w:pPr>
      <w:r>
        <w:rPr>
          <w:rFonts w:ascii="Arial" w:cs="Arial" w:eastAsia="Arial" w:hAnsi="Arial"/>
          <w:sz w:val="16"/>
          <w:szCs w:val="16"/>
          <w:color w:val="auto"/>
        </w:rPr>
        <w:t>This Agreement has been and is made solely for the benefit of the several Underwriters and their directors, officers, employees, agents and other controlling persons referred to in Section 7 hereof, the Selling Shareholder and the Partnership and the General Partner’s directors and the officers who sign the Registration Statement, and other controlling persons referred to in Section 7 hereof, and their respective successors and assigns, to the extent provided herein, and no other person shall acquire or have any right under or by virtue of this Agreement. Neither the term “</w:t>
      </w:r>
      <w:r>
        <w:rPr>
          <w:rFonts w:ascii="Arial" w:cs="Arial" w:eastAsia="Arial" w:hAnsi="Arial"/>
          <w:sz w:val="16"/>
          <w:szCs w:val="16"/>
          <w:b w:val="1"/>
          <w:bCs w:val="1"/>
          <w:color w:val="auto"/>
        </w:rPr>
        <w:t>successor</w:t>
      </w:r>
      <w:r>
        <w:rPr>
          <w:rFonts w:ascii="Arial" w:cs="Arial" w:eastAsia="Arial" w:hAnsi="Arial"/>
          <w:sz w:val="16"/>
          <w:szCs w:val="16"/>
          <w:color w:val="auto"/>
        </w:rPr>
        <w:t>” nor the term “</w:t>
      </w:r>
      <w:r>
        <w:rPr>
          <w:rFonts w:ascii="Arial" w:cs="Arial" w:eastAsia="Arial" w:hAnsi="Arial"/>
          <w:sz w:val="16"/>
          <w:szCs w:val="16"/>
          <w:b w:val="1"/>
          <w:bCs w:val="1"/>
          <w:color w:val="auto"/>
        </w:rPr>
        <w:t>successors and</w:t>
      </w:r>
      <w:r>
        <w:rPr>
          <w:rFonts w:ascii="Arial" w:cs="Arial" w:eastAsia="Arial" w:hAnsi="Arial"/>
          <w:sz w:val="16"/>
          <w:szCs w:val="16"/>
          <w:color w:val="auto"/>
        </w:rPr>
        <w:t xml:space="preserve"> </w:t>
      </w:r>
      <w:r>
        <w:rPr>
          <w:rFonts w:ascii="Arial" w:cs="Arial" w:eastAsia="Arial" w:hAnsi="Arial"/>
          <w:sz w:val="16"/>
          <w:szCs w:val="16"/>
          <w:b w:val="1"/>
          <w:bCs w:val="1"/>
          <w:color w:val="auto"/>
        </w:rPr>
        <w:t>assigns</w:t>
      </w:r>
      <w:r>
        <w:rPr>
          <w:rFonts w:ascii="Arial" w:cs="Arial" w:eastAsia="Arial" w:hAnsi="Arial"/>
          <w:sz w:val="16"/>
          <w:szCs w:val="16"/>
          <w:color w:val="auto"/>
        </w:rPr>
        <w:t>” as used in this Agreement shall include a purchaser from any Underwriter of any of the Shares in his status as such purchaser.</w:t>
      </w:r>
    </w:p>
    <w:p>
      <w:pPr>
        <w:spacing w:after="0" w:line="158" w:lineRule="exact"/>
        <w:rPr>
          <w:sz w:val="20"/>
          <w:szCs w:val="20"/>
          <w:color w:val="auto"/>
        </w:rPr>
      </w:pPr>
    </w:p>
    <w:p>
      <w:pPr>
        <w:ind w:right="40" w:firstLine="656"/>
        <w:spacing w:after="0" w:line="297" w:lineRule="auto"/>
        <w:tabs>
          <w:tab w:leader="none" w:pos="129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Underwriters</w:t>
      </w:r>
      <w:r>
        <w:rPr>
          <w:rFonts w:ascii="Arial" w:cs="Arial" w:eastAsia="Arial" w:hAnsi="Arial"/>
          <w:sz w:val="16"/>
          <w:szCs w:val="16"/>
          <w:color w:val="auto"/>
        </w:rPr>
        <w:t>. The Partnership Parties acknowledge that the following statements set forth in the most recent Preliminary Prospectus and the Prospectus constitute the only information furnished by or on behalf of the Underwriters through the Representatives as such information is referred to in Sections 1(a)(iv), 1(a)(v), 1(a)(vii), 1(a)(viii), 5(p), 7(a) and 7(d) hereof (A) the names of the Underwriters, (B) the table under the first paragraph under the heading “Underwriting,” (C) the sentence in the second paragraph under the heading “Underwriting—Commissions and Expenses” related to selling concessions and (D) the paragraphs under the heading “Underwriting—Stabilization, Short Positions and Penalty Bids.”</w:t>
      </w:r>
    </w:p>
    <w:p>
      <w:pPr>
        <w:sectPr>
          <w:pgSz w:w="11900" w:h="16838" w:orient="portrait"/>
          <w:cols w:equalWidth="0" w:num="1">
            <w:col w:w="11360"/>
          </w:cols>
          <w:pgMar w:left="240" w:top="733" w:right="299" w:bottom="73" w:gutter="0" w:footer="0" w:header="0"/>
        </w:sectPr>
      </w:pPr>
    </w:p>
    <w:bookmarkStart w:id="19" w:name="page20"/>
    <w:bookmarkEnd w:id="19"/>
    <w:p>
      <w:pPr>
        <w:jc w:val="both"/>
        <w:ind w:right="20" w:firstLine="656"/>
        <w:spacing w:after="0" w:line="259" w:lineRule="auto"/>
        <w:tabs>
          <w:tab w:leader="none" w:pos="12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Selling Shareholder and the Partnership Parties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respect to the Partnership and/or the offering that differ from the views of their respective investment banking divisions. The Selling Shareholder and the Partnership Parties hereby waive and release, to the fullest extent permitted by law, any claims that the Selling Shareholder or the Partnership Parties may have against the Underwriters with respect to any conflict of interest that may arise from the fact that the views expressed by their independent research analysts and research departments may be different from or inconsistent with the views or advice communicated to the Selling Shareholder or the Partnership Parties by such Underwriters’ investment banking divisions. The Selling Shareholder and the Partnership Parties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2" w:lineRule="exact"/>
        <w:rPr>
          <w:sz w:val="20"/>
          <w:szCs w:val="20"/>
          <w:color w:val="auto"/>
        </w:rPr>
      </w:pPr>
    </w:p>
    <w:p>
      <w:pPr>
        <w:ind w:firstLine="656"/>
        <w:spacing w:after="0" w:line="277" w:lineRule="auto"/>
        <w:tabs>
          <w:tab w:leader="none" w:pos="12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Selling Shareholder, the Partnership Parties and the Underwriters, or any of them, with respect to the subject matter 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ind w:right="40" w:firstLine="656"/>
        <w:spacing w:after="0" w:line="286" w:lineRule="auto"/>
        <w:tabs>
          <w:tab w:leader="none" w:pos="1292"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Selling Shareholder and the Partnership Parties acknowledge and agree that in connection with this offering and sale of the Shares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Selling Shareholder, the Partnership Parties and any other person, on the one hand, and the Underwriters, on the other hand, exists;</w:t>
      </w:r>
    </w:p>
    <w:p>
      <w:pPr>
        <w:spacing w:after="0" w:line="1" w:lineRule="exact"/>
        <w:rPr>
          <w:rFonts w:ascii="Arial" w:cs="Arial" w:eastAsia="Arial" w:hAnsi="Arial"/>
          <w:sz w:val="16"/>
          <w:szCs w:val="16"/>
          <w:color w:val="auto"/>
        </w:rPr>
      </w:pPr>
    </w:p>
    <w:p>
      <w:pPr>
        <w:ind w:firstLine="8"/>
        <w:spacing w:after="0" w:line="281" w:lineRule="auto"/>
        <w:tabs>
          <w:tab w:leader="none" w:pos="2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Underwriters are not acting as advisors, expert or otherwise, to the Selling Shareholder, the Partnership Parties, including, without limitation, with respect to the determination of the public offering price of the Shares, and such relationship between the Selling Shareholder and the Partnership Parties , on the one hand, and the Underwriters, on the other, is entirely and solely commercial, based on arms-length negotiations; (iii) any duties and obligations that the Underwriters may have to the Selling Shareholder and Partnership Parties shall be limited to those duties and obligations specifically stated herein; and</w:t>
      </w:r>
    </w:p>
    <w:p>
      <w:pPr>
        <w:spacing w:after="0" w:line="2" w:lineRule="exact"/>
        <w:rPr>
          <w:rFonts w:ascii="Arial" w:cs="Arial" w:eastAsia="Arial" w:hAnsi="Arial"/>
          <w:sz w:val="16"/>
          <w:szCs w:val="16"/>
          <w:color w:val="auto"/>
        </w:rPr>
      </w:pPr>
    </w:p>
    <w:p>
      <w:pPr>
        <w:ind w:right="100" w:firstLine="8"/>
        <w:spacing w:after="0" w:line="255" w:lineRule="auto"/>
        <w:tabs>
          <w:tab w:leader="none" w:pos="3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Underwriters and their respective affiliates may have interests that differ from those of the Selling Shareholder and the Partnership Parties. The Selling Shareholder and the Partnership Parties hereby waive any claims that they may have against the Underwriters with respect to any breach of fiduciary duty in connection with this offering.</w:t>
      </w:r>
    </w:p>
    <w:p>
      <w:pPr>
        <w:spacing w:after="0" w:line="190" w:lineRule="exact"/>
        <w:rPr>
          <w:rFonts w:ascii="Arial" w:cs="Arial" w:eastAsia="Arial" w:hAnsi="Arial"/>
          <w:sz w:val="18"/>
          <w:szCs w:val="18"/>
          <w:color w:val="auto"/>
        </w:rPr>
      </w:pPr>
    </w:p>
    <w:p>
      <w:pPr>
        <w:ind w:right="60" w:firstLine="656"/>
        <w:spacing w:after="0" w:line="259" w:lineRule="auto"/>
        <w:tabs>
          <w:tab w:leader="none" w:pos="129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4" w:lineRule="auto"/>
        <w:tabs>
          <w:tab w:leader="none" w:pos="129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Please confirm that the foregoing correctly sets forth the agreement among the Partnership and the Underwriters.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240"/>
        <w:spacing w:after="0"/>
        <w:tabs>
          <w:tab w:leader="none" w:pos="668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-130810</wp:posOffset>
            </wp:positionV>
            <wp:extent cx="3001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Title: Executive Vice President and</w:t>
      </w:r>
    </w:p>
    <w:p>
      <w:pPr>
        <w:spacing w:after="0" w:line="9"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HOLDINGS LLC</w:t>
      </w:r>
    </w:p>
    <w:p>
      <w:pPr>
        <w:spacing w:after="0" w:line="22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20" w:name="page21"/>
    <w:bookmarkEnd w:id="20"/>
    <w:p>
      <w:pPr>
        <w:jc w:val="center"/>
        <w:ind w:left="358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jc w:val="center"/>
        <w:ind w:left="35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OXY HOLDING COMPANY (PIPELINE), INC.</w:t>
      </w:r>
    </w:p>
    <w:p>
      <w:pPr>
        <w:spacing w:after="0" w:line="22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Christopher G. Stavros</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Christopher G. Stavros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ind w:left="340"/>
              <w:spacing w:after="0"/>
              <w:rPr>
                <w:sz w:val="20"/>
                <w:szCs w:val="20"/>
                <w:color w:val="auto"/>
              </w:rPr>
            </w:pPr>
            <w:r>
              <w:rPr>
                <w:rFonts w:ascii="Arial" w:cs="Arial" w:eastAsia="Arial" w:hAnsi="Arial"/>
                <w:sz w:val="18"/>
                <w:szCs w:val="18"/>
                <w:i w:val="1"/>
                <w:iCs w:val="1"/>
                <w:color w:val="auto"/>
                <w:w w:val="95"/>
              </w:rPr>
              <w:t>As Representatives of the several underwriters</w:t>
            </w: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39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54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Arial" w:cs="Arial" w:eastAsia="Arial" w:hAnsi="Arial"/>
                <w:sz w:val="18"/>
                <w:szCs w:val="18"/>
                <w:color w:val="auto"/>
              </w:rPr>
              <w:t>CITIGROUP GLOBAL MARKETS INC.</w:t>
            </w:r>
          </w:p>
        </w:tc>
        <w:tc>
          <w:tcPr>
            <w:tcW w:w="40" w:type="dxa"/>
            <w:vAlign w:val="bottom"/>
          </w:tcPr>
          <w:p>
            <w:pPr>
              <w:spacing w:after="0"/>
              <w:rPr>
                <w:sz w:val="24"/>
                <w:szCs w:val="24"/>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By:   /s/ Yaw Asamoah-Duodu</w:t>
            </w:r>
          </w:p>
        </w:tc>
        <w:tc>
          <w:tcPr>
            <w:tcW w:w="154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Arial" w:cs="Arial" w:eastAsia="Arial" w:hAnsi="Arial"/>
                <w:sz w:val="18"/>
                <w:szCs w:val="18"/>
                <w:color w:val="auto"/>
              </w:rPr>
              <w:t>By:   /s/ Jerry Schretter</w:t>
            </w:r>
          </w:p>
        </w:tc>
        <w:tc>
          <w:tcPr>
            <w:tcW w:w="40" w:type="dxa"/>
            <w:vAlign w:val="bottom"/>
          </w:tcPr>
          <w:p>
            <w:pPr>
              <w:spacing w:after="0"/>
              <w:rPr>
                <w:sz w:val="24"/>
                <w:szCs w:val="24"/>
                <w:color w:val="auto"/>
              </w:rPr>
            </w:pP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8"/>
              </w:rPr>
              <w:t>Name:</w:t>
            </w:r>
          </w:p>
        </w:tc>
        <w:tc>
          <w:tcPr>
            <w:tcW w:w="33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Yaw Asamoah-Duodu</w:t>
            </w:r>
          </w:p>
        </w:tc>
        <w:tc>
          <w:tcPr>
            <w:tcW w:w="1540" w:type="dxa"/>
            <w:vAlign w:val="bottom"/>
            <w:tcBorders>
              <w:top w:val="single" w:sz="8" w:color="auto"/>
            </w:tcBorders>
          </w:tcPr>
          <w:p>
            <w:pPr>
              <w:spacing w:after="0"/>
              <w:rPr>
                <w:sz w:val="15"/>
                <w:szCs w:val="15"/>
                <w:color w:val="auto"/>
              </w:rPr>
            </w:pPr>
          </w:p>
        </w:tc>
        <w:tc>
          <w:tcPr>
            <w:tcW w:w="760" w:type="dxa"/>
            <w:vAlign w:val="bottom"/>
          </w:tcPr>
          <w:p>
            <w:pPr>
              <w:ind w:left="260"/>
              <w:spacing w:after="0" w:line="182" w:lineRule="exact"/>
              <w:rPr>
                <w:sz w:val="20"/>
                <w:szCs w:val="20"/>
                <w:color w:val="auto"/>
              </w:rPr>
            </w:pPr>
            <w:r>
              <w:rPr>
                <w:rFonts w:ascii="Arial" w:cs="Arial" w:eastAsia="Arial" w:hAnsi="Arial"/>
                <w:sz w:val="18"/>
                <w:szCs w:val="18"/>
                <w:color w:val="auto"/>
                <w:w w:val="90"/>
              </w:rPr>
              <w:t>Name:</w:t>
            </w:r>
          </w:p>
        </w:tc>
        <w:tc>
          <w:tcPr>
            <w:tcW w:w="52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Jerry Schretter</w:t>
            </w:r>
          </w:p>
        </w:tc>
        <w:tc>
          <w:tcPr>
            <w:tcW w:w="40" w:type="dxa"/>
            <w:vAlign w:val="bottom"/>
          </w:tcPr>
          <w:p>
            <w:pPr>
              <w:spacing w:after="0"/>
              <w:rPr>
                <w:sz w:val="15"/>
                <w:szCs w:val="15"/>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540" w:type="dxa"/>
            <w:vAlign w:val="bottom"/>
          </w:tcPr>
          <w:p>
            <w:pPr>
              <w:spacing w:after="0"/>
              <w:rPr>
                <w:sz w:val="20"/>
                <w:szCs w:val="20"/>
                <w:color w:val="auto"/>
              </w:rPr>
            </w:pPr>
          </w:p>
        </w:tc>
        <w:tc>
          <w:tcPr>
            <w:tcW w:w="5960" w:type="dxa"/>
            <w:vAlign w:val="bottom"/>
            <w:gridSpan w:val="2"/>
          </w:tcPr>
          <w:p>
            <w:pPr>
              <w:ind w:left="260"/>
              <w:spacing w:after="0"/>
              <w:rPr>
                <w:sz w:val="20"/>
                <w:szCs w:val="20"/>
                <w:color w:val="auto"/>
              </w:rPr>
            </w:pPr>
            <w:r>
              <w:rPr>
                <w:rFonts w:ascii="Arial" w:cs="Arial" w:eastAsia="Arial" w:hAnsi="Arial"/>
                <w:sz w:val="18"/>
                <w:szCs w:val="18"/>
                <w:color w:val="auto"/>
              </w:rPr>
              <w:t>Title: Managing Director</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500" w:type="dxa"/>
            <w:vAlign w:val="bottom"/>
            <w:gridSpan w:val="3"/>
          </w:tcPr>
          <w:p>
            <w:pPr>
              <w:ind w:left="220"/>
              <w:spacing w:after="0"/>
              <w:rPr>
                <w:sz w:val="20"/>
                <w:szCs w:val="20"/>
                <w:color w:val="auto"/>
              </w:rPr>
            </w:pPr>
            <w:r>
              <w:rPr>
                <w:rFonts w:ascii="Arial" w:cs="Arial" w:eastAsia="Arial" w:hAnsi="Arial"/>
                <w:sz w:val="18"/>
                <w:szCs w:val="18"/>
                <w:i w:val="1"/>
                <w:iCs w:val="1"/>
                <w:color w:val="auto"/>
              </w:rPr>
              <w:t>Signature Page to Underwriting Agreement</w:t>
            </w:r>
          </w:p>
        </w:tc>
        <w:tc>
          <w:tcPr>
            <w:tcW w:w="40" w:type="dxa"/>
            <w:vAlign w:val="bottom"/>
          </w:tcPr>
          <w:p>
            <w:pPr>
              <w:spacing w:after="0"/>
              <w:rPr>
                <w:sz w:val="24"/>
                <w:szCs w:val="24"/>
                <w:color w:val="auto"/>
              </w:rPr>
            </w:pPr>
          </w:p>
        </w:tc>
      </w:tr>
      <w:tr>
        <w:trPr>
          <w:trHeight w:val="348"/>
        </w:trPr>
        <w:tc>
          <w:tcPr>
            <w:tcW w:w="540" w:type="dxa"/>
            <w:vAlign w:val="bottom"/>
            <w:tcBorders>
              <w:bottom w:val="single" w:sz="8" w:color="010101"/>
            </w:tcBorders>
          </w:tcPr>
          <w:p>
            <w:pPr>
              <w:spacing w:after="0"/>
              <w:rPr>
                <w:sz w:val="24"/>
                <w:szCs w:val="24"/>
                <w:color w:val="auto"/>
              </w:rPr>
            </w:pPr>
          </w:p>
        </w:tc>
        <w:tc>
          <w:tcPr>
            <w:tcW w:w="338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764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90"/>
              </w:rPr>
              <w:t>Plains GP Holdings, L.P.</w:t>
            </w:r>
          </w:p>
        </w:tc>
        <w:tc>
          <w:tcPr>
            <w:tcW w:w="0" w:type="dxa"/>
            <w:vAlign w:val="bottom"/>
          </w:tcPr>
          <w:p>
            <w:pPr>
              <w:spacing w:after="0"/>
              <w:rPr>
                <w:sz w:val="1"/>
                <w:szCs w:val="1"/>
                <w:color w:val="auto"/>
              </w:rPr>
            </w:pPr>
          </w:p>
        </w:tc>
      </w:tr>
      <w:tr>
        <w:trPr>
          <w:trHeight w:val="342"/>
        </w:trPr>
        <w:tc>
          <w:tcPr>
            <w:tcW w:w="37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5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7640" w:type="dxa"/>
            <w:vAlign w:val="bottom"/>
            <w:gridSpan w:val="4"/>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7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7640" w:type="dxa"/>
            <w:vAlign w:val="bottom"/>
            <w:gridSpan w:val="4"/>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7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7640" w:type="dxa"/>
            <w:vAlign w:val="bottom"/>
            <w:gridSpan w:val="4"/>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7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7640" w:type="dxa"/>
            <w:vAlign w:val="bottom"/>
            <w:gridSpan w:val="4"/>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Schedule 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Pricing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ectPr>
          <w:pgSz w:w="11900" w:h="16838" w:orient="portrait"/>
          <w:cols w:equalWidth="0" w:num="1">
            <w:col w:w="11460"/>
          </w:cols>
          <w:pgMar w:left="240" w:top="125" w:right="19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60,000,000 Initial Shares or, if the Underwriters exercise in full their option to purchase 9,000,000 Additional Shares granted in Section 2 hereof, 69,000,000 Shares</w:t>
      </w:r>
    </w:p>
    <w:p>
      <w:pPr>
        <w:spacing w:after="0" w:line="170" w:lineRule="exact"/>
        <w:rPr>
          <w:sz w:val="20"/>
          <w:szCs w:val="20"/>
          <w:color w:val="auto"/>
        </w:rPr>
      </w:pPr>
    </w:p>
    <w:p>
      <w:pPr>
        <w:sectPr>
          <w:pgSz w:w="11900" w:h="16838" w:orient="portrait"/>
          <w:cols w:equalWidth="0" w:num="2">
            <w:col w:w="2620" w:space="720"/>
            <w:col w:w="812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Public offering price for the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$25.00 per Share</w:t>
      </w:r>
    </w:p>
    <w:p>
      <w:pPr>
        <w:spacing w:after="0" w:line="211" w:lineRule="exact"/>
        <w:rPr>
          <w:sz w:val="20"/>
          <w:szCs w:val="20"/>
          <w:color w:val="auto"/>
        </w:rPr>
      </w:pPr>
    </w:p>
    <w:p>
      <w:pPr>
        <w:sectPr>
          <w:pgSz w:w="11900" w:h="16838" w:orient="portrait"/>
          <w:cols w:equalWidth="0" w:num="2">
            <w:col w:w="2620" w:space="720"/>
            <w:col w:w="8120"/>
          </w:cols>
          <w:pgMar w:left="240" w:top="125" w:right="199" w:bottom="0" w:gutter="0" w:footer="0" w:header="0"/>
          <w:type w:val="continuous"/>
        </w:sectPr>
      </w:pP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21" w:name="page22"/>
    <w:bookmarkEnd w:id="2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3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Formation/</w:t>
            </w: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Foreign Qualifications</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3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Organization</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PAA GP LLC</w:t>
            </w:r>
          </w:p>
        </w:tc>
        <w:tc>
          <w:tcPr>
            <w:tcW w:w="24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36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jc w:val="cente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3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Delaware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36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jc w:val="cente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3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Delaware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 IL, LA, OK, TX</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Plains All American Pipeline, L.P.</w:t>
            </w:r>
          </w:p>
        </w:tc>
        <w:tc>
          <w:tcPr>
            <w:tcW w:w="36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jc w:val="cente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3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Texas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CA, IL, OK</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36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Texas</w:t>
            </w:r>
          </w:p>
        </w:tc>
        <w:tc>
          <w:tcPr>
            <w:tcW w:w="3420" w:type="dxa"/>
            <w:vAlign w:val="bottom"/>
          </w:tcPr>
          <w:p>
            <w:pPr>
              <w:jc w:val="center"/>
              <w:spacing w:after="0"/>
              <w:rPr>
                <w:sz w:val="20"/>
                <w:szCs w:val="20"/>
                <w:color w:val="auto"/>
              </w:rPr>
            </w:pPr>
            <w:r>
              <w:rPr>
                <w:rFonts w:ascii="Arial" w:cs="Arial" w:eastAsia="Arial" w:hAnsi="Arial"/>
                <w:sz w:val="18"/>
                <w:szCs w:val="18"/>
                <w:color w:val="auto"/>
                <w:w w:val="99"/>
              </w:rPr>
              <w:t>CA, IL, LA, OK</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3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British Columbia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Alberta, Manitoba, New Brunswick, Nova</w:t>
            </w:r>
          </w:p>
        </w:tc>
        <w:tc>
          <w:tcPr>
            <w:tcW w:w="0" w:type="dxa"/>
            <w:vAlign w:val="bottom"/>
          </w:tcPr>
          <w:p>
            <w:pPr>
              <w:spacing w:after="0"/>
              <w:rPr>
                <w:sz w:val="1"/>
                <w:szCs w:val="1"/>
                <w:color w:val="auto"/>
              </w:rPr>
            </w:pPr>
          </w:p>
        </w:tc>
      </w:tr>
      <w:tr>
        <w:trPr>
          <w:trHeight w:val="177"/>
        </w:trPr>
        <w:tc>
          <w:tcPr>
            <w:tcW w:w="4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02"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08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Scotia, Ontario, Quebec, Saskatchewan</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Plains Pipeline, L.P.</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5"/>
              </w:rPr>
              <w:t>Texas</w:t>
            </w:r>
          </w:p>
        </w:tc>
        <w:tc>
          <w:tcPr>
            <w:tcW w:w="4080" w:type="dxa"/>
            <w:vAlign w:val="bottom"/>
          </w:tcPr>
          <w:p>
            <w:pPr>
              <w:jc w:val="center"/>
              <w:ind w:left="570"/>
              <w:spacing w:after="0"/>
              <w:rPr>
                <w:sz w:val="20"/>
                <w:szCs w:val="20"/>
                <w:color w:val="auto"/>
              </w:rPr>
            </w:pPr>
            <w:r>
              <w:rPr>
                <w:rFonts w:ascii="Arial" w:cs="Arial" w:eastAsia="Arial" w:hAnsi="Arial"/>
                <w:sz w:val="18"/>
                <w:szCs w:val="18"/>
                <w:color w:val="auto"/>
                <w:w w:val="99"/>
              </w:rPr>
              <w:t>CA, IL, LA, OK</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30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Delaware</w:t>
            </w:r>
          </w:p>
        </w:tc>
        <w:tc>
          <w:tcPr>
            <w:tcW w:w="40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rPr>
              <w:t>CA</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5"/>
              </w:rPr>
              <w:t>Texas</w:t>
            </w:r>
          </w:p>
        </w:tc>
        <w:tc>
          <w:tcPr>
            <w:tcW w:w="4080" w:type="dxa"/>
            <w:vAlign w:val="bottom"/>
          </w:tcPr>
          <w:p>
            <w:pPr>
              <w:jc w:val="center"/>
              <w:ind w:left="570"/>
              <w:spacing w:after="0"/>
              <w:rPr>
                <w:sz w:val="20"/>
                <w:szCs w:val="20"/>
                <w:color w:val="auto"/>
              </w:rPr>
            </w:pPr>
            <w:r>
              <w:rPr>
                <w:rFonts w:ascii="Arial" w:cs="Arial" w:eastAsia="Arial" w:hAnsi="Arial"/>
                <w:sz w:val="18"/>
                <w:szCs w:val="18"/>
                <w:color w:val="auto"/>
                <w:w w:val="99"/>
              </w:rPr>
              <w:t>OK</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30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Delaware</w:t>
            </w:r>
          </w:p>
        </w:tc>
        <w:tc>
          <w:tcPr>
            <w:tcW w:w="40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rPr>
              <w:t>CA</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Rocky Mountain Pipeline System LLC</w:t>
            </w:r>
          </w:p>
        </w:tc>
        <w:tc>
          <w:tcPr>
            <w:tcW w:w="3080" w:type="dxa"/>
            <w:vAlign w:val="bottom"/>
          </w:tcPr>
          <w:p>
            <w:pPr>
              <w:jc w:val="center"/>
              <w:ind w:left="430"/>
              <w:spacing w:after="0"/>
              <w:rPr>
                <w:sz w:val="20"/>
                <w:szCs w:val="20"/>
                <w:color w:val="auto"/>
              </w:rPr>
            </w:pPr>
            <w:r>
              <w:rPr>
                <w:rFonts w:ascii="Arial" w:cs="Arial" w:eastAsia="Arial" w:hAnsi="Arial"/>
                <w:sz w:val="18"/>
                <w:szCs w:val="18"/>
                <w:color w:val="auto"/>
                <w:w w:val="89"/>
              </w:rPr>
              <w:t>Delaware</w:t>
            </w:r>
          </w:p>
        </w:tc>
        <w:tc>
          <w:tcPr>
            <w:tcW w:w="4080" w:type="dxa"/>
            <w:vAlign w:val="bottom"/>
          </w:tcPr>
          <w:p>
            <w:pPr>
              <w:jc w:val="center"/>
              <w:ind w:left="590"/>
              <w:spacing w:after="0"/>
              <w:rPr>
                <w:sz w:val="20"/>
                <w:szCs w:val="20"/>
                <w:color w:val="auto"/>
              </w:rPr>
            </w:pPr>
            <w:r>
              <w:rPr>
                <w:rFonts w:ascii="Arial" w:cs="Arial" w:eastAsia="Arial" w:hAnsi="Arial"/>
                <w:sz w:val="18"/>
                <w:szCs w:val="18"/>
                <w:color w:val="auto"/>
                <w:w w:val="99"/>
              </w:rPr>
              <w:t>UT</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30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Delaware</w:t>
            </w:r>
          </w:p>
        </w:tc>
        <w:tc>
          <w:tcPr>
            <w:tcW w:w="40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AL, MS</w:t>
            </w:r>
          </w:p>
        </w:tc>
        <w:tc>
          <w:tcPr>
            <w:tcW w:w="40" w:type="dxa"/>
            <w:vAlign w:val="bottom"/>
          </w:tcPr>
          <w:p>
            <w:pPr>
              <w:spacing w:after="0"/>
              <w:rPr>
                <w:sz w:val="18"/>
                <w:szCs w:val="18"/>
                <w:color w:val="auto"/>
              </w:rPr>
            </w:pPr>
          </w:p>
        </w:tc>
      </w:tr>
      <w:tr>
        <w:trPr>
          <w:trHeight w:val="348"/>
        </w:trPr>
        <w:tc>
          <w:tcPr>
            <w:tcW w:w="426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40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November 10,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Oxy Holding Company (Pipeline),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Public Offering of Class A Shares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Plains GP Holdings,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667"/>
        <w:spacing w:after="0" w:line="256" w:lineRule="auto"/>
        <w:rPr>
          <w:sz w:val="20"/>
          <w:szCs w:val="20"/>
          <w:color w:val="auto"/>
        </w:rPr>
      </w:pPr>
      <w:r>
        <w:rPr>
          <w:rFonts w:ascii="Arial" w:cs="Arial" w:eastAsia="Arial" w:hAnsi="Arial"/>
          <w:sz w:val="18"/>
          <w:szCs w:val="18"/>
          <w:color w:val="auto"/>
        </w:rPr>
        <w:t>The undersigned understands that Plains GP Holdings,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and PAA GP Holdings LLC, a Delaware limited liability company (the “</w:t>
      </w:r>
      <w:r>
        <w:rPr>
          <w:rFonts w:ascii="Arial" w:cs="Arial" w:eastAsia="Arial" w:hAnsi="Arial"/>
          <w:sz w:val="18"/>
          <w:szCs w:val="18"/>
          <w:b w:val="1"/>
          <w:bCs w:val="1"/>
          <w:color w:val="auto"/>
        </w:rPr>
        <w:t>General Partner</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Oxy Holding Company (Pipeline), Inc. (the “</w:t>
      </w:r>
      <w:r>
        <w:rPr>
          <w:rFonts w:ascii="Arial" w:cs="Arial" w:eastAsia="Arial" w:hAnsi="Arial"/>
          <w:sz w:val="18"/>
          <w:szCs w:val="18"/>
          <w:b w:val="1"/>
          <w:bCs w:val="1"/>
          <w:color w:val="auto"/>
        </w:rPr>
        <w:t>Selling Shareholder</w:t>
      </w:r>
      <w:r>
        <w:rPr>
          <w:rFonts w:ascii="Arial" w:cs="Arial" w:eastAsia="Arial" w:hAnsi="Arial"/>
          <w:sz w:val="18"/>
          <w:szCs w:val="18"/>
          <w:color w:val="auto"/>
        </w:rPr>
        <w:t>”) and J.P. Morgan Securities LLC and Citigroup Global Markets Inc. (the “</w:t>
      </w:r>
      <w:r>
        <w:rPr>
          <w:rFonts w:ascii="Arial" w:cs="Arial" w:eastAsia="Arial" w:hAnsi="Arial"/>
          <w:sz w:val="18"/>
          <w:szCs w:val="18"/>
          <w:b w:val="1"/>
          <w:bCs w:val="1"/>
          <w:color w:val="auto"/>
        </w:rPr>
        <w:t>Representatives</w:t>
      </w:r>
      <w:r>
        <w:rPr>
          <w:rFonts w:ascii="Arial" w:cs="Arial" w:eastAsia="Arial" w:hAnsi="Arial"/>
          <w:sz w:val="18"/>
          <w:szCs w:val="18"/>
          <w:color w:val="auto"/>
        </w:rPr>
        <w:t>”), as representatives of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providing for the purchase by the Underwriters of Class A shares representing limited partner interests in the Partnership (the “</w:t>
      </w:r>
      <w:r>
        <w:rPr>
          <w:rFonts w:ascii="Arial" w:cs="Arial" w:eastAsia="Arial" w:hAnsi="Arial"/>
          <w:sz w:val="18"/>
          <w:szCs w:val="18"/>
          <w:b w:val="1"/>
          <w:bCs w:val="1"/>
          <w:color w:val="auto"/>
        </w:rPr>
        <w:t>Shares</w:t>
      </w:r>
      <w:r>
        <w:rPr>
          <w:rFonts w:ascii="Arial" w:cs="Arial" w:eastAsia="Arial" w:hAnsi="Arial"/>
          <w:sz w:val="18"/>
          <w:szCs w:val="18"/>
          <w:color w:val="auto"/>
        </w:rPr>
        <w:t>”) from the Selling Shareholder and that the Underwriters propose to reoffer the Shares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92" w:lineRule="exact"/>
        <w:rPr>
          <w:sz w:val="20"/>
          <w:szCs w:val="20"/>
          <w:color w:val="auto"/>
        </w:rPr>
      </w:pPr>
    </w:p>
    <w:p>
      <w:pPr>
        <w:ind w:right="140" w:firstLine="667"/>
        <w:spacing w:after="0" w:line="292"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J.P. Morgan Securities LLC,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Shares (including, without limitation, Shares that may be deemed to be beneficially owned by the undersigned in accordance with the rules and regulations of the Securities and Exchange Commission and Shares that may be issued upon exercise of any options or warrants), (2) enter into any swap or other derivatives transaction that transfers to another, in whole or in part, any of the economic benefits or risks of ownership of Shares, whether any such transaction described in clause (1) or (2) above is to be settled by delivery of Shares or other securities, in cash or otherwise, (3) make any demand for or exercise any right or cause to be filed a registration statement, including any amendments thereto, with respect to the registration of any Shares or securities convertible into or exercisable or exchangeable for Shares or any other securities of the Partnership, or (4) publicly disclose the intention to do any of the foregoing for a period commencing on the date of the Underwriting Agreement and ending on the [90]*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date of the Prospectus relating to the Offering (such [90][45]-day period, the “</w:t>
      </w:r>
      <w:r>
        <w:rPr>
          <w:rFonts w:ascii="Arial" w:cs="Arial" w:eastAsia="Arial" w:hAnsi="Arial"/>
          <w:sz w:val="16"/>
          <w:szCs w:val="16"/>
          <w:b w:val="1"/>
          <w:bCs w:val="1"/>
          <w:color w:val="auto"/>
        </w:rPr>
        <w:t>Lock-Up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4" w:lineRule="exact"/>
        <w:rPr>
          <w:sz w:val="20"/>
          <w:szCs w:val="20"/>
          <w:color w:val="auto"/>
        </w:rPr>
      </w:pPr>
    </w:p>
    <w:p>
      <w:pPr>
        <w:ind w:left="5300" w:right="1080" w:hanging="5292"/>
        <w:spacing w:after="0" w:line="528" w:lineRule="auto"/>
        <w:tabs>
          <w:tab w:leader="none" w:pos="1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PAA Management, L.P. EMG Investment, LLC, KAFU Holdings, L.P., KA First Reserve XII, LLC and KAFU Holdings II, L.P. 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0" w:firstLine="667"/>
        <w:spacing w:after="0" w:line="289" w:lineRule="auto"/>
        <w:rPr>
          <w:sz w:val="20"/>
          <w:szCs w:val="20"/>
          <w:color w:val="auto"/>
        </w:rPr>
      </w:pPr>
      <w:r>
        <w:rPr>
          <w:rFonts w:ascii="Arial" w:cs="Arial" w:eastAsia="Arial" w:hAnsi="Arial"/>
          <w:sz w:val="16"/>
          <w:szCs w:val="16"/>
          <w:color w:val="auto"/>
        </w:rPr>
        <w:t xml:space="preserve">The foregoing paragraph shall not apply to (a) bona fide gifts or charitable donations of Shares, (b) sales to pay tax liabilities associated with the vesting of awards under the Partnership’s long-term incentive plan; or (c) private sales, transfers or other dispositions of Class B Shares, AAP Class A Units or General Partner Units (as such terms are defined in the Underwriting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be a condition to any transfer pursuant to this sentence that the transferee/donee agrees to be bound by the terms of this letter agreement to the same extent as if the transferee/donee were a party hereto[;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the recipients of bona fide gifts or charitable donations from the undersigned or its distributees shall not be bound by the terms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letter agreement to the extent, and only to the extent, that the number of Shares gifted or donated to such recipient do not, when considered together with all other bona fide gifts or charitable donations made during the Lock-Up Period by any of KAFU Holdings, L.P., KA First Reserve XII, LLC and KAFU Holdings II, L.P., or their respective distributees, cause the aggregate value of such gifts or donations to exceed $50,000,000.00 in the aggregate (with each gift or donation being valued at its fair market value on the date of such gift or donation)]‡.</w:t>
      </w:r>
    </w:p>
    <w:p>
      <w:pPr>
        <w:spacing w:after="0" w:line="167" w:lineRule="exact"/>
        <w:rPr>
          <w:sz w:val="20"/>
          <w:szCs w:val="20"/>
          <w:color w:val="auto"/>
        </w:rPr>
      </w:pPr>
    </w:p>
    <w:p>
      <w:pPr>
        <w:ind w:right="360" w:firstLine="667"/>
        <w:spacing w:after="0" w:line="277" w:lineRule="auto"/>
        <w:rPr>
          <w:sz w:val="20"/>
          <w:szCs w:val="20"/>
          <w:color w:val="auto"/>
        </w:rPr>
      </w:pPr>
      <w:r>
        <w:rPr>
          <w:rFonts w:ascii="Arial" w:cs="Arial" w:eastAsia="Arial" w:hAnsi="Arial"/>
          <w:sz w:val="18"/>
          <w:szCs w:val="18"/>
          <w:color w:val="auto"/>
        </w:rPr>
        <w:t>If for any reason the Underwriting Agreement is terminated before the applicable Delivery Date (as defined in the Underwriting Agreement), the agreement set forth above shall likewise be terminated.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40" w:hanging="132"/>
        <w:spacing w:after="0"/>
        <w:tabs>
          <w:tab w:leader="none" w:pos="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Strome PAA, L.P., Mark E. Strome Living Trust, Windy, L.L.C., Lynx Holdings I, LLC and Everardo Goyanes.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 the case of KAFU Holdings, L.P., KA First Reserve XII, LLC and KAFU Holdings II, L.P.</w:t>
      </w:r>
    </w:p>
    <w:p>
      <w:pPr>
        <w:sectPr>
          <w:pgSz w:w="11900" w:h="16838" w:orient="portrait"/>
          <w:cols w:equalWidth="0" w:num="1">
            <w:col w:w="11460"/>
          </w:cols>
          <w:pgMar w:left="240" w:top="140" w:right="19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PARTIES TO EXECUTE LOCK 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PAA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EMG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KAFU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 First Reserve XII,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KAFU Holdings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Strome PAA,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E. Strome Living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Lynx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Raymond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Everardo Goyanes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211" w:lineRule="exact"/>
        <w:rPr>
          <w:sz w:val="20"/>
          <w:szCs w:val="20"/>
          <w:color w:val="auto"/>
        </w:rPr>
      </w:pPr>
    </w:p>
    <w:p>
      <w:pPr>
        <w:ind w:right="140" w:firstLine="656"/>
        <w:spacing w:after="0" w:line="259" w:lineRule="auto"/>
        <w:tabs>
          <w:tab w:leader="none" w:pos="13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the Partnership Parties, the PAA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right="320" w:firstLine="656"/>
        <w:spacing w:after="0" w:line="342" w:lineRule="auto"/>
        <w:tabs>
          <w:tab w:leader="none" w:pos="1314"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Partnership Group Entity that serves as a general partner of another Partnership Group Entity has full corporate or limited liability company power and authority, as the case may be, to serve as general partner of such Partnership Group Entity in each case in all material respects.</w:t>
      </w:r>
    </w:p>
    <w:p>
      <w:pPr>
        <w:spacing w:after="0" w:line="123" w:lineRule="exact"/>
        <w:rPr>
          <w:rFonts w:ascii="Arial" w:cs="Arial" w:eastAsia="Arial" w:hAnsi="Arial"/>
          <w:sz w:val="16"/>
          <w:szCs w:val="16"/>
          <w:color w:val="auto"/>
        </w:rPr>
      </w:pPr>
    </w:p>
    <w:p>
      <w:pPr>
        <w:ind w:right="100" w:firstLine="656"/>
        <w:spacing w:after="0" w:line="255" w:lineRule="auto"/>
        <w:tabs>
          <w:tab w:leader="none" w:pos="13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Partnership owns 196,046,637 General Partner Units; such General Partner Units have been duly authorized and validly issued in accordance with the General Partner LLC Agreement and is fully paid (to the extent required under the General Partner LLC Agreement) and nonassessable (except as such nonassessability may be affected by Sections 18-303, 18-607, and 18-804 of the Delaware LLC Act); and such General Partner Units are owned free and clear of all Liens (A) in respect of which a financing statement under the Uniform Commercial Code of the States of Delaware or Texas naming the Partnership as debtor, is on file in the office of the Secretary of State of the States of Delaware or Texas or (B) otherwise known to such counsel, without independent investigation, other than those created by or arising under the Delaware LLC Act, except as disclosed in the Pricing Disclosure Package and the Prospectus.</w:t>
      </w:r>
    </w:p>
    <w:p>
      <w:pPr>
        <w:spacing w:after="0" w:line="189" w:lineRule="exact"/>
        <w:rPr>
          <w:rFonts w:ascii="Arial" w:cs="Arial" w:eastAsia="Arial" w:hAnsi="Arial"/>
          <w:sz w:val="18"/>
          <w:szCs w:val="18"/>
          <w:color w:val="auto"/>
        </w:rPr>
      </w:pPr>
    </w:p>
    <w:p>
      <w:pPr>
        <w:ind w:right="40" w:firstLine="656"/>
        <w:spacing w:after="0" w:line="255"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General Partner is the sole general partner of the Partnership, with a non-economic general partner interest in the Partnership; such general partner interest has been duly authorized and validly issued in accordance with the Partnership Agreement and the General Partner owns such general partner interest free and clear of all Liens (A) in respect of which a financing statement under the Uniform Commercial Code of the States of Delaware or Texas naming the General Partner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93" w:lineRule="exact"/>
        <w:rPr>
          <w:rFonts w:ascii="Arial" w:cs="Arial" w:eastAsia="Arial" w:hAnsi="Arial"/>
          <w:sz w:val="18"/>
          <w:szCs w:val="18"/>
          <w:color w:val="auto"/>
        </w:rPr>
      </w:pPr>
    </w:p>
    <w:p>
      <w:pPr>
        <w:ind w:right="120" w:firstLine="656"/>
        <w:spacing w:after="0" w:line="255" w:lineRule="auto"/>
        <w:tabs>
          <w:tab w:leader="none" w:pos="12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Partnership owns a 100% membership interest in GP LLC; such membership interest has been duly authorized and validly issued in accordance with the Plains GP LLC Agreement and is fully paid (to the extent required under the Plains GP LLC Agreement) and nonassessable (except as such nonassessability may be affected by Sections 18-303, 18-607, and 18-804 of the Delaware LLC Act; and such membership interest is owned free and clear of all Liens (A) in respect of which a financing statement under the Uniform Commercial Code of the States of Delaware or Texas naming the Partnership as debtor is on file in the office of the Secretary of State of the States of Delaware or Texas or (B) otherwise known to such counsel, without independent investigation, other than those created by or arising under the Delaware LLC Act, except as disclosed in the Pricing Disclosure Package and the Prospectus.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97"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GP LLC is the sole general partner of Plains AAP, with a non-economic general partner interest in Plains AAP; such general partner interest has been duly authorized and validly issued in accordance with the AAP Partnership Agreement and GP LLC owns such general partner interest free and clear of all Liens (A) in respect of which a financing statement under the Uniform Commercial Code of the States of Delaware or Texas naming the GP LLC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58" w:lineRule="exact"/>
        <w:rPr>
          <w:rFonts w:ascii="Arial" w:cs="Arial" w:eastAsia="Arial" w:hAnsi="Arial"/>
          <w:sz w:val="16"/>
          <w:szCs w:val="16"/>
          <w:color w:val="auto"/>
        </w:rPr>
      </w:pPr>
    </w:p>
    <w:p>
      <w:pPr>
        <w:ind w:right="20" w:firstLine="656"/>
        <w:spacing w:after="0" w:line="293" w:lineRule="auto"/>
        <w:tabs>
          <w:tab w:leader="none" w:pos="13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Plains AAP owns a 100% membership interest in PAA GP; such membership interest has been duly authorized and validly issued in accordance with the PAA GP LLC Agreement and is fully paid (to the extent required under the PAA GP LLC Agreement) and nonassessable (except as such nonassessability may be affected by Sections 18-303, 18-607, and 18-804 of the Delaware LLC Act; and such membership interest is owned free and clear of all Liens (A) in respect of which a financing statement under the Uniform Commercial Code of the States of Delaware or Texas naming Plains AAP as debtor is on file in the office of the Secretary of State of the States of Delaware or Texas or (B) otherwise known to such counsel, without independent investigation, other than those created by or arising under the Delaware LLC Act, except as disclosed in the Pricing Disclosure Package and the Prospectus.</w:t>
      </w:r>
    </w:p>
    <w:p>
      <w:pPr>
        <w:sectPr>
          <w:pgSz w:w="11900" w:h="16838" w:orient="portrait"/>
          <w:cols w:equalWidth="0" w:num="1">
            <w:col w:w="11400"/>
          </w:cols>
          <w:pgMar w:left="240" w:top="341" w:right="259" w:bottom="0" w:gutter="0" w:footer="0" w:header="0"/>
        </w:sectPr>
      </w:pPr>
    </w:p>
    <w:bookmarkStart w:id="24" w:name="page25"/>
    <w:bookmarkEnd w:id="24"/>
    <w:p>
      <w:pPr>
        <w:ind w:right="60" w:firstLine="656"/>
        <w:spacing w:after="0" w:line="297" w:lineRule="auto"/>
        <w:tabs>
          <w:tab w:leader="none" w:pos="1319" w:val="left"/>
        </w:tabs>
        <w:numPr>
          <w:ilvl w:val="1"/>
          <w:numId w:val="76"/>
        </w:numPr>
        <w:rPr>
          <w:rFonts w:ascii="Arial" w:cs="Arial" w:eastAsia="Arial" w:hAnsi="Arial"/>
          <w:sz w:val="16"/>
          <w:szCs w:val="16"/>
          <w:color w:val="auto"/>
        </w:rPr>
      </w:pPr>
      <w:r>
        <w:rPr>
          <w:rFonts w:ascii="Arial" w:cs="Arial" w:eastAsia="Arial" w:hAnsi="Arial"/>
          <w:sz w:val="16"/>
          <w:szCs w:val="16"/>
          <w:color w:val="auto"/>
        </w:rPr>
        <w:t>PAA GP is the sole general partner of PAA, with a 2.0% general partner interest in PAA; such general partner interest has been duly authorized and validly issued in accordance with the PAA Partnership Agreement and the General Partner owns such general partner interest free and clear of all Liens (A) in respect of which a financing statement under the Uniform Commercial Code of the States of Delaware or Texas naming PAA GP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(other than general partner interests) of each Domestic Subsidiary</w:t>
      </w:r>
    </w:p>
    <w:p>
      <w:pPr>
        <w:spacing w:after="0" w:line="46" w:lineRule="exact"/>
        <w:rPr>
          <w:rFonts w:ascii="Arial" w:cs="Arial" w:eastAsia="Arial" w:hAnsi="Arial"/>
          <w:sz w:val="16"/>
          <w:szCs w:val="16"/>
          <w:color w:val="auto"/>
        </w:rPr>
      </w:pPr>
    </w:p>
    <w:p>
      <w:pPr>
        <w:ind w:right="140" w:firstLine="8"/>
        <w:spacing w:after="0" w:line="268" w:lineRule="auto"/>
        <w:tabs>
          <w:tab w:leader="none" w:pos="2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partnership interest in PAA held by public investors, are owned, directly or indirectly, by the Partnership Group Entities, free and clear of all Liens (A) in respect of which a financing statement under the Uniform Commercial Code of the States of Delaware or Texas naming the Partnership Group Entities as debtor or, in the case of capital stock or other equity interests of a Domestic Subsidiary owned directly by one or more other Domestic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Subsidiary, naming any such other Domestic Subsidiary as debtor(s), is on file in the office of the Secretary of State of the States of Delaware or Texas or</w:t>
      </w:r>
    </w:p>
    <w:p>
      <w:pPr>
        <w:spacing w:after="0" w:line="46" w:lineRule="exact"/>
        <w:rPr>
          <w:sz w:val="20"/>
          <w:szCs w:val="20"/>
          <w:color w:val="auto"/>
        </w:rPr>
      </w:pPr>
    </w:p>
    <w:p>
      <w:pPr>
        <w:ind w:right="80" w:firstLine="8"/>
        <w:spacing w:after="0" w:line="255" w:lineRule="auto"/>
        <w:tabs>
          <w:tab w:leader="none" w:pos="2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otherwise known to such counsel, without independent investigation, other than those created by or arising under the corporate, limited liability company or partnership laws of the jurisdiction of formation or incorporation of the respective Domestic Subsidiary, as the case may be, except as disclosed in the Pricing Disclosure Package and the Prospectus.</w:t>
      </w:r>
    </w:p>
    <w:p>
      <w:pPr>
        <w:spacing w:after="0" w:line="190" w:lineRule="exact"/>
        <w:rPr>
          <w:rFonts w:ascii="Arial" w:cs="Arial" w:eastAsia="Arial" w:hAnsi="Arial"/>
          <w:sz w:val="18"/>
          <w:szCs w:val="18"/>
          <w:color w:val="auto"/>
        </w:rPr>
      </w:pPr>
    </w:p>
    <w:p>
      <w:pPr>
        <w:ind w:firstLine="656"/>
        <w:spacing w:after="0" w:line="272" w:lineRule="auto"/>
        <w:tabs>
          <w:tab w:leader="none" w:pos="129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except as disclosed in the Pricing Disclosure Package and the Prospectus.</w:t>
      </w:r>
    </w:p>
    <w:p>
      <w:pPr>
        <w:spacing w:after="0" w:line="177" w:lineRule="exact"/>
        <w:rPr>
          <w:rFonts w:ascii="Arial" w:cs="Arial" w:eastAsia="Arial" w:hAnsi="Arial"/>
          <w:sz w:val="17"/>
          <w:szCs w:val="17"/>
          <w:color w:val="auto"/>
        </w:rPr>
      </w:pPr>
    </w:p>
    <w:p>
      <w:pPr>
        <w:ind w:right="140" w:firstLine="656"/>
        <w:spacing w:after="0" w:line="272" w:lineRule="auto"/>
        <w:tabs>
          <w:tab w:leader="none" w:pos="13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Plains AAP owns all of the Incentive Distribution Rights; the Incentive Distribution Rights and the limited partner interests represented thereby have been duly authorized and validly issued in accordance with the PAA Partnership Agreement and will be fully paid (to the extent required under the PAA Partnership Agreement) and nonassessable (except as such nonassessability may be affected by matters described in Sections 17-303, 17-607, and 17-804 of the Delaware LP Act); and Plains AAP owns such interests free and clear of all Liens (A) in respect of which a financing statement under the Uniform Commercial Code of the States of Delaware or Texas naming Plains AAP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77" w:lineRule="exact"/>
        <w:rPr>
          <w:rFonts w:ascii="Arial" w:cs="Arial" w:eastAsia="Arial" w:hAnsi="Arial"/>
          <w:sz w:val="17"/>
          <w:szCs w:val="17"/>
          <w:color w:val="auto"/>
        </w:rPr>
      </w:pPr>
    </w:p>
    <w:p>
      <w:pPr>
        <w:ind w:right="40" w:firstLine="656"/>
        <w:spacing w:after="0" w:line="272" w:lineRule="auto"/>
        <w:tabs>
          <w:tab w:leader="none" w:pos="1309"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Partnership owns 196,046,637 AAP Class A Units; all of the AAP Class A Units and the limited partner interests represented thereby have been duly authorized and validly issued in accordance with the AAP Partnership Agreement and will be fully paid (to the extent required under the AAP Partnership Agreement) and nonassessable (except as such nonassessability may be affected by matters described in Sections 17-303, 17-607, and 17-804 of the Delaware LP Act); and the Partnership owns its interests free and clear of all Liens (A) in respect of which a financing statement under the Uniform Commercial Code of the States of Delaware or Texas naming the Partnership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77" w:lineRule="exact"/>
        <w:rPr>
          <w:rFonts w:ascii="Arial" w:cs="Arial" w:eastAsia="Arial" w:hAnsi="Arial"/>
          <w:sz w:val="17"/>
          <w:szCs w:val="17"/>
          <w:color w:val="auto"/>
        </w:rPr>
      </w:pPr>
    </w:p>
    <w:p>
      <w:pPr>
        <w:ind w:right="100" w:firstLine="656"/>
        <w:spacing w:after="0" w:line="264" w:lineRule="auto"/>
        <w:tabs>
          <w:tab w:leader="none" w:pos="131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Initial Shares (and/or Additional Shares, as applicable) to be sold to the Underwriters by the Selling Shareholder pursuant to this Agreement and the limited partner interests represented thereby have been duly authorized by the Partnership Agreement are validly issued, fully paid (to the extent required under the Partnership Agreement) and nonassessable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(except as such nonassessability may be affected by Sections 17-607 and 17-804 of the Delaware LP Act).</w:t>
      </w:r>
    </w:p>
    <w:p>
      <w:pPr>
        <w:spacing w:after="0" w:line="225" w:lineRule="exact"/>
        <w:rPr>
          <w:sz w:val="20"/>
          <w:szCs w:val="20"/>
          <w:color w:val="auto"/>
        </w:rPr>
      </w:pPr>
    </w:p>
    <w:p>
      <w:pPr>
        <w:ind w:right="40" w:firstLine="656"/>
        <w:spacing w:after="0" w:line="272" w:lineRule="auto"/>
        <w:tabs>
          <w:tab w:leader="none" w:pos="1295"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Except as described in the Pricing Disclosure Package and the Prospectus or as provided in the Operative Documents or any of the Incorporated Documents, there are no preemptive rights or other rights to subscribe for or to purchase, nor any restriction upon the voting or transfer of, any equity securities of the Partnership. Neither the filing of the Registration Statement nor the offering or sale of the Shares as contemplated by this Agreement gives rise to any rights for or relating to the registration of any Shares or other securities of the Partnership pursuant to any of the documents or agreements included as exhibits to any of the Incorporated Documents, except such rights as have been waived or satisfied. Except as described in the Pricing Disclosure Package and the Prospectus or as provided in the Operative Documents or any of the Incorporated Documents, there are no outstanding options or warrants to purchase any Shares or other equity interests in the Partnership.</w:t>
      </w:r>
    </w:p>
    <w:p>
      <w:pPr>
        <w:spacing w:after="0" w:line="177" w:lineRule="exact"/>
        <w:rPr>
          <w:rFonts w:ascii="Arial" w:cs="Arial" w:eastAsia="Arial" w:hAnsi="Arial"/>
          <w:sz w:val="17"/>
          <w:szCs w:val="17"/>
          <w:color w:val="auto"/>
        </w:rPr>
      </w:pPr>
    </w:p>
    <w:p>
      <w:pPr>
        <w:jc w:val="both"/>
        <w:ind w:right="240" w:firstLine="656"/>
        <w:spacing w:after="0" w:line="264" w:lineRule="auto"/>
        <w:tabs>
          <w:tab w:leader="none" w:pos="12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Partnership has all requisite power and authority to issue and deliver the Shares to the Selling Shareholder in the Selling Shareholder Exchange. Each of the Partnership Parties has all requisite limited partnership or limited liability company power and authority to execute and deliver this Agreement and to perform its respective obligations hereunder.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Agreement has been duly authorized and validly executed and delivered by or on behalf of each of the Partnership Parties.</w:t>
      </w:r>
    </w:p>
    <w:p>
      <w:pPr>
        <w:sectPr>
          <w:pgSz w:w="11900" w:h="16838" w:orient="portrait"/>
          <w:cols w:equalWidth="0" w:num="1">
            <w:col w:w="11420"/>
          </w:cols>
          <w:pgMar w:left="240" w:top="341" w:right="239" w:bottom="0" w:gutter="0" w:footer="0" w:header="0"/>
        </w:sectPr>
      </w:pPr>
    </w:p>
    <w:bookmarkStart w:id="25" w:name="page26"/>
    <w:bookmarkEnd w:id="25"/>
    <w:p>
      <w:pPr>
        <w:ind w:right="80" w:firstLine="656"/>
        <w:spacing w:after="0" w:line="272" w:lineRule="auto"/>
        <w:tabs>
          <w:tab w:leader="none" w:pos="130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or before each applicable Delivery Date, the partnership agreement or limited liability company agreement, as applicable, of each of the Partnership Parties, the PAA GP Entities, PAA and the Domestic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7" w:lineRule="exact"/>
        <w:rPr>
          <w:rFonts w:ascii="Arial" w:cs="Arial" w:eastAsia="Arial" w:hAnsi="Arial"/>
          <w:sz w:val="17"/>
          <w:szCs w:val="17"/>
          <w:color w:val="auto"/>
        </w:rPr>
      </w:pPr>
    </w:p>
    <w:p>
      <w:pPr>
        <w:ind w:firstLine="656"/>
        <w:spacing w:after="0" w:line="254" w:lineRule="auto"/>
        <w:tabs>
          <w:tab w:leader="none" w:pos="13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None of the (i) offering and sale by the Selling Shareholder of the Shares, (ii) execution, delivery and performance of this Agreement by the Partnership Parties, or (iii) consummation of the transactions contemplated by this Agreement, including the Selling Shareholder Exchange: (A) conflicts or will conflict with or constitutes or will constitute a violation of the Organizational Documents,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(C) results or will result in any violation of the Delaware LP Act, the Delaware LLC Act,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the laws of the State of Texas or federal law, or (D) other than pursuant to AAP Credit Agreement, results or will result in the creation or imposition of any Lien upon any property or assets of any of the Partnership Parties, PAA, the PAA GP Entities or the Domestic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Subsidiaries, which conflicts, breaches, violations or defaults in the case of clauses (B), (C) or (D) would reasonably be expected to have a Material Adverse Effect or materially impair the ability of the Partnership Parties or the PAA GP Entities to consummate the transactions contemplated by this Agreement, including the Selling Shareholder Exchange, it being understood that such counsel need not express an opinion in clause (C) of this paragraph (xviii) with respect to any securities or other anti-fraud law.</w:t>
      </w:r>
    </w:p>
    <w:p>
      <w:pPr>
        <w:spacing w:after="0" w:line="187" w:lineRule="exact"/>
        <w:rPr>
          <w:sz w:val="20"/>
          <w:szCs w:val="20"/>
          <w:color w:val="auto"/>
        </w:rPr>
      </w:pPr>
    </w:p>
    <w:p>
      <w:pPr>
        <w:ind w:firstLine="656"/>
        <w:spacing w:after="0" w:line="270" w:lineRule="auto"/>
        <w:tabs>
          <w:tab w:leader="none" w:pos="12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federal, Delaware or Texas court, governmental agency or body having jurisdiction over the Partnership Parties, PAA, the PAA GP Entities or the Domestic Subsidiaries or any of their respective properties is required in connection with (i) the offering and sale by the Selling Shareholder of the Shares, (ii) the execution, delivery and performance of, or the consummation of this Agreement by the Partnership Parties or (iii) the consummation by the Partnership Parties or the PAA GP Entities of the transactions contemplated by this Agreement, including the Selling Shareholder Exchange, except (A) such as have been obtained under the Securities Act, (B) such as may be required under the blue sky laws of any jurisdiction or the by-laws and rules of FINRA in connection with the purchase and distribution by the Underwriters of the Shares in the manner contemplated herein and in the Pricing Disclosure Package and the Prospectus (as to which such counsel need not express any opinion) and (C) such that the failure to obtain or make would not reasonably be expected to have a Material Adverse Effect or materially impair the ability of any of the Partnership Parties or the PAA GP Entities to consummate the transaction contemplated by this Agreement, including the Selling Shareholder Exchange, and (D) such other that have been obtained or taken and are in full force and effect</w:t>
      </w:r>
    </w:p>
    <w:p>
      <w:pPr>
        <w:spacing w:after="0" w:line="177" w:lineRule="exact"/>
        <w:rPr>
          <w:rFonts w:ascii="Arial" w:cs="Arial" w:eastAsia="Arial" w:hAnsi="Arial"/>
          <w:sz w:val="17"/>
          <w:szCs w:val="17"/>
          <w:color w:val="auto"/>
        </w:rPr>
      </w:pPr>
    </w:p>
    <w:p>
      <w:pPr>
        <w:ind w:right="80" w:firstLine="656"/>
        <w:spacing w:after="0" w:line="257" w:lineRule="auto"/>
        <w:tabs>
          <w:tab w:leader="none" w:pos="12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captions “Our Cash Distribution Policy,” “The Partnership Agreement,” “Description of Our Shares,” and “Investments in Plains GP Holdings, L.P. by Employee Benefit Plans,” insofar as they constitute descriptions of agreements or refer to statements of law or legal conclusions, are accurate in all material respects, and the Shares, the Class A Shares, the Class B Shares and the Incentive Distribution Rights conform in all material respects to the descriptions thereof contained in the Registration Statement, the Pricing Disclosure Package and the Prospectus.</w:t>
      </w:r>
    </w:p>
    <w:p>
      <w:pPr>
        <w:spacing w:after="0" w:line="188" w:lineRule="exact"/>
        <w:rPr>
          <w:rFonts w:ascii="Arial" w:cs="Arial" w:eastAsia="Arial" w:hAnsi="Arial"/>
          <w:sz w:val="18"/>
          <w:szCs w:val="18"/>
          <w:color w:val="auto"/>
        </w:rPr>
      </w:pPr>
    </w:p>
    <w:p>
      <w:pPr>
        <w:ind w:right="100" w:firstLine="656"/>
        <w:spacing w:after="0" w:line="27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Underwriters may rely upon such opinion as if it were addressed to them.</w:t>
      </w:r>
    </w:p>
    <w:p>
      <w:pPr>
        <w:spacing w:after="0" w:line="170" w:lineRule="exact"/>
        <w:rPr>
          <w:rFonts w:ascii="Arial" w:cs="Arial" w:eastAsia="Arial" w:hAnsi="Arial"/>
          <w:sz w:val="18"/>
          <w:szCs w:val="18"/>
          <w:color w:val="auto"/>
        </w:rPr>
      </w:pPr>
    </w:p>
    <w:p>
      <w:pPr>
        <w:ind w:right="20" w:firstLine="656"/>
        <w:spacing w:after="0" w:line="259" w:lineRule="auto"/>
        <w:tabs>
          <w:tab w:leader="none" w:pos="13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became effective under the Securities Act on November 6, 2014;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w:t>
      </w:r>
    </w:p>
    <w:p>
      <w:pPr>
        <w:spacing w:after="0" w:line="186" w:lineRule="exact"/>
        <w:rPr>
          <w:rFonts w:ascii="Arial" w:cs="Arial" w:eastAsia="Arial" w:hAnsi="Arial"/>
          <w:sz w:val="18"/>
          <w:szCs w:val="18"/>
          <w:color w:val="auto"/>
        </w:rPr>
      </w:pPr>
    </w:p>
    <w:p>
      <w:pPr>
        <w:ind w:right="200" w:firstLine="656"/>
        <w:spacing w:after="0" w:line="264" w:lineRule="auto"/>
        <w:tabs>
          <w:tab w:leader="none" w:pos="13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opinion) comply as to form in all material respects with the requirements of the Securities Act and the Exchange Act and the rules and regulations promulgated thereunder.</w:t>
      </w:r>
    </w:p>
    <w:p>
      <w:pPr>
        <w:spacing w:after="0" w:line="170" w:lineRule="exact"/>
        <w:rPr>
          <w:sz w:val="20"/>
          <w:szCs w:val="20"/>
          <w:color w:val="auto"/>
        </w:rPr>
      </w:pPr>
    </w:p>
    <w:p>
      <w:pPr>
        <w:jc w:val="both"/>
        <w:ind w:right="260" w:firstLine="656"/>
        <w:spacing w:after="0" w:line="264" w:lineRule="auto"/>
        <w:tabs>
          <w:tab w:leader="none" w:pos="12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Partnership Group Entities is now, and after the Selling Shareholder Exchange and the sale by the Selling Shareholder of the Shares none of the Partnership Group Entities will be, required to register as an “investment company” as such term is defined in the Investment Company Act.</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Shares are duly listed and admitted and authorized for trading, subject to official notice of issuance, on the NYSE.</w:t>
      </w:r>
    </w:p>
    <w:p>
      <w:pPr>
        <w:spacing w:after="0" w:line="225" w:lineRule="exact"/>
        <w:rPr>
          <w:sz w:val="20"/>
          <w:szCs w:val="20"/>
          <w:color w:val="auto"/>
        </w:rPr>
      </w:pPr>
    </w:p>
    <w:p>
      <w:pPr>
        <w:ind w:right="120" w:firstLine="667"/>
        <w:spacing w:after="0" w:line="293"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Selling Shareholder, the Partnership Parties, representatives of the independent public accountants of the Partnership Parties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(xx above)), on the basis of the foregoing, no facts have come to the attention of such counsel that lead them to believe that:</w:t>
      </w:r>
    </w:p>
    <w:p>
      <w:pPr>
        <w:sectPr>
          <w:pgSz w:w="11900" w:h="16838" w:orient="portrait"/>
          <w:cols w:equalWidth="0" w:num="1">
            <w:col w:w="11420"/>
          </w:cols>
          <w:pgMar w:left="240" w:top="125" w:right="239" w:bottom="0" w:gutter="0" w:footer="0" w:header="0"/>
        </w:sectPr>
      </w:pPr>
    </w:p>
    <w:bookmarkStart w:id="26" w:name="page27"/>
    <w:bookmarkEnd w:id="26"/>
    <w:p>
      <w:pPr>
        <w:ind w:right="120" w:firstLine="1305"/>
        <w:spacing w:after="0" w:line="277" w:lineRule="auto"/>
        <w:tabs>
          <w:tab w:leader="none" w:pos="19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Registration Statement, as of the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360" w:firstLine="1305"/>
        <w:spacing w:after="0" w:line="342" w:lineRule="auto"/>
        <w:tabs>
          <w:tab w:leader="none" w:pos="19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ind w:right="40" w:firstLine="1305"/>
        <w:spacing w:after="0" w:line="264"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7" w:lineRule="exact"/>
        <w:rPr>
          <w:sz w:val="20"/>
          <w:szCs w:val="20"/>
          <w:color w:val="auto"/>
        </w:rPr>
      </w:pPr>
    </w:p>
    <w:p>
      <w:pPr>
        <w:jc w:val="both"/>
        <w:ind w:right="420" w:firstLine="648"/>
        <w:spacing w:after="0" w:line="259"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Partnership Group Entities,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Group Entities may be subject.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PARTNERSHIP</w:t>
      </w:r>
    </w:p>
    <w:p>
      <w:pPr>
        <w:spacing w:after="0" w:line="211" w:lineRule="exact"/>
        <w:rPr>
          <w:sz w:val="20"/>
          <w:szCs w:val="20"/>
          <w:color w:val="auto"/>
        </w:rPr>
      </w:pPr>
    </w:p>
    <w:p>
      <w:pPr>
        <w:ind w:right="20" w:firstLine="656"/>
        <w:spacing w:after="0" w:line="270" w:lineRule="auto"/>
        <w:tabs>
          <w:tab w:leader="none" w:pos="1304"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None of the (i) offering and sale by the Selling Shareholder of the Shares, (ii) execution, delivery and performance of this Agreement by the Partnership Entities or (iii) consummation of the transaction contemplated by this Agreement, including the Selling Shareholder Exchange: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Entities is a party or by which any one of them may be bound (other than any other document or agreement filed as an exhibit to the Registration Statement or an Incorporated Document) or (B) violates or will violate any statute, law or regulation or any order, judgment, decree or injunction known to such counsel of any court or governmental agency or body directed to the Partnership Entities or any of their respective properties in a proceeding to which any of them is a party, which would, in the case of either (A) or (B), reasonably be expected to have a Material Adverse Effect or materially impair the ability of the Partnership Parties or the PAA GP Entities to consummate the transactions contemplated by this Agreement, including the Selling Shareholder Exchange.</w:t>
      </w:r>
    </w:p>
    <w:p>
      <w:pPr>
        <w:spacing w:after="0" w:line="177" w:lineRule="exact"/>
        <w:rPr>
          <w:rFonts w:ascii="Arial" w:cs="Arial" w:eastAsia="Arial" w:hAnsi="Arial"/>
          <w:sz w:val="17"/>
          <w:szCs w:val="17"/>
          <w:color w:val="auto"/>
        </w:rPr>
      </w:pPr>
    </w:p>
    <w:p>
      <w:pPr>
        <w:jc w:val="both"/>
        <w:ind w:right="40" w:firstLine="656"/>
        <w:spacing w:after="0" w:line="264" w:lineRule="auto"/>
        <w:tabs>
          <w:tab w:leader="none" w:pos="1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the Partnership Entities is a party or to which any of their respective properties is subject that is required to be disclosed in the Pricing Disclosure Package or the Prospectus and is not so disclosed.</w:t>
      </w:r>
    </w:p>
    <w:p>
      <w:pPr>
        <w:spacing w:after="0" w:line="181" w:lineRule="exact"/>
        <w:rPr>
          <w:rFonts w:ascii="Arial" w:cs="Arial" w:eastAsia="Arial" w:hAnsi="Arial"/>
          <w:sz w:val="18"/>
          <w:szCs w:val="18"/>
          <w:color w:val="auto"/>
        </w:rPr>
      </w:pPr>
    </w:p>
    <w:p>
      <w:pPr>
        <w:ind w:right="120" w:firstLine="656"/>
        <w:spacing w:after="0" w:line="264" w:lineRule="auto"/>
        <w:tabs>
          <w:tab w:leader="none" w:pos="132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knowledge of such counsel, except as described in the Pricing Disclosure Package and the Prospectus or as have been issued pursuant to compensation plans adopted or administered by the General Partner, there are no outstanding options or warrants to purchase any Shares or other equity interests in the Partnership.</w:t>
      </w:r>
    </w:p>
    <w:p>
      <w:pPr>
        <w:spacing w:after="0" w:line="181" w:lineRule="exact"/>
        <w:rPr>
          <w:rFonts w:ascii="Arial" w:cs="Arial" w:eastAsia="Arial" w:hAnsi="Arial"/>
          <w:sz w:val="18"/>
          <w:szCs w:val="18"/>
          <w:color w:val="auto"/>
        </w:rPr>
      </w:pPr>
    </w:p>
    <w:p>
      <w:pPr>
        <w:ind w:right="20" w:firstLine="656"/>
        <w:spacing w:after="0" w:line="264"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Entities are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In addition, such counsel shall state that he has participated in conferences with officers and other representatives of the Partnership Entities, representatives of the independent public accountants of the Partnership Entities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or incorporated by reference in, the Registration Statement, the Pricing Disclosure Package and the Prospectus, on the basis of the foregoing, no facts have come to the attention of such counsel that lead him to believe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19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360" w:firstLine="1305"/>
        <w:spacing w:after="0" w:line="342" w:lineRule="auto"/>
        <w:tabs>
          <w:tab w:leader="none" w:pos="19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ectPr>
          <w:pgSz w:w="11900" w:h="16838" w:orient="portrait"/>
          <w:cols w:equalWidth="0" w:num="1">
            <w:col w:w="11420"/>
          </w:cols>
          <w:pgMar w:left="240" w:top="125" w:right="239" w:bottom="0" w:gutter="0" w:footer="0" w:header="0"/>
        </w:sectPr>
      </w:pPr>
    </w:p>
    <w:bookmarkStart w:id="27" w:name="page28"/>
    <w:bookmarkEnd w:id="27"/>
    <w:p>
      <w:pPr>
        <w:spacing w:after="0" w:line="36" w:lineRule="exact"/>
        <w:rPr>
          <w:sz w:val="20"/>
          <w:szCs w:val="20"/>
          <w:color w:val="auto"/>
        </w:rPr>
      </w:pPr>
    </w:p>
    <w:p>
      <w:pPr>
        <w:ind w:right="40" w:firstLine="1305"/>
        <w:spacing w:after="0" w:line="264" w:lineRule="auto"/>
        <w:tabs>
          <w:tab w:leader="none" w:pos="19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Partnership Entities,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w:t>
      </w:r>
    </w:p>
    <w:p>
      <w:pPr>
        <w:ind w:left="300" w:hanging="292"/>
        <w:spacing w:after="0"/>
        <w:tabs>
          <w:tab w:leader="none" w:pos="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state that such opinions are limited to federal laws and the Delaware LP Act, the Delaware LLC Act, the DGCL and the laws of the State of Texas and</w:t>
      </w:r>
    </w:p>
    <w:p>
      <w:pPr>
        <w:spacing w:after="0" w:line="32" w:lineRule="exact"/>
        <w:rPr>
          <w:rFonts w:ascii="Arial" w:cs="Arial" w:eastAsia="Arial" w:hAnsi="Arial"/>
          <w:sz w:val="16"/>
          <w:szCs w:val="16"/>
          <w:color w:val="auto"/>
        </w:rPr>
      </w:pPr>
    </w:p>
    <w:p>
      <w:pPr>
        <w:ind w:right="280" w:firstLine="8"/>
        <w:spacing w:after="0" w:line="261" w:lineRule="auto"/>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state that he expresses no opinion with respect to either federal or state securities laws in clause (B) of paragraph (i) above or state or local taxes or tax statutes.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OPINION OF SPECIAL INTERNAL CANADIAN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PARTNERSHIP</w:t>
      </w:r>
    </w:p>
    <w:p>
      <w:pPr>
        <w:spacing w:after="0" w:line="207" w:lineRule="exact"/>
        <w:rPr>
          <w:sz w:val="20"/>
          <w:szCs w:val="20"/>
          <w:color w:val="auto"/>
        </w:rPr>
      </w:pPr>
    </w:p>
    <w:p>
      <w:pPr>
        <w:ind w:right="40" w:firstLine="656"/>
        <w:spacing w:after="0" w:line="256"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w:t>
      </w:r>
      <w:r>
        <w:rPr>
          <w:rFonts w:ascii="Arial" w:cs="Arial" w:eastAsia="Arial" w:hAnsi="Arial"/>
          <w:sz w:val="18"/>
          <w:szCs w:val="18"/>
          <w:b w:val="1"/>
          <w:bCs w:val="1"/>
          <w:color w:val="auto"/>
        </w:rPr>
        <w:t>Plains Midstream Canada</w:t>
      </w:r>
      <w:r>
        <w:rPr>
          <w:rFonts w:ascii="Arial" w:cs="Arial" w:eastAsia="Arial" w:hAnsi="Arial"/>
          <w:sz w:val="18"/>
          <w:szCs w:val="18"/>
          <w:color w:val="auto"/>
        </w:rPr>
        <w:t>”)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191" w:lineRule="exact"/>
        <w:rPr>
          <w:rFonts w:ascii="Arial" w:cs="Arial" w:eastAsia="Arial" w:hAnsi="Arial"/>
          <w:sz w:val="18"/>
          <w:szCs w:val="18"/>
          <w:color w:val="auto"/>
        </w:rPr>
      </w:pPr>
    </w:p>
    <w:p>
      <w:pPr>
        <w:jc w:val="both"/>
        <w:ind w:right="140" w:firstLine="656"/>
        <w:spacing w:after="0" w:line="259" w:lineRule="auto"/>
        <w:tabs>
          <w:tab w:leader="none" w:pos="1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British Columbia).</w:t>
      </w:r>
    </w:p>
    <w:p>
      <w:pPr>
        <w:spacing w:after="0" w:line="186" w:lineRule="exact"/>
        <w:rPr>
          <w:rFonts w:ascii="Arial" w:cs="Arial" w:eastAsia="Arial" w:hAnsi="Arial"/>
          <w:sz w:val="18"/>
          <w:szCs w:val="18"/>
          <w:color w:val="auto"/>
        </w:rPr>
      </w:pPr>
    </w:p>
    <w:p>
      <w:pPr>
        <w:ind w:right="20" w:firstLine="656"/>
        <w:spacing w:after="0" w:line="279" w:lineRule="auto"/>
        <w:tabs>
          <w:tab w:leader="none" w:pos="1323" w:val="left"/>
        </w:tabs>
        <w:numPr>
          <w:ilvl w:val="0"/>
          <w:numId w:val="88"/>
        </w:numPr>
        <w:rPr>
          <w:rFonts w:ascii="Arial" w:cs="Arial" w:eastAsia="Arial" w:hAnsi="Arial"/>
          <w:sz w:val="17"/>
          <w:szCs w:val="17"/>
          <w:color w:val="auto"/>
        </w:rPr>
      </w:pPr>
      <w:r>
        <w:rPr>
          <w:rFonts w:ascii="Arial" w:cs="Arial" w:eastAsia="Arial" w:hAnsi="Arial"/>
          <w:sz w:val="17"/>
          <w:szCs w:val="17"/>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71" w:lineRule="exact"/>
        <w:rPr>
          <w:rFonts w:ascii="Arial" w:cs="Arial" w:eastAsia="Arial" w:hAnsi="Arial"/>
          <w:sz w:val="17"/>
          <w:szCs w:val="17"/>
          <w:color w:val="auto"/>
        </w:rPr>
      </w:pPr>
    </w:p>
    <w:p>
      <w:pPr>
        <w:ind w:right="80" w:firstLine="656"/>
        <w:spacing w:after="0" w:line="312"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permit, consent, approval, authorization, order, registration, filing or qualification of or with any court, governmental agency or body of the federal government of Canada or the Province of Alberta or the province of British Columbia is required for the consummation of the transaction contemplated by this Agreement, including the Selling Shareholder Exchange and the offering and sale by the Selling Shareholder of the Shares.</w:t>
      </w:r>
    </w:p>
    <w:p>
      <w:pPr>
        <w:spacing w:after="0" w:line="146" w:lineRule="exact"/>
        <w:rPr>
          <w:rFonts w:ascii="Arial" w:cs="Arial" w:eastAsia="Arial" w:hAnsi="Arial"/>
          <w:sz w:val="16"/>
          <w:szCs w:val="16"/>
          <w:color w:val="auto"/>
        </w:rPr>
      </w:pPr>
    </w:p>
    <w:p>
      <w:pPr>
        <w:ind w:right="20" w:firstLine="656"/>
        <w:spacing w:after="0" w:line="273" w:lineRule="auto"/>
        <w:tabs>
          <w:tab w:leader="none" w:pos="129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None of the (i) offering and sale by the Selling Shareholder of the Shares, (ii) execution, delivery and performance of this Agreement by the Partnership Parties or (iii) consummation of the transaction contemplated by this Agreement, including the Selling Shareholder Exchange,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88"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Partnership Entities,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they express no opinion with respect to state or local taxes or tax statutes to which any of the limited partners of the Partnership Entities may be subject.</w:t>
      </w:r>
    </w:p>
    <w:p>
      <w:pPr>
        <w:spacing w:after="0" w:line="193" w:lineRule="exact"/>
        <w:rPr>
          <w:sz w:val="20"/>
          <w:szCs w:val="20"/>
          <w:color w:val="auto"/>
        </w:rPr>
      </w:pPr>
    </w:p>
    <w:p>
      <w:pPr>
        <w:ind w:right="540" w:firstLine="667"/>
        <w:spacing w:after="0" w:line="291" w:lineRule="auto"/>
        <w:rPr>
          <w:sz w:val="20"/>
          <w:szCs w:val="20"/>
          <w:color w:val="auto"/>
        </w:rPr>
      </w:pPr>
      <w:r>
        <w:rPr>
          <w:rFonts w:ascii="Arial" w:cs="Arial" w:eastAsia="Arial" w:hAnsi="Arial"/>
          <w:sz w:val="16"/>
          <w:szCs w:val="16"/>
          <w:color w:val="auto"/>
        </w:rPr>
        <w:t>In rendering such opinion, such counsel shall state that (A) Vinson &amp; Elkins L.L.P. is thereby authorized to rely upon such opinion letter in connection with the sale of the Shares by the Selling Shareholder as if such opinion letter were addressed and delivered to them on the date thereof and</w:t>
      </w:r>
    </w:p>
    <w:p>
      <w:pPr>
        <w:ind w:right="260" w:firstLine="8"/>
        <w:spacing w:after="0" w:line="290" w:lineRule="auto"/>
        <w:tabs>
          <w:tab w:leader="none" w:pos="285"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subject to the foregoing, such opinion letter may be relied upon only by the Underwriters and their counsel in connection with the sale of the Shares by the Selling Shareholder and no other use or distribution of such opinion letter may be made without such counsel’s prior written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E-2</w:t>
      </w:r>
    </w:p>
    <w:p>
      <w:pPr>
        <w:sectPr>
          <w:pgSz w:w="11900" w:h="16874" w:orient="portrait"/>
          <w:cols w:equalWidth="0" w:num="1">
            <w:col w:w="11420"/>
          </w:cols>
          <w:pgMar w:left="240" w:top="341" w:right="239" w:bottom="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KIRKLAND &amp; ELLIS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Underwriting Agreement 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Selling Shareholder of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We are issuing this letter on behalf of Oxy Holding Company (Pipeline), Inc., a Delaware corporation (the “Selling Shareholder”), in response to the requirement in Section 8(f) of the Underwriting Agreement, dated November 10, 2014 (the “Underwriting Agreement”), among Plains GP Holdings, L.P., a Delaware limited partnership (the “Partnership”), PAA GP Holdings LLC, a Delaware limited liability company and the general partner of the Partnership and the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thereto (collectively, “you” or the “Underwriters”), relating to the sale by the Selling Shareholder to you of 60,000,000 Class A shares representing limited partner interests in the Partnership (the “Firm Shares”), and up to an additional 9,000,000 Class A shares representing limited partner interests in the Partnership (the “Option Shares”). The Firm Shares and the Option Shares are collectively referred to herein as the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225" w:lineRule="exact"/>
        <w:rPr>
          <w:sz w:val="20"/>
          <w:szCs w:val="20"/>
          <w:color w:val="auto"/>
        </w:rPr>
      </w:pPr>
    </w:p>
    <w:p>
      <w:pPr>
        <w:ind w:left="1300" w:right="540" w:hanging="644"/>
        <w:spacing w:after="0" w:line="279" w:lineRule="auto"/>
        <w:tabs>
          <w:tab w:leader="none" w:pos="12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Registration Statement on Form S-3 (Registration No. 333-199903) filed by the Partnership with the Securities and Exchange Commission (the “Commission”) on November 6, 2014, for the purpose of registering the offering of the Securities by the Selling Shareholder under the Securities Act of 1933, as amended (the “Securities Act”), and as constituted at the time it became effective in accordance with Rule 430A promulgated under the Securities Act (the “Registration Statement”);</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Partnership’s final prospectus, dated November 10, 2014 relating to the offering and sale of the Securities (the “Prospectus”);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certificate of incorporation and by-laws of the Selling Shareholder;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copy of the resolutions adopted by the Board of Directors of the Selling Shareholder dated November [7], 2014;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Specified Contracts (as defined below);</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21"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at the closing of the purchase and sale of the Securities to be sold by the Selling Shareholder pursuant to the Underwriting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notice dated November [·], 2014, pursuant to which the Underwriters elected to exercise their option to purchase Option Shares]; and</w:t>
      </w:r>
    </w:p>
    <w:p>
      <w:pPr>
        <w:spacing w:after="0" w:line="248" w:lineRule="exact"/>
        <w:rPr>
          <w:rFonts w:ascii="Arial" w:cs="Arial" w:eastAsia="Arial" w:hAnsi="Arial"/>
          <w:sz w:val="16"/>
          <w:szCs w:val="16"/>
          <w:color w:val="auto"/>
        </w:rPr>
      </w:pPr>
    </w:p>
    <w:p>
      <w:pPr>
        <w:ind w:left="1300" w:right="140" w:hanging="644"/>
        <w:spacing w:after="0" w:line="277" w:lineRule="auto"/>
        <w:tabs>
          <w:tab w:leader="none" w:pos="1321"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other documents, records and other instruments as we have deemed necessary or appropriate in order to deliver the opinions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225"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by the Selling Shareholder.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or on behalf of the Selling Shareholder.</w:t>
      </w:r>
    </w:p>
    <w:p>
      <w:pPr>
        <w:spacing w:after="0" w:line="225" w:lineRule="exact"/>
        <w:rPr>
          <w:rFonts w:ascii="Arial" w:cs="Arial" w:eastAsia="Arial" w:hAnsi="Arial"/>
          <w:sz w:val="18"/>
          <w:szCs w:val="18"/>
          <w:color w:val="auto"/>
        </w:rPr>
      </w:pPr>
    </w:p>
    <w:p>
      <w:pPr>
        <w:ind w:left="660" w:right="40" w:hanging="652"/>
        <w:spacing w:after="0" w:line="291"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by the Selling Shareholder, the Selling Shareholder Exchange (as defined in the Underwriting Agreement) and the sale by the Selling Shareholder of the Securities in accordance with the provisions of the Underwriting Agreement, do not and will not (i) result in any breach of any of the terms and provisions of, or constitute a default (or an event which with notice or lapse of time, or both, would constitute a default) under, any agreement listed on the Specified Contract Schedule (the “Specified Contracts”), it being expressly understood that in each case we express no opinion as to compliance with any financial covenant or test or cross-default provision in any Specified Contract, (ii) violate or conflict with any of the terms or provisions of the certificate of incorporation, by-laws, and/or other organizational document of the Selling Shareholder, (iii) violate or conflict with any judgment, decree or order identified to us by the Selling</w:t>
      </w:r>
    </w:p>
    <w:p>
      <w:pPr>
        <w:sectPr>
          <w:pgSz w:w="11900" w:h="16838" w:orient="portrait"/>
          <w:cols w:equalWidth="0" w:num="1">
            <w:col w:w="11420"/>
          </w:cols>
          <w:pgMar w:left="240" w:top="729" w:right="239" w:bottom="0" w:gutter="0" w:footer="0" w:header="0"/>
        </w:sectPr>
      </w:pPr>
    </w:p>
    <w:bookmarkStart w:id="29" w:name="page30"/>
    <w:bookmarkEnd w:id="29"/>
    <w:p>
      <w:pPr>
        <w:spacing w:after="0" w:line="83"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Shareholder (we note that none were identified) of any court or any judicial, regulatory or other legal or governmental agency or body having jurisdiction over the Selling Shareholder, or (iv) violate any Specified Law, except in the case of clause (i), for any such violation, conflict, breach or default which has been waived by the party or parties with power to waive such violation, conflict, breach or default, and except in each of the cases of clauses (i), (iii) and (iv), for any such violation, conflict, breach or default which, individually or in the aggregate, would not materially adversely affect the Selling Shareholder’s ability to perform its obligations under the Underwriting Agreement.</w:t>
      </w:r>
    </w:p>
    <w:p>
      <w:pPr>
        <w:spacing w:after="0" w:line="173" w:lineRule="exact"/>
        <w:rPr>
          <w:sz w:val="20"/>
          <w:szCs w:val="20"/>
          <w:color w:val="auto"/>
        </w:rPr>
      </w:pPr>
    </w:p>
    <w:p>
      <w:pPr>
        <w:ind w:left="660" w:right="320" w:hanging="652"/>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to be obtained by the Selling Shareholder under any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Law with respect to the Selling Shareholder Exchange, the sale of the Securities by the Selling Shareholder and the performance by the Selling Shareholder of its obligations under the Underwriting Agreement.</w:t>
      </w:r>
    </w:p>
    <w:p>
      <w:pPr>
        <w:spacing w:after="0" w:line="170" w:lineRule="exact"/>
        <w:rPr>
          <w:sz w:val="20"/>
          <w:szCs w:val="20"/>
          <w:color w:val="auto"/>
        </w:rPr>
      </w:pPr>
    </w:p>
    <w:p>
      <w:pPr>
        <w:ind w:left="660" w:right="60" w:hanging="652"/>
        <w:spacing w:after="0" w:line="284"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Upon payment for the Securities to be sold by the Selling Shareholder to the Underwriters pursuant to the Underwriting Agreement, delivery of such Securities, as directed by the Underwriters, to Cede &amp; Co. (“Cede”) or such other nominee as may be designated by The Depository Trust Company (“DTC”), registration of such Securities in the name of Cede or such other nominee and the crediting of such Securities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Securities; and (B) assuming such Underwriters have so acquired such security entitlement without notice of any adverse claim (within the meaning of Sections 8-102(a)(1) and 8-105 of the UCC) to such Securities, no action based on any adverse claim (within the meaning of Sections 8-102(a)</w:t>
      </w:r>
    </w:p>
    <w:p>
      <w:pPr>
        <w:spacing w:after="0" w:line="2" w:lineRule="exact"/>
        <w:rPr>
          <w:rFonts w:ascii="Arial" w:cs="Arial" w:eastAsia="Arial" w:hAnsi="Arial"/>
          <w:sz w:val="16"/>
          <w:szCs w:val="16"/>
          <w:color w:val="auto"/>
        </w:rPr>
      </w:pPr>
    </w:p>
    <w:p>
      <w:pPr>
        <w:ind w:left="660" w:right="60" w:hanging="4"/>
        <w:spacing w:after="0" w:line="290" w:lineRule="auto"/>
        <w:tabs>
          <w:tab w:leader="none" w:pos="915"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and 8-105 of the UCC) to such Securities may be asserted against such Underwriters. For purposes of our opinion in this paragraph 5, we have assumed that when such payment, delivery, registration and crediting occur, (x) the Securities being sold by the Selling Shareholder will have been registered in the name of Cede or such other nominee as may be designated by DTC, in each case on the Partnership’s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New York and (z) appropriate entries to the securities account or accounts in the name of such Underwriters on the records of DTC will have been made pursuant to the UCC.</w:t>
      </w:r>
    </w:p>
    <w:p>
      <w:pPr>
        <w:spacing w:after="0" w:line="164" w:lineRule="exact"/>
        <w:rPr>
          <w:rFonts w:ascii="Arial" w:cs="Arial" w:eastAsia="Arial" w:hAnsi="Arial"/>
          <w:sz w:val="16"/>
          <w:szCs w:val="16"/>
          <w:color w:val="auto"/>
        </w:rPr>
      </w:pPr>
    </w:p>
    <w:p>
      <w:pPr>
        <w:ind w:left="540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activities described in this letter, we have not undertaken any investigation to determine the facts upon which the advice in this letter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based.</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undertaken any investigation or search of court records for purposes of this letter. We have assumed for purposes of this letter that: each document we have reviewed for purposes of this letter is accurate and complete; each such document that is an original is authentic; each such document that is a copy conforms to an authentic original, and all signatures on each such document are genuine; the parties to the Underwriting Agreement, other than the Selling Shareholder, had the power, corporate or other, to enter into and perform all obligations thereunder; each such document was duly authorized by all requisite corporate action of parties, other than the Selling Shareholder, and such documents were duly executed and delivered by each party thereto, other than the Selling Shareholder; and you have acted in good faith and without notice of any fact which has caused you to reach any conclusion contrary to any of the advice provided in this letter.</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preparing this letter, we have relied without independent verification upon: (i) information contained in certificates obtained from governmental authorities; (ii) factual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information represented to be true in the Underwriting Agreement and other documents specifically identified at the beginning of this letter as having been read by us; (iii) factual information provided to us by the Selling Shareholder or its representatives; and (iv)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Whenever this letter provides advice about (or based upon) our knowledge of any particular information, such advice is based entirely on the actual knowledge at the time this letter is delivered on the date it bears by the lawyers with Kirkland &amp; Ellis LLP who have spent substantial time representing the Selling Shareholder in connection with the sale of the Securities effected pursuant to the Prospectus.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advice on any legal issue addressed in this letter is based exclusively on the internal law of the State of New York or the federal laws of the United States (collectively, the “Specified Laws”), without our having made any investigation as to the applicability of any specific law unless such advice expressly references a specific law, except that the opinions expressed in paragraph 5 of this letter are limited to the effect of Article 8 of the UCC. Our advice in this letter represents our opinion as to how that issue would be resolved were it to be considered by the highest court in the jurisdiction which enacted such law. None of the opinions or other advice contained in this letter considers or covers, and the term “Specified Law” does not include: (i) any disclosure requirement or any antifraud laws, rules or regulations or prohibition against misrepresentation, (ii) the federal securities, laws, rules and regulations and any state securities (or “blue sky”) laws, rules or regulations, (iii) laws, rules or regulations with respect to any financial statements or supporting schedules (or any notes to any such statements or schedules) or other financial information derived therefrom set forth in (or omitted from) the Registration Statement or the Prospectus, (iv) any laws, rules or regulations of the Financial Industry Regulatory Authority, Inc.; and (v) any laws, statutes, governmental rules or regulations or decisions which in our experience are not usually considered for or covered by opinions like those contained in this letter or are not generally applicable to transactions of the type covered by the Underwriting Agreement, including any specific to the industry in which you, the Company or the Selling Shareholder is engaged. We express no opinion as to what law might be applied by any courts to resolve any issue addressed by our opinion and we express no opinion as to whether any relevant difference exists between the laws upon which our opinions are based and any other laws which may actually be applied to resolve issues which may arise. The manner in which any particular issue would be treated in any actual court case would depend in part on facts and circumstances particular to the case and would also depend on how the court involved chose to exercise the wide discretionary authority generally available to it. This letter is not intended to guarantee the outcome of any legal dispute that may arise in the future.</w:t>
      </w:r>
    </w:p>
    <w:p>
      <w:pPr>
        <w:sectPr>
          <w:pgSz w:w="11900" w:h="16921" w:orient="portrait"/>
          <w:cols w:equalWidth="0" w:num="1">
            <w:col w:w="11420"/>
          </w:cols>
          <w:pgMar w:left="240" w:top="125" w:right="239" w:bottom="0" w:gutter="0" w:footer="0" w:header="0"/>
        </w:sectPr>
      </w:pPr>
    </w:p>
    <w:bookmarkStart w:id="30" w:name="page31"/>
    <w:bookmarkEnd w:id="30"/>
    <w:p>
      <w:pPr>
        <w:jc w:val="both"/>
        <w:ind w:right="120" w:firstLine="648"/>
        <w:spacing w:after="0" w:line="264" w:lineRule="auto"/>
        <w:rPr>
          <w:sz w:val="20"/>
          <w:szCs w:val="20"/>
          <w:color w:val="auto"/>
        </w:rPr>
      </w:pPr>
      <w:r>
        <w:rPr>
          <w:rFonts w:ascii="Arial" w:cs="Arial" w:eastAsia="Arial" w:hAnsi="Arial"/>
          <w:sz w:val="18"/>
          <w:szCs w:val="18"/>
          <w:color w:val="auto"/>
        </w:rPr>
        <w:t>This letter speaks as of the time of its delivery on the date it bears. We do not assume any obligation to provide you with any subsequent opinion or advice by reason of any fact about which we did not have actual knowledge at that time, by reason of any change subsequent to that time in any law covered by any of our opinions, or for any other reason.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letter is being provided to you pursuant to the provision in the Underwriting Agreement cited in the initial paragraph of this letter and may not be relied upon by you for any other purpose. Without our written consent: (i) no person (including any person that acquires Securities from you)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Kirkland &amp; Ellis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10, 2014</w:t>
      </w:r>
    </w:p>
    <w:p>
      <w:pPr>
        <w:spacing w:after="0" w:line="225" w:lineRule="exact"/>
        <w:rPr>
          <w:sz w:val="20"/>
          <w:szCs w:val="20"/>
          <w:color w:val="auto"/>
        </w:rPr>
      </w:pPr>
    </w:p>
    <w:p>
      <w:pPr>
        <w:ind w:right="60" w:firstLine="667"/>
        <w:spacing w:after="0" w:line="276" w:lineRule="auto"/>
        <w:rPr>
          <w:sz w:val="20"/>
          <w:szCs w:val="20"/>
          <w:color w:val="auto"/>
        </w:rPr>
      </w:pPr>
      <w:r>
        <w:rPr>
          <w:rFonts w:ascii="Arial" w:cs="Arial" w:eastAsia="Arial" w:hAnsi="Arial"/>
          <w:sz w:val="17"/>
          <w:szCs w:val="17"/>
          <w:color w:val="auto"/>
        </w:rPr>
        <w:t>The undersigned, in his capacity as the Chief Financial Officer of PAA GP Holdings LLC, a Delaware limited liability company and the general partner (the “</w:t>
      </w:r>
      <w:r>
        <w:rPr>
          <w:rFonts w:ascii="Arial" w:cs="Arial" w:eastAsia="Arial" w:hAnsi="Arial"/>
          <w:sz w:val="17"/>
          <w:szCs w:val="17"/>
          <w:b w:val="1"/>
          <w:bCs w:val="1"/>
          <w:color w:val="auto"/>
        </w:rPr>
        <w:t>General Partner</w:t>
      </w:r>
      <w:r>
        <w:rPr>
          <w:rFonts w:ascii="Arial" w:cs="Arial" w:eastAsia="Arial" w:hAnsi="Arial"/>
          <w:sz w:val="17"/>
          <w:szCs w:val="17"/>
          <w:color w:val="auto"/>
        </w:rPr>
        <w:t>”) of Plains GP Holdings, L.P., a Delaware limited partnership (the “</w:t>
      </w:r>
      <w:r>
        <w:rPr>
          <w:rFonts w:ascii="Arial" w:cs="Arial" w:eastAsia="Arial" w:hAnsi="Arial"/>
          <w:sz w:val="17"/>
          <w:szCs w:val="17"/>
          <w:b w:val="1"/>
          <w:bCs w:val="1"/>
          <w:color w:val="auto"/>
        </w:rPr>
        <w:t>Partnership</w:t>
      </w:r>
      <w:r>
        <w:rPr>
          <w:rFonts w:ascii="Arial" w:cs="Arial" w:eastAsia="Arial" w:hAnsi="Arial"/>
          <w:sz w:val="17"/>
          <w:szCs w:val="17"/>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2014. In addition, as of the date of this certificate, the total debt of the Partnership and its consolidated subsidiaries is approximately $9.2 billion.</w:t>
      </w:r>
    </w:p>
    <w:p>
      <w:pPr>
        <w:spacing w:after="0" w:line="173" w:lineRule="exact"/>
        <w:rPr>
          <w:sz w:val="20"/>
          <w:szCs w:val="20"/>
          <w:color w:val="auto"/>
        </w:rPr>
      </w:pPr>
    </w:p>
    <w:p>
      <w:pPr>
        <w:jc w:val="both"/>
        <w:ind w:right="40" w:firstLine="667"/>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Oxy Holding Company (Pipeline), Inc., the Partnership and the General Partner and J.P. Morgan Securities LLC and Citigroup Global Markets Inc., as the representatives of the several Underwriters.</w:t>
      </w:r>
    </w:p>
    <w:p>
      <w:pPr>
        <w:spacing w:after="0" w:line="181" w:lineRule="exact"/>
        <w:rPr>
          <w:sz w:val="20"/>
          <w:szCs w:val="20"/>
          <w:color w:val="auto"/>
        </w:rPr>
      </w:pPr>
    </w:p>
    <w:p>
      <w:pPr>
        <w:ind w:right="20" w:firstLine="667"/>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Shares covered by the Registration Statement, the Pricing Disclosure Package and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acted as counsel to Plains GP Holdings, L.P., a Delaware limited partnership (the “Partnership”), in connection with the preparation and filing of a registration statement on Form S-3 (the “Registration Statement”) and a prospectus dated November 10, 2014 (the “Prospectus”) by the Partnership relating to the offer and sale (the “Offering”) of an aggregate of 69,000,000 Class A shares representing limited partner interests in the Partnership (the “Shares”) by the selling shareholder (the “Selling Shareholder”), which includes 9,000,000 Shares to be sold pursuant to the underwriters’ option to purchase additional Shares.</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the basis for the opinion hereinafter expressed, we examined (i) such statutes, including the Delaware Revised Uniform Limited Partnership Act (the “Delaware LP Act”), (ii) the Underwriting Agreement, dated November 10, 2014, by and between the Partnership, the Selling Shareholder and the other parties thereto (the “Underwriting Agreement”), and (iii) the Partnership’s records and documents, certificates of the Partnership and public officials, and other instruments and documents as we deemed necessary or advisable for the purposes of this opinion. In such examination, we have assumed the authenticity of all documents submitted to us as originals and the conformity with the original documents of all documents submitted to us as copies.</w:t>
      </w:r>
    </w:p>
    <w:p>
      <w:pPr>
        <w:spacing w:after="0" w:line="15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Based on the foregoing and on such legal considerations as we deem relevant, we are of the opinion that the Shares, when issued and delivered against payment therefor as described in the Registration Statement, Prospectus and Underwriting Agreement, will be duly authorized, validly issued, fully paid and non-assessable.</w:t>
      </w:r>
    </w:p>
    <w:p>
      <w:pPr>
        <w:spacing w:after="0" w:line="18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foregoing opinion is limited to the federal laws of the United States of America, the Constitution of the State of Delaware and the Delaware LP Act, each as interpreted by the courts of the State of Delaware, and we are expressing no opinion as to the effect of the laws of any other jurisdiction.</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By giving this consent, we do not admit that we are within the category of persons whose consent is required under Section 7 of the Securities Act and the rules and regulations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lowerLetter"/>
      <w:start w:val="4"/>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
    <w:nsid w:val="579478FE"/>
    <w:multiLevelType w:val="hybridMultilevel"/>
    <w:lvl w:ilvl="0">
      <w:lvlJc w:val="left"/>
      <w:lvlText w:val="(%1)"/>
      <w:numFmt w:val="upperLetter"/>
      <w:start w:val="3"/>
    </w:lvl>
  </w:abstractNum>
  <w:abstractNum w:abstractNumId="4">
    <w:nsid w:val="749ABB43"/>
    <w:multiLevelType w:val="hybridMultilevel"/>
    <w:lvl w:ilvl="0">
      <w:lvlJc w:val="left"/>
      <w:lvlText w:val="(%1)"/>
      <w:numFmt w:val="upperLetter"/>
      <w:start w:val="5"/>
    </w:lvl>
  </w:abstractNum>
  <w:abstractNum w:abstractNumId="5">
    <w:nsid w:val="3DC240FB"/>
    <w:multiLevelType w:val="hybridMultilevel"/>
    <w:lvl w:ilvl="0">
      <w:lvlJc w:val="left"/>
      <w:lvlText w:val="(%1)"/>
      <w:numFmt w:val="upperLetter"/>
      <w:start w:val="7"/>
    </w:lvl>
  </w:abstractNum>
  <w:abstractNum w:abstractNumId="6">
    <w:nsid w:val="1BA026FA"/>
    <w:multiLevelType w:val="hybridMultilevel"/>
    <w:lvl w:ilvl="0">
      <w:lvlJc w:val="left"/>
      <w:lvlText w:val="(%1)"/>
      <w:numFmt w:val="lowerRoman"/>
      <w:start w:val="2"/>
    </w:lvl>
  </w:abstractNum>
  <w:abstractNum w:abstractNumId="7">
    <w:nsid w:val="79A1DEAA"/>
    <w:multiLevelType w:val="hybridMultilevel"/>
    <w:lvl w:ilvl="0">
      <w:lvlJc w:val="left"/>
      <w:lvlText w:val="(%1)"/>
      <w:numFmt w:val="lowerRoman"/>
      <w:start w:val="3"/>
    </w:lvl>
  </w:abstractNum>
  <w:abstractNum w:abstractNumId="8">
    <w:nsid w:val="75C6C33A"/>
    <w:multiLevelType w:val="hybridMultilevel"/>
    <w:lvl w:ilvl="0">
      <w:lvlJc w:val="left"/>
      <w:lvlText w:val="(%1)"/>
      <w:numFmt w:val="lowerRoman"/>
      <w:start w:val="8"/>
    </w:lvl>
  </w:abstractNum>
  <w:abstractNum w:abstractNumId="9">
    <w:nsid w:val="12E685FB"/>
    <w:multiLevelType w:val="hybridMultilevel"/>
    <w:lvl w:ilvl="0">
      <w:lvlJc w:val="left"/>
      <w:lvlText w:val="(%1)"/>
      <w:numFmt w:val="lowerRoman"/>
      <w:start w:val="11"/>
    </w:lvl>
  </w:abstractNum>
  <w:abstractNum w:abstractNumId="10">
    <w:nsid w:val="70C6A529"/>
    <w:multiLevelType w:val="hybridMultilevel"/>
    <w:lvl w:ilvl="0">
      <w:lvlJc w:val="left"/>
      <w:lvlText w:val="(%1)"/>
      <w:numFmt w:val="lowerRoman"/>
      <w:start w:val="15"/>
    </w:lvl>
  </w:abstractNum>
  <w:abstractNum w:abstractNumId="11">
    <w:nsid w:val="520EEDD1"/>
    <w:multiLevelType w:val="hybridMultilevel"/>
    <w:lvl w:ilvl="0">
      <w:lvlJc w:val="left"/>
      <w:lvlText w:val="(%1)"/>
      <w:numFmt w:val="lowerRoman"/>
      <w:start w:val="19"/>
    </w:lvl>
  </w:abstractNum>
  <w:abstractNum w:abstractNumId="12">
    <w:nsid w:val="374A3FE6"/>
    <w:multiLevelType w:val="hybridMultilevel"/>
    <w:lvl w:ilvl="0">
      <w:lvlJc w:val="left"/>
      <w:lvlText w:val="(%1)"/>
      <w:numFmt w:val="lowerRoman"/>
      <w:start w:val="22"/>
    </w:lvl>
  </w:abstractNum>
  <w:abstractNum w:abstractNumId="13">
    <w:nsid w:val="4F4EF005"/>
    <w:multiLevelType w:val="hybridMultilevel"/>
    <w:lvl w:ilvl="0">
      <w:lvlJc w:val="left"/>
      <w:lvlText w:val="%1"/>
      <w:numFmt w:val="upperLetter"/>
      <w:start w:val="1"/>
    </w:lvl>
    <w:lvl w:ilvl="1">
      <w:lvlJc w:val="left"/>
      <w:lvlText w:val="(%2)"/>
      <w:numFmt w:val="lowerRoman"/>
      <w:start w:val="27"/>
    </w:lvl>
  </w:abstractNum>
  <w:abstractNum w:abstractNumId="14">
    <w:nsid w:val="23F9C13C"/>
    <w:multiLevelType w:val="hybridMultilevel"/>
    <w:lvl w:ilvl="0">
      <w:lvlJc w:val="left"/>
      <w:lvlText w:val="(%1)"/>
      <w:numFmt w:val="upperLetter"/>
      <w:start w:val="4"/>
    </w:lvl>
    <w:lvl w:ilvl="1">
      <w:lvlJc w:val="left"/>
      <w:lvlText w:val="(%2)"/>
      <w:numFmt w:val="lowerRoman"/>
      <w:start w:val="28"/>
    </w:lvl>
  </w:abstractNum>
  <w:abstractNum w:abstractNumId="15">
    <w:nsid w:val="649BB77C"/>
    <w:multiLevelType w:val="hybridMultilevel"/>
    <w:lvl w:ilvl="0">
      <w:lvlJc w:val="left"/>
      <w:lvlText w:val="(%1)"/>
      <w:numFmt w:val="lowerRoman"/>
      <w:start w:val="30"/>
    </w:lvl>
  </w:abstractNum>
  <w:abstractNum w:abstractNumId="16">
    <w:nsid w:val="275AC794"/>
    <w:multiLevelType w:val="hybridMultilevel"/>
    <w:lvl w:ilvl="0">
      <w:lvlJc w:val="left"/>
      <w:lvlText w:val="%1"/>
      <w:numFmt w:val="lowerRoman"/>
      <w:start w:val="1"/>
    </w:lvl>
    <w:lvl w:ilvl="1">
      <w:lvlJc w:val="left"/>
      <w:lvlText w:val="(%2)"/>
      <w:numFmt w:val="lowerRoman"/>
      <w:start w:val="33"/>
    </w:lvl>
  </w:abstractNum>
  <w:abstractNum w:abstractNumId="17">
    <w:nsid w:val="39386575"/>
    <w:multiLevelType w:val="hybridMultilevel"/>
    <w:lvl w:ilvl="0">
      <w:lvlJc w:val="left"/>
      <w:lvlText w:val="(%1)"/>
      <w:numFmt w:val="lowerRoman"/>
      <w:start w:val="2"/>
    </w:lvl>
    <w:lvl w:ilvl="1">
      <w:lvlJc w:val="left"/>
      <w:lvlText w:val="(%2)"/>
      <w:numFmt w:val="lowerRoman"/>
      <w:start w:val="35"/>
    </w:lvl>
  </w:abstractNum>
  <w:abstractNum w:abstractNumId="18">
    <w:nsid w:val="1CF10FD8"/>
    <w:multiLevelType w:val="hybridMultilevel"/>
    <w:lvl w:ilvl="0">
      <w:lvlJc w:val="left"/>
      <w:lvlText w:val="(%1)"/>
      <w:numFmt w:val="lowerRoman"/>
      <w:start w:val="36"/>
    </w:lvl>
  </w:abstractNum>
  <w:abstractNum w:abstractNumId="19">
    <w:nsid w:val="180115BE"/>
    <w:multiLevelType w:val="hybridMultilevel"/>
    <w:lvl w:ilvl="0">
      <w:lvlJc w:val="left"/>
      <w:lvlText w:val="%1"/>
      <w:numFmt w:val="lowerRoman"/>
      <w:start w:val="1"/>
    </w:lvl>
    <w:lvl w:ilvl="1">
      <w:lvlJc w:val="left"/>
      <w:lvlText w:val="(%2)"/>
      <w:numFmt w:val="lowerRoman"/>
      <w:start w:val="37"/>
    </w:lvl>
  </w:abstractNum>
  <w:abstractNum w:abstractNumId="20">
    <w:nsid w:val="235BA861"/>
    <w:multiLevelType w:val="hybridMultilevel"/>
    <w:lvl w:ilvl="0">
      <w:lvlJc w:val="left"/>
      <w:lvlText w:val="(%1)"/>
      <w:numFmt w:val="lowerRoman"/>
      <w:start w:val="2"/>
    </w:lvl>
    <w:lvl w:ilvl="1">
      <w:lvlJc w:val="left"/>
      <w:lvlText w:val="(%2)"/>
      <w:numFmt w:val="lowerRoman"/>
      <w:start w:val="38"/>
    </w:lvl>
  </w:abstractNum>
  <w:abstractNum w:abstractNumId="21">
    <w:nsid w:val="47398C89"/>
    <w:multiLevelType w:val="hybridMultilevel"/>
    <w:lvl w:ilvl="0">
      <w:lvlJc w:val="left"/>
      <w:lvlText w:val="(%1)"/>
      <w:numFmt w:val="lowerRoman"/>
      <w:start w:val="39"/>
    </w:lvl>
  </w:abstractNum>
  <w:abstractNum w:abstractNumId="22">
    <w:nsid w:val="354FE9F9"/>
    <w:multiLevelType w:val="hybridMultilevel"/>
    <w:lvl w:ilvl="0">
      <w:lvlJc w:val="left"/>
      <w:lvlText w:val="(%1)"/>
      <w:numFmt w:val="lowerRoman"/>
      <w:start w:val="2"/>
    </w:lvl>
  </w:abstractNum>
  <w:abstractNum w:abstractNumId="23">
    <w:nsid w:val="15B5AF5C"/>
    <w:multiLevelType w:val="hybridMultilevel"/>
    <w:lvl w:ilvl="0">
      <w:lvlJc w:val="left"/>
      <w:lvlText w:val="(%1)"/>
      <w:numFmt w:val="lowerLetter"/>
      <w:start w:val="12"/>
    </w:lvl>
  </w:abstractNum>
  <w:abstractNum w:abstractNumId="24">
    <w:nsid w:val="741226BB"/>
    <w:multiLevelType w:val="hybridMultilevel"/>
    <w:lvl w:ilvl="0">
      <w:lvlJc w:val="left"/>
      <w:lvlText w:val="(%1)"/>
      <w:numFmt w:val="lowerLetter"/>
      <w:start w:val="2"/>
    </w:lvl>
    <w:lvl w:ilvl="1">
      <w:lvlJc w:val="left"/>
      <w:lvlText w:val="(%2)"/>
      <w:numFmt w:val="lowerRoman"/>
      <w:start w:val="1"/>
    </w:lvl>
  </w:abstractNum>
  <w:abstractNum w:abstractNumId="25">
    <w:nsid w:val="D34B6A8"/>
    <w:multiLevelType w:val="hybridMultilevel"/>
    <w:lvl w:ilvl="0">
      <w:lvlJc w:val="left"/>
      <w:lvlText w:val="(%1)"/>
      <w:numFmt w:val="lowerRoman"/>
      <w:start w:val="3"/>
    </w:lvl>
  </w:abstractNum>
  <w:abstractNum w:abstractNumId="26">
    <w:nsid w:val="10233C99"/>
    <w:multiLevelType w:val="hybridMultilevel"/>
    <w:lvl w:ilvl="0">
      <w:lvlJc w:val="left"/>
      <w:lvlText w:val="(%1)"/>
      <w:numFmt w:val="lowerRoman"/>
      <w:start w:val="4"/>
    </w:lvl>
  </w:abstractNum>
  <w:abstractNum w:abstractNumId="27">
    <w:nsid w:val="3F6AB60F"/>
    <w:multiLevelType w:val="hybridMultilevel"/>
    <w:lvl w:ilvl="0">
      <w:lvlJc w:val="left"/>
      <w:lvlText w:val="%1"/>
      <w:numFmt w:val="upperLetter"/>
      <w:start w:val="1"/>
    </w:lvl>
    <w:lvl w:ilvl="1">
      <w:lvlJc w:val="left"/>
      <w:lvlText w:val="(%2)"/>
      <w:numFmt w:val="lowerRoman"/>
      <w:start w:val="5"/>
    </w:lvl>
  </w:abstractNum>
  <w:abstractNum w:abstractNumId="28">
    <w:nsid w:val="61574095"/>
    <w:multiLevelType w:val="hybridMultilevel"/>
    <w:lvl w:ilvl="0">
      <w:lvlJc w:val="left"/>
      <w:lvlText w:val="(%1)"/>
      <w:numFmt w:val="upperLetter"/>
      <w:start w:val="1"/>
    </w:lvl>
    <w:lvl w:ilvl="1">
      <w:lvlJc w:val="left"/>
      <w:lvlText w:val="(%2)"/>
      <w:numFmt w:val="lowerRoman"/>
      <w:start w:val="7"/>
    </w:lvl>
  </w:abstractNum>
  <w:abstractNum w:abstractNumId="29">
    <w:nsid w:val="7E0C57B1"/>
    <w:multiLevelType w:val="hybridMultilevel"/>
    <w:lvl w:ilvl="0">
      <w:lvlJc w:val="left"/>
      <w:lvlText w:val="%1."/>
      <w:numFmt w:val="decimal"/>
      <w:start w:val="2"/>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decimal"/>
      <w:start w:val="3"/>
    </w:lvl>
  </w:abstractNum>
  <w:abstractNum w:abstractNumId="32">
    <w:nsid w:val="310C50B3"/>
    <w:multiLevelType w:val="hybridMultilevel"/>
    <w:lvl w:ilvl="0">
      <w:lvlJc w:val="left"/>
      <w:lvlText w:val="%1."/>
      <w:numFmt w:val="decimal"/>
      <w:start w:val="4"/>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lowerRoman"/>
      <w:start w:val="1"/>
    </w:lvl>
    <w:lvl w:ilvl="1">
      <w:lvlJc w:val="left"/>
      <w:lvlText w:val="(%2)"/>
      <w:numFmt w:val="lowerLetter"/>
      <w:start w:val="2"/>
    </w:lvl>
  </w:abstractNum>
  <w:abstractNum w:abstractNumId="35">
    <w:nsid w:val="25A70BF7"/>
    <w:multiLevelType w:val="hybridMultilevel"/>
    <w:lvl w:ilvl="0">
      <w:lvlJc w:val="left"/>
      <w:lvlText w:val="(%1)"/>
      <w:numFmt w:val="lowerRoman"/>
      <w:start w:val="4"/>
    </w:lvl>
    <w:lvl w:ilvl="1">
      <w:lvlJc w:val="left"/>
      <w:lvlText w:val="(%2)"/>
      <w:numFmt w:val="lowerLetter"/>
      <w:start w:val="4"/>
    </w:lvl>
  </w:abstractNum>
  <w:abstractNum w:abstractNumId="36">
    <w:nsid w:val="1DBABF00"/>
    <w:multiLevelType w:val="hybridMultilevel"/>
    <w:lvl w:ilvl="0">
      <w:lvlJc w:val="left"/>
      <w:lvlText w:val="(%1)"/>
      <w:numFmt w:val="lowerLetter"/>
      <w:start w:val="5"/>
    </w:lvl>
  </w:abstractNum>
  <w:abstractNum w:abstractNumId="37">
    <w:nsid w:val="4AD084E9"/>
    <w:multiLevelType w:val="hybridMultilevel"/>
    <w:lvl w:ilvl="0">
      <w:lvlJc w:val="left"/>
      <w:lvlText w:val="(%1)"/>
      <w:numFmt w:val="lowerLetter"/>
      <w:start w:val="6"/>
    </w:lvl>
  </w:abstractNum>
  <w:abstractNum w:abstractNumId="38">
    <w:nsid w:val="1F48EAA1"/>
    <w:multiLevelType w:val="hybridMultilevel"/>
    <w:lvl w:ilvl="0">
      <w:lvlJc w:val="left"/>
      <w:lvlText w:val="(%1)"/>
      <w:numFmt w:val="lowerLetter"/>
      <w:start w:val="7"/>
    </w:lvl>
  </w:abstractNum>
  <w:abstractNum w:abstractNumId="39">
    <w:nsid w:val="1381823A"/>
    <w:multiLevelType w:val="hybridMultilevel"/>
    <w:lvl w:ilvl="0">
      <w:lvlJc w:val="left"/>
      <w:lvlText w:val="(%1)"/>
      <w:numFmt w:val="lowerLetter"/>
      <w:start w:val="10"/>
    </w:lvl>
  </w:abstractNum>
  <w:abstractNum w:abstractNumId="40">
    <w:nsid w:val="5DB70AE5"/>
    <w:multiLevelType w:val="hybridMultilevel"/>
    <w:lvl w:ilvl="0">
      <w:lvlJc w:val="left"/>
      <w:lvlText w:val="(%1)"/>
      <w:numFmt w:val="lowerLetter"/>
      <w:start w:val="11"/>
    </w:lvl>
  </w:abstractNum>
  <w:abstractNum w:abstractNumId="41">
    <w:nsid w:val="100F8FCA"/>
    <w:multiLevelType w:val="hybridMultilevel"/>
    <w:lvl w:ilvl="0">
      <w:lvlJc w:val="left"/>
      <w:lvlText w:val="(%1)"/>
      <w:numFmt w:val="lowerLetter"/>
      <w:start w:val="16"/>
    </w:lvl>
  </w:abstractNum>
  <w:abstractNum w:abstractNumId="42">
    <w:nsid w:val="6590700B"/>
    <w:multiLevelType w:val="hybridMultilevel"/>
    <w:lvl w:ilvl="0">
      <w:lvlJc w:val="left"/>
      <w:lvlText w:val="%1."/>
      <w:numFmt w:val="decimal"/>
      <w:start w:val="6"/>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4"/>
    </w:lvl>
  </w:abstractNum>
  <w:abstractNum w:abstractNumId="45">
    <w:nsid w:val="98A3148"/>
    <w:multiLevelType w:val="hybridMultilevel"/>
    <w:lvl w:ilvl="0">
      <w:lvlJc w:val="left"/>
      <w:lvlText w:val="%1."/>
      <w:numFmt w:val="decimal"/>
      <w:start w:val="7"/>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1)"/>
      <w:numFmt w:val="lowerLetter"/>
      <w:start w:val="2"/>
    </w:lvl>
  </w:abstractNum>
  <w:abstractNum w:abstractNumId="48">
    <w:nsid w:val="42C296BD"/>
    <w:multiLevelType w:val="hybridMultilevel"/>
    <w:lvl w:ilvl="0">
      <w:lvlJc w:val="left"/>
      <w:lvlText w:val="(%1)"/>
      <w:numFmt w:val="lowerLetter"/>
      <w:start w:val="4"/>
    </w:lvl>
  </w:abstractNum>
  <w:abstractNum w:abstractNumId="49">
    <w:nsid w:val="168E121F"/>
    <w:multiLevelType w:val="hybridMultilevel"/>
    <w:lvl w:ilvl="0">
      <w:lvlJc w:val="left"/>
      <w:lvlText w:val="(%1)"/>
      <w:numFmt w:val="lowerLetter"/>
      <w:start w:val="35"/>
    </w:lvl>
    <w:lvl w:ilvl="1">
      <w:lvlJc w:val="left"/>
      <w:lvlText w:val="(%2)"/>
      <w:numFmt w:val="lowerLetter"/>
      <w:start w:val="6"/>
    </w:lvl>
  </w:abstractNum>
  <w:abstractNum w:abstractNumId="50">
    <w:nsid w:val="1EBA5D23"/>
    <w:multiLevelType w:val="hybridMultilevel"/>
    <w:lvl w:ilvl="0">
      <w:lvlJc w:val="left"/>
      <w:lvlText w:val="(%1)"/>
      <w:numFmt w:val="lowerLetter"/>
      <w:start w:val="8"/>
    </w:lvl>
  </w:abstractNum>
  <w:abstractNum w:abstractNumId="51">
    <w:nsid w:val="661E3F1E"/>
    <w:multiLevelType w:val="hybridMultilevel"/>
    <w:lvl w:ilvl="0">
      <w:lvlJc w:val="left"/>
      <w:lvlText w:val="%1."/>
      <w:numFmt w:val="decimal"/>
      <w:start w:val="8"/>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3"/>
    </w:lvl>
  </w:abstractNum>
  <w:abstractNum w:abstractNumId="54">
    <w:nsid w:val="7BD3EE7B"/>
    <w:multiLevelType w:val="hybridMultilevel"/>
    <w:lvl w:ilvl="0">
      <w:lvlJc w:val="left"/>
      <w:lvlText w:val="%1"/>
      <w:numFmt w:val="upperLetter"/>
      <w:start w:val="1"/>
    </w:lvl>
    <w:lvl w:ilvl="1">
      <w:lvlJc w:val="left"/>
      <w:lvlText w:val="(%2)"/>
      <w:numFmt w:val="lowerRoman"/>
      <w:start w:val="1"/>
    </w:lvl>
  </w:abstractNum>
  <w:abstractNum w:abstractNumId="55">
    <w:nsid w:val="51D9C564"/>
    <w:multiLevelType w:val="hybridMultilevel"/>
    <w:lvl w:ilvl="0">
      <w:lvlJc w:val="left"/>
      <w:lvlText w:val="(%1)"/>
      <w:numFmt w:val="upperLetter"/>
      <w:start w:val="3"/>
    </w:lvl>
    <w:lvl w:ilvl="1">
      <w:lvlJc w:val="left"/>
      <w:lvlText w:val="%2"/>
      <w:numFmt w:val="lowerRoman"/>
      <w:start w:val="1"/>
    </w:lvl>
  </w:abstractNum>
  <w:abstractNum w:abstractNumId="56">
    <w:nsid w:val="613EFDC5"/>
    <w:multiLevelType w:val="hybridMultilevel"/>
    <w:lvl w:ilvl="0">
      <w:lvlJc w:val="left"/>
      <w:lvlText w:val="(%1)"/>
      <w:numFmt w:val="lowerLetter"/>
      <w:start w:val="11"/>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decimal"/>
      <w:start w:val="9"/>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2"/>
    </w:lvl>
  </w:abstractNum>
  <w:abstractNum w:abstractNumId="61">
    <w:nsid w:val="8F2B15E"/>
    <w:multiLevelType w:val="hybridMultilevel"/>
    <w:lvl w:ilvl="0">
      <w:lvlJc w:val="left"/>
      <w:lvlText w:val="%1."/>
      <w:numFmt w:val="decimal"/>
      <w:start w:val="10"/>
    </w:lvl>
  </w:abstractNum>
  <w:abstractNum w:abstractNumId="62">
    <w:nsid w:val="1A32234B"/>
    <w:multiLevelType w:val="hybridMultilevel"/>
    <w:lvl w:ilvl="0">
      <w:lvlJc w:val="left"/>
      <w:lvlText w:val="%1."/>
      <w:numFmt w:val="decimal"/>
      <w:start w:val="11"/>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2"/>
    </w:lvl>
  </w:abstractNum>
  <w:abstractNum w:abstractNumId="65">
    <w:nsid w:val="4962813B"/>
    <w:multiLevelType w:val="hybridMultilevel"/>
    <w:lvl w:ilvl="0">
      <w:lvlJc w:val="left"/>
      <w:lvlText w:val="%1."/>
      <w:numFmt w:val="decimal"/>
      <w:start w:val="13"/>
    </w:lvl>
  </w:abstractNum>
  <w:abstractNum w:abstractNumId="66">
    <w:nsid w:val="60B6DF70"/>
    <w:multiLevelType w:val="hybridMultilevel"/>
    <w:lvl w:ilvl="0">
      <w:lvlJc w:val="left"/>
      <w:lvlText w:val="%1."/>
      <w:numFmt w:val="decimal"/>
      <w:start w:val="14"/>
    </w:lvl>
  </w:abstractNum>
  <w:abstractNum w:abstractNumId="67">
    <w:nsid w:val="6A5EE64"/>
    <w:multiLevelType w:val="hybridMultilevel"/>
    <w:lvl w:ilvl="0">
      <w:lvlJc w:val="left"/>
      <w:lvlText w:val="%1"/>
      <w:numFmt w:val="lowerRoman"/>
      <w:start w:val="1"/>
    </w:lvl>
    <w:lvl w:ilvl="1">
      <w:lvlJc w:val="left"/>
      <w:lvlText w:val="%2."/>
      <w:numFmt w:val="decimal"/>
      <w:start w:val="15"/>
    </w:lvl>
  </w:abstractNum>
  <w:abstractNum w:abstractNumId="68">
    <w:nsid w:val="14330624"/>
    <w:multiLevelType w:val="hybridMultilevel"/>
    <w:lvl w:ilvl="0">
      <w:lvlJc w:val="left"/>
      <w:lvlText w:val="(%1)"/>
      <w:numFmt w:val="lowerRoman"/>
      <w:start w:val="2"/>
    </w:lvl>
    <w:lvl w:ilvl="1">
      <w:lvlJc w:val="left"/>
      <w:lvlText w:val="%2"/>
      <w:numFmt w:val="decimal"/>
      <w:start w:val="1"/>
    </w:lvl>
  </w:abstractNum>
  <w:abstractNum w:abstractNumId="69">
    <w:nsid w:val="7FFFCA11"/>
    <w:multiLevelType w:val="hybridMultilevel"/>
    <w:lvl w:ilvl="0">
      <w:lvlJc w:val="left"/>
      <w:lvlText w:val="(%1)"/>
      <w:numFmt w:val="lowerRoman"/>
      <w:start w:val="4"/>
    </w:lvl>
    <w:lvl w:ilvl="1">
      <w:lvlJc w:val="left"/>
      <w:lvlText w:val="%2."/>
      <w:numFmt w:val="decimal"/>
      <w:start w:val="19"/>
    </w:lvl>
  </w:abstractNum>
  <w:abstractNum w:abstractNumId="70">
    <w:nsid w:val="1A27709E"/>
    <w:multiLevelType w:val="hybridMultilevel"/>
    <w:lvl w:ilvl="0">
      <w:lvlJc w:val="left"/>
      <w:lvlText w:val="%1."/>
      <w:numFmt w:val="decimal"/>
      <w:start w:val="20"/>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1)"/>
      <w:numFmt w:val="lowerRoman"/>
      <w:start w:val="1"/>
    </w:lvl>
  </w:abstractNum>
  <w:abstractNum w:abstractNumId="74">
    <w:nsid w:val="6EB5BD4"/>
    <w:multiLevelType w:val="hybridMultilevel"/>
    <w:lvl w:ilvl="0">
      <w:lvlJc w:val="left"/>
      <w:lvlText w:val="(%1)"/>
      <w:numFmt w:val="lowerRoman"/>
      <w:start w:val="6"/>
    </w:lvl>
  </w:abstractNum>
  <w:abstractNum w:abstractNumId="75">
    <w:nsid w:val="6F6DD9AC"/>
    <w:multiLevelType w:val="hybridMultilevel"/>
    <w:lvl w:ilvl="0">
      <w:lvlJc w:val="left"/>
      <w:lvlText w:val="%1"/>
      <w:numFmt w:val="lowerLetter"/>
      <w:start w:val="1"/>
    </w:lvl>
    <w:lvl w:ilvl="1">
      <w:lvlJc w:val="left"/>
      <w:lvlText w:val="(%2)"/>
      <w:numFmt w:val="lowerRoman"/>
      <w:start w:val="8"/>
    </w:lvl>
  </w:abstractNum>
  <w:abstractNum w:abstractNumId="76">
    <w:nsid w:val="94211F2"/>
    <w:multiLevelType w:val="hybridMultilevel"/>
    <w:lvl w:ilvl="0">
      <w:lvlJc w:val="left"/>
      <w:lvlText w:val="(%1)"/>
      <w:numFmt w:val="lowerLetter"/>
      <w:start w:val="1"/>
    </w:lvl>
    <w:lvl w:ilvl="1">
      <w:lvlJc w:val="left"/>
      <w:lvlText w:val="%2"/>
      <w:numFmt w:val="lowerRoman"/>
      <w:start w:val="1"/>
    </w:lvl>
  </w:abstractNum>
  <w:abstractNum w:abstractNumId="77">
    <w:nsid w:val="885E1B"/>
    <w:multiLevelType w:val="hybridMultilevel"/>
    <w:lvl w:ilvl="0">
      <w:lvlJc w:val="left"/>
      <w:lvlText w:val="(%1)"/>
      <w:numFmt w:val="upperLetter"/>
      <w:start w:val="2"/>
    </w:lvl>
    <w:lvl w:ilvl="1">
      <w:lvlJc w:val="left"/>
      <w:lvlText w:val="(%2)"/>
      <w:numFmt w:val="lowerRoman"/>
      <w:start w:val="10"/>
    </w:lvl>
  </w:abstractNum>
  <w:abstractNum w:abstractNumId="78">
    <w:nsid w:val="76272110"/>
    <w:multiLevelType w:val="hybridMultilevel"/>
    <w:lvl w:ilvl="0">
      <w:lvlJc w:val="left"/>
      <w:lvlText w:val="(%1)"/>
      <w:numFmt w:val="lowerRoman"/>
      <w:start w:val="14"/>
    </w:lvl>
  </w:abstractNum>
  <w:abstractNum w:abstractNumId="79">
    <w:nsid w:val="4C04A8AF"/>
    <w:multiLevelType w:val="hybridMultilevel"/>
    <w:lvl w:ilvl="0">
      <w:lvlJc w:val="left"/>
      <w:lvlText w:val="(%1)"/>
      <w:numFmt w:val="lowerRoman"/>
      <w:start w:val="17"/>
    </w:lvl>
  </w:abstractNum>
  <w:abstractNum w:abstractNumId="80">
    <w:nsid w:val="1716703B"/>
    <w:multiLevelType w:val="hybridMultilevel"/>
    <w:lvl w:ilvl="0">
      <w:lvlJc w:val="left"/>
      <w:lvlText w:val="(%1)"/>
      <w:numFmt w:val="lowerRoman"/>
      <w:start w:val="19"/>
    </w:lvl>
  </w:abstractNum>
  <w:abstractNum w:abstractNumId="81">
    <w:nsid w:val="14E17E33"/>
    <w:multiLevelType w:val="hybridMultilevel"/>
    <w:lvl w:ilvl="0">
      <w:lvlJc w:val="left"/>
      <w:lvlText w:val="(%1)"/>
      <w:numFmt w:val="lowerRoman"/>
      <w:start w:val="24"/>
    </w:lvl>
  </w:abstractNum>
  <w:abstractNum w:abstractNumId="82">
    <w:nsid w:val="3222E7CD"/>
    <w:multiLevelType w:val="hybridMultilevel"/>
    <w:lvl w:ilvl="0">
      <w:lvlJc w:val="left"/>
      <w:lvlText w:val="(%1)"/>
      <w:numFmt w:val="upperLetter"/>
      <w:start w:val="1"/>
    </w:lvl>
  </w:abstractNum>
  <w:abstractNum w:abstractNumId="83">
    <w:nsid w:val="74DE0EE3"/>
    <w:multiLevelType w:val="hybridMultilevel"/>
    <w:lvl w:ilvl="0">
      <w:lvlJc w:val="left"/>
      <w:lvlText w:val="(%1)"/>
      <w:numFmt w:val="lowerRoman"/>
      <w:start w:val="1"/>
    </w:lvl>
  </w:abstractNum>
  <w:abstractNum w:abstractNumId="84">
    <w:nsid w:val="68EBC550"/>
    <w:multiLevelType w:val="hybridMultilevel"/>
    <w:lvl w:ilvl="0">
      <w:lvlJc w:val="left"/>
      <w:lvlText w:val="(%1)"/>
      <w:numFmt w:val="upperLetter"/>
      <w:start w:val="1"/>
    </w:lvl>
  </w:abstractNum>
  <w:abstractNum w:abstractNumId="85">
    <w:nsid w:val="2DF6D648"/>
    <w:multiLevelType w:val="hybridMultilevel"/>
    <w:lvl w:ilvl="0">
      <w:lvlJc w:val="left"/>
      <w:lvlText w:val="(%1)"/>
      <w:numFmt w:val="upperLetter"/>
      <w:start w:val="3"/>
    </w:lvl>
  </w:abstractNum>
  <w:abstractNum w:abstractNumId="86">
    <w:nsid w:val="46B7D447"/>
    <w:multiLevelType w:val="hybridMultilevel"/>
    <w:lvl w:ilvl="0">
      <w:lvlJc w:val="left"/>
      <w:lvlText w:val="(%1)"/>
      <w:numFmt w:val="upperLetter"/>
      <w:start w:val="3"/>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lowerRoman"/>
      <w:start w:val="6"/>
    </w:lvl>
  </w:abstractNum>
  <w:abstractNum w:abstractNumId="89">
    <w:nsid w:val="57FC4FBB"/>
    <w:multiLevelType w:val="hybridMultilevel"/>
    <w:lvl w:ilvl="0">
      <w:lvlJc w:val="left"/>
      <w:lvlText w:val="(%1)"/>
      <w:numFmt w:val="upperLetter"/>
      <w:start w:val="2"/>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lowerLetter"/>
      <w:start w:val="4"/>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4"/>
    </w:lvl>
  </w:abstractNum>
  <w:abstractNum w:abstractNumId="94">
    <w:nsid w:val="7F01579B"/>
    <w:multiLevelType w:val="hybridMultilevel"/>
    <w:lvl w:ilvl="0">
      <w:lvlJc w:val="left"/>
      <w:lvlText w:val="%1."/>
      <w:numFmt w:val="decimal"/>
      <w:start w:val="5"/>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2020-02-21T02:25:44Z</dcterms:created>
  <dcterms:modified xsi:type="dcterms:W3CDTF">2020-02-21T02:25:44Z</dcterms:modified>
</cp:coreProperties>
</file>