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15, 2013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276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Delaware</w:t>
            </w:r>
          </w:p>
        </w:tc>
        <w:tc>
          <w:tcPr>
            <w:tcW w:w="48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001-36132</w:t>
            </w:r>
          </w:p>
        </w:tc>
        <w:tc>
          <w:tcPr>
            <w:tcW w:w="198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90-1005472</w:t>
            </w:r>
          </w:p>
        </w:tc>
      </w:tr>
      <w:tr>
        <w:trPr>
          <w:trHeight w:val="216"/>
        </w:trPr>
        <w:tc>
          <w:tcPr>
            <w:tcW w:w="2760" w:type="dxa"/>
            <w:vAlign w:val="bottom"/>
          </w:tcPr>
          <w:p>
            <w:pPr>
              <w:jc w:val="center"/>
              <w:ind w:right="310"/>
              <w:spacing w:after="0"/>
              <w:rPr>
                <w:sz w:val="20"/>
                <w:szCs w:val="20"/>
                <w:color w:val="auto"/>
              </w:rPr>
            </w:pPr>
            <w:r>
              <w:rPr>
                <w:rFonts w:ascii="Arial" w:cs="Arial" w:eastAsia="Arial" w:hAnsi="Arial"/>
                <w:sz w:val="18"/>
                <w:szCs w:val="18"/>
                <w:color w:val="auto"/>
                <w:w w:val="91"/>
              </w:rPr>
              <w:t>(State or other jurisdiction</w:t>
            </w:r>
          </w:p>
        </w:tc>
        <w:tc>
          <w:tcPr>
            <w:tcW w:w="4860" w:type="dxa"/>
            <w:vAlign w:val="bottom"/>
          </w:tcPr>
          <w:p>
            <w:pPr>
              <w:jc w:val="center"/>
              <w:ind w:right="150"/>
              <w:spacing w:after="0"/>
              <w:rPr>
                <w:sz w:val="20"/>
                <w:szCs w:val="20"/>
                <w:color w:val="auto"/>
              </w:rPr>
            </w:pPr>
            <w:r>
              <w:rPr>
                <w:rFonts w:ascii="Arial" w:cs="Arial" w:eastAsia="Arial" w:hAnsi="Arial"/>
                <w:sz w:val="18"/>
                <w:szCs w:val="18"/>
                <w:color w:val="auto"/>
                <w:w w:val="93"/>
              </w:rPr>
              <w:t>(Commission</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3"/>
              </w:rPr>
              <w:t>(IRS Employer</w:t>
            </w:r>
          </w:p>
        </w:tc>
      </w:tr>
      <w:tr>
        <w:trPr>
          <w:trHeight w:val="230"/>
        </w:trPr>
        <w:tc>
          <w:tcPr>
            <w:tcW w:w="2760" w:type="dxa"/>
            <w:vAlign w:val="bottom"/>
          </w:tcPr>
          <w:p>
            <w:pPr>
              <w:jc w:val="center"/>
              <w:ind w:right="310"/>
              <w:spacing w:after="0"/>
              <w:rPr>
                <w:sz w:val="20"/>
                <w:szCs w:val="20"/>
                <w:color w:val="auto"/>
              </w:rPr>
            </w:pPr>
            <w:r>
              <w:rPr>
                <w:rFonts w:ascii="Arial" w:cs="Arial" w:eastAsia="Arial" w:hAnsi="Arial"/>
                <w:sz w:val="18"/>
                <w:szCs w:val="18"/>
                <w:color w:val="auto"/>
                <w:w w:val="92"/>
              </w:rPr>
              <w:t>of incorporation or organization)</w:t>
            </w:r>
          </w:p>
        </w:tc>
        <w:tc>
          <w:tcPr>
            <w:tcW w:w="486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760" w:type="dxa"/>
            <w:vAlign w:val="bottom"/>
          </w:tcPr>
          <w:p>
            <w:pPr>
              <w:spacing w:after="0"/>
              <w:rPr>
                <w:sz w:val="24"/>
                <w:szCs w:val="24"/>
                <w:color w:val="auto"/>
              </w:rPr>
            </w:pPr>
          </w:p>
        </w:tc>
        <w:tc>
          <w:tcPr>
            <w:tcW w:w="48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333 Clay Street, Suite 1600</w:t>
            </w:r>
          </w:p>
        </w:tc>
        <w:tc>
          <w:tcPr>
            <w:tcW w:w="1980" w:type="dxa"/>
            <w:vAlign w:val="bottom"/>
          </w:tcPr>
          <w:p>
            <w:pPr>
              <w:spacing w:after="0"/>
              <w:rPr>
                <w:sz w:val="24"/>
                <w:szCs w:val="24"/>
                <w:color w:val="auto"/>
              </w:rPr>
            </w:pPr>
          </w:p>
        </w:tc>
      </w:tr>
      <w:tr>
        <w:trPr>
          <w:trHeight w:val="220"/>
        </w:trPr>
        <w:tc>
          <w:tcPr>
            <w:tcW w:w="2760" w:type="dxa"/>
            <w:vAlign w:val="bottom"/>
          </w:tcPr>
          <w:p>
            <w:pPr>
              <w:spacing w:after="0"/>
              <w:rPr>
                <w:sz w:val="19"/>
                <w:szCs w:val="19"/>
                <w:color w:val="auto"/>
              </w:rPr>
            </w:pPr>
          </w:p>
        </w:tc>
        <w:tc>
          <w:tcPr>
            <w:tcW w:w="4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Houston, TX 77002</w:t>
            </w:r>
          </w:p>
        </w:tc>
        <w:tc>
          <w:tcPr>
            <w:tcW w:w="1980" w:type="dxa"/>
            <w:vAlign w:val="bottom"/>
          </w:tcPr>
          <w:p>
            <w:pPr>
              <w:spacing w:after="0"/>
              <w:rPr>
                <w:sz w:val="19"/>
                <w:szCs w:val="19"/>
                <w:color w:val="auto"/>
              </w:rPr>
            </w:pPr>
          </w:p>
        </w:tc>
      </w:tr>
      <w:tr>
        <w:trPr>
          <w:trHeight w:val="230"/>
        </w:trPr>
        <w:tc>
          <w:tcPr>
            <w:tcW w:w="2760" w:type="dxa"/>
            <w:vAlign w:val="bottom"/>
          </w:tcPr>
          <w:p>
            <w:pPr>
              <w:spacing w:after="0"/>
              <w:rPr>
                <w:sz w:val="20"/>
                <w:szCs w:val="20"/>
                <w:color w:val="auto"/>
              </w:rPr>
            </w:pPr>
          </w:p>
        </w:tc>
        <w:tc>
          <w:tcPr>
            <w:tcW w:w="4860" w:type="dxa"/>
            <w:vAlign w:val="bottom"/>
          </w:tcPr>
          <w:p>
            <w:pPr>
              <w:jc w:val="center"/>
              <w:ind w:right="190"/>
              <w:spacing w:after="0"/>
              <w:rPr>
                <w:sz w:val="20"/>
                <w:szCs w:val="20"/>
                <w:color w:val="auto"/>
              </w:rPr>
            </w:pPr>
            <w:r>
              <w:rPr>
                <w:rFonts w:ascii="Arial" w:cs="Arial" w:eastAsia="Arial" w:hAnsi="Arial"/>
                <w:sz w:val="18"/>
                <w:szCs w:val="18"/>
                <w:color w:val="auto"/>
                <w:w w:val="93"/>
              </w:rPr>
              <w:t>(Address of principal executive office) (Zip Code)</w:t>
            </w:r>
          </w:p>
        </w:tc>
        <w:tc>
          <w:tcPr>
            <w:tcW w:w="1980" w:type="dxa"/>
            <w:vAlign w:val="bottom"/>
          </w:tcPr>
          <w:p>
            <w:pPr>
              <w:spacing w:after="0"/>
              <w:rPr>
                <w:sz w:val="20"/>
                <w:szCs w:val="20"/>
                <w:color w:val="auto"/>
              </w:rPr>
            </w:pPr>
          </w:p>
        </w:tc>
      </w:tr>
      <w:tr>
        <w:trPr>
          <w:trHeight w:val="418"/>
        </w:trPr>
        <w:tc>
          <w:tcPr>
            <w:tcW w:w="2760" w:type="dxa"/>
            <w:vAlign w:val="bottom"/>
          </w:tcPr>
          <w:p>
            <w:pPr>
              <w:spacing w:after="0"/>
              <w:rPr>
                <w:sz w:val="24"/>
                <w:szCs w:val="24"/>
                <w:color w:val="auto"/>
              </w:rPr>
            </w:pPr>
          </w:p>
        </w:tc>
        <w:tc>
          <w:tcPr>
            <w:tcW w:w="4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(713) 646-4100</w:t>
            </w:r>
          </w:p>
        </w:tc>
        <w:tc>
          <w:tcPr>
            <w:tcW w:w="1980" w:type="dxa"/>
            <w:vAlign w:val="bottom"/>
          </w:tcPr>
          <w:p>
            <w:pPr>
              <w:spacing w:after="0"/>
              <w:rPr>
                <w:sz w:val="24"/>
                <w:szCs w:val="24"/>
                <w:color w:val="auto"/>
              </w:rPr>
            </w:pPr>
          </w:p>
        </w:tc>
      </w:tr>
      <w:tr>
        <w:trPr>
          <w:trHeight w:val="230"/>
        </w:trPr>
        <w:tc>
          <w:tcPr>
            <w:tcW w:w="2760" w:type="dxa"/>
            <w:vAlign w:val="bottom"/>
          </w:tcPr>
          <w:p>
            <w:pPr>
              <w:spacing w:after="0"/>
              <w:rPr>
                <w:sz w:val="20"/>
                <w:szCs w:val="20"/>
                <w:color w:val="auto"/>
              </w:rPr>
            </w:pPr>
          </w:p>
        </w:tc>
        <w:tc>
          <w:tcPr>
            <w:tcW w:w="4860" w:type="dxa"/>
            <w:vAlign w:val="bottom"/>
          </w:tcPr>
          <w:p>
            <w:pPr>
              <w:jc w:val="center"/>
              <w:ind w:right="190"/>
              <w:spacing w:after="0"/>
              <w:rPr>
                <w:sz w:val="20"/>
                <w:szCs w:val="20"/>
                <w:color w:val="auto"/>
              </w:rPr>
            </w:pPr>
            <w:r>
              <w:rPr>
                <w:rFonts w:ascii="Arial" w:cs="Arial" w:eastAsia="Arial" w:hAnsi="Arial"/>
                <w:sz w:val="18"/>
                <w:szCs w:val="18"/>
                <w:color w:val="auto"/>
                <w:w w:val="90"/>
              </w:rPr>
              <w:t>(Registrants’ telephone number, including area code)</w:t>
            </w:r>
          </w:p>
        </w:tc>
        <w:tc>
          <w:tcPr>
            <w:tcW w:w="1980" w:type="dxa"/>
            <w:vAlign w:val="bottom"/>
          </w:tcPr>
          <w:p>
            <w:pPr>
              <w:spacing w:after="0"/>
              <w:rPr>
                <w:sz w:val="20"/>
                <w:szCs w:val="20"/>
                <w:color w:val="auto"/>
              </w:rPr>
            </w:pP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On October 15, 2013, Plains GP Holdings,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and PAA GP Holdings LLC (the “</w:t>
      </w:r>
      <w:r>
        <w:rPr>
          <w:rFonts w:ascii="Arial" w:cs="Arial" w:eastAsia="Arial" w:hAnsi="Arial"/>
          <w:sz w:val="18"/>
          <w:szCs w:val="18"/>
          <w:b w:val="1"/>
          <w:bCs w:val="1"/>
          <w:i w:val="1"/>
          <w:iCs w:val="1"/>
          <w:color w:val="auto"/>
        </w:rPr>
        <w:t>General Partner</w:t>
      </w:r>
      <w:r>
        <w:rPr>
          <w:rFonts w:ascii="Arial" w:cs="Arial" w:eastAsia="Arial" w:hAnsi="Arial"/>
          <w:sz w:val="18"/>
          <w:szCs w:val="18"/>
          <w:color w:val="auto"/>
        </w:rPr>
        <w:t>”) entered into an</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with Barclays Capital Inc., as representative of the several underwriters named therein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with respect to the offering and sale of 128,000,000 Class A shares representing limited partner interests in the Partnership (the “</w:t>
      </w:r>
      <w:r>
        <w:rPr>
          <w:rFonts w:ascii="Arial" w:cs="Arial" w:eastAsia="Arial" w:hAnsi="Arial"/>
          <w:sz w:val="16"/>
          <w:szCs w:val="16"/>
          <w:b w:val="1"/>
          <w:bCs w:val="1"/>
          <w:i w:val="1"/>
          <w:iCs w:val="1"/>
          <w:color w:val="auto"/>
        </w:rPr>
        <w:t>Class A</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b w:val="1"/>
          <w:bCs w:val="1"/>
          <w:i w:val="1"/>
          <w:iCs w:val="1"/>
          <w:color w:val="auto"/>
        </w:rPr>
        <w:t>Shares</w:t>
      </w:r>
      <w:r>
        <w:rPr>
          <w:rFonts w:ascii="Arial" w:cs="Arial" w:eastAsia="Arial" w:hAnsi="Arial"/>
          <w:sz w:val="16"/>
          <w:szCs w:val="16"/>
          <w:color w:val="auto"/>
        </w:rPr>
        <w:t>”) to be sold by the Partnership at a price to the public of $22.00 per Class A Share ($21.34 per Class A Share, net of underwriting discounts).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Partnership also granted the Underwriters an option for a period of 30 days to purchase up to an additional 19,200,000 Class A Shares from the Partnership.</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The material terms of the offering of the Class A Shares are described in the prospectus, dated October 15, 2013, as filed by the Partnership with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October 16, 2013. The offer and sale of the Class A Shares was registered with the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pursuant to a registration statement on Form S-1 (Registration No. 333-190227), initially filed by the Partnership on July 29, 2013, as amended. Closing with</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respect to the Class A Shares is expected to occur on October 21, 2013, subject to the satisfaction of customary closing conditions.</w:t>
      </w:r>
    </w:p>
    <w:p>
      <w:pPr>
        <w:spacing w:after="0" w:line="211" w:lineRule="exact"/>
        <w:rPr>
          <w:sz w:val="24"/>
          <w:szCs w:val="24"/>
          <w:color w:val="auto"/>
        </w:rPr>
      </w:pPr>
    </w:p>
    <w:p>
      <w:pPr>
        <w:ind w:right="100" w:firstLine="648"/>
        <w:spacing w:after="0" w:line="302" w:lineRule="auto"/>
        <w:rPr>
          <w:sz w:val="20"/>
          <w:szCs w:val="20"/>
          <w:color w:val="auto"/>
        </w:rPr>
      </w:pPr>
      <w:r>
        <w:rPr>
          <w:rFonts w:ascii="Arial" w:cs="Arial" w:eastAsia="Arial" w:hAnsi="Arial"/>
          <w:sz w:val="16"/>
          <w:szCs w:val="16"/>
          <w:color w:val="auto"/>
        </w:rPr>
        <w:t>The Underwriting Agreement contains customary representations, warranties and agreements of the Partnership and certain affiliates, and customary conditions to closing, indemnification rights, obligations of the parties and termination provisions. Furthermore, the officers, directors and certain affiliates of the General Partner have agreed with the Underwriters not to offer or sell any Class A Shares (or securities convertible into or exchangeable for Class A Shares), subject to customary exceptions, for a period of 180 days after the date of the Prospectus without the prior written consent of Barclays Capital Inc.</w:t>
      </w:r>
    </w:p>
    <w:p>
      <w:pPr>
        <w:spacing w:after="0" w:line="154"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The foregoing description of the Underwriting Agreement is qualified in its entirety by reference to such Underwriting Agreement, a copy of which is filed herewith as Exhibit 1.1 and is incorporated herein by reference.</w:t>
      </w:r>
    </w:p>
    <w:p>
      <w:pPr>
        <w:spacing w:after="0" w:line="166"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984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6"/>
                <w:szCs w:val="16"/>
                <w:color w:val="auto"/>
              </w:rPr>
            </w:pPr>
          </w:p>
        </w:tc>
        <w:tc>
          <w:tcPr>
            <w:tcW w:w="9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Underwriting Agreement dated October 15, 2013 by and among Plains GP Holdings, L.P., PAA GP Holdings LLC and Barclays Capital</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Inc., as representative of the several underwriters named therein.</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8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208"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18, 2013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jc w:val="center"/>
              <w:ind w:right="147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984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6"/>
                <w:szCs w:val="16"/>
                <w:color w:val="auto"/>
              </w:rPr>
            </w:pPr>
          </w:p>
        </w:tc>
        <w:tc>
          <w:tcPr>
            <w:tcW w:w="9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Underwriting Agreement dated October 15, 2013 by and among Plains GP Holdings, L.P., PAA GP Holdings LLC and Barclays Capital</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80" w:type="dxa"/>
            <w:vAlign w:val="bottom"/>
            <w:gridSpan w:val="2"/>
          </w:tcPr>
          <w:p>
            <w:pPr>
              <w:ind w:left="240"/>
              <w:spacing w:after="0"/>
              <w:rPr>
                <w:sz w:val="20"/>
                <w:szCs w:val="20"/>
                <w:color w:val="auto"/>
              </w:rPr>
            </w:pPr>
            <w:r>
              <w:rPr>
                <w:rFonts w:ascii="Arial" w:cs="Arial" w:eastAsia="Arial" w:hAnsi="Arial"/>
                <w:sz w:val="18"/>
                <w:szCs w:val="18"/>
                <w:color w:val="auto"/>
              </w:rPr>
              <w:t>Inc., as representative of the several underwriters named therein.</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80" w:type="dxa"/>
            <w:vAlign w:val="bottom"/>
            <w:gridSpan w:val="2"/>
          </w:tcPr>
          <w:p>
            <w:pPr>
              <w:jc w:val="right"/>
              <w:ind w:right="557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128,000,000 Class A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160"/>
        <w:spacing w:after="0"/>
        <w:rPr>
          <w:sz w:val="20"/>
          <w:szCs w:val="20"/>
          <w:color w:val="auto"/>
        </w:rPr>
      </w:pPr>
      <w:r>
        <w:rPr>
          <w:rFonts w:ascii="Arial" w:cs="Arial" w:eastAsia="Arial" w:hAnsi="Arial"/>
          <w:sz w:val="16"/>
          <w:szCs w:val="16"/>
          <w:color w:val="auto"/>
        </w:rPr>
        <w:t>October 15,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667"/>
        <w:spacing w:after="0" w:line="256" w:lineRule="auto"/>
        <w:rPr>
          <w:sz w:val="20"/>
          <w:szCs w:val="20"/>
          <w:color w:val="auto"/>
        </w:rPr>
      </w:pPr>
      <w:r>
        <w:rPr>
          <w:rFonts w:ascii="Arial" w:cs="Arial" w:eastAsia="Arial" w:hAnsi="Arial"/>
          <w:sz w:val="18"/>
          <w:szCs w:val="18"/>
          <w:color w:val="auto"/>
        </w:rPr>
        <w:t>Plains GP Holdings, L.P., a Delaware limited partnership (the “</w:t>
      </w:r>
      <w:r>
        <w:rPr>
          <w:rFonts w:ascii="Arial" w:cs="Arial" w:eastAsia="Arial" w:hAnsi="Arial"/>
          <w:sz w:val="18"/>
          <w:szCs w:val="18"/>
          <w:b w:val="1"/>
          <w:bCs w:val="1"/>
          <w:color w:val="auto"/>
        </w:rPr>
        <w:t>Partnership</w:t>
      </w:r>
      <w:r>
        <w:rPr>
          <w:rFonts w:ascii="Arial" w:cs="Arial" w:eastAsia="Arial" w:hAnsi="Arial"/>
          <w:sz w:val="18"/>
          <w:szCs w:val="18"/>
          <w:color w:val="auto"/>
        </w:rPr>
        <w:t xml:space="preserve">”), proposes to issue and sell to the several 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Underwriters</w:t>
      </w:r>
      <w:r>
        <w:rPr>
          <w:rFonts w:ascii="Arial" w:cs="Arial" w:eastAsia="Arial" w:hAnsi="Arial"/>
          <w:sz w:val="18"/>
          <w:szCs w:val="18"/>
          <w:color w:val="auto"/>
        </w:rPr>
        <w:t>”), an aggregate of 128,000,000 Class A shares (the “</w:t>
      </w:r>
      <w:r>
        <w:rPr>
          <w:rFonts w:ascii="Arial" w:cs="Arial" w:eastAsia="Arial" w:hAnsi="Arial"/>
          <w:sz w:val="18"/>
          <w:szCs w:val="18"/>
          <w:b w:val="1"/>
          <w:bCs w:val="1"/>
          <w:color w:val="auto"/>
        </w:rPr>
        <w:t>Initial Shares</w:t>
      </w:r>
      <w:r>
        <w:rPr>
          <w:rFonts w:ascii="Arial" w:cs="Arial" w:eastAsia="Arial" w:hAnsi="Arial"/>
          <w:sz w:val="18"/>
          <w:szCs w:val="18"/>
          <w:color w:val="auto"/>
        </w:rPr>
        <w:t>”) representing limited partner interests in the Partnership (the “</w:t>
      </w:r>
      <w:r>
        <w:rPr>
          <w:rFonts w:ascii="Arial" w:cs="Arial" w:eastAsia="Arial" w:hAnsi="Arial"/>
          <w:sz w:val="18"/>
          <w:szCs w:val="18"/>
          <w:b w:val="1"/>
          <w:bCs w:val="1"/>
          <w:color w:val="auto"/>
        </w:rPr>
        <w:t>Class A Shares</w:t>
      </w:r>
      <w:r>
        <w:rPr>
          <w:rFonts w:ascii="Arial" w:cs="Arial" w:eastAsia="Arial" w:hAnsi="Arial"/>
          <w:sz w:val="18"/>
          <w:szCs w:val="18"/>
          <w:color w:val="auto"/>
        </w:rPr>
        <w:t>”) for whom Barclays Capital Inc. is acting as the representative (the “</w:t>
      </w:r>
      <w:r>
        <w:rPr>
          <w:rFonts w:ascii="Arial" w:cs="Arial" w:eastAsia="Arial" w:hAnsi="Arial"/>
          <w:sz w:val="18"/>
          <w:szCs w:val="18"/>
          <w:b w:val="1"/>
          <w:bCs w:val="1"/>
          <w:color w:val="auto"/>
        </w:rPr>
        <w:t>Representative</w:t>
      </w:r>
      <w:r>
        <w:rPr>
          <w:rFonts w:ascii="Arial" w:cs="Arial" w:eastAsia="Arial" w:hAnsi="Arial"/>
          <w:sz w:val="18"/>
          <w:szCs w:val="18"/>
          <w:color w:val="auto"/>
        </w:rPr>
        <w:t>”), upon the terms and conditions set forth in Section 2 hereof. The Partnership also proposes to grant to the Underwriters, upon the terms and conditions set forth in Section 2 hereof, an option to purchase up to an additional 19,200,000 Class A Shares (the “</w:t>
      </w:r>
      <w:r>
        <w:rPr>
          <w:rFonts w:ascii="Arial" w:cs="Arial" w:eastAsia="Arial" w:hAnsi="Arial"/>
          <w:sz w:val="18"/>
          <w:szCs w:val="18"/>
          <w:b w:val="1"/>
          <w:bCs w:val="1"/>
          <w:color w:val="auto"/>
        </w:rPr>
        <w:t>Additional Shares</w:t>
      </w:r>
      <w:r>
        <w:rPr>
          <w:rFonts w:ascii="Arial" w:cs="Arial" w:eastAsia="Arial" w:hAnsi="Arial"/>
          <w:sz w:val="18"/>
          <w:szCs w:val="18"/>
          <w:color w:val="auto"/>
        </w:rPr>
        <w:t>”). The Initial Shares and the Additional Shares, if purchased, are hereinafter collectively called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92" w:lineRule="exact"/>
        <w:rPr>
          <w:sz w:val="20"/>
          <w:szCs w:val="20"/>
          <w:color w:val="auto"/>
        </w:rPr>
      </w:pPr>
    </w:p>
    <w:p>
      <w:pPr>
        <w:ind w:right="20" w:firstLine="667"/>
        <w:spacing w:after="0" w:line="264" w:lineRule="auto"/>
        <w:rPr>
          <w:sz w:val="20"/>
          <w:szCs w:val="20"/>
          <w:color w:val="auto"/>
        </w:rPr>
      </w:pPr>
      <w:r>
        <w:rPr>
          <w:rFonts w:ascii="Arial" w:cs="Arial" w:eastAsia="Arial" w:hAnsi="Arial"/>
          <w:sz w:val="18"/>
          <w:szCs w:val="18"/>
          <w:color w:val="auto"/>
        </w:rPr>
        <w:t>This is to confirm the agreement among the Partnership and PAA GP Holdings LLC, a Delaware limited liability company and the general partner of the Partnership (the “</w:t>
      </w:r>
      <w:r>
        <w:rPr>
          <w:rFonts w:ascii="Arial" w:cs="Arial" w:eastAsia="Arial" w:hAnsi="Arial"/>
          <w:sz w:val="18"/>
          <w:szCs w:val="18"/>
          <w:b w:val="1"/>
          <w:bCs w:val="1"/>
          <w:color w:val="auto"/>
        </w:rPr>
        <w:t>General Partner</w:t>
      </w:r>
      <w:r>
        <w:rPr>
          <w:rFonts w:ascii="Arial" w:cs="Arial" w:eastAsia="Arial" w:hAnsi="Arial"/>
          <w:sz w:val="18"/>
          <w:szCs w:val="18"/>
          <w:color w:val="auto"/>
        </w:rPr>
        <w:t>,” and together with the Partnership, the “</w:t>
      </w:r>
      <w:r>
        <w:rPr>
          <w:rFonts w:ascii="Arial" w:cs="Arial" w:eastAsia="Arial" w:hAnsi="Arial"/>
          <w:sz w:val="18"/>
          <w:szCs w:val="18"/>
          <w:b w:val="1"/>
          <w:bCs w:val="1"/>
          <w:color w:val="auto"/>
        </w:rPr>
        <w:t>Partnership Parties</w:t>
      </w:r>
      <w:r>
        <w:rPr>
          <w:rFonts w:ascii="Arial" w:cs="Arial" w:eastAsia="Arial" w:hAnsi="Arial"/>
          <w:sz w:val="18"/>
          <w:szCs w:val="18"/>
          <w:color w:val="auto"/>
        </w:rPr>
        <w:t>”), and the Underwriters concerning the several purchases of the Shares by the Underwriters.</w:t>
      </w:r>
    </w:p>
    <w:p>
      <w:pPr>
        <w:spacing w:after="0" w:line="177" w:lineRule="exact"/>
        <w:rPr>
          <w:sz w:val="20"/>
          <w:szCs w:val="20"/>
          <w:color w:val="auto"/>
        </w:rPr>
      </w:pPr>
    </w:p>
    <w:p>
      <w:pPr>
        <w:ind w:right="60" w:firstLine="667"/>
        <w:spacing w:after="0" w:line="289" w:lineRule="auto"/>
        <w:rPr>
          <w:sz w:val="20"/>
          <w:szCs w:val="20"/>
          <w:color w:val="auto"/>
        </w:rPr>
      </w:pPr>
      <w:r>
        <w:rPr>
          <w:rFonts w:ascii="Arial" w:cs="Arial" w:eastAsia="Arial" w:hAnsi="Arial"/>
          <w:sz w:val="17"/>
          <w:szCs w:val="17"/>
          <w:color w:val="auto"/>
        </w:rPr>
        <w:t>PAA GP LLC, a Delaware limited liability company (“</w:t>
      </w:r>
      <w:r>
        <w:rPr>
          <w:rFonts w:ascii="Arial" w:cs="Arial" w:eastAsia="Arial" w:hAnsi="Arial"/>
          <w:sz w:val="17"/>
          <w:szCs w:val="17"/>
          <w:b w:val="1"/>
          <w:bCs w:val="1"/>
          <w:color w:val="auto"/>
        </w:rPr>
        <w:t>PAA GP</w:t>
      </w:r>
      <w:r>
        <w:rPr>
          <w:rFonts w:ascii="Arial" w:cs="Arial" w:eastAsia="Arial" w:hAnsi="Arial"/>
          <w:sz w:val="17"/>
          <w:szCs w:val="17"/>
          <w:color w:val="auto"/>
        </w:rPr>
        <w:t>”), is the general partner of Plains All American Pipeline, L.P. (“</w:t>
      </w:r>
      <w:r>
        <w:rPr>
          <w:rFonts w:ascii="Arial" w:cs="Arial" w:eastAsia="Arial" w:hAnsi="Arial"/>
          <w:sz w:val="17"/>
          <w:szCs w:val="17"/>
          <w:b w:val="1"/>
          <w:bCs w:val="1"/>
          <w:color w:val="auto"/>
        </w:rPr>
        <w:t>PAA</w:t>
      </w:r>
      <w:r>
        <w:rPr>
          <w:rFonts w:ascii="Arial" w:cs="Arial" w:eastAsia="Arial" w:hAnsi="Arial"/>
          <w:sz w:val="17"/>
          <w:szCs w:val="17"/>
          <w:color w:val="auto"/>
        </w:rPr>
        <w:t>”). Plains AAP, L.P., a Delaware limited partnership (“</w:t>
      </w:r>
      <w:r>
        <w:rPr>
          <w:rFonts w:ascii="Arial" w:cs="Arial" w:eastAsia="Arial" w:hAnsi="Arial"/>
          <w:sz w:val="17"/>
          <w:szCs w:val="17"/>
          <w:b w:val="1"/>
          <w:bCs w:val="1"/>
          <w:color w:val="auto"/>
        </w:rPr>
        <w:t>Plains AAP</w:t>
      </w:r>
      <w:r>
        <w:rPr>
          <w:rFonts w:ascii="Arial" w:cs="Arial" w:eastAsia="Arial" w:hAnsi="Arial"/>
          <w:sz w:val="17"/>
          <w:szCs w:val="17"/>
          <w:color w:val="auto"/>
        </w:rPr>
        <w:t>”), owns a 100% membership interest in PAA GP. Plains All American GP LLC, a Delaware limited liability company (“</w:t>
      </w:r>
      <w:r>
        <w:rPr>
          <w:rFonts w:ascii="Arial" w:cs="Arial" w:eastAsia="Arial" w:hAnsi="Arial"/>
          <w:sz w:val="17"/>
          <w:szCs w:val="17"/>
          <w:b w:val="1"/>
          <w:bCs w:val="1"/>
          <w:color w:val="auto"/>
        </w:rPr>
        <w:t>GP LLC</w:t>
      </w:r>
      <w:r>
        <w:rPr>
          <w:rFonts w:ascii="Arial" w:cs="Arial" w:eastAsia="Arial" w:hAnsi="Arial"/>
          <w:sz w:val="17"/>
          <w:szCs w:val="17"/>
          <w:color w:val="auto"/>
        </w:rPr>
        <w:t>” and, collectively with PAA GP and Plains AAP, the “</w:t>
      </w:r>
      <w:r>
        <w:rPr>
          <w:rFonts w:ascii="Arial" w:cs="Arial" w:eastAsia="Arial" w:hAnsi="Arial"/>
          <w:sz w:val="17"/>
          <w:szCs w:val="17"/>
          <w:b w:val="1"/>
          <w:bCs w:val="1"/>
          <w:color w:val="auto"/>
        </w:rPr>
        <w:t>PAA GP Entities</w:t>
      </w:r>
      <w:r>
        <w:rPr>
          <w:rFonts w:ascii="Arial" w:cs="Arial" w:eastAsia="Arial" w:hAnsi="Arial"/>
          <w:sz w:val="17"/>
          <w:szCs w:val="17"/>
          <w:color w:val="auto"/>
        </w:rPr>
        <w:t>”), is the general partner of Plains AAP.</w:t>
      </w:r>
    </w:p>
    <w:p>
      <w:pPr>
        <w:spacing w:after="0" w:line="158" w:lineRule="exact"/>
        <w:rPr>
          <w:sz w:val="20"/>
          <w:szCs w:val="20"/>
          <w:color w:val="auto"/>
        </w:rPr>
      </w:pPr>
    </w:p>
    <w:p>
      <w:pPr>
        <w:ind w:right="180" w:firstLine="667"/>
        <w:spacing w:after="0" w:line="266" w:lineRule="auto"/>
        <w:rPr>
          <w:sz w:val="20"/>
          <w:szCs w:val="20"/>
          <w:color w:val="auto"/>
        </w:rPr>
      </w:pPr>
      <w:r>
        <w:rPr>
          <w:rFonts w:ascii="Arial" w:cs="Arial" w:eastAsia="Arial" w:hAnsi="Arial"/>
          <w:sz w:val="18"/>
          <w:szCs w:val="18"/>
          <w:color w:val="auto"/>
        </w:rPr>
        <w:t xml:space="preserve">The subsidiaries of PAA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Material Subsidiaries,</w:t>
      </w:r>
      <w:r>
        <w:rPr>
          <w:rFonts w:ascii="Arial" w:cs="Arial" w:eastAsia="Arial" w:hAnsi="Arial"/>
          <w:sz w:val="18"/>
          <w:szCs w:val="18"/>
          <w:color w:val="auto"/>
        </w:rPr>
        <w:t xml:space="preserve">” and the Material Subsidiaries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Domestic Subsidiaries</w:t>
      </w:r>
      <w:r>
        <w:rPr>
          <w:rFonts w:ascii="Arial" w:cs="Arial" w:eastAsia="Arial" w:hAnsi="Arial"/>
          <w:sz w:val="18"/>
          <w:szCs w:val="18"/>
          <w:color w:val="auto"/>
        </w:rPr>
        <w:t>.” The Partnership Parties, the PAA GP Entities, PAA and the Material Subsidiaries are collectively called the “</w:t>
      </w:r>
      <w:r>
        <w:rPr>
          <w:rFonts w:ascii="Arial" w:cs="Arial" w:eastAsia="Arial" w:hAnsi="Arial"/>
          <w:sz w:val="18"/>
          <w:szCs w:val="18"/>
          <w:b w:val="1"/>
          <w:bCs w:val="1"/>
          <w:color w:val="auto"/>
        </w:rPr>
        <w:t>Partnership Entities</w:t>
      </w:r>
      <w:r>
        <w:rPr>
          <w:rFonts w:ascii="Arial" w:cs="Arial" w:eastAsia="Arial" w:hAnsi="Arial"/>
          <w:sz w:val="18"/>
          <w:szCs w:val="18"/>
          <w:color w:val="auto"/>
        </w:rPr>
        <w:t>.”</w:t>
      </w:r>
    </w:p>
    <w:p>
      <w:pPr>
        <w:spacing w:after="0" w:line="180" w:lineRule="exact"/>
        <w:rPr>
          <w:sz w:val="20"/>
          <w:szCs w:val="20"/>
          <w:color w:val="auto"/>
        </w:rPr>
      </w:pPr>
    </w:p>
    <w:p>
      <w:pPr>
        <w:ind w:right="140" w:firstLine="675"/>
        <w:spacing w:after="0" w:line="277" w:lineRule="auto"/>
        <w:tabs>
          <w:tab w:leader="none" w:pos="1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It is understood and agreed to by all parties hereto that the Partnership was initially formed to acquire and own, directly or indirectly, as of each Closing Date (as defined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Section 3 hereof): (i) a 100% member interest in GP LLC, which will hold a non-economic general partner interest in Plains AAP; (ii) Class A Units in Plains AAP (“</w:t>
      </w:r>
      <w:r>
        <w:rPr>
          <w:rFonts w:ascii="Arial" w:cs="Arial" w:eastAsia="Arial" w:hAnsi="Arial"/>
          <w:sz w:val="17"/>
          <w:szCs w:val="17"/>
          <w:b w:val="1"/>
          <w:bCs w:val="1"/>
          <w:color w:val="auto"/>
        </w:rPr>
        <w:t>AAP Units</w:t>
      </w:r>
      <w:r>
        <w:rPr>
          <w:rFonts w:ascii="Arial" w:cs="Arial" w:eastAsia="Arial" w:hAnsi="Arial"/>
          <w:sz w:val="17"/>
          <w:szCs w:val="17"/>
          <w:color w:val="auto"/>
        </w:rPr>
        <w:t>”); and (iii) membership interests in the General Partner. Plains AAP currently owns all of the incentive distribution rights in PAA (the “</w:t>
      </w:r>
      <w:r>
        <w:rPr>
          <w:rFonts w:ascii="Arial" w:cs="Arial" w:eastAsia="Arial" w:hAnsi="Arial"/>
          <w:sz w:val="17"/>
          <w:szCs w:val="17"/>
          <w:b w:val="1"/>
          <w:bCs w:val="1"/>
          <w:color w:val="auto"/>
        </w:rPr>
        <w:t>Incentive Distribution Rights</w:t>
      </w:r>
      <w:r>
        <w:rPr>
          <w:rFonts w:ascii="Arial" w:cs="Arial" w:eastAsia="Arial" w:hAnsi="Arial"/>
          <w:sz w:val="17"/>
          <w:szCs w:val="17"/>
          <w:color w:val="auto"/>
        </w:rPr>
        <w:t>”) and an indirect 2% general partner interest in PAA, as more particularly described in the most recent Preliminary Prospectus and as acquired pursuant to the Contribution Agreement (as such terms are defined herein).</w:t>
      </w:r>
    </w:p>
    <w:p>
      <w:pPr>
        <w:spacing w:after="0" w:line="167" w:lineRule="exact"/>
        <w:rPr>
          <w:sz w:val="20"/>
          <w:szCs w:val="20"/>
          <w:color w:val="auto"/>
        </w:rPr>
      </w:pPr>
    </w:p>
    <w:p>
      <w:pPr>
        <w:ind w:right="300" w:firstLine="675"/>
        <w:spacing w:after="0" w:line="282" w:lineRule="auto"/>
        <w:tabs>
          <w:tab w:leader="none" w:pos="1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is further understood and agreed to by all parties that the following transactions (the “</w:t>
      </w:r>
      <w:r>
        <w:rPr>
          <w:rFonts w:ascii="Arial" w:cs="Arial" w:eastAsia="Arial" w:hAnsi="Arial"/>
          <w:sz w:val="18"/>
          <w:szCs w:val="18"/>
          <w:b w:val="1"/>
          <w:bCs w:val="1"/>
          <w:color w:val="auto"/>
        </w:rPr>
        <w:t>Prior Transactions</w:t>
      </w:r>
      <w:r>
        <w:rPr>
          <w:rFonts w:ascii="Arial" w:cs="Arial" w:eastAsia="Arial" w:hAnsi="Arial"/>
          <w:sz w:val="18"/>
          <w:szCs w:val="18"/>
          <w:color w:val="auto"/>
        </w:rPr>
        <w:t>”) have occurred prior to the date hereof, or will occur following the date hereof but prior to the Closing Date:</w:t>
      </w:r>
    </w:p>
    <w:p>
      <w:pPr>
        <w:spacing w:after="0" w:line="161" w:lineRule="exact"/>
        <w:rPr>
          <w:rFonts w:ascii="Arial" w:cs="Arial" w:eastAsia="Arial" w:hAnsi="Arial"/>
          <w:sz w:val="18"/>
          <w:szCs w:val="18"/>
          <w:color w:val="auto"/>
        </w:rPr>
      </w:pPr>
    </w:p>
    <w:p>
      <w:pPr>
        <w:ind w:left="680" w:right="260" w:firstLine="611"/>
        <w:spacing w:after="0" w:line="282" w:lineRule="auto"/>
        <w:tabs>
          <w:tab w:leader="none" w:pos="1979" w:val="left"/>
        </w:tabs>
        <w:numPr>
          <w:ilvl w:val="1"/>
          <w:numId w:val="2"/>
        </w:numPr>
        <w:rPr>
          <w:rFonts w:ascii="Arial" w:cs="Arial" w:eastAsia="Arial" w:hAnsi="Arial"/>
          <w:sz w:val="18"/>
          <w:szCs w:val="18"/>
          <w:color w:val="auto"/>
        </w:rPr>
      </w:pPr>
      <w:r>
        <w:rPr>
          <w:rFonts w:ascii="Arial" w:cs="Arial" w:eastAsia="Arial" w:hAnsi="Arial"/>
          <w:sz w:val="18"/>
          <w:szCs w:val="18"/>
          <w:color w:val="auto"/>
        </w:rPr>
        <w:t>PAA Management, L.P., a Delaware limited partnership (“</w:t>
      </w:r>
      <w:r>
        <w:rPr>
          <w:rFonts w:ascii="Arial" w:cs="Arial" w:eastAsia="Arial" w:hAnsi="Arial"/>
          <w:sz w:val="18"/>
          <w:szCs w:val="18"/>
          <w:b w:val="1"/>
          <w:bCs w:val="1"/>
          <w:color w:val="auto"/>
        </w:rPr>
        <w:t>PAA Management</w:t>
      </w:r>
      <w:r>
        <w:rPr>
          <w:rFonts w:ascii="Arial" w:cs="Arial" w:eastAsia="Arial" w:hAnsi="Arial"/>
          <w:sz w:val="18"/>
          <w:szCs w:val="18"/>
          <w:color w:val="auto"/>
        </w:rPr>
        <w:t>”), formed the General Partner and received all of the membership interests in the General Partner;</w:t>
      </w:r>
    </w:p>
    <w:p>
      <w:pPr>
        <w:spacing w:after="0" w:line="165" w:lineRule="exact"/>
        <w:rPr>
          <w:rFonts w:ascii="Arial" w:cs="Arial" w:eastAsia="Arial" w:hAnsi="Arial"/>
          <w:sz w:val="18"/>
          <w:szCs w:val="18"/>
          <w:color w:val="auto"/>
        </w:rPr>
      </w:pPr>
    </w:p>
    <w:p>
      <w:pPr>
        <w:ind w:left="680" w:right="80" w:firstLine="611"/>
        <w:spacing w:after="0" w:line="277" w:lineRule="auto"/>
        <w:tabs>
          <w:tab w:leader="none" w:pos="1988"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General Partner and PAA Management formed the Partnership and received a non-economic general partner interest and all of the limited partner interests in the Partnership, respectively;</w:t>
      </w:r>
    </w:p>
    <w:p>
      <w:pPr>
        <w:spacing w:after="0" w:line="170" w:lineRule="exact"/>
        <w:rPr>
          <w:rFonts w:ascii="Arial" w:cs="Arial" w:eastAsia="Arial" w:hAnsi="Arial"/>
          <w:sz w:val="18"/>
          <w:szCs w:val="18"/>
          <w:color w:val="auto"/>
        </w:rPr>
      </w:pPr>
    </w:p>
    <w:p>
      <w:pPr>
        <w:ind w:left="680" w:right="200" w:firstLine="611"/>
        <w:spacing w:after="0" w:line="277" w:lineRule="auto"/>
        <w:tabs>
          <w:tab w:leader="none" w:pos="1998"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existing 1% general partner interest in Plains AAP currently held by GP LLC will be converted into a non-economic general partner interest and a 1% limited partner interest in Plains AAP represented by AAP Units;</w:t>
      </w:r>
    </w:p>
    <w:p>
      <w:pPr>
        <w:spacing w:after="0" w:line="170" w:lineRule="exact"/>
        <w:rPr>
          <w:rFonts w:ascii="Arial" w:cs="Arial" w:eastAsia="Arial" w:hAnsi="Arial"/>
          <w:sz w:val="18"/>
          <w:szCs w:val="18"/>
          <w:color w:val="auto"/>
        </w:rPr>
      </w:pPr>
    </w:p>
    <w:p>
      <w:pPr>
        <w:ind w:left="680" w:right="200" w:firstLine="611"/>
        <w:spacing w:after="0" w:line="264" w:lineRule="auto"/>
        <w:tabs>
          <w:tab w:leader="none" w:pos="1974" w:val="left"/>
        </w:tabs>
        <w:numPr>
          <w:ilvl w:val="1"/>
          <w:numId w:val="2"/>
        </w:numPr>
        <w:rPr>
          <w:rFonts w:ascii="Arial" w:cs="Arial" w:eastAsia="Arial" w:hAnsi="Arial"/>
          <w:sz w:val="18"/>
          <w:szCs w:val="18"/>
          <w:color w:val="auto"/>
        </w:rPr>
      </w:pPr>
      <w:r>
        <w:rPr>
          <w:rFonts w:ascii="Arial" w:cs="Arial" w:eastAsia="Arial" w:hAnsi="Arial"/>
          <w:sz w:val="18"/>
          <w:szCs w:val="18"/>
          <w:color w:val="auto"/>
        </w:rPr>
        <w:t>GP LLC will effect a pro rata distribution of such AAP Units to the entities and individuals that own capital interests in Plains AAP and GP LLC as of the date of this Agreement (the “</w:t>
      </w:r>
      <w:r>
        <w:rPr>
          <w:rFonts w:ascii="Arial" w:cs="Arial" w:eastAsia="Arial" w:hAnsi="Arial"/>
          <w:sz w:val="18"/>
          <w:szCs w:val="18"/>
          <w:b w:val="1"/>
          <w:bCs w:val="1"/>
          <w:color w:val="auto"/>
        </w:rPr>
        <w:t>Existing Owners</w:t>
      </w:r>
      <w:r>
        <w:rPr>
          <w:rFonts w:ascii="Arial" w:cs="Arial" w:eastAsia="Arial" w:hAnsi="Arial"/>
          <w:sz w:val="18"/>
          <w:szCs w:val="18"/>
          <w:color w:val="auto"/>
        </w:rPr>
        <w:t>”), increasing the number of AAP Units held by the Existing Owners to 606,029,773; and</w:t>
      </w:r>
    </w:p>
    <w:p>
      <w:pPr>
        <w:spacing w:after="0" w:line="181" w:lineRule="exact"/>
        <w:rPr>
          <w:rFonts w:ascii="Arial" w:cs="Arial" w:eastAsia="Arial" w:hAnsi="Arial"/>
          <w:sz w:val="18"/>
          <w:szCs w:val="18"/>
          <w:color w:val="auto"/>
        </w:rPr>
      </w:pPr>
    </w:p>
    <w:p>
      <w:pPr>
        <w:ind w:left="680" w:right="260" w:firstLine="611"/>
        <w:spacing w:after="0" w:line="264" w:lineRule="auto"/>
        <w:tabs>
          <w:tab w:leader="none" w:pos="1965" w:val="left"/>
        </w:tabs>
        <w:numPr>
          <w:ilvl w:val="1"/>
          <w:numId w:val="2"/>
        </w:numPr>
        <w:rPr>
          <w:rFonts w:ascii="Arial" w:cs="Arial" w:eastAsia="Arial" w:hAnsi="Arial"/>
          <w:sz w:val="18"/>
          <w:szCs w:val="18"/>
          <w:color w:val="auto"/>
        </w:rPr>
      </w:pPr>
      <w:r>
        <w:rPr>
          <w:rFonts w:ascii="Arial" w:cs="Arial" w:eastAsia="Arial" w:hAnsi="Arial"/>
          <w:sz w:val="18"/>
          <w:szCs w:val="18"/>
          <w:color w:val="auto"/>
        </w:rPr>
        <w:t>Plains AAP amended and restated the AAP Credit Agreement (as defined herein) to, among other things, increase the term loan facility from $200,000,000 to $500,000,000 and to increase the aggregate commitments under the revolving credit facility from $25,000,000 to $75,000,000.</w:t>
      </w:r>
    </w:p>
    <w:p>
      <w:pPr>
        <w:spacing w:after="0" w:line="177" w:lineRule="exact"/>
        <w:rPr>
          <w:sz w:val="20"/>
          <w:szCs w:val="20"/>
          <w:color w:val="auto"/>
        </w:rPr>
      </w:pPr>
    </w:p>
    <w:p>
      <w:pPr>
        <w:ind w:right="160" w:firstLine="667"/>
        <w:spacing w:after="0" w:line="282" w:lineRule="auto"/>
        <w:rPr>
          <w:sz w:val="20"/>
          <w:szCs w:val="20"/>
          <w:color w:val="auto"/>
        </w:rPr>
      </w:pPr>
      <w:r>
        <w:rPr>
          <w:rFonts w:ascii="Arial" w:cs="Arial" w:eastAsia="Arial" w:hAnsi="Arial"/>
          <w:sz w:val="18"/>
          <w:szCs w:val="18"/>
          <w:color w:val="auto"/>
        </w:rPr>
        <w:t>It is further understood and agreed to by all parties hereto that the following additional transactions (the “</w:t>
      </w:r>
      <w:r>
        <w:rPr>
          <w:rFonts w:ascii="Arial" w:cs="Arial" w:eastAsia="Arial" w:hAnsi="Arial"/>
          <w:sz w:val="18"/>
          <w:szCs w:val="18"/>
          <w:b w:val="1"/>
          <w:bCs w:val="1"/>
          <w:color w:val="auto"/>
        </w:rPr>
        <w:t>Closing Transactions</w:t>
      </w:r>
      <w:r>
        <w:rPr>
          <w:rFonts w:ascii="Arial" w:cs="Arial" w:eastAsia="Arial" w:hAnsi="Arial"/>
          <w:sz w:val="18"/>
          <w:szCs w:val="18"/>
          <w:color w:val="auto"/>
        </w:rPr>
        <w:t>” and together with the Prior Transactions, the “</w:t>
      </w:r>
      <w:r>
        <w:rPr>
          <w:rFonts w:ascii="Arial" w:cs="Arial" w:eastAsia="Arial" w:hAnsi="Arial"/>
          <w:sz w:val="18"/>
          <w:szCs w:val="18"/>
          <w:b w:val="1"/>
          <w:bCs w:val="1"/>
          <w:color w:val="auto"/>
        </w:rPr>
        <w:t>Transactions</w:t>
      </w:r>
      <w:r>
        <w:rPr>
          <w:rFonts w:ascii="Arial" w:cs="Arial" w:eastAsia="Arial" w:hAnsi="Arial"/>
          <w:sz w:val="18"/>
          <w:szCs w:val="18"/>
          <w:color w:val="auto"/>
        </w:rPr>
        <w:t>”) will occur on or before the Initial Delivery Date (as defined herein):</w:t>
      </w:r>
    </w:p>
    <w:p>
      <w:pPr>
        <w:sectPr>
          <w:pgSz w:w="11900" w:h="16838" w:orient="portrait"/>
          <w:cols w:equalWidth="0" w:num="1">
            <w:col w:w="11420"/>
          </w:cols>
          <w:pgMar w:left="240" w:top="121" w:right="239" w:bottom="40" w:gutter="0" w:footer="0" w:header="0"/>
        </w:sectPr>
      </w:pPr>
    </w:p>
    <w:bookmarkStart w:id="3" w:name="page4"/>
    <w:bookmarkEnd w:id="3"/>
    <w:p>
      <w:pPr>
        <w:spacing w:after="0" w:line="77" w:lineRule="exact"/>
        <w:rPr>
          <w:sz w:val="20"/>
          <w:szCs w:val="20"/>
          <w:color w:val="auto"/>
        </w:rPr>
      </w:pPr>
    </w:p>
    <w:p>
      <w:pPr>
        <w:ind w:left="680" w:right="980" w:firstLine="611"/>
        <w:spacing w:after="0" w:line="277" w:lineRule="auto"/>
        <w:tabs>
          <w:tab w:leader="none" w:pos="197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agreement of limited partnership of the Partnership will be amended and restated (as so amended and restated, the “</w:t>
      </w:r>
      <w:r>
        <w:rPr>
          <w:rFonts w:ascii="Arial" w:cs="Arial" w:eastAsia="Arial" w:hAnsi="Arial"/>
          <w:sz w:val="18"/>
          <w:szCs w:val="18"/>
          <w:b w:val="1"/>
          <w:bCs w:val="1"/>
          <w:color w:val="auto"/>
        </w:rPr>
        <w:t>Partnership Agreement</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80" w:right="360" w:firstLine="611"/>
        <w:spacing w:after="0" w:line="282" w:lineRule="auto"/>
        <w:tabs>
          <w:tab w:leader="none" w:pos="198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liability agreement of the General Partner will be amended and restated (as so amended and restated, the “</w:t>
      </w:r>
      <w:r>
        <w:rPr>
          <w:rFonts w:ascii="Arial" w:cs="Arial" w:eastAsia="Arial" w:hAnsi="Arial"/>
          <w:sz w:val="18"/>
          <w:szCs w:val="18"/>
          <w:b w:val="1"/>
          <w:bCs w:val="1"/>
          <w:color w:val="auto"/>
        </w:rPr>
        <w:t>General</w:t>
      </w:r>
      <w:r>
        <w:rPr>
          <w:rFonts w:ascii="Arial" w:cs="Arial" w:eastAsia="Arial" w:hAnsi="Arial"/>
          <w:sz w:val="18"/>
          <w:szCs w:val="18"/>
          <w:color w:val="auto"/>
        </w:rPr>
        <w:t xml:space="preserve"> </w:t>
      </w:r>
      <w:r>
        <w:rPr>
          <w:rFonts w:ascii="Arial" w:cs="Arial" w:eastAsia="Arial" w:hAnsi="Arial"/>
          <w:sz w:val="18"/>
          <w:szCs w:val="18"/>
          <w:b w:val="1"/>
          <w:bCs w:val="1"/>
          <w:color w:val="auto"/>
        </w:rPr>
        <w:t>Partner LLC Agreement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680" w:right="140" w:firstLine="611"/>
        <w:spacing w:after="0" w:line="314" w:lineRule="auto"/>
        <w:tabs>
          <w:tab w:leader="none" w:pos="199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Plains AAP limited partnership agreement will be amended and restated (as so amended and restated, the “</w:t>
      </w:r>
      <w:r>
        <w:rPr>
          <w:rFonts w:ascii="Arial" w:cs="Arial" w:eastAsia="Arial" w:hAnsi="Arial"/>
          <w:sz w:val="16"/>
          <w:szCs w:val="16"/>
          <w:b w:val="1"/>
          <w:bCs w:val="1"/>
          <w:color w:val="auto"/>
        </w:rPr>
        <w:t>AAP Partnership</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to provide that, among other things: (A) the number of AAP Units held by each Existing Owner and the Partnership will be adjusted</w:t>
      </w:r>
      <w:r>
        <w:rPr>
          <w:rFonts w:ascii="Arial" w:cs="Arial" w:eastAsia="Arial" w:hAnsi="Arial"/>
          <w:sz w:val="16"/>
          <w:szCs w:val="16"/>
          <w:b w:val="1"/>
          <w:bCs w:val="1"/>
          <w:color w:val="auto"/>
        </w:rPr>
        <w:t xml:space="preserve"> </w:t>
      </w:r>
      <w:r>
        <w:rPr>
          <w:rFonts w:ascii="Arial" w:cs="Arial" w:eastAsia="Arial" w:hAnsi="Arial"/>
          <w:sz w:val="16"/>
          <w:szCs w:val="16"/>
          <w:color w:val="auto"/>
        </w:rPr>
        <w:t>proportionately such that the number of AAP Units held by the Partnership equals the number of Shares issued in the Offering; (B) Plains AAP</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right="20"/>
        <w:spacing w:after="0" w:line="286" w:lineRule="auto"/>
        <w:rPr>
          <w:sz w:val="20"/>
          <w:szCs w:val="20"/>
          <w:color w:val="auto"/>
        </w:rPr>
      </w:pPr>
      <w:r>
        <w:rPr>
          <w:rFonts w:ascii="Arial" w:cs="Arial" w:eastAsia="Arial" w:hAnsi="Arial"/>
          <w:sz w:val="16"/>
          <w:szCs w:val="16"/>
          <w:color w:val="auto"/>
        </w:rPr>
        <w:t>will be controlled by GP LLC, its general partner; (C) each Existing Owner will have the right to exchange its AAP Units (and a like number of Class B Shares and units representing membership interests in the General Partner (“</w:t>
      </w:r>
      <w:r>
        <w:rPr>
          <w:rFonts w:ascii="Arial" w:cs="Arial" w:eastAsia="Arial" w:hAnsi="Arial"/>
          <w:sz w:val="16"/>
          <w:szCs w:val="16"/>
          <w:b w:val="1"/>
          <w:bCs w:val="1"/>
          <w:color w:val="auto"/>
        </w:rPr>
        <w:t>General Partner Units</w:t>
      </w:r>
      <w:r>
        <w:rPr>
          <w:rFonts w:ascii="Arial" w:cs="Arial" w:eastAsia="Arial" w:hAnsi="Arial"/>
          <w:sz w:val="16"/>
          <w:szCs w:val="16"/>
          <w:color w:val="auto"/>
        </w:rPr>
        <w:t>”)) for Class A Shares on a one-for-one basis (an “</w:t>
      </w:r>
      <w:r>
        <w:rPr>
          <w:rFonts w:ascii="Arial" w:cs="Arial" w:eastAsia="Arial" w:hAnsi="Arial"/>
          <w:sz w:val="16"/>
          <w:szCs w:val="16"/>
          <w:b w:val="1"/>
          <w:bCs w:val="1"/>
          <w:color w:val="auto"/>
        </w:rPr>
        <w:t>Exchange Right</w:t>
      </w:r>
      <w:r>
        <w:rPr>
          <w:rFonts w:ascii="Arial" w:cs="Arial" w:eastAsia="Arial" w:hAnsi="Arial"/>
          <w:sz w:val="16"/>
          <w:szCs w:val="16"/>
          <w:color w:val="auto"/>
        </w:rPr>
        <w:t>”); (D) the Partnership will be obligated to contribute to Plains AAP Class A Shares necessary to effect any exchange with a Existing Owner following the exercise of its Exchange Right, and will be issued a like number of AAP Units in exchange for such shares; and</w:t>
      </w:r>
    </w:p>
    <w:p>
      <w:pPr>
        <w:spacing w:after="0" w:line="2" w:lineRule="exact"/>
        <w:rPr>
          <w:sz w:val="20"/>
          <w:szCs w:val="20"/>
          <w:color w:val="auto"/>
        </w:rPr>
      </w:pPr>
    </w:p>
    <w:p>
      <w:pPr>
        <w:ind w:left="680" w:right="380" w:hanging="5"/>
        <w:spacing w:after="0" w:line="261"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Plains AAP Class B units (the “</w:t>
      </w:r>
      <w:r>
        <w:rPr>
          <w:rFonts w:ascii="Arial" w:cs="Arial" w:eastAsia="Arial" w:hAnsi="Arial"/>
          <w:sz w:val="18"/>
          <w:szCs w:val="18"/>
          <w:b w:val="1"/>
          <w:bCs w:val="1"/>
          <w:color w:val="auto"/>
        </w:rPr>
        <w:t>Incentive Units</w:t>
      </w:r>
      <w:r>
        <w:rPr>
          <w:rFonts w:ascii="Arial" w:cs="Arial" w:eastAsia="Arial" w:hAnsi="Arial"/>
          <w:sz w:val="18"/>
          <w:szCs w:val="18"/>
          <w:color w:val="auto"/>
        </w:rPr>
        <w:t>”) will be modified as appropriate to facilitate the Exchange Right by the holders thereof following exchange of such Incentive Units for AAP Units;</w:t>
      </w:r>
    </w:p>
    <w:p>
      <w:pPr>
        <w:spacing w:after="0" w:line="179" w:lineRule="exact"/>
        <w:rPr>
          <w:rFonts w:ascii="Arial" w:cs="Arial" w:eastAsia="Arial" w:hAnsi="Arial"/>
          <w:sz w:val="18"/>
          <w:szCs w:val="18"/>
          <w:color w:val="auto"/>
        </w:rPr>
      </w:pPr>
    </w:p>
    <w:p>
      <w:pPr>
        <w:ind w:left="680" w:right="300" w:firstLine="611"/>
        <w:spacing w:after="0" w:line="282" w:lineRule="auto"/>
        <w:tabs>
          <w:tab w:leader="none" w:pos="1974"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limited liability company agreement of GP LLC will be amended and restated (as so amended and restated, the “</w:t>
      </w:r>
      <w:r>
        <w:rPr>
          <w:rFonts w:ascii="Arial" w:cs="Arial" w:eastAsia="Arial" w:hAnsi="Arial"/>
          <w:sz w:val="18"/>
          <w:szCs w:val="18"/>
          <w:b w:val="1"/>
          <w:bCs w:val="1"/>
          <w:color w:val="auto"/>
        </w:rPr>
        <w:t>Plains GP</w:t>
      </w:r>
      <w:r>
        <w:rPr>
          <w:rFonts w:ascii="Arial" w:cs="Arial" w:eastAsia="Arial" w:hAnsi="Arial"/>
          <w:sz w:val="18"/>
          <w:szCs w:val="18"/>
          <w:color w:val="auto"/>
        </w:rPr>
        <w:t xml:space="preserve"> </w:t>
      </w:r>
      <w:r>
        <w:rPr>
          <w:rFonts w:ascii="Arial" w:cs="Arial" w:eastAsia="Arial" w:hAnsi="Arial"/>
          <w:sz w:val="18"/>
          <w:szCs w:val="18"/>
          <w:b w:val="1"/>
          <w:bCs w:val="1"/>
          <w:color w:val="auto"/>
        </w:rPr>
        <w:t>LLC Agreement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680" w:right="60" w:firstLine="611"/>
        <w:spacing w:after="0" w:line="342" w:lineRule="auto"/>
        <w:tabs>
          <w:tab w:leader="none" w:pos="1965"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connection with the contributions and transactions noted therein, the Partnership Parties will enter into a contribution agreement (the “</w:t>
      </w:r>
      <w:r>
        <w:rPr>
          <w:rFonts w:ascii="Arial" w:cs="Arial" w:eastAsia="Arial" w:hAnsi="Arial"/>
          <w:sz w:val="16"/>
          <w:szCs w:val="16"/>
          <w:b w:val="1"/>
          <w:bCs w:val="1"/>
          <w:color w:val="auto"/>
        </w:rPr>
        <w:t>Contribution Agreement</w:t>
      </w:r>
      <w:r>
        <w:rPr>
          <w:rFonts w:ascii="Arial" w:cs="Arial" w:eastAsia="Arial" w:hAnsi="Arial"/>
          <w:sz w:val="16"/>
          <w:szCs w:val="16"/>
          <w:color w:val="auto"/>
        </w:rPr>
        <w:t>”) with the Existing Owners and the EMG Seller Parties (as defined therein), pursuant to which, among other things:</w:t>
      </w:r>
    </w:p>
    <w:p>
      <w:pPr>
        <w:spacing w:after="0" w:line="123" w:lineRule="exact"/>
        <w:rPr>
          <w:rFonts w:ascii="Arial" w:cs="Arial" w:eastAsia="Arial" w:hAnsi="Arial"/>
          <w:sz w:val="16"/>
          <w:szCs w:val="16"/>
          <w:color w:val="auto"/>
        </w:rPr>
      </w:pPr>
    </w:p>
    <w:p>
      <w:pPr>
        <w:ind w:left="1300" w:firstLine="607"/>
        <w:spacing w:after="0" w:line="259" w:lineRule="auto"/>
        <w:tabs>
          <w:tab w:leader="none" w:pos="2602" w:val="left"/>
        </w:tabs>
        <w:numPr>
          <w:ilvl w:val="4"/>
          <w:numId w:val="4"/>
        </w:numPr>
        <w:rPr>
          <w:rFonts w:ascii="Arial" w:cs="Arial" w:eastAsia="Arial" w:hAnsi="Arial"/>
          <w:sz w:val="18"/>
          <w:szCs w:val="18"/>
          <w:color w:val="auto"/>
        </w:rPr>
      </w:pPr>
      <w:r>
        <w:rPr>
          <w:rFonts w:ascii="Arial" w:cs="Arial" w:eastAsia="Arial" w:hAnsi="Arial"/>
          <w:sz w:val="18"/>
          <w:szCs w:val="18"/>
          <w:color w:val="auto"/>
        </w:rPr>
        <w:t>the Existing Owners will contribute to the General Partner their respective membership interests in GP LLC in exchange for (i) the receipt from the General Partner of a total of 606,029,773 General Partner Units representing 100% of the membership interests in the General Partner and (ii) the receipt from the Partnership of a total of 478,029,773 Class B shares representing limited partner interests in the Partnership (the “</w:t>
      </w:r>
      <w:r>
        <w:rPr>
          <w:rFonts w:ascii="Arial" w:cs="Arial" w:eastAsia="Arial" w:hAnsi="Arial"/>
          <w:sz w:val="18"/>
          <w:szCs w:val="18"/>
          <w:b w:val="1"/>
          <w:bCs w:val="1"/>
          <w:color w:val="auto"/>
        </w:rPr>
        <w:t>Class B Shares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600" w:hanging="693"/>
        <w:spacing w:after="0"/>
        <w:tabs>
          <w:tab w:leader="none" w:pos="2600" w:val="left"/>
        </w:tabs>
        <w:numPr>
          <w:ilvl w:val="4"/>
          <w:numId w:val="4"/>
        </w:numPr>
        <w:rPr>
          <w:rFonts w:ascii="Arial" w:cs="Arial" w:eastAsia="Arial" w:hAnsi="Arial"/>
          <w:sz w:val="18"/>
          <w:szCs w:val="18"/>
          <w:color w:val="auto"/>
        </w:rPr>
      </w:pPr>
      <w:r>
        <w:rPr>
          <w:rFonts w:ascii="Arial" w:cs="Arial" w:eastAsia="Arial" w:hAnsi="Arial"/>
          <w:sz w:val="18"/>
          <w:szCs w:val="18"/>
          <w:color w:val="auto"/>
        </w:rPr>
        <w:t>the initial formation interest of PAA Management in the General Partner will be cancelled;</w:t>
      </w:r>
    </w:p>
    <w:p>
      <w:pPr>
        <w:spacing w:after="0" w:line="225" w:lineRule="exact"/>
        <w:rPr>
          <w:rFonts w:ascii="Arial" w:cs="Arial" w:eastAsia="Arial" w:hAnsi="Arial"/>
          <w:sz w:val="18"/>
          <w:szCs w:val="18"/>
          <w:color w:val="auto"/>
        </w:rPr>
      </w:pPr>
    </w:p>
    <w:p>
      <w:pPr>
        <w:ind w:left="1300" w:right="520" w:firstLine="607"/>
        <w:spacing w:after="0" w:line="277" w:lineRule="auto"/>
        <w:tabs>
          <w:tab w:leader="none" w:pos="2615" w:val="left"/>
        </w:tabs>
        <w:numPr>
          <w:ilvl w:val="4"/>
          <w:numId w:val="4"/>
        </w:numPr>
        <w:rPr>
          <w:rFonts w:ascii="Arial" w:cs="Arial" w:eastAsia="Arial" w:hAnsi="Arial"/>
          <w:sz w:val="18"/>
          <w:szCs w:val="18"/>
          <w:color w:val="auto"/>
        </w:rPr>
      </w:pPr>
      <w:r>
        <w:rPr>
          <w:rFonts w:ascii="Arial" w:cs="Arial" w:eastAsia="Arial" w:hAnsi="Arial"/>
          <w:sz w:val="18"/>
          <w:szCs w:val="18"/>
          <w:color w:val="auto"/>
        </w:rPr>
        <w:t>the General Partner will contribute all of its membership interests in GP LLC to the Partnership in exchange for the continuation of its non-economic general partner interest in the Partnership; and</w:t>
      </w:r>
    </w:p>
    <w:p>
      <w:pPr>
        <w:spacing w:after="0" w:line="170" w:lineRule="exact"/>
        <w:rPr>
          <w:rFonts w:ascii="Arial" w:cs="Arial" w:eastAsia="Arial" w:hAnsi="Arial"/>
          <w:sz w:val="18"/>
          <w:szCs w:val="18"/>
          <w:color w:val="auto"/>
        </w:rPr>
      </w:pPr>
    </w:p>
    <w:p>
      <w:pPr>
        <w:ind w:left="1300" w:right="40" w:firstLine="607"/>
        <w:spacing w:after="0" w:line="264" w:lineRule="auto"/>
        <w:tabs>
          <w:tab w:leader="none" w:pos="2612" w:val="left"/>
        </w:tabs>
        <w:numPr>
          <w:ilvl w:val="4"/>
          <w:numId w:val="4"/>
        </w:numPr>
        <w:rPr>
          <w:rFonts w:ascii="Arial" w:cs="Arial" w:eastAsia="Arial" w:hAnsi="Arial"/>
          <w:sz w:val="18"/>
          <w:szCs w:val="18"/>
          <w:color w:val="auto"/>
        </w:rPr>
      </w:pPr>
      <w:r>
        <w:rPr>
          <w:rFonts w:ascii="Arial" w:cs="Arial" w:eastAsia="Arial" w:hAnsi="Arial"/>
          <w:sz w:val="18"/>
          <w:szCs w:val="18"/>
          <w:color w:val="auto"/>
        </w:rPr>
        <w:t>the parties identified as “Sellers” in the Contribution Agreement will sell 128,000,000 AAP Units and an equal number of General Partner Units to the Partnership in exchange for the right to receive a payment from the Partnership equal to the net proceeds from the public offering of Shares contemplated hereby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80" w:right="320" w:firstLine="660"/>
        <w:spacing w:after="0" w:line="277" w:lineRule="auto"/>
        <w:tabs>
          <w:tab w:leader="none" w:pos="1970" w:val="left"/>
        </w:tabs>
        <w:numPr>
          <w:ilvl w:val="3"/>
          <w:numId w:val="4"/>
        </w:numPr>
        <w:rPr>
          <w:rFonts w:ascii="Arial" w:cs="Arial" w:eastAsia="Arial" w:hAnsi="Arial"/>
          <w:sz w:val="18"/>
          <w:szCs w:val="18"/>
          <w:color w:val="auto"/>
        </w:rPr>
      </w:pPr>
      <w:r>
        <w:rPr>
          <w:rFonts w:ascii="Arial" w:cs="Arial" w:eastAsia="Arial" w:hAnsi="Arial"/>
          <w:sz w:val="18"/>
          <w:szCs w:val="18"/>
          <w:color w:val="auto"/>
        </w:rPr>
        <w:t>the Offering will be consummated, the net proceeds thereof will be distributed to the Partnership, and the initial limited partner interest in the Partnership will be canceled;</w:t>
      </w:r>
    </w:p>
    <w:p>
      <w:pPr>
        <w:spacing w:after="0" w:line="170" w:lineRule="exact"/>
        <w:rPr>
          <w:rFonts w:ascii="Arial" w:cs="Arial" w:eastAsia="Arial" w:hAnsi="Arial"/>
          <w:sz w:val="18"/>
          <w:szCs w:val="18"/>
          <w:color w:val="auto"/>
        </w:rPr>
      </w:pPr>
    </w:p>
    <w:p>
      <w:pPr>
        <w:ind w:left="680" w:right="160" w:firstLine="611"/>
        <w:spacing w:after="0" w:line="277" w:lineRule="auto"/>
        <w:tabs>
          <w:tab w:leader="none" w:pos="1984" w:val="left"/>
        </w:tabs>
        <w:numPr>
          <w:ilvl w:val="3"/>
          <w:numId w:val="4"/>
        </w:numPr>
        <w:rPr>
          <w:rFonts w:ascii="Arial" w:cs="Arial" w:eastAsia="Arial" w:hAnsi="Arial"/>
          <w:sz w:val="18"/>
          <w:szCs w:val="18"/>
          <w:color w:val="auto"/>
        </w:rPr>
      </w:pPr>
      <w:r>
        <w:rPr>
          <w:rFonts w:ascii="Arial" w:cs="Arial" w:eastAsia="Arial" w:hAnsi="Arial"/>
          <w:sz w:val="18"/>
          <w:szCs w:val="18"/>
          <w:color w:val="auto"/>
        </w:rPr>
        <w:t>the Partnership will distribute such Class B Shares and such proceeds to the Existing Owners in accordance with the terms of the Contribution Agreement;</w:t>
      </w:r>
    </w:p>
    <w:p>
      <w:pPr>
        <w:spacing w:after="0" w:line="170" w:lineRule="exact"/>
        <w:rPr>
          <w:rFonts w:ascii="Arial" w:cs="Arial" w:eastAsia="Arial" w:hAnsi="Arial"/>
          <w:sz w:val="18"/>
          <w:szCs w:val="18"/>
          <w:color w:val="auto"/>
        </w:rPr>
      </w:pPr>
    </w:p>
    <w:p>
      <w:pPr>
        <w:ind w:left="1980" w:hanging="694"/>
        <w:spacing w:after="0"/>
        <w:tabs>
          <w:tab w:leader="none" w:pos="1980" w:val="left"/>
        </w:tabs>
        <w:numPr>
          <w:ilvl w:val="2"/>
          <w:numId w:val="4"/>
        </w:numPr>
        <w:rPr>
          <w:rFonts w:ascii="Arial" w:cs="Arial" w:eastAsia="Arial" w:hAnsi="Arial"/>
          <w:sz w:val="17"/>
          <w:szCs w:val="17"/>
          <w:color w:val="auto"/>
        </w:rPr>
      </w:pPr>
      <w:r>
        <w:rPr>
          <w:rFonts w:ascii="Arial" w:cs="Arial" w:eastAsia="Arial" w:hAnsi="Arial"/>
          <w:sz w:val="17"/>
          <w:szCs w:val="17"/>
          <w:color w:val="auto"/>
        </w:rPr>
        <w:t>the Partnership will file an election with the Internal Revenue Service to be treated as a corporation for federal income tax</w:t>
      </w:r>
    </w:p>
    <w:p>
      <w:pPr>
        <w:spacing w:after="0" w:line="34"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8"/>
          <w:szCs w:val="18"/>
          <w:color w:val="auto"/>
        </w:rPr>
        <w:t>purposes;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right="60" w:firstLine="611"/>
        <w:spacing w:after="0" w:line="259" w:lineRule="auto"/>
        <w:tabs>
          <w:tab w:leader="none" w:pos="197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Underwriters exercise their option to acquire the Additional Shares from the Partnership, the net proceeds from the sale of the Additional Shares will be used by the Partnership in accordance with the Contribution Agreement to acquire an equal number of Class B Shares, AAP Units and General Partner Units from Oxy (as such term is defined in the Contribution Agreement), whereupon such Class B Shares will be canceled;</w:t>
      </w:r>
    </w:p>
    <w:p>
      <w:pPr>
        <w:spacing w:after="0" w:line="182" w:lineRule="exact"/>
        <w:rPr>
          <w:rFonts w:ascii="Arial" w:cs="Arial" w:eastAsia="Arial" w:hAnsi="Arial"/>
          <w:sz w:val="18"/>
          <w:szCs w:val="18"/>
          <w:color w:val="auto"/>
        </w:rPr>
      </w:pPr>
    </w:p>
    <w:p>
      <w:pPr>
        <w:ind w:left="1960" w:hanging="669"/>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Partner will adopt the Plains GP Holdings, L.P. Long-Term Incentive Plan (the “</w:t>
      </w:r>
      <w:r>
        <w:rPr>
          <w:rFonts w:ascii="Arial" w:cs="Arial" w:eastAsia="Arial" w:hAnsi="Arial"/>
          <w:sz w:val="18"/>
          <w:szCs w:val="18"/>
          <w:b w:val="1"/>
          <w:bCs w:val="1"/>
          <w:color w:val="auto"/>
        </w:rPr>
        <w:t>LTIP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0" w:right="20" w:firstLine="611"/>
        <w:spacing w:after="0" w:line="261" w:lineRule="auto"/>
        <w:tabs>
          <w:tab w:leader="none" w:pos="197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Partnership and the Existing Owners will enter into a shareholder and registration rights agreement (the “</w:t>
      </w:r>
      <w:r>
        <w:rPr>
          <w:rFonts w:ascii="Arial" w:cs="Arial" w:eastAsia="Arial" w:hAnsi="Arial"/>
          <w:sz w:val="18"/>
          <w:szCs w:val="18"/>
          <w:b w:val="1"/>
          <w:bCs w:val="1"/>
          <w:color w:val="auto"/>
        </w:rPr>
        <w:t>Registration Rights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to address, among other things, the registration of Class A Shares proposed to be sold by the Existing Owners and respective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or their assignees, consistent with the description thereof set forth in the Prospectus under the caption “Certain Relationships and Related Transactions—Registration Rights Agreement”; and</w:t>
      </w:r>
    </w:p>
    <w:p>
      <w:pPr>
        <w:spacing w:after="0" w:line="180" w:lineRule="exact"/>
        <w:rPr>
          <w:rFonts w:ascii="Arial" w:cs="Arial" w:eastAsia="Arial" w:hAnsi="Arial"/>
          <w:sz w:val="18"/>
          <w:szCs w:val="18"/>
          <w:color w:val="auto"/>
        </w:rPr>
      </w:pPr>
    </w:p>
    <w:p>
      <w:pPr>
        <w:ind w:left="680" w:right="320" w:firstLine="611"/>
        <w:spacing w:after="0" w:line="258" w:lineRule="auto"/>
        <w:tabs>
          <w:tab w:leader="none" w:pos="19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Partnership Parties, PAA, PAA GP and GP LLC will enter into an administrative agreement (the “</w:t>
      </w:r>
      <w:r>
        <w:rPr>
          <w:rFonts w:ascii="Arial" w:cs="Arial" w:eastAsia="Arial" w:hAnsi="Arial"/>
          <w:sz w:val="18"/>
          <w:szCs w:val="18"/>
          <w:b w:val="1"/>
          <w:bCs w:val="1"/>
          <w:color w:val="auto"/>
        </w:rPr>
        <w:t>Administrative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to address, among other things, potential conflicts with respect to business opportunities that may arise among the Partnership,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Partner, PAA, PAA GP and GP LLC and the provision of general and administrative services by GP LLC to the Partnership, the General Partner and Plains AAP, consistent with the description thereof set forth in the Prospectus under the caption “Certain Relationships and Related Transactions—Administrative Agreement”.</w:t>
      </w:r>
    </w:p>
    <w:p>
      <w:pPr>
        <w:spacing w:after="0" w:line="184" w:lineRule="exact"/>
        <w:rPr>
          <w:sz w:val="20"/>
          <w:szCs w:val="20"/>
          <w:color w:val="auto"/>
        </w:rPr>
      </w:pPr>
    </w:p>
    <w:p>
      <w:pPr>
        <w:ind w:right="200" w:firstLine="667"/>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Transaction Documents</w:t>
      </w:r>
      <w:r>
        <w:rPr>
          <w:rFonts w:ascii="Arial" w:cs="Arial" w:eastAsia="Arial" w:hAnsi="Arial"/>
          <w:sz w:val="18"/>
          <w:szCs w:val="18"/>
          <w:color w:val="auto"/>
        </w:rPr>
        <w:t>” shall mean the Contribution Agreement, the AAP Credit Agreement, the LTIP, the Registration Rights Agreement and the Administrative Agreement. The “</w:t>
      </w:r>
      <w:r>
        <w:rPr>
          <w:rFonts w:ascii="Arial" w:cs="Arial" w:eastAsia="Arial" w:hAnsi="Arial"/>
          <w:sz w:val="18"/>
          <w:szCs w:val="18"/>
          <w:b w:val="1"/>
          <w:bCs w:val="1"/>
          <w:color w:val="auto"/>
        </w:rPr>
        <w:t>Partnership Group Organizational Agreements</w:t>
      </w:r>
      <w:r>
        <w:rPr>
          <w:rFonts w:ascii="Arial" w:cs="Arial" w:eastAsia="Arial" w:hAnsi="Arial"/>
          <w:sz w:val="18"/>
          <w:szCs w:val="18"/>
          <w:color w:val="auto"/>
        </w:rPr>
        <w:t>” shall mean the AAP Partnership Agreement, the Partnership Agreement, the General Partner LLC Agreement the Plains GP LLC Agreement. The “</w:t>
      </w:r>
      <w:r>
        <w:rPr>
          <w:rFonts w:ascii="Arial" w:cs="Arial" w:eastAsia="Arial" w:hAnsi="Arial"/>
          <w:sz w:val="18"/>
          <w:szCs w:val="18"/>
          <w:b w:val="1"/>
          <w:bCs w:val="1"/>
          <w:color w:val="auto"/>
        </w:rPr>
        <w:t>Operative Documents</w:t>
      </w:r>
      <w:r>
        <w:rPr>
          <w:rFonts w:ascii="Arial" w:cs="Arial" w:eastAsia="Arial" w:hAnsi="Arial"/>
          <w:sz w:val="18"/>
          <w:szCs w:val="18"/>
          <w:color w:val="auto"/>
        </w:rPr>
        <w:t>” shall mean the Partnership Group Organizational Agreements and the Transaction Documents.</w:t>
      </w:r>
    </w:p>
    <w:p>
      <w:pPr>
        <w:sectPr>
          <w:pgSz w:w="11900" w:h="16915" w:orient="portrait"/>
          <w:cols w:equalWidth="0" w:num="1">
            <w:col w:w="11420"/>
          </w:cols>
          <w:pgMar w:left="240" w:top="125" w:right="239" w:bottom="0" w:gutter="0" w:footer="0" w:header="0"/>
        </w:sectPr>
      </w:pPr>
    </w:p>
    <w:bookmarkStart w:id="4" w:name="page5"/>
    <w:bookmarkEnd w:id="4"/>
    <w:p>
      <w:pPr>
        <w:spacing w:after="0" w:line="137" w:lineRule="exact"/>
        <w:rPr>
          <w:sz w:val="20"/>
          <w:szCs w:val="20"/>
          <w:color w:val="auto"/>
        </w:rPr>
      </w:pPr>
    </w:p>
    <w:p>
      <w:pPr>
        <w:ind w:left="644" w:hanging="644"/>
        <w:spacing w:after="0"/>
        <w:tabs>
          <w:tab w:leader="none" w:pos="644"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Partnership Parties</w:t>
      </w:r>
      <w:r>
        <w:rPr>
          <w:rFonts w:ascii="Arial" w:cs="Arial" w:eastAsia="Arial" w:hAnsi="Arial"/>
          <w:sz w:val="17"/>
          <w:szCs w:val="17"/>
          <w:color w:val="auto"/>
        </w:rPr>
        <w:t>. The Partnership Parties represent and warrant to the Underwriters that:</w:t>
      </w:r>
    </w:p>
    <w:p>
      <w:pPr>
        <w:spacing w:after="0" w:line="236" w:lineRule="exact"/>
        <w:rPr>
          <w:rFonts w:ascii="Arial" w:cs="Arial" w:eastAsia="Arial" w:hAnsi="Arial"/>
          <w:sz w:val="17"/>
          <w:szCs w:val="17"/>
          <w:color w:val="auto"/>
        </w:rPr>
      </w:pPr>
    </w:p>
    <w:p>
      <w:pPr>
        <w:ind w:left="4" w:right="100" w:firstLine="645"/>
        <w:spacing w:after="0" w:line="257" w:lineRule="auto"/>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Registration</w:t>
      </w:r>
      <w:r>
        <w:rPr>
          <w:rFonts w:ascii="Arial" w:cs="Arial" w:eastAsia="Arial" w:hAnsi="Arial"/>
          <w:sz w:val="18"/>
          <w:szCs w:val="18"/>
          <w:color w:val="auto"/>
        </w:rPr>
        <w:t>. A registration statement on Form S-1 relating to the Shares (File No. 333-190227) (i) has been prepared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in conformity with the requirements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rules and regulations (the “</w:t>
      </w:r>
      <w:r>
        <w:rPr>
          <w:rFonts w:ascii="Arial" w:cs="Arial" w:eastAsia="Arial" w:hAnsi="Arial"/>
          <w:sz w:val="18"/>
          <w:szCs w:val="18"/>
          <w:b w:val="1"/>
          <w:bCs w:val="1"/>
          <w:color w:val="auto"/>
        </w:rPr>
        <w:t>Rules and Regulations</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thereunder; (ii) has been filed with the Commission under the Securities Act; and (iii) is effective under the Securities Act. Copies of such registration statement and any amendment thereto have been delivered by the Partnership to the Representative. As used in this Agreement:</w:t>
      </w:r>
    </w:p>
    <w:p>
      <w:pPr>
        <w:spacing w:after="0" w:line="18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4" w:right="100" w:firstLine="653"/>
        <w:spacing w:after="0" w:line="282" w:lineRule="auto"/>
        <w:tabs>
          <w:tab w:leader="none" w:pos="196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5:00 p.m., New York City time, on October 15, 2013, which the Underwriters have informed the Partnership and their counsel is a time prior to the first sale of the Shares;</w:t>
      </w:r>
    </w:p>
    <w:p>
      <w:pPr>
        <w:spacing w:after="0" w:line="161" w:lineRule="exact"/>
        <w:rPr>
          <w:rFonts w:ascii="Arial" w:cs="Arial" w:eastAsia="Arial" w:hAnsi="Arial"/>
          <w:sz w:val="18"/>
          <w:szCs w:val="18"/>
          <w:color w:val="auto"/>
        </w:rPr>
      </w:pPr>
    </w:p>
    <w:p>
      <w:pPr>
        <w:ind w:left="644" w:right="500" w:firstLine="653"/>
        <w:spacing w:after="0" w:line="282" w:lineRule="auto"/>
        <w:tabs>
          <w:tab w:leader="none" w:pos="1971"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and time as of which such registration statement, or the most recent post-effective amendment thereto relating to the Shares, was declared effective by the Commission;</w:t>
      </w:r>
    </w:p>
    <w:p>
      <w:pPr>
        <w:spacing w:after="0" w:line="161" w:lineRule="exact"/>
        <w:rPr>
          <w:rFonts w:ascii="Arial" w:cs="Arial" w:eastAsia="Arial" w:hAnsi="Arial"/>
          <w:sz w:val="18"/>
          <w:szCs w:val="18"/>
          <w:color w:val="auto"/>
        </w:rPr>
      </w:pPr>
    </w:p>
    <w:p>
      <w:pPr>
        <w:jc w:val="both"/>
        <w:ind w:left="644" w:right="480" w:firstLine="653"/>
        <w:spacing w:after="0" w:line="289" w:lineRule="auto"/>
        <w:tabs>
          <w:tab w:leader="none" w:pos="1981"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Shares;</w:t>
      </w:r>
    </w:p>
    <w:p>
      <w:pPr>
        <w:spacing w:after="0" w:line="158" w:lineRule="exact"/>
        <w:rPr>
          <w:rFonts w:ascii="Arial" w:cs="Arial" w:eastAsia="Arial" w:hAnsi="Arial"/>
          <w:sz w:val="17"/>
          <w:szCs w:val="17"/>
          <w:color w:val="auto"/>
        </w:rPr>
      </w:pPr>
    </w:p>
    <w:p>
      <w:pPr>
        <w:ind w:left="644" w:right="660" w:firstLine="653"/>
        <w:spacing w:after="0" w:line="282" w:lineRule="auto"/>
        <w:tabs>
          <w:tab w:leader="none" w:pos="1957"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Shares included in such registration statement or filed with the Commission pursuant to Rule 424(b) of the Rules and Regulations;</w:t>
      </w:r>
    </w:p>
    <w:p>
      <w:pPr>
        <w:spacing w:after="0" w:line="161" w:lineRule="exact"/>
        <w:rPr>
          <w:rFonts w:ascii="Arial" w:cs="Arial" w:eastAsia="Arial" w:hAnsi="Arial"/>
          <w:sz w:val="18"/>
          <w:szCs w:val="18"/>
          <w:color w:val="auto"/>
        </w:rPr>
      </w:pPr>
    </w:p>
    <w:p>
      <w:pPr>
        <w:ind w:left="644" w:right="40" w:firstLine="653"/>
        <w:spacing w:after="0" w:line="289" w:lineRule="auto"/>
        <w:tabs>
          <w:tab w:leader="none" w:pos="1947"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Pricing Disclosure Package</w:t>
      </w:r>
      <w:r>
        <w:rPr>
          <w:rFonts w:ascii="Arial" w:cs="Arial" w:eastAsia="Arial" w:hAnsi="Arial"/>
          <w:sz w:val="16"/>
          <w:szCs w:val="16"/>
          <w:color w:val="auto"/>
        </w:rPr>
        <w:t xml:space="preserve">” means, as of the Applicable Time, (A) the most recent Preliminary Prospectus together with the pricing information identified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and (B) each Issuer Free Writing Prospectus filed or used by the Partnership on or before the Applicable Time, other than a road show that is an Issuer Free Writing Prospectus but is not required to be filed under</w:t>
      </w:r>
    </w:p>
    <w:p>
      <w:pPr>
        <w:spacing w:after="0" w:line="1"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Rule 433 of the Rules and Regulations;</w:t>
      </w:r>
    </w:p>
    <w:p>
      <w:pPr>
        <w:spacing w:after="0" w:line="206" w:lineRule="exact"/>
        <w:rPr>
          <w:rFonts w:ascii="Arial" w:cs="Arial" w:eastAsia="Arial" w:hAnsi="Arial"/>
          <w:sz w:val="16"/>
          <w:szCs w:val="16"/>
          <w:color w:val="auto"/>
        </w:rPr>
      </w:pPr>
    </w:p>
    <w:p>
      <w:pPr>
        <w:ind w:left="644" w:right="120" w:firstLine="653"/>
        <w:spacing w:after="0" w:line="282" w:lineRule="auto"/>
        <w:tabs>
          <w:tab w:leader="none" w:pos="1957"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relating to the Shares, as filed with the Commission pursuant to Rule 424(b) of the Rules and Regulations; and</w:t>
      </w:r>
    </w:p>
    <w:p>
      <w:pPr>
        <w:spacing w:after="0" w:line="161" w:lineRule="exact"/>
        <w:rPr>
          <w:rFonts w:ascii="Arial" w:cs="Arial" w:eastAsia="Arial" w:hAnsi="Arial"/>
          <w:sz w:val="18"/>
          <w:szCs w:val="18"/>
          <w:color w:val="auto"/>
        </w:rPr>
      </w:pPr>
    </w:p>
    <w:p>
      <w:pPr>
        <w:ind w:left="644" w:right="280" w:firstLine="653"/>
        <w:spacing w:after="0" w:line="314" w:lineRule="auto"/>
        <w:tabs>
          <w:tab w:leader="none" w:pos="1966"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registration statement on Form S-1 (File No. 333-190227), as amended as of the Effective Date, including any Preliminary Prospectus or the Prospectus, all exhibits to such registration statement and including the information deemed by virtue of Rule 430A under the Securities Act to be part of such registration statement as of the Effective Date.</w:t>
      </w:r>
    </w:p>
    <w:p>
      <w:pPr>
        <w:spacing w:after="0" w:line="142" w:lineRule="exact"/>
        <w:rPr>
          <w:sz w:val="20"/>
          <w:szCs w:val="20"/>
          <w:color w:val="auto"/>
        </w:rPr>
      </w:pPr>
    </w:p>
    <w:p>
      <w:pPr>
        <w:ind w:left="24" w:firstLine="667"/>
        <w:spacing w:after="0" w:line="273" w:lineRule="auto"/>
        <w:rPr>
          <w:sz w:val="20"/>
          <w:szCs w:val="20"/>
          <w:color w:val="auto"/>
        </w:rPr>
      </w:pPr>
      <w:r>
        <w:rPr>
          <w:rFonts w:ascii="Arial" w:cs="Arial" w:eastAsia="Arial" w:hAnsi="Arial"/>
          <w:sz w:val="17"/>
          <w:szCs w:val="17"/>
          <w:color w:val="auto"/>
        </w:rPr>
        <w:t>Any reference to the “</w:t>
      </w:r>
      <w:r>
        <w:rPr>
          <w:rFonts w:ascii="Arial" w:cs="Arial" w:eastAsia="Arial" w:hAnsi="Arial"/>
          <w:sz w:val="17"/>
          <w:szCs w:val="17"/>
          <w:b w:val="1"/>
          <w:bCs w:val="1"/>
          <w:color w:val="auto"/>
        </w:rPr>
        <w:t>most recent Preliminary Prospectus</w:t>
      </w:r>
      <w:r>
        <w:rPr>
          <w:rFonts w:ascii="Arial" w:cs="Arial" w:eastAsia="Arial" w:hAnsi="Arial"/>
          <w:sz w:val="17"/>
          <w:szCs w:val="17"/>
          <w:color w:val="auto"/>
        </w:rPr>
        <w:t>” shall be deemed to refer to the latest Preliminary Prospectus included in the Registration Statement or filed pursuant to Rule 424(b) of the Rules and Regulations prior to or on the date hereof. Any reference herein to the term “Registration Statement” shall be deemed to include any abbreviated registration statement to register additional shares under Rule 462(b) under the Securities Act (the “</w:t>
      </w:r>
      <w:r>
        <w:rPr>
          <w:rFonts w:ascii="Arial" w:cs="Arial" w:eastAsia="Arial" w:hAnsi="Arial"/>
          <w:sz w:val="17"/>
          <w:szCs w:val="17"/>
          <w:b w:val="1"/>
          <w:bCs w:val="1"/>
          <w:color w:val="auto"/>
        </w:rPr>
        <w:t>Rule 462(b) Registration Statement</w:t>
      </w:r>
      <w:r>
        <w:rPr>
          <w:rFonts w:ascii="Arial" w:cs="Arial" w:eastAsia="Arial" w:hAnsi="Arial"/>
          <w:sz w:val="17"/>
          <w:szCs w:val="17"/>
          <w:color w:val="auto"/>
        </w:rPr>
        <w:t>”). The Commission has not issued any order preventing or suspending the use of any Preliminary Prospectus or the Prospectus or suspending the effectiveness of the Registration Statement, and no proceeding for such purpose has been instituted or, to any of the Partnership Parties’ knowledge, threatened by the Commission. The Commission has not notified any of the Partnership Parties of any objection to the use of the form of the Registration Statement.</w:t>
      </w:r>
    </w:p>
    <w:p>
      <w:pPr>
        <w:spacing w:after="0" w:line="17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0" w:firstLine="645"/>
        <w:spacing w:after="0" w:line="259" w:lineRule="auto"/>
        <w:tabs>
          <w:tab w:leader="none" w:pos="130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Partnership Not an “Ineligible Issuer</w:t>
      </w:r>
      <w:r>
        <w:rPr>
          <w:rFonts w:ascii="Arial" w:cs="Arial" w:eastAsia="Arial" w:hAnsi="Arial"/>
          <w:sz w:val="18"/>
          <w:szCs w:val="18"/>
          <w:color w:val="auto"/>
        </w:rPr>
        <w:t>.” The Partnership was not at the time of initial filing of the Registration Statement and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earliest time thereafter that the Partnership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Rules and Regulations) of the Shares, and is not on the date hereof and will not be on the applicable Delivery Date, an “ineligible issuer” (as defined in Rule 405 of the Rules and Regulations).</w:t>
      </w:r>
    </w:p>
    <w:p>
      <w:pPr>
        <w:spacing w:after="0" w:line="186" w:lineRule="exact"/>
        <w:rPr>
          <w:rFonts w:ascii="Arial" w:cs="Arial" w:eastAsia="Arial" w:hAnsi="Arial"/>
          <w:sz w:val="18"/>
          <w:szCs w:val="18"/>
          <w:color w:val="auto"/>
        </w:rPr>
      </w:pPr>
    </w:p>
    <w:p>
      <w:pPr>
        <w:ind w:left="4" w:firstLine="645"/>
        <w:spacing w:after="0" w:line="255" w:lineRule="auto"/>
        <w:tabs>
          <w:tab w:leader="none" w:pos="1311"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Forward-Looking and Supporting Information</w:t>
      </w:r>
      <w:r>
        <w:rPr>
          <w:rFonts w:ascii="Arial" w:cs="Arial" w:eastAsia="Arial" w:hAnsi="Arial"/>
          <w:sz w:val="18"/>
          <w:szCs w:val="18"/>
          <w:color w:val="auto"/>
        </w:rPr>
        <w:t>. Each of the statements made by the Partnership in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Disclosure Package, and the Prospectus (and any supplements thereto) within the coverage of Rule 175(b) under the Securities Act, including (but not limited to) any statements with respect to projected results of operations, estimated available cash from distributable cash flow and future cash distributions of the Partnership, and any statements made in support thereof or related thereto under the heading “Our Cash Distribution Policy and Restrictions on Distributions” or the anticipated ratio of taxable income to distributions, was made or will be made with a reasonable basis and in good faith.</w:t>
      </w:r>
    </w:p>
    <w:p>
      <w:pPr>
        <w:spacing w:after="0" w:line="193" w:lineRule="exact"/>
        <w:rPr>
          <w:rFonts w:ascii="Arial" w:cs="Arial" w:eastAsia="Arial" w:hAnsi="Arial"/>
          <w:sz w:val="18"/>
          <w:szCs w:val="18"/>
          <w:color w:val="auto"/>
        </w:rPr>
      </w:pPr>
    </w:p>
    <w:p>
      <w:pPr>
        <w:ind w:left="4" w:right="160" w:firstLine="645"/>
        <w:spacing w:after="0" w:line="276" w:lineRule="auto"/>
        <w:tabs>
          <w:tab w:leader="none" w:pos="1308"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Form of Documents</w:t>
      </w:r>
      <w:r>
        <w:rPr>
          <w:rFonts w:ascii="Arial" w:cs="Arial" w:eastAsia="Arial" w:hAnsi="Arial"/>
          <w:sz w:val="17"/>
          <w:szCs w:val="17"/>
          <w:color w:val="auto"/>
        </w:rPr>
        <w:t>. The Registration Statement conformed in all material respects on the Effective Date and on each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and on each applicable Delivery Date, to the requirements of the Securities Act and the Rules and Regulations.</w:t>
      </w:r>
    </w:p>
    <w:p>
      <w:pPr>
        <w:spacing w:after="0" w:line="172" w:lineRule="exact"/>
        <w:rPr>
          <w:rFonts w:ascii="Arial" w:cs="Arial" w:eastAsia="Arial" w:hAnsi="Arial"/>
          <w:sz w:val="17"/>
          <w:szCs w:val="17"/>
          <w:color w:val="auto"/>
        </w:rPr>
      </w:pPr>
    </w:p>
    <w:p>
      <w:pPr>
        <w:ind w:left="4" w:right="60" w:firstLine="645"/>
        <w:spacing w:after="0" w:line="276" w:lineRule="auto"/>
        <w:tabs>
          <w:tab w:leader="none" w:pos="1311"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Registration Statement</w:t>
      </w:r>
      <w:r>
        <w:rPr>
          <w:rFonts w:ascii="Arial" w:cs="Arial" w:eastAsia="Arial" w:hAnsi="Arial"/>
          <w:sz w:val="17"/>
          <w:szCs w:val="17"/>
          <w:color w:val="auto"/>
        </w:rPr>
        <w:t>. The Registration Statement did not, as of the Effective 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contain an untrue statement of a material fact or omit to state a material fact required to be stated therein or necessary to make the statements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Registration Statement in reliance upon and in conformity with written information furnished to the Partnership through the Representative by or on behalf of any Underwriter specifically for inclusion therein, which information is specified in Section 12.</w:t>
      </w:r>
    </w:p>
    <w:p>
      <w:pPr>
        <w:spacing w:after="0" w:line="172" w:lineRule="exact"/>
        <w:rPr>
          <w:rFonts w:ascii="Arial" w:cs="Arial" w:eastAsia="Arial" w:hAnsi="Arial"/>
          <w:sz w:val="17"/>
          <w:szCs w:val="17"/>
          <w:color w:val="auto"/>
        </w:rPr>
      </w:pPr>
    </w:p>
    <w:p>
      <w:pPr>
        <w:ind w:left="4" w:right="220" w:firstLine="645"/>
        <w:spacing w:after="0" w:line="342" w:lineRule="auto"/>
        <w:tabs>
          <w:tab w:leader="none" w:pos="130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No Material Misstatements or Omissions in Prospectus</w:t>
      </w:r>
      <w:r>
        <w:rPr>
          <w:rFonts w:ascii="Arial" w:cs="Arial" w:eastAsia="Arial" w:hAnsi="Arial"/>
          <w:sz w:val="16"/>
          <w:szCs w:val="16"/>
          <w:color w:val="auto"/>
        </w:rPr>
        <w:t>. The Prospectus will not, as of its date and on the applicable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Date, include an untrue statement of a material fact or omit to state a material fact necessary in order to make the statements therein, in the light of</w:t>
      </w:r>
    </w:p>
    <w:p>
      <w:pPr>
        <w:sectPr>
          <w:pgSz w:w="11900" w:h="16975" w:orient="portrait"/>
          <w:cols w:equalWidth="0" w:num="1">
            <w:col w:w="10764"/>
          </w:cols>
          <w:pgMar w:left="896" w:top="341" w:right="239" w:bottom="0" w:gutter="0" w:footer="0" w:header="0"/>
        </w:sectPr>
      </w:pPr>
    </w:p>
    <w:bookmarkStart w:id="5" w:name="page6"/>
    <w:bookmarkEnd w:id="5"/>
    <w:p>
      <w:pPr>
        <w:spacing w:after="0" w:line="106" w:lineRule="exact"/>
        <w:rPr>
          <w:sz w:val="20"/>
          <w:szCs w:val="20"/>
          <w:color w:val="auto"/>
        </w:rPr>
      </w:pPr>
    </w:p>
    <w:p>
      <w:pPr>
        <w:jc w:val="both"/>
        <w:ind w:left="4" w:right="160"/>
        <w:spacing w:after="0" w:line="286" w:lineRule="auto"/>
        <w:rPr>
          <w:sz w:val="20"/>
          <w:szCs w:val="20"/>
          <w:color w:val="auto"/>
        </w:rPr>
      </w:pPr>
      <w:r>
        <w:rPr>
          <w:rFonts w:ascii="Arial" w:cs="Arial" w:eastAsia="Arial" w:hAnsi="Arial"/>
          <w:sz w:val="17"/>
          <w:szCs w:val="17"/>
          <w:color w:val="auto"/>
        </w:rPr>
        <w:t xml:space="preserve">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Prospectus in reliance upon and in conformity with written information furnished to the Partnership through the Representative by or on behalf of any Underwriter specifically for inclusion therein, which information is specified in Section 12.</w:t>
      </w:r>
    </w:p>
    <w:p>
      <w:pPr>
        <w:spacing w:after="0" w:line="166" w:lineRule="exact"/>
        <w:rPr>
          <w:sz w:val="20"/>
          <w:szCs w:val="20"/>
          <w:color w:val="auto"/>
        </w:rPr>
      </w:pPr>
    </w:p>
    <w:p>
      <w:pPr>
        <w:ind w:left="4" w:right="540" w:firstLine="645"/>
        <w:spacing w:after="0" w:line="277" w:lineRule="auto"/>
        <w:tabs>
          <w:tab w:leader="none" w:pos="132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Pricing Disclosure Package</w:t>
      </w:r>
      <w:r>
        <w:rPr>
          <w:rFonts w:ascii="Arial" w:cs="Arial" w:eastAsia="Arial" w:hAnsi="Arial"/>
          <w:sz w:val="18"/>
          <w:szCs w:val="18"/>
          <w:color w:val="auto"/>
        </w:rPr>
        <w:t>. The Pricing Disclosure Package did not,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Time, include an untrue</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60"/>
        <w:spacing w:after="0" w:line="279" w:lineRule="auto"/>
        <w:rPr>
          <w:sz w:val="20"/>
          <w:szCs w:val="20"/>
          <w:color w:val="auto"/>
        </w:rPr>
      </w:pPr>
      <w:r>
        <w:rPr>
          <w:rFonts w:ascii="Arial" w:cs="Arial" w:eastAsia="Arial" w:hAnsi="Arial"/>
          <w:sz w:val="17"/>
          <w:szCs w:val="17"/>
          <w:color w:val="auto"/>
        </w:rPr>
        <w:t xml:space="preserve">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Pricing Disclosure Package in reliance upon and in conformity with written information furnished to the Partnership through the Representative by or on behalf of any Underwriter specifically for inclusion therein, which information is specified in Section 12.</w:t>
      </w:r>
    </w:p>
    <w:p>
      <w:pPr>
        <w:spacing w:after="0" w:line="171" w:lineRule="exact"/>
        <w:rPr>
          <w:sz w:val="20"/>
          <w:szCs w:val="20"/>
          <w:color w:val="auto"/>
        </w:rPr>
      </w:pPr>
    </w:p>
    <w:p>
      <w:pPr>
        <w:ind w:left="4" w:right="40" w:firstLine="645"/>
        <w:spacing w:after="0" w:line="255" w:lineRule="auto"/>
        <w:tabs>
          <w:tab w:leader="none" w:pos="1308"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Issuer Free Writing Prospectus</w:t>
      </w:r>
      <w:r>
        <w:rPr>
          <w:rFonts w:ascii="Arial" w:cs="Arial" w:eastAsia="Arial" w:hAnsi="Arial"/>
          <w:sz w:val="18"/>
          <w:szCs w:val="18"/>
          <w:color w:val="auto"/>
        </w:rPr>
        <w:t>. Each Issuer Free Writing Prospectus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that no representation or warranty is made as to information contained in or omitted from such Issuer Free Writing Prospectus in reliance upon and in conformity with written information furnished to the Partnership through the Representative by or on behalf of any Underwriter specifically for inclusion therein, which information is specified in Section 12.</w:t>
      </w:r>
    </w:p>
    <w:p>
      <w:pPr>
        <w:spacing w:after="0" w:line="189" w:lineRule="exact"/>
        <w:rPr>
          <w:rFonts w:ascii="Arial" w:cs="Arial" w:eastAsia="Arial" w:hAnsi="Arial"/>
          <w:sz w:val="18"/>
          <w:szCs w:val="18"/>
          <w:color w:val="auto"/>
        </w:rPr>
      </w:pPr>
    </w:p>
    <w:p>
      <w:pPr>
        <w:ind w:left="4" w:right="80" w:firstLine="645"/>
        <w:spacing w:after="0" w:line="254" w:lineRule="auto"/>
        <w:tabs>
          <w:tab w:leader="none" w:pos="1322"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 Conform to the Requirements of the Securities Act</w:t>
      </w:r>
      <w:r>
        <w:rPr>
          <w:rFonts w:ascii="Arial" w:cs="Arial" w:eastAsia="Arial" w:hAnsi="Arial"/>
          <w:sz w:val="18"/>
          <w:szCs w:val="18"/>
          <w:color w:val="auto"/>
        </w:rPr>
        <w:t>. Each Issuer Free Writing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conformed or will conform in all material 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Shares that would constitute an Issuer Free Writing Prospectus without the prior written consent of the Representative. The Partnership has retained in accordance with the Rules and Regulations all Issuer Free Writing Prospectuses that were not required to be filed pursuant to the Rules and Regulations. The Partnership has taken all actions necessary so that any road show (as defined in Rule 433 of the Rules and Regulations) in connection with the offering of the Shares will not be required to be filed pursuant to the Rules and Regulations.</w:t>
      </w:r>
    </w:p>
    <w:p>
      <w:pPr>
        <w:spacing w:after="0" w:line="192" w:lineRule="exact"/>
        <w:rPr>
          <w:rFonts w:ascii="Arial" w:cs="Arial" w:eastAsia="Arial" w:hAnsi="Arial"/>
          <w:sz w:val="18"/>
          <w:szCs w:val="18"/>
          <w:color w:val="auto"/>
        </w:rPr>
      </w:pPr>
    </w:p>
    <w:p>
      <w:pPr>
        <w:ind w:left="4" w:firstLine="645"/>
        <w:spacing w:after="0" w:line="284" w:lineRule="auto"/>
        <w:tabs>
          <w:tab w:leader="none" w:pos="1308"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Formation and Qualification of Certain Entities</w:t>
      </w:r>
      <w:r>
        <w:rPr>
          <w:rFonts w:ascii="Arial" w:cs="Arial" w:eastAsia="Arial" w:hAnsi="Arial"/>
          <w:sz w:val="16"/>
          <w:szCs w:val="16"/>
          <w:color w:val="auto"/>
        </w:rPr>
        <w:t>. Each of the Partnership Entities has been duly formed or incorporated and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validly existing in good standing as a limited partnership, limited liability company, corporation or unlimited liability company under the laws of its respective jurisdiction of formation or incorporation with full corporate, limited partnership, limited liability company or unlimited liability company power and authority, as the case may be, to own or lease its properties and to conduct its business, in each case in all material respects, as disclosed in the Pricing Disclosure Package and the Prospectus. Each of the Partnership Entities is duly registered or qualified as a foreign corporation, limited partnership, limited liability company or unlimited liability company, as the case may be, for the transaction of business under the laws of each jurisdiction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reasonably be expected to</w:t>
      </w:r>
    </w:p>
    <w:p>
      <w:pPr>
        <w:spacing w:after="0" w:line="21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60"/>
        <w:spacing w:after="0" w:line="259" w:lineRule="auto"/>
        <w:rPr>
          <w:sz w:val="20"/>
          <w:szCs w:val="20"/>
          <w:color w:val="auto"/>
        </w:rPr>
      </w:pPr>
      <w:r>
        <w:rPr>
          <w:rFonts w:ascii="Arial" w:cs="Arial" w:eastAsia="Arial" w:hAnsi="Arial"/>
          <w:sz w:val="18"/>
          <w:szCs w:val="18"/>
          <w:color w:val="auto"/>
        </w:rPr>
        <w:t>have a material adverse effect upon the condition (financial or other), business, prospects, properties, net worth or results of operations of the Partnership Parties, the PAA GP Entities, PAA and PAA’s direct or indirect majority owned subsidiaries (collectively, the “</w:t>
      </w:r>
      <w:r>
        <w:rPr>
          <w:rFonts w:ascii="Arial" w:cs="Arial" w:eastAsia="Arial" w:hAnsi="Arial"/>
          <w:sz w:val="18"/>
          <w:szCs w:val="18"/>
          <w:b w:val="1"/>
          <w:bCs w:val="1"/>
          <w:color w:val="auto"/>
        </w:rPr>
        <w:t>Partnership Group</w:t>
      </w:r>
      <w:r>
        <w:rPr>
          <w:rFonts w:ascii="Arial" w:cs="Arial" w:eastAsia="Arial" w:hAnsi="Arial"/>
          <w:sz w:val="18"/>
          <w:szCs w:val="18"/>
          <w:color w:val="auto"/>
        </w:rPr>
        <w:t xml:space="preserve"> </w:t>
      </w:r>
      <w:r>
        <w:rPr>
          <w:rFonts w:ascii="Arial" w:cs="Arial" w:eastAsia="Arial" w:hAnsi="Arial"/>
          <w:sz w:val="18"/>
          <w:szCs w:val="18"/>
          <w:b w:val="1"/>
          <w:bCs w:val="1"/>
          <w:color w:val="auto"/>
        </w:rPr>
        <w:t>Entities</w:t>
      </w:r>
      <w:r>
        <w:rPr>
          <w:rFonts w:ascii="Arial" w:cs="Arial" w:eastAsia="Arial" w:hAnsi="Arial"/>
          <w:sz w:val="18"/>
          <w:szCs w:val="18"/>
          <w:color w:val="auto"/>
        </w:rPr>
        <w:t>”), taken as a whole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or (ii) subject the limited partners of the Partnership to any material liability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w:t>
      </w:r>
    </w:p>
    <w:p>
      <w:pPr>
        <w:spacing w:after="0" w:line="187" w:lineRule="exact"/>
        <w:rPr>
          <w:sz w:val="20"/>
          <w:szCs w:val="20"/>
          <w:color w:val="auto"/>
        </w:rPr>
      </w:pPr>
    </w:p>
    <w:p>
      <w:pPr>
        <w:jc w:val="both"/>
        <w:ind w:left="4" w:right="200" w:firstLine="645"/>
        <w:spacing w:after="0" w:line="264" w:lineRule="auto"/>
        <w:tabs>
          <w:tab w:leader="none" w:pos="1308"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General Partners</w:t>
      </w:r>
      <w:r>
        <w:rPr>
          <w:rFonts w:ascii="Arial" w:cs="Arial" w:eastAsia="Arial" w:hAnsi="Arial"/>
          <w:sz w:val="18"/>
          <w:szCs w:val="18"/>
          <w:color w:val="auto"/>
        </w:rPr>
        <w:t>. As disclosed in the Pricing Disclosure Package and the Prospectus, in each case in all material respects, each</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Group Entity that serves as a general partner of another Partnership Group Entity has full corporate or limited liability company power and authority, as the case may be, to serve as general partner of such Partnership Group Entity.</w:t>
      </w:r>
    </w:p>
    <w:p>
      <w:pPr>
        <w:spacing w:after="0" w:line="181" w:lineRule="exact"/>
        <w:rPr>
          <w:rFonts w:ascii="Arial" w:cs="Arial" w:eastAsia="Arial" w:hAnsi="Arial"/>
          <w:sz w:val="18"/>
          <w:szCs w:val="18"/>
          <w:color w:val="auto"/>
        </w:rPr>
      </w:pPr>
    </w:p>
    <w:p>
      <w:pPr>
        <w:ind w:left="4" w:right="280" w:firstLine="645"/>
        <w:spacing w:after="0" w:line="288" w:lineRule="auto"/>
        <w:tabs>
          <w:tab w:leader="none" w:pos="1322"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Ownership of the General Partner</w:t>
      </w:r>
      <w:r>
        <w:rPr>
          <w:rFonts w:ascii="Arial" w:cs="Arial" w:eastAsia="Arial" w:hAnsi="Arial"/>
          <w:sz w:val="16"/>
          <w:szCs w:val="16"/>
          <w:color w:val="auto"/>
        </w:rPr>
        <w:t>. At the applicable Delivery Date, after giving effect to the Transactions (assuming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do not exercise their option to acquire the Additional Shares), the Existing Owners will own 478,079,773 General Partner Units, representing a 78.9% membership interest in the General Partner, and the Partnership will own 128,000,000 General Partner Units, representing a</w:t>
      </w:r>
    </w:p>
    <w:p>
      <w:pPr>
        <w:ind w:left="4" w:right="60"/>
        <w:spacing w:after="0" w:line="281" w:lineRule="auto"/>
        <w:rPr>
          <w:rFonts w:ascii="Arial" w:cs="Arial" w:eastAsia="Arial" w:hAnsi="Arial"/>
          <w:sz w:val="16"/>
          <w:szCs w:val="16"/>
          <w:color w:val="auto"/>
        </w:rPr>
      </w:pPr>
      <w:r>
        <w:rPr>
          <w:rFonts w:ascii="Arial" w:cs="Arial" w:eastAsia="Arial" w:hAnsi="Arial"/>
          <w:sz w:val="16"/>
          <w:szCs w:val="16"/>
          <w:color w:val="auto"/>
        </w:rPr>
        <w:t>21.1% membership interest in the General Partner; such General Partner Units have been duly authorized and validly issued in accordance with the General Partner LLC Agreement and are fully paid (to the extent required under the General Partner LLC Agreement) and nonassessable (except as such nonassessability may be affected by Sections 18-607 and 18-804 of the Delaware Limited Liability Company Act (the “</w:t>
      </w:r>
      <w:r>
        <w:rPr>
          <w:rFonts w:ascii="Arial" w:cs="Arial" w:eastAsia="Arial" w:hAnsi="Arial"/>
          <w:sz w:val="16"/>
          <w:szCs w:val="16"/>
          <w:b w:val="1"/>
          <w:bCs w:val="1"/>
          <w:color w:val="auto"/>
        </w:rPr>
        <w:t>Delaware LLC Act</w:t>
      </w:r>
      <w:r>
        <w:rPr>
          <w:rFonts w:ascii="Arial" w:cs="Arial" w:eastAsia="Arial" w:hAnsi="Arial"/>
          <w:sz w:val="16"/>
          <w:szCs w:val="16"/>
          <w:color w:val="auto"/>
        </w:rPr>
        <w:t>”)); and such General Partner Units are owned free and clear of all liens, encumbrances, security interests, equities, charges or claims (“</w:t>
      </w:r>
      <w:r>
        <w:rPr>
          <w:rFonts w:ascii="Arial" w:cs="Arial" w:eastAsia="Arial" w:hAnsi="Arial"/>
          <w:sz w:val="16"/>
          <w:szCs w:val="16"/>
          <w:b w:val="1"/>
          <w:bCs w:val="1"/>
          <w:color w:val="auto"/>
        </w:rPr>
        <w:t>Liens</w:t>
      </w:r>
      <w:r>
        <w:rPr>
          <w:rFonts w:ascii="Arial" w:cs="Arial" w:eastAsia="Arial" w:hAnsi="Arial"/>
          <w:sz w:val="16"/>
          <w:szCs w:val="16"/>
          <w:color w:val="auto"/>
        </w:rPr>
        <w:t>”), except</w:t>
      </w:r>
    </w:p>
    <w:p>
      <w:pPr>
        <w:spacing w:after="0" w:line="2" w:lineRule="exact"/>
        <w:rPr>
          <w:rFonts w:ascii="Arial" w:cs="Arial" w:eastAsia="Arial" w:hAnsi="Arial"/>
          <w:sz w:val="16"/>
          <w:szCs w:val="16"/>
          <w:color w:val="auto"/>
        </w:rPr>
      </w:pPr>
    </w:p>
    <w:p>
      <w:pPr>
        <w:ind w:left="4" w:right="40" w:hanging="4"/>
        <w:spacing w:after="0" w:line="302" w:lineRule="auto"/>
        <w:tabs>
          <w:tab w:leader="none" w:pos="21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disclosed in the Pricing Disclosure Package and the Prospectus or (ii) such as would not reasonably be expected to result in a change of control of the Partnership or reasonably be expected to materially adversely affect the ability of the Partnership Group Entities considered as a whole to conduct their businesses as currently conducted and as contemplated by the Pricing Disclosure Package and the Prospectus to be conducted.</w:t>
      </w:r>
    </w:p>
    <w:p>
      <w:pPr>
        <w:spacing w:after="0" w:line="155" w:lineRule="exact"/>
        <w:rPr>
          <w:rFonts w:ascii="Arial" w:cs="Arial" w:eastAsia="Arial" w:hAnsi="Arial"/>
          <w:sz w:val="16"/>
          <w:szCs w:val="16"/>
          <w:color w:val="auto"/>
        </w:rPr>
      </w:pPr>
    </w:p>
    <w:p>
      <w:pPr>
        <w:ind w:left="4" w:right="80" w:firstLine="645"/>
        <w:spacing w:after="0" w:line="259"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Ownership of the General Partner Interest in the Partnership</w:t>
      </w:r>
      <w:r>
        <w:rPr>
          <w:rFonts w:ascii="Arial" w:cs="Arial" w:eastAsia="Arial" w:hAnsi="Arial"/>
          <w:sz w:val="18"/>
          <w:szCs w:val="18"/>
          <w:color w:val="auto"/>
        </w:rPr>
        <w:t>. The General Partner is, and at the applicable Delivery Date, after</w:t>
      </w:r>
      <w:r>
        <w:rPr>
          <w:rFonts w:ascii="Arial" w:cs="Arial" w:eastAsia="Arial" w:hAnsi="Arial"/>
          <w:sz w:val="18"/>
          <w:szCs w:val="18"/>
          <w:i w:val="1"/>
          <w:iCs w:val="1"/>
          <w:color w:val="auto"/>
        </w:rPr>
        <w:t xml:space="preserve"> </w:t>
      </w:r>
      <w:r>
        <w:rPr>
          <w:rFonts w:ascii="Arial" w:cs="Arial" w:eastAsia="Arial" w:hAnsi="Arial"/>
          <w:sz w:val="18"/>
          <w:szCs w:val="18"/>
          <w:color w:val="auto"/>
        </w:rPr>
        <w:t>giving effect to the Transactions, will be, the sole general partner of the Partnership, with a non-economic general partner interest in the Partnership; such general partner interest has been duly authorized and validly issued in accordance with the Partnership Agreement and the General Partner owns such general partner interest free and clear of all Liens.</w:t>
      </w:r>
    </w:p>
    <w:p>
      <w:pPr>
        <w:spacing w:after="0" w:line="186" w:lineRule="exact"/>
        <w:rPr>
          <w:rFonts w:ascii="Arial" w:cs="Arial" w:eastAsia="Arial" w:hAnsi="Arial"/>
          <w:sz w:val="18"/>
          <w:szCs w:val="18"/>
          <w:color w:val="auto"/>
        </w:rPr>
      </w:pPr>
    </w:p>
    <w:p>
      <w:pPr>
        <w:ind w:left="4" w:right="20" w:firstLine="645"/>
        <w:spacing w:after="0" w:line="302" w:lineRule="auto"/>
        <w:tabs>
          <w:tab w:leader="none" w:pos="1308"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Ownership of GP LLC</w:t>
      </w:r>
      <w:r>
        <w:rPr>
          <w:rFonts w:ascii="Arial" w:cs="Arial" w:eastAsia="Arial" w:hAnsi="Arial"/>
          <w:sz w:val="16"/>
          <w:szCs w:val="16"/>
          <w:color w:val="auto"/>
        </w:rPr>
        <w:t>. The Partnership owns, and at the applicable Delivery Date, after giving effect to the Transactions, will</w:t>
      </w:r>
      <w:r>
        <w:rPr>
          <w:rFonts w:ascii="Arial" w:cs="Arial" w:eastAsia="Arial" w:hAnsi="Arial"/>
          <w:sz w:val="16"/>
          <w:szCs w:val="16"/>
          <w:i w:val="1"/>
          <w:iCs w:val="1"/>
          <w:color w:val="auto"/>
        </w:rPr>
        <w:t xml:space="preserve"> </w:t>
      </w:r>
      <w:r>
        <w:rPr>
          <w:rFonts w:ascii="Arial" w:cs="Arial" w:eastAsia="Arial" w:hAnsi="Arial"/>
          <w:sz w:val="16"/>
          <w:szCs w:val="16"/>
          <w:color w:val="auto"/>
        </w:rPr>
        <w:t>own, a 100% membership interest in GP LLC; such membership interest has been duly authorized and validly issued in accordance with the Plains GP LLC Agreement and is fully paid (to the extent required under the Plains GP LLC Agreement) and nonassessable (except as such nonassessability may be affected by Sections 18-607 and 18-804 of the Delaware LLC Act); and such membership interest is owned free and clear of</w:t>
      </w:r>
    </w:p>
    <w:p>
      <w:pPr>
        <w:sectPr>
          <w:pgSz w:w="11900" w:h="16945" w:orient="portrait"/>
          <w:cols w:equalWidth="0" w:num="1">
            <w:col w:w="10764"/>
          </w:cols>
          <w:pgMar w:left="896" w:top="125" w:right="239" w:bottom="0" w:gutter="0" w:footer="0" w:header="0"/>
        </w:sectPr>
      </w:pPr>
    </w:p>
    <w:bookmarkStart w:id="6" w:name="page7"/>
    <w:bookmarkEnd w:id="6"/>
    <w:p>
      <w:pPr>
        <w:spacing w:after="0" w:line="9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all Liens, except (i) as disclosed in the Pricing Disclosure Package and the Prospectus or (ii) such as would not reasonably be expected to result in a change of control of the Partnership or reasonably be expected to materially adversely affect the ability of the Partnership Group Entities</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considered as a whole to conduct their businesses as currently conducted and as contemplated by the Pricing Disclosure Package and the Prospectus to be conducted.</w:t>
      </w:r>
    </w:p>
    <w:p>
      <w:pPr>
        <w:spacing w:after="0" w:line="170" w:lineRule="exact"/>
        <w:rPr>
          <w:sz w:val="20"/>
          <w:szCs w:val="20"/>
          <w:color w:val="auto"/>
        </w:rPr>
      </w:pPr>
    </w:p>
    <w:p>
      <w:pPr>
        <w:jc w:val="both"/>
        <w:ind w:right="200" w:firstLine="645"/>
        <w:spacing w:after="0" w:line="259" w:lineRule="auto"/>
        <w:tabs>
          <w:tab w:leader="none" w:pos="130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Ownership of the General Partner Interest in Plains AAP</w:t>
      </w:r>
      <w:r>
        <w:rPr>
          <w:rFonts w:ascii="Arial" w:cs="Arial" w:eastAsia="Arial" w:hAnsi="Arial"/>
          <w:sz w:val="18"/>
          <w:szCs w:val="18"/>
          <w:color w:val="auto"/>
        </w:rPr>
        <w:t>. GP LLC is, and at the applicable Delivery Date, after giving effect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Transactions, will be, the sole general partner of Plains AAP, with a non-economic general partner interest in Plains AAP; such general partner interest has been duly authorized and validly issued in accordance with the AAP Partnership Agreement and GP LLC owns such general partner interest free and clear of all Liens.</w:t>
      </w:r>
    </w:p>
    <w:p>
      <w:pPr>
        <w:spacing w:after="0" w:line="186" w:lineRule="exact"/>
        <w:rPr>
          <w:rFonts w:ascii="Arial" w:cs="Arial" w:eastAsia="Arial" w:hAnsi="Arial"/>
          <w:sz w:val="18"/>
          <w:szCs w:val="18"/>
          <w:color w:val="auto"/>
        </w:rPr>
      </w:pPr>
    </w:p>
    <w:p>
      <w:pPr>
        <w:ind w:firstLine="645"/>
        <w:spacing w:after="0" w:line="271" w:lineRule="auto"/>
        <w:tabs>
          <w:tab w:leader="none" w:pos="1304"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Ownership of PAA GP</w:t>
      </w:r>
      <w:r>
        <w:rPr>
          <w:rFonts w:ascii="Arial" w:cs="Arial" w:eastAsia="Arial" w:hAnsi="Arial"/>
          <w:sz w:val="17"/>
          <w:szCs w:val="17"/>
          <w:color w:val="auto"/>
        </w:rPr>
        <w:t>. Plains AAP owns, and at the applicable Delivery Date, after giving effect to the Transactions, will own, a</w:t>
      </w:r>
      <w:r>
        <w:rPr>
          <w:rFonts w:ascii="Arial" w:cs="Arial" w:eastAsia="Arial" w:hAnsi="Arial"/>
          <w:sz w:val="17"/>
          <w:szCs w:val="17"/>
          <w:i w:val="1"/>
          <w:iCs w:val="1"/>
          <w:color w:val="auto"/>
        </w:rPr>
        <w:t xml:space="preserve"> </w:t>
      </w:r>
      <w:r>
        <w:rPr>
          <w:rFonts w:ascii="Arial" w:cs="Arial" w:eastAsia="Arial" w:hAnsi="Arial"/>
          <w:sz w:val="17"/>
          <w:szCs w:val="17"/>
          <w:color w:val="auto"/>
        </w:rPr>
        <w:t>100% membership interest in PAA GP; such membership interest has been duly authorized and validly issued in accordance with the limited liability company agreement of PAA GP (as amended and restated to date, the “</w:t>
      </w:r>
      <w:r>
        <w:rPr>
          <w:rFonts w:ascii="Arial" w:cs="Arial" w:eastAsia="Arial" w:hAnsi="Arial"/>
          <w:sz w:val="17"/>
          <w:szCs w:val="17"/>
          <w:b w:val="1"/>
          <w:bCs w:val="1"/>
          <w:color w:val="auto"/>
        </w:rPr>
        <w:t>PAA GP LLC Agreement</w:t>
      </w:r>
      <w:r>
        <w:rPr>
          <w:rFonts w:ascii="Arial" w:cs="Arial" w:eastAsia="Arial" w:hAnsi="Arial"/>
          <w:sz w:val="17"/>
          <w:szCs w:val="17"/>
          <w:color w:val="auto"/>
        </w:rPr>
        <w:t>”) and is fully paid (to the extent required under the PAA GP LLC Agreement) and nonassessable (except as such nonassessability may be affected by Sections 18-607 and 18-804 of the Delaware LLC Act); and such membership interest is owned free and clear of all Liens, except (i) as disclosed in the Pricing Disclosure Package and the Prospectus or (ii) such as would not reasonably be expected to result in a change of control of the Partnership or reasonably be expected to materially adversely affect the ability of the Partnership Group Entities considered as a whole to conduct their businesses as currently conducted and as contemplated by the Pricing Disclosure Package and the Prospectus to be conducted.</w:t>
      </w:r>
    </w:p>
    <w:p>
      <w:pPr>
        <w:spacing w:after="0" w:line="178" w:lineRule="exact"/>
        <w:rPr>
          <w:rFonts w:ascii="Arial" w:cs="Arial" w:eastAsia="Arial" w:hAnsi="Arial"/>
          <w:sz w:val="17"/>
          <w:szCs w:val="17"/>
          <w:color w:val="auto"/>
        </w:rPr>
      </w:pPr>
    </w:p>
    <w:p>
      <w:pPr>
        <w:jc w:val="both"/>
        <w:ind w:right="120" w:firstLine="645"/>
        <w:spacing w:after="0" w:line="302" w:lineRule="auto"/>
        <w:tabs>
          <w:tab w:leader="none" w:pos="1304"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Ownership of the General Partner Interest in PAA</w:t>
      </w:r>
      <w:r>
        <w:rPr>
          <w:rFonts w:ascii="Arial" w:cs="Arial" w:eastAsia="Arial" w:hAnsi="Arial"/>
          <w:sz w:val="16"/>
          <w:szCs w:val="16"/>
          <w:color w:val="auto"/>
        </w:rPr>
        <w:t>. PAA GP is, and at the applicable Delivery Date, after giving effect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will be, the sole general partner of PAA, with a 2.0% general partner interest in PAA; such general partner interest has been duly authorized and validly issued in accordance with the Fourth Amended and Restated Agreement of Limited Partnership of PAA, dated as of May 17, 2012 (as amended, the “</w:t>
      </w:r>
      <w:r>
        <w:rPr>
          <w:rFonts w:ascii="Arial" w:cs="Arial" w:eastAsia="Arial" w:hAnsi="Arial"/>
          <w:sz w:val="16"/>
          <w:szCs w:val="16"/>
          <w:b w:val="1"/>
          <w:bCs w:val="1"/>
          <w:color w:val="auto"/>
        </w:rPr>
        <w:t>PAA Partnership Agreement</w:t>
      </w:r>
      <w:r>
        <w:rPr>
          <w:rFonts w:ascii="Arial" w:cs="Arial" w:eastAsia="Arial" w:hAnsi="Arial"/>
          <w:sz w:val="16"/>
          <w:szCs w:val="16"/>
          <w:color w:val="auto"/>
        </w:rPr>
        <w:t>”), and PAA GP owns such general partner interest free and clear of all Liens.</w:t>
      </w:r>
    </w:p>
    <w:p>
      <w:pPr>
        <w:spacing w:after="0" w:line="154" w:lineRule="exact"/>
        <w:rPr>
          <w:rFonts w:ascii="Arial" w:cs="Arial" w:eastAsia="Arial" w:hAnsi="Arial"/>
          <w:sz w:val="16"/>
          <w:szCs w:val="16"/>
          <w:color w:val="auto"/>
        </w:rPr>
      </w:pPr>
    </w:p>
    <w:p>
      <w:pPr>
        <w:ind w:right="60" w:firstLine="645"/>
        <w:spacing w:after="0" w:line="253" w:lineRule="auto"/>
        <w:tabs>
          <w:tab w:leader="none" w:pos="131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Ownership of the Material Subsidiaries</w:t>
      </w:r>
      <w:r>
        <w:rPr>
          <w:rFonts w:ascii="Arial" w:cs="Arial" w:eastAsia="Arial" w:hAnsi="Arial"/>
          <w:sz w:val="18"/>
          <w:szCs w:val="18"/>
          <w:color w:val="auto"/>
        </w:rPr>
        <w:t>. All of the outstanding shares of capital stock or other equity interests of PAA, PNG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 and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adopted, entered into, amended or restated prior to the applicable Delivery Date) (the “</w:t>
      </w:r>
      <w:r>
        <w:rPr>
          <w:rFonts w:ascii="Arial" w:cs="Arial" w:eastAsia="Arial" w:hAnsi="Arial"/>
          <w:sz w:val="18"/>
          <w:szCs w:val="18"/>
          <w:b w:val="1"/>
          <w:bCs w:val="1"/>
          <w:color w:val="auto"/>
        </w:rPr>
        <w:t>Subsidiary Organizational Agreements</w:t>
      </w:r>
      <w:r>
        <w:rPr>
          <w:rFonts w:ascii="Arial" w:cs="Arial" w:eastAsia="Arial" w:hAnsi="Arial"/>
          <w:sz w:val="18"/>
          <w:szCs w:val="18"/>
          <w:color w:val="auto"/>
        </w:rPr>
        <w:t>” and together with the Partnership Group Organizational Agreements and the PAA Partnership Agreement, the “</w:t>
      </w:r>
      <w:r>
        <w:rPr>
          <w:rFonts w:ascii="Arial" w:cs="Arial" w:eastAsia="Arial" w:hAnsi="Arial"/>
          <w:sz w:val="18"/>
          <w:szCs w:val="18"/>
          <w:b w:val="1"/>
          <w:bCs w:val="1"/>
          <w:color w:val="auto"/>
        </w:rPr>
        <w:t>Organizational Agreements</w:t>
      </w:r>
      <w:r>
        <w:rPr>
          <w:rFonts w:ascii="Arial" w:cs="Arial" w:eastAsia="Arial" w:hAnsi="Arial"/>
          <w:sz w:val="18"/>
          <w:szCs w:val="18"/>
          <w:color w:val="auto"/>
        </w:rPr>
        <w:t>”) of such Material Subsidiary), are fully paid (in the case of an interest in a limited partnership or limited liability company, to the extent required under the Subsidiary Organizational Agreement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Arial" w:cs="Arial" w:eastAsia="Arial" w:hAnsi="Arial"/>
          <w:sz w:val="18"/>
          <w:szCs w:val="18"/>
          <w:b w:val="1"/>
          <w:bCs w:val="1"/>
          <w:color w:val="auto"/>
        </w:rPr>
        <w:t>Delaware LP</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1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the portion of the limited partner interest in PAA and PAA Natural Gas Storage, L.P., a Delaware limited partnership (“</w:t>
      </w:r>
      <w:r>
        <w:rPr>
          <w:rFonts w:ascii="Arial" w:cs="Arial" w:eastAsia="Arial" w:hAnsi="Arial"/>
          <w:sz w:val="18"/>
          <w:szCs w:val="18"/>
          <w:b w:val="1"/>
          <w:bCs w:val="1"/>
          <w:color w:val="auto"/>
        </w:rPr>
        <w:t>PNG</w:t>
      </w:r>
      <w:r>
        <w:rPr>
          <w:rFonts w:ascii="Arial" w:cs="Arial" w:eastAsia="Arial" w:hAnsi="Arial"/>
          <w:sz w:val="18"/>
          <w:szCs w:val="18"/>
          <w:color w:val="auto"/>
        </w:rPr>
        <w:t>”), held by public or private investors, are owned, directly or indirectly, by the Partnership. The direct or indirect subsidiaries of PAA other than the Material Subsidiaries did not, individually or in the aggregate, account for (i) more than 10% of the total consolidated assets of PAA as of the most recent fiscal year end or (ii) more than 10% of the consolidated net income of PAA for the most recent fiscal year end.</w:t>
      </w:r>
    </w:p>
    <w:p>
      <w:pPr>
        <w:spacing w:after="0" w:line="197" w:lineRule="exact"/>
        <w:rPr>
          <w:sz w:val="20"/>
          <w:szCs w:val="20"/>
          <w:color w:val="auto"/>
        </w:rPr>
      </w:pPr>
    </w:p>
    <w:p>
      <w:pPr>
        <w:ind w:right="60" w:firstLine="645"/>
        <w:spacing w:after="0" w:line="255" w:lineRule="auto"/>
        <w:tabs>
          <w:tab w:leader="none" w:pos="1311"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Ownership of the Incentive Distribution Rights</w:t>
      </w:r>
      <w:r>
        <w:rPr>
          <w:rFonts w:ascii="Arial" w:cs="Arial" w:eastAsia="Arial" w:hAnsi="Arial"/>
          <w:sz w:val="18"/>
          <w:szCs w:val="18"/>
          <w:color w:val="auto"/>
        </w:rPr>
        <w:t>. At the applicable Delivery Date, after giving effect to the Transactions, Plains</w:t>
      </w:r>
      <w:r>
        <w:rPr>
          <w:rFonts w:ascii="Arial" w:cs="Arial" w:eastAsia="Arial" w:hAnsi="Arial"/>
          <w:sz w:val="18"/>
          <w:szCs w:val="18"/>
          <w:i w:val="1"/>
          <w:iCs w:val="1"/>
          <w:color w:val="auto"/>
        </w:rPr>
        <w:t xml:space="preserve"> </w:t>
      </w:r>
      <w:r>
        <w:rPr>
          <w:rFonts w:ascii="Arial" w:cs="Arial" w:eastAsia="Arial" w:hAnsi="Arial"/>
          <w:sz w:val="18"/>
          <w:szCs w:val="18"/>
          <w:color w:val="auto"/>
        </w:rPr>
        <w:t>AAP will own all of the Incentive Distribution Rights; the Incentive Distribution Rights and the limited partner interests represented thereby will have been duly authorized and validly issued in accordance with the PAA Partnership Agreement and will be fully paid (to the extent required under the PAA Partnership Agreement) and nonassessable (except as such nonassessability may be affected by matters described in Sections 17-607 and 17-804 of the Delaware LP Act); and Plains AAP will own such interests free and clear of all Liens, except as disclosed in the Pricing Disclosure Package and the Prospectus.</w:t>
      </w:r>
    </w:p>
    <w:p>
      <w:pPr>
        <w:spacing w:after="0" w:line="193" w:lineRule="exact"/>
        <w:rPr>
          <w:rFonts w:ascii="Arial" w:cs="Arial" w:eastAsia="Arial" w:hAnsi="Arial"/>
          <w:sz w:val="18"/>
          <w:szCs w:val="18"/>
          <w:color w:val="auto"/>
        </w:rPr>
      </w:pPr>
    </w:p>
    <w:p>
      <w:pPr>
        <w:jc w:val="both"/>
        <w:ind w:right="200" w:firstLine="645"/>
        <w:spacing w:after="0" w:line="302" w:lineRule="auto"/>
        <w:tabs>
          <w:tab w:leader="none" w:pos="1304"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Ownership of Class B Shares</w:t>
      </w:r>
      <w:r>
        <w:rPr>
          <w:rFonts w:ascii="Arial" w:cs="Arial" w:eastAsia="Arial" w:hAnsi="Arial"/>
          <w:sz w:val="16"/>
          <w:szCs w:val="16"/>
          <w:color w:val="auto"/>
        </w:rPr>
        <w:t>. Assuming no purchase by the Underwriters of the Additional Shares, on the Initial Delivery Date,</w:t>
      </w:r>
      <w:r>
        <w:rPr>
          <w:rFonts w:ascii="Arial" w:cs="Arial" w:eastAsia="Arial" w:hAnsi="Arial"/>
          <w:sz w:val="16"/>
          <w:szCs w:val="16"/>
          <w:i w:val="1"/>
          <w:iCs w:val="1"/>
          <w:color w:val="auto"/>
        </w:rPr>
        <w:t xml:space="preserve"> </w:t>
      </w:r>
      <w:r>
        <w:rPr>
          <w:rFonts w:ascii="Arial" w:cs="Arial" w:eastAsia="Arial" w:hAnsi="Arial"/>
          <w:sz w:val="16"/>
          <w:szCs w:val="16"/>
          <w:color w:val="auto"/>
        </w:rPr>
        <w:t>after giving effect to the Transactions, the Class B Shares and the limited partner interests represented thereby will have been duly authorized and validly issued in accordance with the Partnership Agreement, and will be fully paid (to the extent required under the Partnership Agreement) and nonassessable (except as such nonassessability may be affected by Sections 17-607 and 17-804 of the Delaware LP Act).</w:t>
      </w:r>
    </w:p>
    <w:p>
      <w:pPr>
        <w:spacing w:after="0" w:line="154" w:lineRule="exact"/>
        <w:rPr>
          <w:rFonts w:ascii="Arial" w:cs="Arial" w:eastAsia="Arial" w:hAnsi="Arial"/>
          <w:sz w:val="16"/>
          <w:szCs w:val="16"/>
          <w:color w:val="auto"/>
        </w:rPr>
      </w:pPr>
    </w:p>
    <w:p>
      <w:pPr>
        <w:ind w:right="60" w:firstLine="645"/>
        <w:spacing w:after="0" w:line="272" w:lineRule="auto"/>
        <w:tabs>
          <w:tab w:leader="none" w:pos="1304"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Ownership of AAP Units and Incentive Units</w:t>
      </w:r>
      <w:r>
        <w:rPr>
          <w:rFonts w:ascii="Arial" w:cs="Arial" w:eastAsia="Arial" w:hAnsi="Arial"/>
          <w:sz w:val="17"/>
          <w:szCs w:val="17"/>
          <w:color w:val="auto"/>
        </w:rPr>
        <w:t>. Assuming no purchase by the Underwriters of the Additional Shares, on the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Date, after giving effect to the Transactions, (i) the Partnership and the Existing Owners will own all of the AAP Units; (ii) certain members of PAA’s management will own all of the Incentive Units; (iii) the Partnership will own 21.1% of the AAP Units; (iv) the AAP Units and the limited partner interests represented thereby will have been duly authorized and validly issued in accordance with the AAP Partnership Agreement, and will be fully paid (to the extent required under the AAP Partnership Agreement) and nonassessable (except as such nonassessability may be affected by Sections 17-607 and 17-804 of the Delaware LP Act); and (v) the Partnership will own such AAP Units free and clear of all Liens, except as disclosed in the Pricing Disclosure Package and the Prospectus.</w:t>
      </w:r>
    </w:p>
    <w:p>
      <w:pPr>
        <w:spacing w:after="0" w:line="177" w:lineRule="exact"/>
        <w:rPr>
          <w:rFonts w:ascii="Arial" w:cs="Arial" w:eastAsia="Arial" w:hAnsi="Arial"/>
          <w:sz w:val="17"/>
          <w:szCs w:val="17"/>
          <w:color w:val="auto"/>
        </w:rPr>
      </w:pPr>
    </w:p>
    <w:p>
      <w:pPr>
        <w:ind w:right="220" w:firstLine="645"/>
        <w:spacing w:after="0" w:line="277" w:lineRule="auto"/>
        <w:tabs>
          <w:tab w:leader="none" w:pos="130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Capitalization of PAA</w:t>
      </w:r>
      <w:r>
        <w:rPr>
          <w:rFonts w:ascii="Arial" w:cs="Arial" w:eastAsia="Arial" w:hAnsi="Arial"/>
          <w:sz w:val="18"/>
          <w:szCs w:val="18"/>
          <w:color w:val="auto"/>
        </w:rPr>
        <w:t>. As of the date hereof, the issued and outstanding limited partner interests of PAA consist of 342,950,166</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units representing</w:t>
      </w:r>
    </w:p>
    <w:p>
      <w:pPr>
        <w:sectPr>
          <w:pgSz w:w="11900" w:h="16929" w:orient="portrait"/>
          <w:cols w:equalWidth="0" w:num="1">
            <w:col w:w="10740"/>
          </w:cols>
          <w:pgMar w:left="900" w:top="125" w:right="259" w:bottom="0" w:gutter="0" w:footer="0" w:header="0"/>
        </w:sectPr>
      </w:pPr>
    </w:p>
    <w:bookmarkStart w:id="7" w:name="page8"/>
    <w:bookmarkEnd w:id="7"/>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limited partner interests and the Incentive Distribution Rights. All such outstanding common units and the limited partner interests represented thereby have been duly authorized and validly issued in accordance with the PAA Partnership Agreement and are fully paid (to the extent required under the PAA Partnership Agreement) and nonassessable (except as such nonassessability may be affected by Sections 17-607 and 17-804 of the Delaware LP Act).</w:t>
      </w:r>
    </w:p>
    <w:p>
      <w:pPr>
        <w:spacing w:after="0" w:line="187" w:lineRule="exact"/>
        <w:rPr>
          <w:sz w:val="20"/>
          <w:szCs w:val="20"/>
          <w:color w:val="auto"/>
        </w:rPr>
      </w:pPr>
    </w:p>
    <w:p>
      <w:pPr>
        <w:ind w:left="4" w:firstLine="645"/>
        <w:spacing w:after="0" w:line="255" w:lineRule="auto"/>
        <w:tabs>
          <w:tab w:leader="none" w:pos="128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Capitalization of the Partnership</w:t>
      </w:r>
      <w:r>
        <w:rPr>
          <w:rFonts w:ascii="Arial" w:cs="Arial" w:eastAsia="Arial" w:hAnsi="Arial"/>
          <w:sz w:val="18"/>
          <w:szCs w:val="18"/>
          <w:color w:val="auto"/>
        </w:rPr>
        <w:t>. Assuming no purchase by the Underwriters of the Additional Shares, on the Initial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Date, after giving effect to the Transactions, the issued and outstanding limited partner interests of the Partnership will consist of 128,000,000 Class A Shares and 478,079,773 Class B Shares. All outstanding Class A Shares and Class B Shares and the limited partner interests represented thereby will have been duly authorized and validly issued in accordance with the Partnership Agreement and will be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Pricing Disclosure Package and the Prospectus.</w:t>
      </w:r>
    </w:p>
    <w:p>
      <w:pPr>
        <w:spacing w:after="0" w:line="189" w:lineRule="exact"/>
        <w:rPr>
          <w:rFonts w:ascii="Arial" w:cs="Arial" w:eastAsia="Arial" w:hAnsi="Arial"/>
          <w:sz w:val="18"/>
          <w:szCs w:val="18"/>
          <w:color w:val="auto"/>
        </w:rPr>
      </w:pPr>
    </w:p>
    <w:p>
      <w:pPr>
        <w:ind w:left="4" w:firstLine="645"/>
        <w:spacing w:after="0" w:line="255" w:lineRule="auto"/>
        <w:tabs>
          <w:tab w:leader="none" w:pos="128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Duly Authorized and Validly Issued Shares</w:t>
      </w:r>
      <w:r>
        <w:rPr>
          <w:rFonts w:ascii="Arial" w:cs="Arial" w:eastAsia="Arial" w:hAnsi="Arial"/>
          <w:sz w:val="18"/>
          <w:szCs w:val="18"/>
          <w:color w:val="auto"/>
        </w:rPr>
        <w:t>. At the applicable Delivery Date, the Shares to be sold by the Partnership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partner interests represented thereby will be duly authorized in accordance with the Partnership Agreement and, when issued and delivered to the Underwriters against payment therefor in accordance with the terms hereof, will be validly issued, fully paid (to the extent required under the Partnership Agreement) and nonassessable (except as such nonassessability may be affected by Sections 17-607 and 17-804 of the Delaware LP Act). Other than the Class B Shares and any limited partner interests issued pursuant to the Partnership’s long-term incentive plan, the Shares will be the only limited partner interests of the Partnership issued or outstanding at the Initial Delivery Date and at each Additional Share Delivery Date, as applicable.</w:t>
      </w:r>
    </w:p>
    <w:p>
      <w:pPr>
        <w:spacing w:after="0" w:line="189" w:lineRule="exact"/>
        <w:rPr>
          <w:rFonts w:ascii="Arial" w:cs="Arial" w:eastAsia="Arial" w:hAnsi="Arial"/>
          <w:sz w:val="18"/>
          <w:szCs w:val="18"/>
          <w:color w:val="auto"/>
        </w:rPr>
      </w:pPr>
    </w:p>
    <w:p>
      <w:pPr>
        <w:ind w:left="4" w:firstLine="645"/>
        <w:spacing w:after="0" w:line="271" w:lineRule="auto"/>
        <w:tabs>
          <w:tab w:leader="none" w:pos="1282"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No Preemptive or Other Rights</w:t>
      </w:r>
      <w:r>
        <w:rPr>
          <w:rFonts w:ascii="Arial" w:cs="Arial" w:eastAsia="Arial" w:hAnsi="Arial"/>
          <w:sz w:val="17"/>
          <w:szCs w:val="17"/>
          <w:color w:val="auto"/>
        </w:rPr>
        <w:t>. Except as described in the Pricing Disclosure Package and the Prospectus or as provided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Operative Documents, there are no preemptive rights or other rights to subscribe for or to purchase, nor any restriction upon the voting or transfer of, any equity securities of either of the Partnership or Plains AAP pursuant to any agreement or other instrument to which the Partnership or Plains AAP is a party or by which the Partnership or Plains AAP may be bound. Neither the filing of the Registration Statement nor the offering or sale of the Shares as contemplated by this Agreement gives rise to any rights for or relating to the registration of any Shares or other securities of the Partnership, except such rights as have been waived or satisfied. Except (i) as described in the Pricing Disclosure Package and the Prospectus (ii) for awards issued pursuant to the Partnership’s long-term incentive plan, there are no outstanding options, warrants or other rights to purchase or exchange any securities for any Shares or other equity interests in the Partnership.</w:t>
      </w:r>
    </w:p>
    <w:p>
      <w:pPr>
        <w:spacing w:after="0" w:line="178" w:lineRule="exact"/>
        <w:rPr>
          <w:rFonts w:ascii="Arial" w:cs="Arial" w:eastAsia="Arial" w:hAnsi="Arial"/>
          <w:sz w:val="17"/>
          <w:szCs w:val="17"/>
          <w:color w:val="auto"/>
        </w:rPr>
      </w:pPr>
    </w:p>
    <w:p>
      <w:pPr>
        <w:ind w:left="4" w:right="420" w:firstLine="645"/>
        <w:spacing w:after="0" w:line="277" w:lineRule="auto"/>
        <w:tabs>
          <w:tab w:leader="none" w:pos="127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The Partnership has all requisite limited partnership power and authority to issue, sell and deliver (i) the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and upon the terms</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and conditions set forth in this Agreement, the Partnership Agreement, the Registration Statement, the Pricing Disclosure Package and the Prospectus and (ii) the Class B Shares, in accordance with and upon the terms and conditions set forth in this Agreement, the Partnership Agreement, the Registration Statement, the Pricing Disclosure Package and the Prospectus. Each of the Partnership Parties has all requisite limited partnership or limited liability company power and authority to execute and deliver this Agreement and to perform its respective obligations hereunder. At the applicable Delivery Date, all action required to be taken by the Partnership Parties or any of their respective unitholders, shareholders, members or partners for (i) the due and proper authorization, execution and delivery of this Agreement by the Partnership Parties, (ii) the authorization, issuance, sale and delivery of the Shares, the Class B Shares, and the execution and delivery of the Operative Documents by the Partnership Parties and</w:t>
      </w:r>
    </w:p>
    <w:p>
      <w:pPr>
        <w:spacing w:after="0" w:line="3" w:lineRule="exact"/>
        <w:rPr>
          <w:sz w:val="20"/>
          <w:szCs w:val="20"/>
          <w:color w:val="auto"/>
        </w:rPr>
      </w:pPr>
    </w:p>
    <w:p>
      <w:pPr>
        <w:ind w:left="4" w:right="80" w:hanging="4"/>
        <w:spacing w:after="0" w:line="261" w:lineRule="auto"/>
        <w:tabs>
          <w:tab w:leader="none" w:pos="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consummation of the other transactions contemplated by this Agreement and the Operative Documents by the Partnership Parties shall have been duly and validly taken.</w:t>
      </w:r>
    </w:p>
    <w:p>
      <w:pPr>
        <w:spacing w:after="0" w:line="183" w:lineRule="exact"/>
        <w:rPr>
          <w:rFonts w:ascii="Arial" w:cs="Arial" w:eastAsia="Arial" w:hAnsi="Arial"/>
          <w:sz w:val="18"/>
          <w:szCs w:val="18"/>
          <w:color w:val="auto"/>
        </w:rPr>
      </w:pPr>
    </w:p>
    <w:p>
      <w:pPr>
        <w:ind w:left="4" w:right="360" w:firstLine="645"/>
        <w:spacing w:after="0" w:line="277" w:lineRule="auto"/>
        <w:tabs>
          <w:tab w:leader="none" w:pos="1276"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by or on behalf of the Partnership Parties.</w:t>
      </w:r>
    </w:p>
    <w:p>
      <w:pPr>
        <w:spacing w:after="0" w:line="170" w:lineRule="exact"/>
        <w:rPr>
          <w:rFonts w:ascii="Arial" w:cs="Arial" w:eastAsia="Arial" w:hAnsi="Arial"/>
          <w:sz w:val="18"/>
          <w:szCs w:val="18"/>
          <w:color w:val="auto"/>
        </w:rPr>
      </w:pPr>
    </w:p>
    <w:p>
      <w:pPr>
        <w:ind w:left="4" w:right="180" w:firstLine="645"/>
        <w:spacing w:after="0" w:line="273" w:lineRule="auto"/>
        <w:tabs>
          <w:tab w:leader="none" w:pos="1296" w:val="left"/>
        </w:tabs>
        <w:numPr>
          <w:ilvl w:val="1"/>
          <w:numId w:val="17"/>
        </w:numPr>
        <w:rPr>
          <w:rFonts w:ascii="Arial" w:cs="Arial" w:eastAsia="Arial" w:hAnsi="Arial"/>
          <w:sz w:val="17"/>
          <w:szCs w:val="17"/>
          <w:color w:val="auto"/>
        </w:rPr>
      </w:pPr>
      <w:r>
        <w:rPr>
          <w:rFonts w:ascii="Arial" w:cs="Arial" w:eastAsia="Arial" w:hAnsi="Arial"/>
          <w:sz w:val="17"/>
          <w:szCs w:val="17"/>
          <w:i w:val="1"/>
          <w:iCs w:val="1"/>
          <w:color w:val="auto"/>
        </w:rPr>
        <w:t>Authorization, Execution and Enforceability of the Operative Documents</w:t>
      </w:r>
      <w:r>
        <w:rPr>
          <w:rFonts w:ascii="Arial" w:cs="Arial" w:eastAsia="Arial" w:hAnsi="Arial"/>
          <w:sz w:val="17"/>
          <w:szCs w:val="17"/>
          <w:color w:val="auto"/>
        </w:rPr>
        <w:t>. At the applicable Delivery Date, the Operative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Documents will have been duly authorized, executed and delivered by the Partnership Entities party thereto and each will be a valid and legally binding agreement of the parties thereto, enforceable against such parties thereto in accordance with their respective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78" w:lineRule="exact"/>
        <w:rPr>
          <w:rFonts w:ascii="Arial" w:cs="Arial" w:eastAsia="Arial" w:hAnsi="Arial"/>
          <w:sz w:val="17"/>
          <w:szCs w:val="17"/>
          <w:color w:val="auto"/>
        </w:rPr>
      </w:pPr>
    </w:p>
    <w:p>
      <w:pPr>
        <w:ind w:left="4" w:firstLine="645"/>
        <w:spacing w:after="0" w:line="284" w:lineRule="auto"/>
        <w:tabs>
          <w:tab w:leader="none" w:pos="1276"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No Conflicts or Violations</w:t>
      </w:r>
      <w:r>
        <w:rPr>
          <w:rFonts w:ascii="Arial" w:cs="Arial" w:eastAsia="Arial" w:hAnsi="Arial"/>
          <w:sz w:val="16"/>
          <w:szCs w:val="16"/>
          <w:color w:val="auto"/>
        </w:rPr>
        <w:t>. None of the (i) offering, issuance and sale by the Partnership of the Shares, (ii) the execution,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and performance of this Agreement or the Operative Documents by the Partnership Entities party hereto or thereto, or (iii) the consummation of the Transactions: (A) conflicts or will conflict with or constitutes or will constitute a violation of the Organizational Agreements of any of the Partnership Entities,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any of the Partnership Entities is a party or by which any of them or any of their respective properties may be bound, (C) violates or will violate any statute, law or regulation or any order, judgment, decree or injunction of any court or governmental agency or body directed to any of the Partnership Entities or any of their properties in a proceeding to which any of them or their property is a party or</w:t>
      </w:r>
    </w:p>
    <w:p>
      <w:pPr>
        <w:spacing w:after="0" w:line="1" w:lineRule="exact"/>
        <w:rPr>
          <w:rFonts w:ascii="Arial" w:cs="Arial" w:eastAsia="Arial" w:hAnsi="Arial"/>
          <w:sz w:val="16"/>
          <w:szCs w:val="16"/>
          <w:color w:val="auto"/>
        </w:rPr>
      </w:pPr>
    </w:p>
    <w:p>
      <w:pPr>
        <w:jc w:val="both"/>
        <w:ind w:left="4" w:right="360"/>
        <w:spacing w:after="0" w:line="255" w:lineRule="auto"/>
        <w:rPr>
          <w:rFonts w:ascii="Arial" w:cs="Arial" w:eastAsia="Arial" w:hAnsi="Arial"/>
          <w:sz w:val="16"/>
          <w:szCs w:val="16"/>
          <w:color w:val="auto"/>
        </w:rPr>
      </w:pPr>
      <w:r>
        <w:rPr>
          <w:rFonts w:ascii="Arial" w:cs="Arial" w:eastAsia="Arial" w:hAnsi="Arial"/>
          <w:sz w:val="18"/>
          <w:szCs w:val="18"/>
          <w:color w:val="auto"/>
        </w:rPr>
        <w:t>(D) results or will result in the creation or imposition of any Lien upon any property or assets of any of the Partnership Entities, which conflicts, breaches, violations, defaults or Liens, in the case of clauses (B), (C) or (D), would reasonably be expected to have a Material Adverse Effect or materially impair</w:t>
      </w:r>
    </w:p>
    <w:p>
      <w:pPr>
        <w:spacing w:after="0" w:line="19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t>the ability of any of the Partnership Parties or the PAA GP Entities to consummate the Transactions.</w:t>
      </w:r>
    </w:p>
    <w:p>
      <w:pPr>
        <w:spacing w:after="0" w:line="225" w:lineRule="exact"/>
        <w:rPr>
          <w:sz w:val="20"/>
          <w:szCs w:val="20"/>
          <w:color w:val="auto"/>
        </w:rPr>
      </w:pPr>
    </w:p>
    <w:p>
      <w:pPr>
        <w:ind w:left="4" w:right="20" w:firstLine="645"/>
        <w:spacing w:after="0" w:line="284" w:lineRule="auto"/>
        <w:tabs>
          <w:tab w:leader="none" w:pos="1296"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No Consents</w:t>
      </w:r>
      <w:r>
        <w:rPr>
          <w:rFonts w:ascii="Arial" w:cs="Arial" w:eastAsia="Arial" w:hAnsi="Arial"/>
          <w:sz w:val="16"/>
          <w:szCs w:val="16"/>
          <w:color w:val="auto"/>
        </w:rPr>
        <w:t>. No consent, approval, authorization, filing with or order of any court, governmental agency or body having</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over any of the Partnership Entities or any of their respective properties is required in connection with (i) the offering, issuance and sale by the Partnership of the Shares, (ii) the execution, delivery and performance of, or the consummation of this Agreement or the Transaction Documents by the Partnership Parties or the PAA GP Entities party hereto or thereto or (iii) the consummation by the Partnership Parties or the PAA GP Entities of the Transactions, except (A) such as have been obtained under the Securities Act, (B) such as may be required under the blue sky laws of any jurisdiction or the by-laws and rules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in connection with the purchase and distribution by the Underwriters of the Shares in the manner contemplated herein and in the Pricing Disclosure Package and the Prospectus and</w:t>
      </w:r>
    </w:p>
    <w:p>
      <w:pPr>
        <w:spacing w:after="0" w:line="2" w:lineRule="exact"/>
        <w:rPr>
          <w:rFonts w:ascii="Arial" w:cs="Arial" w:eastAsia="Arial" w:hAnsi="Arial"/>
          <w:sz w:val="16"/>
          <w:szCs w:val="16"/>
          <w:color w:val="auto"/>
        </w:rPr>
      </w:pPr>
    </w:p>
    <w:p>
      <w:pPr>
        <w:ind w:left="4" w:right="300" w:hanging="4"/>
        <w:spacing w:after="0" w:line="261" w:lineRule="auto"/>
        <w:tabs>
          <w:tab w:leader="none" w:pos="3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that the failure to obtain or make would not reasonably be expected to have a Material Adverse Effect or materially impair the ability of any of the Partnership Parties or the PAA GP Entities to consummate the Transactions.</w:t>
      </w:r>
    </w:p>
    <w:p>
      <w:pPr>
        <w:spacing w:after="0" w:line="183" w:lineRule="exact"/>
        <w:rPr>
          <w:rFonts w:ascii="Arial" w:cs="Arial" w:eastAsia="Arial" w:hAnsi="Arial"/>
          <w:sz w:val="18"/>
          <w:szCs w:val="18"/>
          <w:color w:val="auto"/>
        </w:rPr>
      </w:pPr>
    </w:p>
    <w:p>
      <w:pPr>
        <w:ind w:left="4" w:firstLine="645"/>
        <w:spacing w:after="0" w:line="291" w:lineRule="auto"/>
        <w:tabs>
          <w:tab w:leader="none" w:pos="1276"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No Default</w:t>
      </w:r>
      <w:r>
        <w:rPr>
          <w:rFonts w:ascii="Arial" w:cs="Arial" w:eastAsia="Arial" w:hAnsi="Arial"/>
          <w:sz w:val="16"/>
          <w:szCs w:val="16"/>
          <w:color w:val="auto"/>
        </w:rPr>
        <w:t>. None of the Partnership Entities is in (i) violation of its Organizational Agreements, as applicable, in any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(ii) violation of any law, statute, ordinance, administrative or governmental rule or regulation applicable to it or of any decree of any court or governmental agency or body having jurisdiction over it; or (iii)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any of the Partnership Parties or the PAA GP Entities to consummate the Transactions.</w:t>
      </w:r>
    </w:p>
    <w:p>
      <w:pPr>
        <w:spacing w:after="0" w:line="167" w:lineRule="exact"/>
        <w:rPr>
          <w:rFonts w:ascii="Arial" w:cs="Arial" w:eastAsia="Arial" w:hAnsi="Arial"/>
          <w:sz w:val="16"/>
          <w:szCs w:val="16"/>
          <w:color w:val="auto"/>
        </w:rPr>
      </w:pPr>
    </w:p>
    <w:p>
      <w:pPr>
        <w:ind w:left="4" w:right="20" w:firstLine="645"/>
        <w:spacing w:after="0" w:line="302" w:lineRule="auto"/>
        <w:tabs>
          <w:tab w:leader="none" w:pos="1271"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Independent Registered Public Accounting Firm</w:t>
      </w:r>
      <w:r>
        <w:rPr>
          <w:rFonts w:ascii="Arial" w:cs="Arial" w:eastAsia="Arial" w:hAnsi="Arial"/>
          <w:sz w:val="16"/>
          <w:szCs w:val="16"/>
          <w:color w:val="auto"/>
        </w:rPr>
        <w:t>. PricewaterhouseCoopers LLP, which has certified the audited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Registration Statement, the most recent Preliminary Prospectus and the Prospectus (and any amendment or supplement thereto), are an independent registered public accounting firm with respect to the Partnership Parties and the Partnership’s consolidated subsidiaries as required by the Securities Act and the Rules and Regulations and the Public Company Accounting Oversight Board.</w:t>
      </w:r>
    </w:p>
    <w:p>
      <w:pPr>
        <w:spacing w:after="0" w:line="154" w:lineRule="exact"/>
        <w:rPr>
          <w:rFonts w:ascii="Arial" w:cs="Arial" w:eastAsia="Arial" w:hAnsi="Arial"/>
          <w:sz w:val="16"/>
          <w:szCs w:val="16"/>
          <w:color w:val="auto"/>
        </w:rPr>
      </w:pPr>
    </w:p>
    <w:p>
      <w:pPr>
        <w:ind w:left="4" w:right="280" w:firstLine="645"/>
        <w:spacing w:after="0" w:line="257"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As of June 30, 2013, the Partnership had, on an as adjusted basis as indicated in the Pricing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Package and the Prospectus (and any amendment or supplement thereto), an approximate total capitalization as set forth therein. The financial statements (including the related notes and supporting schedules) and other financial information included in the Registration Statement, the most recent Preliminary Prospectus and the Prospectus (and any amendment or supplement thereto) present fairly in all material respects the financial position, results of operations and cash</w:t>
      </w:r>
    </w:p>
    <w:p>
      <w:pPr>
        <w:spacing w:after="0" w:line="18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historical financial data included in the most recent Preliminary Prospectus under the caption “Summary—Summary Historical and Pro Forma Financial Data” in the Registration Statement, the Pricing Disclosure Package and the Prospectus and the selected historical financial data set forth under the caption “Selected Historical and Pro Forma Financial Data” included in the Registration Statement, the Pricing Disclosure Package and the Prospectus (and any amendment or supplement thereto) is accurately presented in all material respects and prepared on a basis consistent with the audited and unaudited historical consolidated financial statements from which they have been derived, except as described therein. The pro forma financial statements and other pro forma financial information included in the Registration Statement, the Pricing Disclosure Package and the Prospectus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included in the Registration Statement, the Pricing Disclosure Package and the Prospectus (and any amendment or supplement thereto) are reasonable, and the adjustments used therein are appropriate to give effect to the transactions or circumstances referred to therein. No other financial statements or schedules of the Partnership are required by the Securities Act or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to be included in the Registration Statement, the Pricing Disclosure Package or the Prospectus.</w:t>
      </w:r>
    </w:p>
    <w:p>
      <w:pPr>
        <w:spacing w:after="0" w:line="169" w:lineRule="exact"/>
        <w:rPr>
          <w:sz w:val="20"/>
          <w:szCs w:val="20"/>
          <w:color w:val="auto"/>
        </w:rPr>
      </w:pPr>
    </w:p>
    <w:p>
      <w:pPr>
        <w:ind w:left="4" w:right="40" w:firstLine="645"/>
        <w:spacing w:after="0" w:line="287" w:lineRule="auto"/>
        <w:tabs>
          <w:tab w:leader="none" w:pos="129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No Material Adverse Change</w:t>
      </w:r>
      <w:r>
        <w:rPr>
          <w:rFonts w:ascii="Arial" w:cs="Arial" w:eastAsia="Arial" w:hAnsi="Arial"/>
          <w:sz w:val="16"/>
          <w:szCs w:val="16"/>
          <w:color w:val="auto"/>
        </w:rPr>
        <w:t>. None of the Partnership Group Entities has sustained, since the date of the latest audited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there has not been (i) any Material Adverse Effect, or any development that would, individually or in the aggregate, reasonably be expected to have a Material Adverse Effect, (ii) any transaction which is material to the Partnership Group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direct or indirect majority owned subsidiary of PAA to another direct or indirect majority owned subsidiary of PAA or PAA or from a PAA GP Entity to its members or other equity</w:t>
      </w:r>
    </w:p>
    <w:p>
      <w:pPr>
        <w:spacing w:after="0" w:line="16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820"/>
        <w:spacing w:after="0" w:line="277" w:lineRule="auto"/>
        <w:rPr>
          <w:sz w:val="20"/>
          <w:szCs w:val="20"/>
          <w:color w:val="auto"/>
        </w:rPr>
      </w:pPr>
      <w:r>
        <w:rPr>
          <w:rFonts w:ascii="Arial" w:cs="Arial" w:eastAsia="Arial" w:hAnsi="Arial"/>
          <w:sz w:val="18"/>
          <w:szCs w:val="18"/>
          <w:color w:val="auto"/>
        </w:rPr>
        <w:t>owners, declared, paid or made on the security interests of any of the Partnership Group Entities, in each case other than as set forth in the Registration Statement, the Pricing Disclosure Package and the Prospectus.</w:t>
      </w:r>
    </w:p>
    <w:p>
      <w:pPr>
        <w:spacing w:after="0" w:line="170" w:lineRule="exact"/>
        <w:rPr>
          <w:sz w:val="20"/>
          <w:szCs w:val="20"/>
          <w:color w:val="auto"/>
        </w:rPr>
      </w:pPr>
    </w:p>
    <w:p>
      <w:pPr>
        <w:jc w:val="both"/>
        <w:ind w:left="4" w:right="480" w:firstLine="645"/>
        <w:spacing w:after="0" w:line="342" w:lineRule="auto"/>
        <w:tabs>
          <w:tab w:leader="none" w:pos="1293"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Required Disclosures and Descriptions</w:t>
      </w:r>
      <w:r>
        <w:rPr>
          <w:rFonts w:ascii="Arial" w:cs="Arial" w:eastAsia="Arial" w:hAnsi="Arial"/>
          <w:sz w:val="16"/>
          <w:szCs w:val="16"/>
          <w:color w:val="auto"/>
        </w:rPr>
        <w:t>. There are no legal or governmental proceedings pending or, to the knowledge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Parties, threatened, against any of the Partnership Group Entities, or to which any of the Partnership Group Entities is a party, or to</w:t>
      </w:r>
    </w:p>
    <w:p>
      <w:pPr>
        <w:sectPr>
          <w:pgSz w:w="11900" w:h="16838" w:orient="portrait"/>
          <w:cols w:equalWidth="0" w:num="1">
            <w:col w:w="10764"/>
          </w:cols>
          <w:pgMar w:left="896" w:top="584" w:right="239" w:bottom="0" w:gutter="0" w:footer="0" w:header="0"/>
        </w:sectPr>
      </w:pPr>
    </w:p>
    <w:bookmarkStart w:id="9" w:name="page10"/>
    <w:bookmarkEnd w:id="9"/>
    <w:p>
      <w:pPr>
        <w:spacing w:after="0" w:line="1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71" w:lineRule="exact"/>
        <w:rPr>
          <w:sz w:val="20"/>
          <w:szCs w:val="20"/>
          <w:color w:val="auto"/>
        </w:rPr>
      </w:pPr>
    </w:p>
    <w:p>
      <w:pPr>
        <w:ind w:right="20" w:firstLine="645"/>
        <w:spacing w:after="0" w:line="288" w:lineRule="auto"/>
        <w:tabs>
          <w:tab w:leader="none" w:pos="1289"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Partnership Group Entities, directly or indirectly, have good and indefeasible title to all real property and</w:t>
      </w:r>
      <w:r>
        <w:rPr>
          <w:rFonts w:ascii="Arial" w:cs="Arial" w:eastAsia="Arial" w:hAnsi="Arial"/>
          <w:sz w:val="16"/>
          <w:szCs w:val="16"/>
          <w:i w:val="1"/>
          <w:iCs w:val="1"/>
          <w:color w:val="auto"/>
        </w:rPr>
        <w:t xml:space="preserve"> </w:t>
      </w:r>
      <w:r>
        <w:rPr>
          <w:rFonts w:ascii="Arial" w:cs="Arial" w:eastAsia="Arial" w:hAnsi="Arial"/>
          <w:sz w:val="16"/>
          <w:szCs w:val="16"/>
          <w:color w:val="auto"/>
        </w:rPr>
        <w:t>good title to all personal property described in the Pricing Disclosure Package and the Prospectus as being owned by them, free and clear of all Liens except (i) as provided in the Third Amended and Restated Credit Agreement dated August 19, 2011, as amended (the “</w:t>
      </w:r>
      <w:r>
        <w:rPr>
          <w:rFonts w:ascii="Arial" w:cs="Arial" w:eastAsia="Arial" w:hAnsi="Arial"/>
          <w:sz w:val="16"/>
          <w:szCs w:val="16"/>
          <w:b w:val="1"/>
          <w:bCs w:val="1"/>
          <w:color w:val="auto"/>
        </w:rPr>
        <w:t>Restated Facility</w:t>
      </w:r>
      <w:r>
        <w:rPr>
          <w:rFonts w:ascii="Arial" w:cs="Arial" w:eastAsia="Arial" w:hAnsi="Arial"/>
          <w:sz w:val="16"/>
          <w:szCs w:val="16"/>
          <w:color w:val="auto"/>
        </w:rPr>
        <w:t>”), among Plains Marketing, L.P. (“</w:t>
      </w:r>
      <w:r>
        <w:rPr>
          <w:rFonts w:ascii="Arial" w:cs="Arial" w:eastAsia="Arial" w:hAnsi="Arial"/>
          <w:sz w:val="16"/>
          <w:szCs w:val="16"/>
          <w:b w:val="1"/>
          <w:bCs w:val="1"/>
          <w:color w:val="auto"/>
        </w:rPr>
        <w:t>Plains Marketing</w:t>
      </w:r>
      <w:r>
        <w:rPr>
          <w:rFonts w:ascii="Arial" w:cs="Arial" w:eastAsia="Arial" w:hAnsi="Arial"/>
          <w:sz w:val="16"/>
          <w:szCs w:val="16"/>
          <w:color w:val="auto"/>
        </w:rPr>
        <w:t>”), Bank of America, N.A., as administrative agent thereunder and the lenders from time to time party thereto, filed as an exhibit to the Registration Statement, (ii) as provided in the Second Amended and Restated Credit Agreement dated as of September 26, 2013 among Plains AAP, Citibank, N.A., as Administrative Agent thereunder and the other lenders party thereto, (as amended and restated, the “</w:t>
      </w:r>
      <w:r>
        <w:rPr>
          <w:rFonts w:ascii="Arial" w:cs="Arial" w:eastAsia="Arial" w:hAnsi="Arial"/>
          <w:sz w:val="16"/>
          <w:szCs w:val="16"/>
          <w:b w:val="1"/>
          <w:bCs w:val="1"/>
          <w:color w:val="auto"/>
        </w:rPr>
        <w:t>AAP Credit Agreement</w:t>
      </w:r>
      <w:r>
        <w:rPr>
          <w:rFonts w:ascii="Arial" w:cs="Arial" w:eastAsia="Arial" w:hAnsi="Arial"/>
          <w:sz w:val="16"/>
          <w:szCs w:val="16"/>
          <w:color w:val="auto"/>
        </w:rPr>
        <w:t>”), filed as an exhibit to the Registration Statement and (iii) such as would not reasonably be expected to have, individually or in the aggregate, a Material Adverse Effect; and all real property and buildings held under lease by the any of the Partnership Group Entities are held, directly or indirectly, under valid and subsisting and enforceable leases with such exceptions as would not reasonably be expected to have a Material Adverse Effect, as described in the Pricing Disclosure Package and the Prospectus.</w:t>
      </w:r>
    </w:p>
    <w:p>
      <w:pPr>
        <w:spacing w:after="0" w:line="169" w:lineRule="exact"/>
        <w:rPr>
          <w:rFonts w:ascii="Arial" w:cs="Arial" w:eastAsia="Arial" w:hAnsi="Arial"/>
          <w:sz w:val="16"/>
          <w:szCs w:val="16"/>
          <w:color w:val="auto"/>
        </w:rPr>
      </w:pPr>
    </w:p>
    <w:p>
      <w:pPr>
        <w:ind w:firstLine="645"/>
        <w:spacing w:after="0" w:line="271" w:lineRule="auto"/>
        <w:tabs>
          <w:tab w:leader="none" w:pos="1292"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Permits</w:t>
      </w:r>
      <w:r>
        <w:rPr>
          <w:rFonts w:ascii="Arial" w:cs="Arial" w:eastAsia="Arial" w:hAnsi="Arial"/>
          <w:sz w:val="17"/>
          <w:szCs w:val="17"/>
          <w:color w:val="auto"/>
        </w:rPr>
        <w:t>. Each of the Partnership Group Entities, directly or indirectly, has such permits, consents, licenses, franchises, certificates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authorizations of governmental or regulatory authorities (“</w:t>
      </w:r>
      <w:r>
        <w:rPr>
          <w:rFonts w:ascii="Arial" w:cs="Arial" w:eastAsia="Arial" w:hAnsi="Arial"/>
          <w:sz w:val="17"/>
          <w:szCs w:val="17"/>
          <w:b w:val="1"/>
          <w:bCs w:val="1"/>
          <w:color w:val="auto"/>
        </w:rPr>
        <w:t>Permits</w:t>
      </w:r>
      <w:r>
        <w:rPr>
          <w:rFonts w:ascii="Arial" w:cs="Arial" w:eastAsia="Arial" w:hAnsi="Arial"/>
          <w:sz w:val="17"/>
          <w:szCs w:val="17"/>
          <w:color w:val="auto"/>
        </w:rPr>
        <w:t>”)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Partnership Group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5"/>
        <w:spacing w:after="0" w:line="270" w:lineRule="auto"/>
        <w:tabs>
          <w:tab w:leader="none" w:pos="1289"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Rights-of-Way</w:t>
      </w:r>
      <w:r>
        <w:rPr>
          <w:rFonts w:ascii="Arial" w:cs="Arial" w:eastAsia="Arial" w:hAnsi="Arial"/>
          <w:sz w:val="17"/>
          <w:szCs w:val="17"/>
          <w:color w:val="auto"/>
        </w:rPr>
        <w:t>. Each of the Partnership Group Entities, directly or indirectly, has such consents, easements, rights-of-way or</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from any person (“</w:t>
      </w:r>
      <w:r>
        <w:rPr>
          <w:rFonts w:ascii="Arial" w:cs="Arial" w:eastAsia="Arial" w:hAnsi="Arial"/>
          <w:sz w:val="17"/>
          <w:szCs w:val="17"/>
          <w:b w:val="1"/>
          <w:bCs w:val="1"/>
          <w:color w:val="auto"/>
        </w:rPr>
        <w:t>rights-of-way</w:t>
      </w:r>
      <w:r>
        <w:rPr>
          <w:rFonts w:ascii="Arial" w:cs="Arial" w:eastAsia="Arial" w:hAnsi="Arial"/>
          <w:sz w:val="17"/>
          <w:szCs w:val="17"/>
          <w:color w:val="auto"/>
        </w:rPr>
        <w:t>”)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Partnership Group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w:t>
      </w:r>
    </w:p>
    <w:p>
      <w:pPr>
        <w:spacing w:after="0" w:line="181" w:lineRule="exact"/>
        <w:rPr>
          <w:rFonts w:ascii="Arial" w:cs="Arial" w:eastAsia="Arial" w:hAnsi="Arial"/>
          <w:sz w:val="17"/>
          <w:szCs w:val="17"/>
          <w:color w:val="auto"/>
        </w:rPr>
      </w:pPr>
    </w:p>
    <w:p>
      <w:pPr>
        <w:ind w:right="300" w:firstLine="645"/>
        <w:spacing w:after="0" w:line="272" w:lineRule="auto"/>
        <w:tabs>
          <w:tab w:leader="none" w:pos="1278"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Investment Company</w:t>
      </w:r>
      <w:r>
        <w:rPr>
          <w:rFonts w:ascii="Arial" w:cs="Arial" w:eastAsia="Arial" w:hAnsi="Arial"/>
          <w:sz w:val="17"/>
          <w:szCs w:val="17"/>
          <w:color w:val="auto"/>
        </w:rPr>
        <w:t>. None of Partnership Group Entities is now, and after sale of the Shares to be sold by the Partnership</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and application of the net proceeds from such sale as described in the Pricing Disclosure Package and the Prospectus under the caption “Use of Proceeds,” none of the Partnership Group Entities will be, (i) an “investment company” or a company “controlled by” an “investment company,” each within the meaning of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177" w:lineRule="exact"/>
        <w:rPr>
          <w:rFonts w:ascii="Arial" w:cs="Arial" w:eastAsia="Arial" w:hAnsi="Arial"/>
          <w:sz w:val="17"/>
          <w:szCs w:val="17"/>
          <w:color w:val="auto"/>
        </w:rPr>
      </w:pPr>
    </w:p>
    <w:p>
      <w:pPr>
        <w:ind w:right="120" w:firstLine="645"/>
        <w:spacing w:after="0" w:line="259" w:lineRule="auto"/>
        <w:tabs>
          <w:tab w:leader="none" w:pos="1292"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Private Placement</w:t>
      </w:r>
      <w:r>
        <w:rPr>
          <w:rFonts w:ascii="Arial" w:cs="Arial" w:eastAsia="Arial" w:hAnsi="Arial"/>
          <w:sz w:val="18"/>
          <w:szCs w:val="18"/>
          <w:color w:val="auto"/>
        </w:rPr>
        <w:t>. The sale and issuance of the Class B Shares are exempt from the registration requirements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the Rules and Regulations and the securities laws of any state having jurisdiction with respect thereto. The Partnership has not sold or issued any securities that would be integrated with the offering of the Shares contemplated by this Agreement pursuant to the Securities Act, the Rules and Regulations or the interpretations thereof by the Commission.</w:t>
      </w:r>
    </w:p>
    <w:p>
      <w:pPr>
        <w:spacing w:after="0" w:line="186" w:lineRule="exact"/>
        <w:rPr>
          <w:rFonts w:ascii="Arial" w:cs="Arial" w:eastAsia="Arial" w:hAnsi="Arial"/>
          <w:sz w:val="18"/>
          <w:szCs w:val="18"/>
          <w:color w:val="auto"/>
        </w:rPr>
      </w:pPr>
    </w:p>
    <w:p>
      <w:pPr>
        <w:ind w:right="80" w:firstLine="645"/>
        <w:spacing w:after="0" w:line="293" w:lineRule="auto"/>
        <w:tabs>
          <w:tab w:leader="none" w:pos="1292"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Environmental Compliance</w:t>
      </w:r>
      <w:r>
        <w:rPr>
          <w:rFonts w:ascii="Arial" w:cs="Arial" w:eastAsia="Arial" w:hAnsi="Arial"/>
          <w:sz w:val="16"/>
          <w:szCs w:val="16"/>
          <w:color w:val="auto"/>
        </w:rPr>
        <w:t>. Except as described in the Pricing Disclosure Package and the Prospectus, none of the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Group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6"/>
          <w:szCs w:val="16"/>
          <w:b w:val="1"/>
          <w:bCs w:val="1"/>
          <w:color w:val="auto"/>
        </w:rPr>
        <w:t>Environmental</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or lacks any permits, licenses or other approvals required of them under applicable Environmental Laws to own, lease or operate their</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and conduct their business as described in the Pricing Disclosure Package and the Prospectus or is violating any terms and conditions of any such permit, license or approval, which in each case would reasonably be expected to have a Material Adverse Effect.</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5"/>
        <w:spacing w:after="0" w:line="277" w:lineRule="auto"/>
        <w:tabs>
          <w:tab w:leader="none" w:pos="129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dispute with the employees of any of the Partnership Group Entities exists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Parties, is imminent, that would reasonably be expected to have a Material Adverse Effect.</w:t>
      </w:r>
    </w:p>
    <w:p>
      <w:pPr>
        <w:spacing w:after="0" w:line="170" w:lineRule="exact"/>
        <w:rPr>
          <w:rFonts w:ascii="Arial" w:cs="Arial" w:eastAsia="Arial" w:hAnsi="Arial"/>
          <w:sz w:val="18"/>
          <w:szCs w:val="18"/>
          <w:color w:val="auto"/>
        </w:rPr>
      </w:pPr>
    </w:p>
    <w:p>
      <w:pPr>
        <w:ind w:right="40" w:firstLine="645"/>
        <w:spacing w:after="0" w:line="257" w:lineRule="auto"/>
        <w:tabs>
          <w:tab w:leader="none" w:pos="129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Partnership Group Entities maintain or are entitled to the benefits of insurance covering their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personnel and businesses against such losses and risks as are reasonably adequate to protect them and their businesses in a manner consistent with other businesses similarly situated. All such insurance is outstanding and duly in force on the date hereof and will be outstanding and duly in force on each applicable Delivery Date, except for such insurance for which the failure to be outstanding and duly in force would not reasonably be expected to have a Material Adverse Effect.</w:t>
      </w:r>
    </w:p>
    <w:p>
      <w:pPr>
        <w:spacing w:after="0" w:line="188" w:lineRule="exact"/>
        <w:rPr>
          <w:rFonts w:ascii="Arial" w:cs="Arial" w:eastAsia="Arial" w:hAnsi="Arial"/>
          <w:sz w:val="18"/>
          <w:szCs w:val="18"/>
          <w:color w:val="auto"/>
        </w:rPr>
      </w:pPr>
    </w:p>
    <w:p>
      <w:pPr>
        <w:ind w:right="60" w:firstLine="645"/>
        <w:spacing w:after="0" w:line="302" w:lineRule="auto"/>
        <w:tabs>
          <w:tab w:leader="none" w:pos="1309"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No Legal Actions</w:t>
      </w:r>
      <w:r>
        <w:rPr>
          <w:rFonts w:ascii="Arial" w:cs="Arial" w:eastAsia="Arial" w:hAnsi="Arial"/>
          <w:sz w:val="16"/>
          <w:szCs w:val="16"/>
          <w:color w:val="auto"/>
        </w:rPr>
        <w:t>. Except as described in the Pricing Disclosure Package and the Prospectus, there is (i) no action, suit or</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before or by any court, arbitrator or governmental agency, body or official, domestic or foreign, now pending or, to the knowledge of the Partnership Parties, threatened, to which any of the Partnership Group Entities is or may be a party or to which the business or property of any of the Partnership Group Entities is or may be subject, and (ii) no injunction, restraining order or order of any nature issued by a federal or state court or</w:t>
      </w:r>
    </w:p>
    <w:p>
      <w:pPr>
        <w:sectPr>
          <w:pgSz w:w="11900" w:h="16945" w:orient="portrait"/>
          <w:cols w:equalWidth="0" w:num="1">
            <w:col w:w="10760"/>
          </w:cols>
          <w:pgMar w:left="900" w:top="125" w:right="239" w:bottom="0" w:gutter="0" w:footer="0" w:header="0"/>
        </w:sectPr>
      </w:pPr>
    </w:p>
    <w:bookmarkStart w:id="10" w:name="page11"/>
    <w:bookmarkEnd w:id="10"/>
    <w:p>
      <w:pPr>
        <w:ind w:left="4"/>
        <w:spacing w:after="0"/>
        <w:rPr>
          <w:sz w:val="20"/>
          <w:szCs w:val="20"/>
          <w:color w:val="auto"/>
        </w:rPr>
      </w:pPr>
      <w:r>
        <w:rPr>
          <w:rFonts w:ascii="Arial" w:cs="Arial" w:eastAsia="Arial" w:hAnsi="Arial"/>
          <w:sz w:val="17"/>
          <w:szCs w:val="17"/>
          <w:color w:val="auto"/>
        </w:rPr>
        <w:t>foreign court of competent jurisdiction to which any of the Partnership Group Entities is or may be subject, that, in the case of clauses (i) and</w:t>
      </w:r>
    </w:p>
    <w:p>
      <w:pPr>
        <w:spacing w:after="0" w:line="35" w:lineRule="exact"/>
        <w:rPr>
          <w:sz w:val="20"/>
          <w:szCs w:val="20"/>
          <w:color w:val="auto"/>
        </w:rPr>
      </w:pPr>
    </w:p>
    <w:p>
      <w:pPr>
        <w:ind w:left="4" w:right="20" w:hanging="4"/>
        <w:spacing w:after="0" w:line="261" w:lineRule="auto"/>
        <w:tabs>
          <w:tab w:leader="none" w:pos="2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above, would reasonably be expected to have, individually or in the aggregate, a Material Adverse Effect or prevent or result in the suspension of the offering and issuance of the Shares.</w:t>
      </w:r>
    </w:p>
    <w:p>
      <w:pPr>
        <w:spacing w:after="0" w:line="183" w:lineRule="exact"/>
        <w:rPr>
          <w:rFonts w:ascii="Arial" w:cs="Arial" w:eastAsia="Arial" w:hAnsi="Arial"/>
          <w:sz w:val="18"/>
          <w:szCs w:val="18"/>
          <w:color w:val="auto"/>
        </w:rPr>
      </w:pPr>
    </w:p>
    <w:p>
      <w:pPr>
        <w:ind w:left="4" w:right="20" w:firstLine="645"/>
        <w:spacing w:after="0" w:line="284" w:lineRule="auto"/>
        <w:tabs>
          <w:tab w:leader="none" w:pos="1294"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Distribution Restrictions</w:t>
      </w:r>
      <w:r>
        <w:rPr>
          <w:rFonts w:ascii="Arial" w:cs="Arial" w:eastAsia="Arial" w:hAnsi="Arial"/>
          <w:sz w:val="16"/>
          <w:szCs w:val="16"/>
          <w:color w:val="auto"/>
        </w:rPr>
        <w:t>. None of PAA, Plains AAP or any direct or indirect majority owned subsidiary of PAA is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prohibited, directly or indirectly, from making any distributions to any Partnership Group Entity, as applicable, from making any other distribution on such entity’s equity interests, from repaying to any Partnership Group Entity any loans or advances to such entity from the Partnership Group Entities or from transferring any of such entity’s property or assets to the Partnership Group Entities, except (i) as described in or contemplated by the Pricing Disclosure Package and the Prospectus (exclusive of any amendment or supplement thereto), (ii) as provided in the Credit Agreement dated August 19, 2011 (the “</w:t>
      </w:r>
      <w:r>
        <w:rPr>
          <w:rFonts w:ascii="Arial" w:cs="Arial" w:eastAsia="Arial" w:hAnsi="Arial"/>
          <w:sz w:val="16"/>
          <w:szCs w:val="16"/>
          <w:b w:val="1"/>
          <w:bCs w:val="1"/>
          <w:color w:val="auto"/>
        </w:rPr>
        <w:t>PNG Facility</w:t>
      </w:r>
      <w:r>
        <w:rPr>
          <w:rFonts w:ascii="Arial" w:cs="Arial" w:eastAsia="Arial" w:hAnsi="Arial"/>
          <w:sz w:val="16"/>
          <w:szCs w:val="16"/>
          <w:color w:val="auto"/>
        </w:rPr>
        <w:t>”) among PNG, Bank of America, N.A. and the other lenders from time to time party thereto, as amended,</w:t>
      </w:r>
    </w:p>
    <w:p>
      <w:pPr>
        <w:spacing w:after="0" w:line="4" w:lineRule="exact"/>
        <w:rPr>
          <w:rFonts w:ascii="Arial" w:cs="Arial" w:eastAsia="Arial" w:hAnsi="Arial"/>
          <w:sz w:val="16"/>
          <w:szCs w:val="16"/>
          <w:color w:val="auto"/>
        </w:rPr>
      </w:pPr>
    </w:p>
    <w:p>
      <w:pPr>
        <w:ind w:left="4" w:right="160" w:hanging="4"/>
        <w:spacing w:after="0" w:line="261" w:lineRule="auto"/>
        <w:tabs>
          <w:tab w:leader="none" w:pos="3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prohibitions mandated by the laws of each such entity’s state of formation and the terms of the Operative Documents and (iv) where such prohibition would not reasonably be expected to have a Material Adverse Effect.</w:t>
      </w:r>
    </w:p>
    <w:p>
      <w:pPr>
        <w:spacing w:after="0" w:line="183" w:lineRule="exact"/>
        <w:rPr>
          <w:rFonts w:ascii="Arial" w:cs="Arial" w:eastAsia="Arial" w:hAnsi="Arial"/>
          <w:sz w:val="18"/>
          <w:szCs w:val="18"/>
          <w:color w:val="auto"/>
        </w:rPr>
      </w:pPr>
    </w:p>
    <w:p>
      <w:pPr>
        <w:ind w:left="4" w:right="40" w:firstLine="645"/>
        <w:spacing w:after="0" w:line="276" w:lineRule="auto"/>
        <w:tabs>
          <w:tab w:leader="none" w:pos="1293"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No Distribution of Other Offering Materials</w:t>
      </w:r>
      <w:r>
        <w:rPr>
          <w:rFonts w:ascii="Arial" w:cs="Arial" w:eastAsia="Arial" w:hAnsi="Arial"/>
          <w:sz w:val="17"/>
          <w:szCs w:val="17"/>
          <w:color w:val="auto"/>
        </w:rPr>
        <w:t>. None of the Partnership Group Entities has distributed and, prior to the later to occur</w:t>
      </w:r>
      <w:r>
        <w:rPr>
          <w:rFonts w:ascii="Arial" w:cs="Arial" w:eastAsia="Arial" w:hAnsi="Arial"/>
          <w:sz w:val="17"/>
          <w:szCs w:val="17"/>
          <w:i w:val="1"/>
          <w:iCs w:val="1"/>
          <w:color w:val="auto"/>
        </w:rPr>
        <w:t xml:space="preserve"> </w:t>
      </w:r>
      <w:r>
        <w:rPr>
          <w:rFonts w:ascii="Arial" w:cs="Arial" w:eastAsia="Arial" w:hAnsi="Arial"/>
          <w:sz w:val="17"/>
          <w:szCs w:val="17"/>
          <w:color w:val="auto"/>
        </w:rPr>
        <w:t>of (i) any Delivery Date and (ii) completion of the distribution of the Initial Shares or Additional Shares, as the case may be, will not distribute, any prospectus (as defined under the Securities Act) in connection with the offering and sale of the Shares other than any Preliminary Prospectus, the Prospectus, any Issuer Free Writing Prospectus, subject to the conditions in Section 1(i) of this Agreement, or other materials, if any, permitted by the Securities Act, including Rule 134 of the Rules and Regulations and, in connection with the</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7"/>
          <w:szCs w:val="17"/>
          <w:color w:val="auto"/>
        </w:rPr>
        <w:t>Directed Share Program described in Section 4, the enrollment materials prepared by Morgan Stanley &amp; Co. LLC on behalf of the Partnership.</w:t>
      </w:r>
    </w:p>
    <w:p>
      <w:pPr>
        <w:spacing w:after="0" w:line="237" w:lineRule="exact"/>
        <w:rPr>
          <w:sz w:val="20"/>
          <w:szCs w:val="20"/>
          <w:color w:val="auto"/>
        </w:rPr>
      </w:pPr>
    </w:p>
    <w:p>
      <w:pPr>
        <w:ind w:left="4" w:right="240" w:firstLine="645"/>
        <w:spacing w:after="0" w:line="277"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NYSE Listing of Shares</w:t>
      </w:r>
      <w:r>
        <w:rPr>
          <w:rFonts w:ascii="Arial" w:cs="Arial" w:eastAsia="Arial" w:hAnsi="Arial"/>
          <w:sz w:val="18"/>
          <w:szCs w:val="18"/>
          <w:color w:val="auto"/>
        </w:rPr>
        <w:t>. The Shares have been approved for listing, subject only to official notice of issuance, on the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Stock Exchange (the “</w:t>
      </w:r>
      <w:r>
        <w:rPr>
          <w:rFonts w:ascii="Arial" w:cs="Arial" w:eastAsia="Arial" w:hAnsi="Arial"/>
          <w:sz w:val="18"/>
          <w:szCs w:val="18"/>
          <w:b w:val="1"/>
          <w:bCs w:val="1"/>
          <w:color w:val="auto"/>
        </w:rPr>
        <w:t>NYSE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20" w:firstLine="645"/>
        <w:spacing w:after="0" w:line="255"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Books and Records; Accounting Controls</w:t>
      </w:r>
      <w:r>
        <w:rPr>
          <w:rFonts w:ascii="Arial" w:cs="Arial" w:eastAsia="Arial" w:hAnsi="Arial"/>
          <w:sz w:val="18"/>
          <w:szCs w:val="18"/>
          <w:color w:val="auto"/>
        </w:rPr>
        <w:t>. The Partnership maintains a system of internal accounting controls sufficient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93" w:lineRule="exact"/>
        <w:rPr>
          <w:rFonts w:ascii="Arial" w:cs="Arial" w:eastAsia="Arial" w:hAnsi="Arial"/>
          <w:sz w:val="18"/>
          <w:szCs w:val="18"/>
          <w:color w:val="auto"/>
        </w:rPr>
      </w:pPr>
    </w:p>
    <w:p>
      <w:pPr>
        <w:ind w:left="4" w:right="260" w:firstLine="645"/>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FINRA Affiliations</w:t>
      </w:r>
      <w:r>
        <w:rPr>
          <w:rFonts w:ascii="Arial" w:cs="Arial" w:eastAsia="Arial" w:hAnsi="Arial"/>
          <w:sz w:val="18"/>
          <w:szCs w:val="18"/>
          <w:color w:val="auto"/>
        </w:rPr>
        <w:t>. To the actual knowledge of the Partnership Parties, there are no affiliations or associations between any</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FINRA and any of the General Partner’s officers or directors or 5% or greater security holders, except as described in the Registration Statement, the Pricing Disclosure Package and the Prospectus.</w:t>
      </w:r>
    </w:p>
    <w:p>
      <w:pPr>
        <w:spacing w:after="0" w:line="181" w:lineRule="exact"/>
        <w:rPr>
          <w:rFonts w:ascii="Arial" w:cs="Arial" w:eastAsia="Arial" w:hAnsi="Arial"/>
          <w:sz w:val="18"/>
          <w:szCs w:val="18"/>
          <w:color w:val="auto"/>
        </w:rPr>
      </w:pPr>
    </w:p>
    <w:p>
      <w:pPr>
        <w:ind w:left="4" w:firstLine="645"/>
        <w:spacing w:after="0" w:line="264"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Parties, the directors and officers of the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in their capacities as such, are in compliance in all material respects with all applicable and effective provisions of the Sarbanes-Oxley Act of 2002 and the rules and regulations promulgated thereunder.</w:t>
      </w:r>
    </w:p>
    <w:p>
      <w:pPr>
        <w:spacing w:after="0" w:line="181" w:lineRule="exact"/>
        <w:rPr>
          <w:rFonts w:ascii="Arial" w:cs="Arial" w:eastAsia="Arial" w:hAnsi="Arial"/>
          <w:sz w:val="18"/>
          <w:szCs w:val="18"/>
          <w:color w:val="auto"/>
        </w:rPr>
      </w:pPr>
    </w:p>
    <w:p>
      <w:pPr>
        <w:ind w:left="4" w:right="20" w:firstLine="645"/>
        <w:spacing w:after="0" w:line="255"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Partnership maintains disclosure controls and procedures (to the extent required by and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the General Partner to allow for timely decisions regarding required disclosure, particularly during the periods in which the periodic reports required under the Exchange Act are being prepared; and (ii) are effective in all material respects to perform the functions for which they are established.</w:t>
      </w:r>
    </w:p>
    <w:p>
      <w:pPr>
        <w:spacing w:after="0" w:line="193" w:lineRule="exact"/>
        <w:rPr>
          <w:rFonts w:ascii="Arial" w:cs="Arial" w:eastAsia="Arial" w:hAnsi="Arial"/>
          <w:sz w:val="18"/>
          <w:szCs w:val="18"/>
          <w:color w:val="auto"/>
        </w:rPr>
      </w:pPr>
    </w:p>
    <w:p>
      <w:pPr>
        <w:ind w:left="4" w:right="40" w:firstLine="645"/>
        <w:spacing w:after="0" w:line="259" w:lineRule="auto"/>
        <w:tabs>
          <w:tab w:leader="none" w:pos="127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Deficiency in Internal Controls</w:t>
      </w:r>
      <w:r>
        <w:rPr>
          <w:rFonts w:ascii="Arial" w:cs="Arial" w:eastAsia="Arial" w:hAnsi="Arial"/>
          <w:sz w:val="18"/>
          <w:szCs w:val="18"/>
          <w:color w:val="auto"/>
        </w:rPr>
        <w:t>. Since the date of the most recent balance sheet of GP LLC and its consolidated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or audited by PricewaterhouseCoopers LLP, the Partnership has not become aware of (i) any significant deficiency or material weakness in the design or operation of internal controls over financial reporting that are likely to adversely affect their ability to record, process, summarize and report financial data; or (ii) any fraud, whether or not material, that</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involves management or other employees who have a significant role in the internal controls over financial reporting of the Partnership.</w:t>
      </w:r>
    </w:p>
    <w:p>
      <w:pPr>
        <w:spacing w:after="0" w:line="225" w:lineRule="exact"/>
        <w:rPr>
          <w:sz w:val="20"/>
          <w:szCs w:val="20"/>
          <w:color w:val="auto"/>
        </w:rPr>
      </w:pPr>
    </w:p>
    <w:p>
      <w:pPr>
        <w:ind w:left="4" w:right="160" w:firstLine="645"/>
        <w:spacing w:after="0" w:line="259" w:lineRule="auto"/>
        <w:tabs>
          <w:tab w:leader="none" w:pos="124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FCPA</w:t>
      </w:r>
      <w:r>
        <w:rPr>
          <w:rFonts w:ascii="Arial" w:cs="Arial" w:eastAsia="Arial" w:hAnsi="Arial"/>
          <w:sz w:val="18"/>
          <w:szCs w:val="18"/>
          <w:color w:val="auto"/>
        </w:rPr>
        <w:t>. None of the Partnership Group Entities nor, to the knowledge of the Partnership Parties, any director, officer, agent 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of the Partnership Group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86" w:lineRule="exact"/>
        <w:rPr>
          <w:rFonts w:ascii="Arial" w:cs="Arial" w:eastAsia="Arial" w:hAnsi="Arial"/>
          <w:sz w:val="18"/>
          <w:szCs w:val="18"/>
          <w:color w:val="auto"/>
        </w:rPr>
      </w:pPr>
    </w:p>
    <w:p>
      <w:pPr>
        <w:jc w:val="both"/>
        <w:ind w:left="4" w:right="160" w:firstLine="645"/>
        <w:spacing w:after="0" w:line="264" w:lineRule="auto"/>
        <w:tabs>
          <w:tab w:leader="none" w:pos="127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Money Laundering Laws</w:t>
      </w:r>
      <w:r>
        <w:rPr>
          <w:rFonts w:ascii="Arial" w:cs="Arial" w:eastAsia="Arial" w:hAnsi="Arial"/>
          <w:sz w:val="18"/>
          <w:szCs w:val="18"/>
          <w:color w:val="auto"/>
        </w:rPr>
        <w:t>. No action, suit or proceeding by or before any court or governmental agency, authority or body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arbitrator involving the Partnership Group Entities that involve allegations of money laundering is pending or, to the knowledge of the Partnership, threatened.</w:t>
      </w:r>
    </w:p>
    <w:p>
      <w:pPr>
        <w:spacing w:after="0" w:line="181" w:lineRule="exact"/>
        <w:rPr>
          <w:rFonts w:ascii="Arial" w:cs="Arial" w:eastAsia="Arial" w:hAnsi="Arial"/>
          <w:sz w:val="18"/>
          <w:szCs w:val="18"/>
          <w:color w:val="auto"/>
        </w:rPr>
      </w:pPr>
    </w:p>
    <w:p>
      <w:pPr>
        <w:ind w:left="4" w:firstLine="645"/>
        <w:spacing w:after="0" w:line="297" w:lineRule="auto"/>
        <w:tabs>
          <w:tab w:leader="none" w:pos="1279"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Directed Share Program</w:t>
      </w:r>
      <w:r>
        <w:rPr>
          <w:rFonts w:ascii="Arial" w:cs="Arial" w:eastAsia="Arial" w:hAnsi="Arial"/>
          <w:sz w:val="16"/>
          <w:szCs w:val="16"/>
          <w:color w:val="auto"/>
        </w:rPr>
        <w:t>. The Registration Statement, the Pricing Disclosure Package, and the Prospectus comply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laws or regulations of any Province or Territory in Canada in which any Preliminary Prospectus, the Prospectus or any Issuer Free Writing Prospectus is distributed in connection with the Directed Share Program. No consent, approval, authorization or order of, or filing, registration or qualification with, any court or governmental agency or body, other than such as have been obtained, is required under the securities laws and regulations of any Province or Territory in Canada in which the Directed Shares are offered or sold outside the United States.</w:t>
      </w:r>
    </w:p>
    <w:p>
      <w:pPr>
        <w:sectPr>
          <w:pgSz w:w="11900" w:h="16838" w:orient="portrait"/>
          <w:cols w:equalWidth="0" w:num="1">
            <w:col w:w="10744"/>
          </w:cols>
          <w:pgMar w:left="896" w:top="125" w:right="259" w:bottom="0" w:gutter="0" w:footer="0" w:header="0"/>
        </w:sectPr>
      </w:pPr>
    </w:p>
    <w:bookmarkStart w:id="11" w:name="page12"/>
    <w:bookmarkEnd w:id="11"/>
    <w:p>
      <w:pPr>
        <w:spacing w:after="0" w:line="114" w:lineRule="exact"/>
        <w:rPr>
          <w:sz w:val="20"/>
          <w:szCs w:val="20"/>
          <w:color w:val="auto"/>
        </w:rPr>
      </w:pPr>
    </w:p>
    <w:p>
      <w:pPr>
        <w:jc w:val="both"/>
        <w:ind w:left="660" w:right="140" w:firstLine="645"/>
        <w:spacing w:after="0" w:line="302" w:lineRule="auto"/>
        <w:tabs>
          <w:tab w:leader="none" w:pos="1927"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Directed Share Sales</w:t>
      </w:r>
      <w:r>
        <w:rPr>
          <w:rFonts w:ascii="Arial" w:cs="Arial" w:eastAsia="Arial" w:hAnsi="Arial"/>
          <w:sz w:val="16"/>
          <w:szCs w:val="16"/>
          <w:color w:val="auto"/>
        </w:rPr>
        <w:t>. The Partnership has not offered, or caused Morgan Stanley &amp; Co. LLC to offer, Directed Shares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in Section 4), to any person pursuant to the Directed Share Program with the specific intent to unlawfully influence (i) a customer or supplier of the Partnership Group Entities to alter the customer’s or supplier’s level or type of business with the Partnership Group Entities or (ii) a trade journalist or publication to write or publish favorable information about the Partnership Group Entities, their business or their products.</w:t>
      </w:r>
    </w:p>
    <w:p>
      <w:pPr>
        <w:spacing w:after="0" w:line="154" w:lineRule="exact"/>
        <w:rPr>
          <w:rFonts w:ascii="Arial" w:cs="Arial" w:eastAsia="Arial" w:hAnsi="Arial"/>
          <w:sz w:val="16"/>
          <w:szCs w:val="16"/>
          <w:color w:val="auto"/>
        </w:rPr>
      </w:pPr>
    </w:p>
    <w:p>
      <w:pPr>
        <w:ind w:left="660" w:right="180" w:firstLine="645"/>
        <w:spacing w:after="0" w:line="264" w:lineRule="auto"/>
        <w:tabs>
          <w:tab w:leader="none" w:pos="193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None of Partnership Group Entities nor, to the knowledge of the Partnership Parties, any director, officer or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Group Entities (in their capacity as director, officer or employee) has received notice that it is subject to any sanctions administered by the Office of Foreign Assets Control of the U.S. Treasury Department.</w:t>
      </w:r>
    </w:p>
    <w:p>
      <w:pPr>
        <w:spacing w:after="0" w:line="181" w:lineRule="exact"/>
        <w:rPr>
          <w:sz w:val="20"/>
          <w:szCs w:val="20"/>
          <w:color w:val="auto"/>
        </w:rPr>
      </w:pPr>
    </w:p>
    <w:p>
      <w:pPr>
        <w:ind w:right="740" w:firstLine="667"/>
        <w:spacing w:after="0" w:line="277" w:lineRule="auto"/>
        <w:rPr>
          <w:sz w:val="20"/>
          <w:szCs w:val="20"/>
          <w:color w:val="auto"/>
        </w:rPr>
      </w:pPr>
      <w:r>
        <w:rPr>
          <w:rFonts w:ascii="Arial" w:cs="Arial" w:eastAsia="Arial" w:hAnsi="Arial"/>
          <w:sz w:val="18"/>
          <w:szCs w:val="18"/>
          <w:color w:val="auto"/>
        </w:rPr>
        <w:t>The applicable statements made in the certificates described in Sections 7(i) and 7(l) shall be deemed representations and warranties by the Partnership, as to matters covered thereby, to the Underwriters.</w:t>
      </w:r>
    </w:p>
    <w:p>
      <w:pPr>
        <w:spacing w:after="0" w:line="170" w:lineRule="exact"/>
        <w:rPr>
          <w:sz w:val="20"/>
          <w:szCs w:val="20"/>
          <w:color w:val="auto"/>
        </w:rPr>
      </w:pPr>
    </w:p>
    <w:p>
      <w:pPr>
        <w:ind w:left="1280" w:hanging="624"/>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1929"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Subject to the terms and conditions and in reliance upon the representations and warranties herein set forth, the Partnership agrees to sell to each Underwriter, and each Underwriter agrees, severally and not jointly, to purchase from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 xml:space="preserve">Partnership, at a purchase price of $21.34 per Share, the number of Initial Shares set forth opposite such Underwriter’s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subject to adjustment as set forth in Section 9 hereof.</w:t>
      </w:r>
    </w:p>
    <w:p>
      <w:pPr>
        <w:spacing w:after="0" w:line="170" w:lineRule="exact"/>
        <w:rPr>
          <w:sz w:val="20"/>
          <w:szCs w:val="20"/>
          <w:color w:val="auto"/>
        </w:rPr>
      </w:pPr>
    </w:p>
    <w:p>
      <w:pPr>
        <w:ind w:left="660" w:firstLine="645"/>
        <w:spacing w:after="0" w:line="290" w:lineRule="auto"/>
        <w:tabs>
          <w:tab w:leader="none" w:pos="1939"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and in reliance upon the representations and warranties herein set forth, the Partnership hereby grants an option to the several Underwriters to purchase, severally and not jointly, up to 19,200,000 Additional Shares at the same purchase price per Share as the Underwriters shall pay for the Initial Shares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Said option may be exercised in whole or in part at any time and from time to time on or before the 30th day after the date of the Prospectus upon written or telegraphic notice by the Representative to the Partnership setting forth the number of Additional Shares as to which the several Underwriters are exercising the option and the settlement date. The number of Additional Shares to be purchased by each Underwriter shall be the same percentage of the total number of Additional Shares to be purchased by the several Underwriters as such Underwriter is purchasing of the Initial Shares, subject to (i) such adjustments as the Representative in their absolute discretion shall make to eliminate any fractional shares and (ii) adjustment as set forth in Section 9 hereof.</w:t>
      </w:r>
    </w:p>
    <w:p>
      <w:pPr>
        <w:spacing w:after="0" w:line="166" w:lineRule="exact"/>
        <w:rPr>
          <w:rFonts w:ascii="Arial" w:cs="Arial" w:eastAsia="Arial" w:hAnsi="Arial"/>
          <w:sz w:val="16"/>
          <w:szCs w:val="16"/>
          <w:color w:val="auto"/>
        </w:rPr>
      </w:pPr>
    </w:p>
    <w:p>
      <w:pPr>
        <w:ind w:left="1280" w:hanging="624"/>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 Delivery of and payment for the Initial Shares and the Additional Shares (if the option provided for in</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Section 2(b) hereof shall have been exercised on or before the third business day prior to the Initial Delivery Date) shall be made at the office of Vinson &amp; Elkins L.L.P., 1001 Fannin, Houston, Texas 77002 at 9:00 a.m., Houston time, on October 21, 2013, or at such time on such later date not more than three business days after the foregoing date as the Representative shall designate, which date and time may be postponed by agreement between the Representative and the Partnership or as provided in Section 9 hereof (such date and time of delivery and payment for the Shares being herein called the “</w:t>
      </w:r>
      <w:r>
        <w:rPr>
          <w:rFonts w:ascii="Arial" w:cs="Arial" w:eastAsia="Arial" w:hAnsi="Arial"/>
          <w:sz w:val="17"/>
          <w:szCs w:val="17"/>
          <w:b w:val="1"/>
          <w:bCs w:val="1"/>
          <w:color w:val="auto"/>
        </w:rPr>
        <w:t>Initial Delivery</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Delivery of the Shares shall be made to the Underwriters for the respective accounts of the several Underwriters against payment by the several</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of the purchase price thereof to or upon the order of the Partnership by wire transfer payable in same-day funds to an account specified by the Partnership. Delivery of the Initial Shares and the Additional Shares shall be made through the facilities of The Depository Trust Company unless the Representative shall otherwise instruct.</w:t>
      </w:r>
    </w:p>
    <w:p>
      <w:pPr>
        <w:spacing w:after="0" w:line="184" w:lineRule="exact"/>
        <w:rPr>
          <w:sz w:val="20"/>
          <w:szCs w:val="20"/>
          <w:color w:val="auto"/>
        </w:rPr>
      </w:pPr>
    </w:p>
    <w:p>
      <w:pPr>
        <w:ind w:firstLine="667"/>
        <w:spacing w:after="0" w:line="271" w:lineRule="auto"/>
        <w:rPr>
          <w:sz w:val="20"/>
          <w:szCs w:val="20"/>
          <w:color w:val="auto"/>
        </w:rPr>
      </w:pPr>
      <w:r>
        <w:rPr>
          <w:rFonts w:ascii="Arial" w:cs="Arial" w:eastAsia="Arial" w:hAnsi="Arial"/>
          <w:sz w:val="17"/>
          <w:szCs w:val="17"/>
          <w:color w:val="auto"/>
        </w:rPr>
        <w:t>If the option provided for in Section 2(b) hereof is exercised after the third business day prior to the Initial Delivery Date, the Partnership will deliver the Additional Shares (at the expense of the Partnership) to the Representative on the date (an “</w:t>
      </w:r>
      <w:r>
        <w:rPr>
          <w:rFonts w:ascii="Arial" w:cs="Arial" w:eastAsia="Arial" w:hAnsi="Arial"/>
          <w:sz w:val="17"/>
          <w:szCs w:val="17"/>
          <w:b w:val="1"/>
          <w:bCs w:val="1"/>
          <w:color w:val="auto"/>
        </w:rPr>
        <w:t>Additional Shares Delivery Date</w:t>
      </w:r>
      <w:r>
        <w:rPr>
          <w:rFonts w:ascii="Arial" w:cs="Arial" w:eastAsia="Arial" w:hAnsi="Arial"/>
          <w:sz w:val="17"/>
          <w:szCs w:val="17"/>
          <w:color w:val="auto"/>
        </w:rPr>
        <w:t>”) specified by the Underwriters (which shall be within three business days after each exercise of said option), for the respective accounts of the several Underwriters, against payment by the several Underwriters of the purchase price thereof to or upon the order of the Partnership by wire transfer payable in same-day funds to an account specified by the Partnership. If settlement for the Additional Shares occurs after the Initial Delivery Date, the Partnership will deliver to the Underwriters on the Additional Shares Delivery Date for the Additional Shares, and the obligation of the Underwriters to purchase the Additional Shares shall be conditioned upon receipt of, supplemental opinions, certificates and letters confirming as of such date the opinions, certificates and letters delivered on the Initial Delivery Date pursuant to Section 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hereof. The Initial Delivery Date and any Additional Shares Delivery Date are each sometimes referred to as a “</w:t>
      </w:r>
      <w:r>
        <w:rPr>
          <w:rFonts w:ascii="Arial" w:cs="Arial" w:eastAsia="Arial" w:hAnsi="Arial"/>
          <w:sz w:val="18"/>
          <w:szCs w:val="18"/>
          <w:b w:val="1"/>
          <w:bCs w:val="1"/>
          <w:color w:val="auto"/>
        </w:rPr>
        <w:t>Delivery Date.</w:t>
      </w:r>
      <w:r>
        <w:rPr>
          <w:rFonts w:ascii="Arial" w:cs="Arial" w:eastAsia="Arial" w:hAnsi="Arial"/>
          <w:sz w:val="18"/>
          <w:szCs w:val="18"/>
          <w:color w:val="auto"/>
        </w:rPr>
        <w:t>”</w:t>
      </w:r>
    </w:p>
    <w:p>
      <w:pPr>
        <w:spacing w:after="0" w:line="229" w:lineRule="exact"/>
        <w:rPr>
          <w:sz w:val="20"/>
          <w:szCs w:val="20"/>
          <w:color w:val="auto"/>
        </w:rPr>
      </w:pPr>
    </w:p>
    <w:p>
      <w:pPr>
        <w:ind w:left="1280" w:hanging="624"/>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Offering by the Underwriters.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It is understood that the several Underwriters propose to offer the Shares for sale to the public as set forth in the Prospectus.</w:t>
      </w:r>
    </w:p>
    <w:p>
      <w:pPr>
        <w:spacing w:after="0" w:line="232" w:lineRule="exact"/>
        <w:rPr>
          <w:rFonts w:ascii="Arial" w:cs="Arial" w:eastAsia="Arial" w:hAnsi="Arial"/>
          <w:sz w:val="17"/>
          <w:szCs w:val="17"/>
          <w:color w:val="auto"/>
        </w:rPr>
      </w:pPr>
    </w:p>
    <w:p>
      <w:pPr>
        <w:ind w:left="660" w:firstLine="645"/>
        <w:spacing w:after="0" w:line="270" w:lineRule="auto"/>
        <w:tabs>
          <w:tab w:leader="none" w:pos="1939" w:val="left"/>
        </w:tabs>
        <w:numPr>
          <w:ilvl w:val="1"/>
          <w:numId w:val="33"/>
        </w:numPr>
        <w:rPr>
          <w:rFonts w:ascii="Arial" w:cs="Arial" w:eastAsia="Arial" w:hAnsi="Arial"/>
          <w:sz w:val="17"/>
          <w:szCs w:val="17"/>
          <w:color w:val="auto"/>
        </w:rPr>
      </w:pPr>
      <w:r>
        <w:rPr>
          <w:rFonts w:ascii="Arial" w:cs="Arial" w:eastAsia="Arial" w:hAnsi="Arial"/>
          <w:sz w:val="17"/>
          <w:szCs w:val="17"/>
          <w:color w:val="auto"/>
        </w:rPr>
        <w:t>It is understood that approximately 6,400,000 of the Initial Shares (the “</w:t>
      </w:r>
      <w:r>
        <w:rPr>
          <w:rFonts w:ascii="Arial" w:cs="Arial" w:eastAsia="Arial" w:hAnsi="Arial"/>
          <w:sz w:val="17"/>
          <w:szCs w:val="17"/>
          <w:b w:val="1"/>
          <w:bCs w:val="1"/>
          <w:color w:val="auto"/>
        </w:rPr>
        <w:t>Directed Shares</w:t>
      </w:r>
      <w:r>
        <w:rPr>
          <w:rFonts w:ascii="Arial" w:cs="Arial" w:eastAsia="Arial" w:hAnsi="Arial"/>
          <w:sz w:val="17"/>
          <w:szCs w:val="17"/>
          <w:color w:val="auto"/>
        </w:rPr>
        <w:t>”) will initially be reserved by the several Underwriters for offer and sale upon the terms and conditions to be set forth in the most recent Preliminary Prospectus and in accordance with the rules and regulations of FINRA to the officers, directors, and employees of the General Partner and PAA and certain other persons associated with the Partnership who have heretofore delivered to Morgan Stanley &amp; Co. LLC offers or indications of interest to purchase Directed Shares in form satisfactory to Morgan Stanley &amp; Co. LLC (such program, the “</w:t>
      </w:r>
      <w:r>
        <w:rPr>
          <w:rFonts w:ascii="Arial" w:cs="Arial" w:eastAsia="Arial" w:hAnsi="Arial"/>
          <w:sz w:val="17"/>
          <w:szCs w:val="17"/>
          <w:b w:val="1"/>
          <w:bCs w:val="1"/>
          <w:color w:val="auto"/>
        </w:rPr>
        <w:t>Directed Share Program</w:t>
      </w:r>
      <w:r>
        <w:rPr>
          <w:rFonts w:ascii="Arial" w:cs="Arial" w:eastAsia="Arial" w:hAnsi="Arial"/>
          <w:sz w:val="17"/>
          <w:szCs w:val="17"/>
          <w:color w:val="auto"/>
        </w:rPr>
        <w:t>”) and that any allocation of such Directed Shares among such persons will be made in accordance with timely directions received by Morgan Stanley &amp; Co. LLC from the Partnership; provided that under no circumstances will Morgan Stanley &amp; Co. LLC or any Underwriter be liable to the Partnership Parties or to any such person for any action taken or omitted in good faith in connection with such Directed Share Program. It is further understood that any Directed Shares not affirmatively reconfirmed for purchase by any participant in the Directed Share Program by 7:00 a.m., New York City time, on the first business day following the date hereof or otherwise not purchased by such persons will be offered by the Underwriters to the public upon the terms and conditions set forth in the Prospectus.</w:t>
      </w:r>
    </w:p>
    <w:p>
      <w:pPr>
        <w:spacing w:after="0" w:line="178" w:lineRule="exact"/>
        <w:rPr>
          <w:rFonts w:ascii="Arial" w:cs="Arial" w:eastAsia="Arial" w:hAnsi="Arial"/>
          <w:sz w:val="17"/>
          <w:szCs w:val="17"/>
          <w:color w:val="auto"/>
        </w:rPr>
      </w:pPr>
    </w:p>
    <w:p>
      <w:pPr>
        <w:ind w:left="660" w:right="520" w:firstLine="645"/>
        <w:spacing w:after="0" w:line="308" w:lineRule="auto"/>
        <w:tabs>
          <w:tab w:leader="none" w:pos="1929"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Partnership agrees to pay all fees and disbursements incurred by the Underwriters in connection with the Directed Share Program and any stamp duties or other taxes incurred by the Underwriters in connection with the Directed Share Program.</w:t>
      </w:r>
    </w:p>
    <w:p>
      <w:pPr>
        <w:sectPr>
          <w:pgSz w:w="11900" w:h="16953" w:orient="portrait"/>
          <w:cols w:equalWidth="0" w:num="1">
            <w:col w:w="11420"/>
          </w:cols>
          <w:pgMar w:left="240" w:top="125" w:right="239" w:bottom="0" w:gutter="0" w:footer="0" w:header="0"/>
        </w:sectPr>
      </w:pPr>
    </w:p>
    <w:bookmarkStart w:id="12" w:name="page13"/>
    <w:bookmarkEnd w:id="12"/>
    <w:p>
      <w:pPr>
        <w:spacing w:after="0" w:line="103" w:lineRule="exact"/>
        <w:rPr>
          <w:sz w:val="20"/>
          <w:szCs w:val="20"/>
          <w:color w:val="auto"/>
        </w:rPr>
      </w:pPr>
    </w:p>
    <w:p>
      <w:pPr>
        <w:ind w:left="624" w:hanging="624"/>
        <w:spacing w:after="0"/>
        <w:tabs>
          <w:tab w:leader="none" w:pos="62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Agreements of the Partnership</w:t>
      </w:r>
      <w:r>
        <w:rPr>
          <w:rFonts w:ascii="Arial" w:cs="Arial" w:eastAsia="Arial" w:hAnsi="Arial"/>
          <w:sz w:val="18"/>
          <w:szCs w:val="18"/>
          <w:color w:val="auto"/>
        </w:rPr>
        <w:t>. The Partnership Parties acknowledge and agree with the Underwriters that:</w:t>
      </w:r>
    </w:p>
    <w:p>
      <w:pPr>
        <w:spacing w:after="0" w:line="225" w:lineRule="exact"/>
        <w:rPr>
          <w:rFonts w:ascii="Arial" w:cs="Arial" w:eastAsia="Arial" w:hAnsi="Arial"/>
          <w:sz w:val="18"/>
          <w:szCs w:val="18"/>
          <w:color w:val="auto"/>
        </w:rPr>
      </w:pPr>
    </w:p>
    <w:p>
      <w:pPr>
        <w:ind w:left="4" w:firstLine="645"/>
        <w:spacing w:after="0" w:line="259" w:lineRule="auto"/>
        <w:tabs>
          <w:tab w:leader="none" w:pos="1272"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Post-Effective Amendments</w:t>
      </w:r>
      <w:r>
        <w:rPr>
          <w:rFonts w:ascii="Arial" w:cs="Arial" w:eastAsia="Arial" w:hAnsi="Arial"/>
          <w:sz w:val="18"/>
          <w:szCs w:val="18"/>
          <w:color w:val="auto"/>
        </w:rPr>
        <w:t>. If, at the Applicable Time, it is necessary for a post-effective amendment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declared effective before the offering of the Shares may commence, the Partnership will endeavor to cause such post-effective amendment to become effective as soon as possible and will advise the Representative promptly and, if requested by the Representative, will confirm such advice in writing when such post-effective amendment has become effective.</w:t>
      </w:r>
    </w:p>
    <w:p>
      <w:pPr>
        <w:spacing w:after="0" w:line="186" w:lineRule="exact"/>
        <w:rPr>
          <w:rFonts w:ascii="Arial" w:cs="Arial" w:eastAsia="Arial" w:hAnsi="Arial"/>
          <w:sz w:val="18"/>
          <w:szCs w:val="18"/>
          <w:color w:val="auto"/>
        </w:rPr>
      </w:pPr>
    </w:p>
    <w:p>
      <w:pPr>
        <w:ind w:left="4" w:right="160" w:firstLine="645"/>
        <w:spacing w:after="0" w:line="259" w:lineRule="auto"/>
        <w:tabs>
          <w:tab w:leader="none" w:pos="1282"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Preparation of Prospectus and Registration Statement</w:t>
      </w:r>
      <w:r>
        <w:rPr>
          <w:rFonts w:ascii="Arial" w:cs="Arial" w:eastAsia="Arial" w:hAnsi="Arial"/>
          <w:sz w:val="18"/>
          <w:szCs w:val="18"/>
          <w:color w:val="auto"/>
        </w:rPr>
        <w:t>. The Partnership will advise the Representative promptly and, if requested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Representative,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of qualification of the Shares for offering or sale in any jurisdiction or the initiation of any proceeding for such purpose; and (iii) within the period of time referred to in paragraph (d) below, of any change in the condition (financial or other), business, prospects, properties, net worth or results of operations of the Partnership Group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169" w:lineRule="exact"/>
        <w:rPr>
          <w:sz w:val="20"/>
          <w:szCs w:val="20"/>
          <w:color w:val="auto"/>
        </w:rPr>
      </w:pPr>
    </w:p>
    <w:p>
      <w:pPr>
        <w:jc w:val="both"/>
        <w:ind w:left="4" w:right="220" w:firstLine="645"/>
        <w:spacing w:after="0" w:line="288" w:lineRule="auto"/>
        <w:tabs>
          <w:tab w:leader="none" w:pos="1272"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Copies of Registration Statement</w:t>
      </w:r>
      <w:r>
        <w:rPr>
          <w:rFonts w:ascii="Arial" w:cs="Arial" w:eastAsia="Arial" w:hAnsi="Arial"/>
          <w:sz w:val="16"/>
          <w:szCs w:val="16"/>
          <w:color w:val="auto"/>
        </w:rPr>
        <w:t>. The Partnership will furnish to the Underwriters, without charge, (i) one copy of the manually</w:t>
      </w:r>
      <w:r>
        <w:rPr>
          <w:rFonts w:ascii="Arial" w:cs="Arial" w:eastAsia="Arial" w:hAnsi="Arial"/>
          <w:sz w:val="16"/>
          <w:szCs w:val="16"/>
          <w:i w:val="1"/>
          <w:iCs w:val="1"/>
          <w:color w:val="auto"/>
        </w:rPr>
        <w:t xml:space="preserve"> </w:t>
      </w:r>
      <w:r>
        <w:rPr>
          <w:rFonts w:ascii="Arial" w:cs="Arial" w:eastAsia="Arial" w:hAnsi="Arial"/>
          <w:sz w:val="16"/>
          <w:szCs w:val="16"/>
          <w:color w:val="auto"/>
        </w:rPr>
        <w:t>signed copy of the registration statement corresponding to the Commission’s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version filed with the Commission and of each amendment thereto, including financial statements and all exhibits to the registration statement and</w:t>
      </w:r>
    </w:p>
    <w:p>
      <w:pPr>
        <w:ind w:left="4" w:right="340" w:hanging="4"/>
        <w:spacing w:after="0" w:line="261" w:lineRule="auto"/>
        <w:tabs>
          <w:tab w:leader="none" w:pos="2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number of conformed copies of the registration statement as originally filed and of each amendment thereto, but without exhibits, as the Underwriters or the Underwriters’ counsel may reasonably request.</w:t>
      </w:r>
    </w:p>
    <w:p>
      <w:pPr>
        <w:spacing w:after="0" w:line="183" w:lineRule="exact"/>
        <w:rPr>
          <w:rFonts w:ascii="Arial" w:cs="Arial" w:eastAsia="Arial" w:hAnsi="Arial"/>
          <w:sz w:val="18"/>
          <w:szCs w:val="18"/>
          <w:color w:val="auto"/>
        </w:rPr>
      </w:pPr>
    </w:p>
    <w:p>
      <w:pPr>
        <w:ind w:left="4" w:right="100" w:firstLine="645"/>
        <w:spacing w:after="0" w:line="290" w:lineRule="auto"/>
        <w:tabs>
          <w:tab w:leader="none" w:pos="1282"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Filing of Amendment or Supplement</w:t>
      </w:r>
      <w:r>
        <w:rPr>
          <w:rFonts w:ascii="Arial" w:cs="Arial" w:eastAsia="Arial" w:hAnsi="Arial"/>
          <w:sz w:val="16"/>
          <w:szCs w:val="16"/>
          <w:color w:val="auto"/>
        </w:rPr>
        <w:t>. For such period as in the opinion of counsel for the Underwriters a prospectus is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Securities Act to be delivered in connection with sales by any Underwriter or dealer, the Partnership will not file any amendment to the Registration Statement, supplement to the Prospectus (or any other prospectus relating to the Shares filed pursuant to Rule 424(b) of the Rules and Regulations that differs from the Prospectus as filed pursuant to such Rule 424(b)), or any Preliminary Prospectus or Issuer Free Writing Prospectus of which the Representative shall not previously have been advised or to which the Representative shall have reasonably objected in writing after being so advised unless the Partnership shall have determined based upon the advice of counsel that such amendment, supplement or other filing is required by law; and the Partnership will promptly notify the Representative after it shall have received notice thereof of the time when any amendment to the Registration Statement becomes effective or when any supplement to the Prospectus has been filed.</w:t>
      </w:r>
    </w:p>
    <w:p>
      <w:pPr>
        <w:spacing w:after="0" w:line="166" w:lineRule="exact"/>
        <w:rPr>
          <w:rFonts w:ascii="Arial" w:cs="Arial" w:eastAsia="Arial" w:hAnsi="Arial"/>
          <w:sz w:val="16"/>
          <w:szCs w:val="16"/>
          <w:color w:val="auto"/>
        </w:rPr>
      </w:pPr>
    </w:p>
    <w:p>
      <w:pPr>
        <w:jc w:val="both"/>
        <w:ind w:left="4" w:right="40" w:firstLine="645"/>
        <w:spacing w:after="0" w:line="264" w:lineRule="auto"/>
        <w:tabs>
          <w:tab w:leader="none" w:pos="1272"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Copies of Documents to the Underwriters</w:t>
      </w:r>
      <w:r>
        <w:rPr>
          <w:rFonts w:ascii="Arial" w:cs="Arial" w:eastAsia="Arial" w:hAnsi="Arial"/>
          <w:sz w:val="18"/>
          <w:szCs w:val="18"/>
          <w:color w:val="auto"/>
        </w:rPr>
        <w:t>. As soon after the Applicable Time as possible and thereafter from time to time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in the opinion of counsel for the Underwriters a prospectus is required by the Securities Act to be delivered in connection with sales by any Underwriter or dealer, the Partnership will expeditiously</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Partnership will deliver as many copies of an amended or supplemented Prospectus complying with Section 10(a)(3) of the Securities Act as the Underwriters may reasonably request, provided that a prospectus is required by the Securities Act to be delivered in connection with sales of Shares by any Underwriter or dealer. The Partnership consents to the use of the Prospectus (and of any amendment or supplement thereto) in accordance with the provisions of the Securities Act and with the securities or Blue Sky laws of the jurisdictions in which the Shares are offered by the Underwriters and by all dealers to whom Shares may be sold, both in connection with the offering and sale of the Shares and for such period of time thereafter as the Prospectus is required by the Securities Act to be delivered in connection with sales by any Underwriter or dealer. If during such period of time any event shall occur that in the judgment of the Partnership or in the opinion of counsel for the Underwriters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to comply with the Securities Act or any other law, the Partnership will forthwith prepare and, subject to the provisions of paragraph (d)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Partnership and the Representative agree that the Prospectus should be amended or supplemented, the Partnership, if requested by the Representative,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spacing w:after="0" w:line="170" w:lineRule="exact"/>
        <w:rPr>
          <w:sz w:val="20"/>
          <w:szCs w:val="20"/>
          <w:color w:val="auto"/>
        </w:rPr>
      </w:pPr>
    </w:p>
    <w:p>
      <w:pPr>
        <w:jc w:val="both"/>
        <w:ind w:left="4" w:firstLine="645"/>
        <w:spacing w:after="0" w:line="297" w:lineRule="auto"/>
        <w:tabs>
          <w:tab w:leader="none" w:pos="1291"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Blue Sky Laws</w:t>
      </w:r>
      <w:r>
        <w:rPr>
          <w:rFonts w:ascii="Arial" w:cs="Arial" w:eastAsia="Arial" w:hAnsi="Arial"/>
          <w:sz w:val="16"/>
          <w:szCs w:val="16"/>
          <w:color w:val="auto"/>
        </w:rPr>
        <w:t>. The Partnership will cooperate with the Representative and with counsel for the Underwriters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or qualification of the Shares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provided that in no event shall any Partnership Group Entity be obligated to qualify to do business in any jurisdiction where it is not now so qualified or to take any action that would subject it to service of process in suits, other than</w:t>
      </w:r>
    </w:p>
    <w:p>
      <w:pPr>
        <w:sectPr>
          <w:pgSz w:w="11900" w:h="16941" w:orient="portrait"/>
          <w:cols w:equalWidth="0" w:num="1">
            <w:col w:w="10764"/>
          </w:cols>
          <w:pgMar w:left="896" w:top="341" w:right="239" w:bottom="0" w:gutter="0" w:footer="0" w:header="0"/>
        </w:sectPr>
      </w:pPr>
    </w:p>
    <w:bookmarkStart w:id="13" w:name="page14"/>
    <w:bookmarkEnd w:id="13"/>
    <w:p>
      <w:pPr>
        <w:jc w:val="both"/>
        <w:ind w:left="4" w:right="300"/>
        <w:spacing w:after="0" w:line="264" w:lineRule="auto"/>
        <w:rPr>
          <w:sz w:val="20"/>
          <w:szCs w:val="20"/>
          <w:color w:val="auto"/>
        </w:rPr>
      </w:pPr>
      <w:r>
        <w:rPr>
          <w:rFonts w:ascii="Arial" w:cs="Arial" w:eastAsia="Arial" w:hAnsi="Arial"/>
          <w:sz w:val="18"/>
          <w:szCs w:val="18"/>
          <w:color w:val="auto"/>
        </w:rPr>
        <w:t>those arising out of the offering or sale of the Shares, in any jurisdiction where it is not now so subject. The Partnership will promptly notify the Representative of the receipt by the Partnership of any notification with respect to the suspension of the qualification of the Shares for sale in any jurisdiction or the initiation or threatening of any proceeding for such purpose.</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firstLine="645"/>
        <w:spacing w:after="0" w:line="302" w:lineRule="auto"/>
        <w:tabs>
          <w:tab w:leader="none" w:pos="1282"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Reports to Security Holders</w:t>
      </w:r>
      <w:r>
        <w:rPr>
          <w:rFonts w:ascii="Arial" w:cs="Arial" w:eastAsia="Arial" w:hAnsi="Arial"/>
          <w:sz w:val="16"/>
          <w:szCs w:val="16"/>
          <w:color w:val="auto"/>
        </w:rPr>
        <w:t>. In accordance with Section 11(a) of the Securities Act and Rule 158 of the Rules and Regulations,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Rules and Regulations) of the Registration Statement as soon as practicable after the end of such period.</w:t>
      </w:r>
    </w:p>
    <w:p>
      <w:pPr>
        <w:spacing w:after="0" w:line="154" w:lineRule="exact"/>
        <w:rPr>
          <w:rFonts w:ascii="Arial" w:cs="Arial" w:eastAsia="Arial" w:hAnsi="Arial"/>
          <w:sz w:val="16"/>
          <w:szCs w:val="16"/>
          <w:color w:val="auto"/>
        </w:rPr>
      </w:pPr>
    </w:p>
    <w:p>
      <w:pPr>
        <w:ind w:left="4" w:right="160" w:firstLine="645"/>
        <w:spacing w:after="0" w:line="297" w:lineRule="auto"/>
        <w:tabs>
          <w:tab w:leader="none" w:pos="1282"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Termination Expenses</w:t>
      </w:r>
      <w:r>
        <w:rPr>
          <w:rFonts w:ascii="Arial" w:cs="Arial" w:eastAsia="Arial" w:hAnsi="Arial"/>
          <w:sz w:val="16"/>
          <w:szCs w:val="16"/>
          <w:color w:val="auto"/>
        </w:rPr>
        <w:t>. If this Agreement shall terminate or shall be terminated after execution pursuant to any provisions hereof</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than pursuant to Section 9 hereof or Section 10 hereof (except pursuant to the first clause of Section 10(i))) or if this Agreement shall be terminated by the Underwriters because of any failure or refusal on the part of the Partnership Parties to comply with the terms or fulfill any of the conditions of this Agreement, the Partnership Parties agree to reimburse the Underwriters for all reasonable out-of-pocket expenses (including reasonable fees and expenses of counsel for the Underwriters) incurred by the Underwriters in connection herewith.</w:t>
      </w:r>
    </w:p>
    <w:p>
      <w:pPr>
        <w:spacing w:after="0" w:line="158" w:lineRule="exact"/>
        <w:rPr>
          <w:rFonts w:ascii="Arial" w:cs="Arial" w:eastAsia="Arial" w:hAnsi="Arial"/>
          <w:sz w:val="16"/>
          <w:szCs w:val="16"/>
          <w:color w:val="auto"/>
        </w:rPr>
      </w:pPr>
    </w:p>
    <w:p>
      <w:pPr>
        <w:ind w:left="4" w:firstLine="645"/>
        <w:spacing w:after="0" w:line="277" w:lineRule="auto"/>
        <w:tabs>
          <w:tab w:leader="none" w:pos="1281"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Application of Proceeds</w:t>
      </w:r>
      <w:r>
        <w:rPr>
          <w:rFonts w:ascii="Arial" w:cs="Arial" w:eastAsia="Arial" w:hAnsi="Arial"/>
          <w:sz w:val="18"/>
          <w:szCs w:val="18"/>
          <w:color w:val="auto"/>
        </w:rPr>
        <w:t>. The Partnership will apply the net proceeds from the sale of the Shares in accordance with the description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under the caption “Use of Proceeds” in the Pricing Disclosure Package and the Prospectus.</w:t>
      </w:r>
    </w:p>
    <w:p>
      <w:pPr>
        <w:spacing w:after="0" w:line="170" w:lineRule="exact"/>
        <w:rPr>
          <w:rFonts w:ascii="Arial" w:cs="Arial" w:eastAsia="Arial" w:hAnsi="Arial"/>
          <w:sz w:val="18"/>
          <w:szCs w:val="18"/>
          <w:color w:val="auto"/>
        </w:rPr>
      </w:pPr>
    </w:p>
    <w:p>
      <w:pPr>
        <w:ind w:left="1284" w:hanging="635"/>
        <w:spacing w:after="0"/>
        <w:tabs>
          <w:tab w:leader="none" w:pos="1284"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Filing of Prospectus</w:t>
      </w:r>
      <w:r>
        <w:rPr>
          <w:rFonts w:ascii="Arial" w:cs="Arial" w:eastAsia="Arial" w:hAnsi="Arial"/>
          <w:sz w:val="17"/>
          <w:szCs w:val="17"/>
          <w:color w:val="auto"/>
        </w:rPr>
        <w:t>. The Partnership will timely file the Prospectus, and any amendment or supplement thereto, pursuant to</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Rule 424(b) of the Rules and Regulations and will advise the Underwriters of the time and manner of such filing.</w:t>
      </w:r>
    </w:p>
    <w:p>
      <w:pPr>
        <w:spacing w:after="0" w:line="211" w:lineRule="exact"/>
        <w:rPr>
          <w:sz w:val="20"/>
          <w:szCs w:val="20"/>
          <w:color w:val="auto"/>
        </w:rPr>
      </w:pPr>
    </w:p>
    <w:p>
      <w:pPr>
        <w:ind w:left="4" w:right="100" w:firstLine="645"/>
        <w:spacing w:after="0" w:line="283" w:lineRule="auto"/>
        <w:tabs>
          <w:tab w:leader="none" w:pos="1282"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Lock-Up Period</w:t>
      </w:r>
      <w:r>
        <w:rPr>
          <w:rFonts w:ascii="Arial" w:cs="Arial" w:eastAsia="Arial" w:hAnsi="Arial"/>
          <w:sz w:val="16"/>
          <w:szCs w:val="16"/>
          <w:color w:val="auto"/>
        </w:rPr>
        <w:t>. Except as provided in this Agreement, the Partnership will not (i) offer, sell, contract to sell, pledge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dispose of (or enter into any transaction that is designed to, or might reasonably be expected to, result in the disposition (whether by actual disposition or effective economic disposition due to cash settlement or otherwise) by the Partnership or any of its controlled affiliates or any person in privity with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Shares or any securities that are convertible into, or exercisable or exchangeable for, or that represent the right to receive, Shares or any securities that are senior to or pari passu with Shares, or publicly announce an intention to effect any such transaction or (ii) grant any options or warrants to purchase Shares for a period of 180 days after the date of the Prospectus (the “</w:t>
      </w:r>
      <w:r>
        <w:rPr>
          <w:rFonts w:ascii="Arial" w:cs="Arial" w:eastAsia="Arial" w:hAnsi="Arial"/>
          <w:sz w:val="16"/>
          <w:szCs w:val="16"/>
          <w:b w:val="1"/>
          <w:bCs w:val="1"/>
          <w:color w:val="auto"/>
        </w:rPr>
        <w:t>Lock-Up Period</w:t>
      </w:r>
      <w:r>
        <w:rPr>
          <w:rFonts w:ascii="Arial" w:cs="Arial" w:eastAsia="Arial" w:hAnsi="Arial"/>
          <w:sz w:val="16"/>
          <w:szCs w:val="16"/>
          <w:color w:val="auto"/>
        </w:rPr>
        <w:t>”) without the prior written consent of Barclays Capital Inc., except that (A) the Partnership may issue the Shares,</w:t>
      </w:r>
    </w:p>
    <w:p>
      <w:pPr>
        <w:spacing w:after="0" w:line="6" w:lineRule="exact"/>
        <w:rPr>
          <w:rFonts w:ascii="Arial" w:cs="Arial" w:eastAsia="Arial" w:hAnsi="Arial"/>
          <w:sz w:val="16"/>
          <w:szCs w:val="16"/>
          <w:color w:val="auto"/>
        </w:rPr>
      </w:pPr>
    </w:p>
    <w:p>
      <w:pPr>
        <w:ind w:left="4" w:right="100" w:hanging="4"/>
        <w:spacing w:after="0" w:line="254" w:lineRule="auto"/>
        <w:tabs>
          <w:tab w:leader="none" w:pos="2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Partnership may issue Shares or any securities convertible or exchangeable into Shares as payment of any part of the purchase price for businesses that are acquired by the Partnership and its affiliates or any third parties, provided that any recipient of such Shares must agree in writing to be bound by the terms of this Section 5(k) for the remaining term of the Lock-Up Period, (C) the Partnership may issue and sell Shares or securities convertible into or exchangeable for Shares pursuant to any existing long-term</w:t>
      </w:r>
    </w:p>
    <w:p>
      <w:pPr>
        <w:spacing w:after="0" w:line="19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incentive plan, employee share option plan, share ownership plan or distribution reinvestment plan of the Partnership in effect at the Applicable Time and (D) the Partnership may issue or deliver Shares issuable upon the conversion, vesting or exercise of securities (including long-term incentive plan awards, options and warrants) outstanding at the Applicable Time; notwithstanding the foregoing, if (x) during the last 17 days of the Lock-Up Period, the Partnership issues an earnings release or material news or a material event relating to the Partnership occurs, or (y) prior to the expiration of the Lock-Up Period, the Partnership announces that it will release earnings results during the 16-day period beginning on the last day of the Lock-Up Period, then, in each case, to the extent that the Partnership is not then an “emerging growth company,” as defined in Section 2(a) of the Securities Act, the restrictions imposed in this paragraph shall continue to apply until the expiration of the 18-day period beginning on the issuance of the earnings release or the announcement of the material news or the occurrence of the material event, unless Barclays Capital Inc., on behalf of the Underwriters, agrees to not require such extension in writing.</w:t>
      </w:r>
    </w:p>
    <w:p>
      <w:pPr>
        <w:spacing w:after="0" w:line="178" w:lineRule="exact"/>
        <w:rPr>
          <w:sz w:val="20"/>
          <w:szCs w:val="20"/>
          <w:color w:val="auto"/>
        </w:rPr>
      </w:pPr>
    </w:p>
    <w:p>
      <w:pPr>
        <w:ind w:left="4" w:right="100" w:firstLine="645"/>
        <w:spacing w:after="0" w:line="272" w:lineRule="auto"/>
        <w:tabs>
          <w:tab w:leader="none" w:pos="1281"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Lock-Up Agreements</w:t>
      </w:r>
      <w:r>
        <w:rPr>
          <w:rFonts w:ascii="Arial" w:cs="Arial" w:eastAsia="Arial" w:hAnsi="Arial"/>
          <w:sz w:val="17"/>
          <w:szCs w:val="17"/>
          <w:color w:val="auto"/>
        </w:rPr>
        <w:t>. The Partnership Parties agree to cause each person and entity set forth 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B-1</w:t>
      </w:r>
      <w:r>
        <w:rPr>
          <w:rFonts w:ascii="Arial" w:cs="Arial" w:eastAsia="Arial" w:hAnsi="Arial"/>
          <w:sz w:val="17"/>
          <w:szCs w:val="17"/>
          <w:i w:val="1"/>
          <w:iCs w:val="1"/>
          <w:color w:val="auto"/>
        </w:rPr>
        <w:t xml:space="preserve"> </w:t>
      </w:r>
      <w:r>
        <w:rPr>
          <w:rFonts w:ascii="Arial" w:cs="Arial" w:eastAsia="Arial" w:hAnsi="Arial"/>
          <w:sz w:val="17"/>
          <w:szCs w:val="17"/>
          <w:color w:val="auto"/>
        </w:rPr>
        <w:t>hereto (the “</w:t>
      </w:r>
      <w:r>
        <w:rPr>
          <w:rFonts w:ascii="Arial" w:cs="Arial" w:eastAsia="Arial" w:hAnsi="Arial"/>
          <w:sz w:val="17"/>
          <w:szCs w:val="17"/>
          <w:b w:val="1"/>
          <w:bCs w:val="1"/>
          <w:color w:val="auto"/>
        </w:rPr>
        <w:t>Lock-Up</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Parties</w:t>
      </w:r>
      <w:r>
        <w:rPr>
          <w:rFonts w:ascii="Arial" w:cs="Arial" w:eastAsia="Arial" w:hAnsi="Arial"/>
          <w:sz w:val="17"/>
          <w:szCs w:val="17"/>
          <w:color w:val="auto"/>
        </w:rPr>
        <w:t>”) to furnish to the Representative, prior to the Initial Delivery Date, a letter, substantially in the form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hereto (the “</w:t>
      </w:r>
      <w:r>
        <w:rPr>
          <w:rFonts w:ascii="Arial" w:cs="Arial" w:eastAsia="Arial" w:hAnsi="Arial"/>
          <w:sz w:val="17"/>
          <w:szCs w:val="17"/>
          <w:b w:val="1"/>
          <w:bCs w:val="1"/>
          <w:color w:val="auto"/>
        </w:rPr>
        <w:t>Lock-Up Agreements</w:t>
      </w:r>
      <w:r>
        <w:rPr>
          <w:rFonts w:ascii="Arial" w:cs="Arial" w:eastAsia="Arial" w:hAnsi="Arial"/>
          <w:sz w:val="17"/>
          <w:szCs w:val="17"/>
          <w:color w:val="auto"/>
        </w:rPr>
        <w:t>”). If Barclays Capital Inc., in its sole discretion, agrees to release or waive the restrictions set forth in a Lock-Up Agreement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Lock-Up Party and provides the Partnership with notice of the impending release or waiver at least three business days before the effective date of the release or waiver, the Partnership agrees to announce the impending release or waiver by issuing a press release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and containing such other information as Barclays Capital Inc. may require with respect to the circumstances of the release or waiver and/or the identity of the Lock-Up Party with respect to which the release or waiver applies, through a major news service at least two business days before the effective date of the release or waiver.</w:t>
      </w:r>
    </w:p>
    <w:p>
      <w:pPr>
        <w:spacing w:after="0" w:line="176" w:lineRule="exact"/>
        <w:rPr>
          <w:rFonts w:ascii="Arial" w:cs="Arial" w:eastAsia="Arial" w:hAnsi="Arial"/>
          <w:sz w:val="17"/>
          <w:szCs w:val="17"/>
          <w:color w:val="auto"/>
        </w:rPr>
      </w:pPr>
    </w:p>
    <w:p>
      <w:pPr>
        <w:ind w:left="4" w:right="100" w:firstLine="645"/>
        <w:spacing w:after="0" w:line="255" w:lineRule="auto"/>
        <w:tabs>
          <w:tab w:leader="none" w:pos="129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Directed Share Program Lock-Up. </w:t>
      </w:r>
      <w:r>
        <w:rPr>
          <w:rFonts w:ascii="Arial" w:cs="Arial" w:eastAsia="Arial" w:hAnsi="Arial"/>
          <w:sz w:val="18"/>
          <w:szCs w:val="18"/>
          <w:color w:val="auto"/>
        </w:rPr>
        <w:t>The Partnership Parties agree, in connection with the Directed Share Program, to ensure the</w:t>
      </w:r>
      <w:r>
        <w:rPr>
          <w:rFonts w:ascii="Arial" w:cs="Arial" w:eastAsia="Arial" w:hAnsi="Arial"/>
          <w:sz w:val="18"/>
          <w:szCs w:val="18"/>
          <w:i w:val="1"/>
          <w:iCs w:val="1"/>
          <w:color w:val="auto"/>
        </w:rPr>
        <w:t xml:space="preserve"> </w:t>
      </w:r>
      <w:r>
        <w:rPr>
          <w:rFonts w:ascii="Arial" w:cs="Arial" w:eastAsia="Arial" w:hAnsi="Arial"/>
          <w:sz w:val="18"/>
          <w:szCs w:val="18"/>
          <w:color w:val="auto"/>
        </w:rPr>
        <w:t>Directed Shares will be restricted from sale, transfer, assignment, pledge or hypothecation to the same extent as sales and dispositions of Shares by the Partnership are restricted pursuant to Section 5(k)(i) for 25 days, and Morgan Stanley &amp; Co. LLC will notify the Partnership as to which participants in the Directed Share Program (“</w:t>
      </w:r>
      <w:r>
        <w:rPr>
          <w:rFonts w:ascii="Arial" w:cs="Arial" w:eastAsia="Arial" w:hAnsi="Arial"/>
          <w:sz w:val="18"/>
          <w:szCs w:val="18"/>
          <w:b w:val="1"/>
          <w:bCs w:val="1"/>
          <w:color w:val="auto"/>
        </w:rPr>
        <w:t>Directed Share Participants</w:t>
      </w:r>
      <w:r>
        <w:rPr>
          <w:rFonts w:ascii="Arial" w:cs="Arial" w:eastAsia="Arial" w:hAnsi="Arial"/>
          <w:sz w:val="18"/>
          <w:szCs w:val="18"/>
          <w:color w:val="auto"/>
        </w:rPr>
        <w:t>”) will need to be so restricted. At the request of Morgan Stanley &amp; Co. LLC, the Partnership will direct the transfer agent to place stop transfer restrictions upon such securities for such period of time as is consistent with this Section 5(m).</w:t>
      </w:r>
    </w:p>
    <w:p>
      <w:pPr>
        <w:spacing w:after="0" w:line="193" w:lineRule="exact"/>
        <w:rPr>
          <w:rFonts w:ascii="Arial" w:cs="Arial" w:eastAsia="Arial" w:hAnsi="Arial"/>
          <w:sz w:val="18"/>
          <w:szCs w:val="18"/>
          <w:color w:val="auto"/>
        </w:rPr>
      </w:pPr>
    </w:p>
    <w:p>
      <w:pPr>
        <w:ind w:left="4" w:right="80" w:firstLine="645"/>
        <w:spacing w:after="0" w:line="264" w:lineRule="auto"/>
        <w:tabs>
          <w:tab w:leader="none" w:pos="128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the Partnership has not taken, nor will it take,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any action designed to or that might reasonably be expected to cause or result in stabilization or manipulation of the price of the Shares to facilitate the sale or resale of the Shares.</w:t>
      </w:r>
    </w:p>
    <w:p>
      <w:pPr>
        <w:spacing w:after="0" w:line="181" w:lineRule="exact"/>
        <w:rPr>
          <w:rFonts w:ascii="Arial" w:cs="Arial" w:eastAsia="Arial" w:hAnsi="Arial"/>
          <w:sz w:val="18"/>
          <w:szCs w:val="18"/>
          <w:color w:val="auto"/>
        </w:rPr>
      </w:pPr>
    </w:p>
    <w:p>
      <w:pPr>
        <w:ind w:left="4" w:right="440" w:firstLine="645"/>
        <w:spacing w:after="0" w:line="277" w:lineRule="auto"/>
        <w:tabs>
          <w:tab w:leader="none" w:pos="128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The Partnership Parties will take such steps as shall be necessary to ensure that none of the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Group Entities shall become an</w:t>
      </w:r>
    </w:p>
    <w:p>
      <w:pPr>
        <w:sectPr>
          <w:pgSz w:w="11900" w:h="16838" w:orient="portrait"/>
          <w:cols w:equalWidth="0" w:num="1">
            <w:col w:w="10764"/>
          </w:cols>
          <w:pgMar w:left="896" w:top="125" w:right="239" w:bottom="0" w:gutter="0" w:footer="0" w:header="0"/>
        </w:sectPr>
      </w:pPr>
    </w:p>
    <w:bookmarkStart w:id="14" w:name="page15"/>
    <w:bookmarkEnd w:id="14"/>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“investment company” within the meaning of such term under the Investment Company Act of 1940, as amended, and the rules and regulations of the Commission thereunder.</w:t>
      </w:r>
    </w:p>
    <w:p>
      <w:pPr>
        <w:spacing w:after="0" w:line="170" w:lineRule="exact"/>
        <w:rPr>
          <w:sz w:val="20"/>
          <w:szCs w:val="20"/>
          <w:color w:val="auto"/>
        </w:rPr>
      </w:pPr>
    </w:p>
    <w:p>
      <w:pPr>
        <w:jc w:val="both"/>
        <w:ind w:left="4" w:firstLine="645"/>
        <w:spacing w:after="0" w:line="342" w:lineRule="auto"/>
        <w:tabs>
          <w:tab w:leader="none" w:pos="1282"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Exchange Act Reports</w:t>
      </w:r>
      <w:r>
        <w:rPr>
          <w:rFonts w:ascii="Arial" w:cs="Arial" w:eastAsia="Arial" w:hAnsi="Arial"/>
          <w:sz w:val="16"/>
          <w:szCs w:val="16"/>
          <w:color w:val="auto"/>
        </w:rPr>
        <w:t>. The Partnership, during the period when the Prospectus is required to be delivered under the Securities Act,</w:t>
      </w:r>
      <w:r>
        <w:rPr>
          <w:rFonts w:ascii="Arial" w:cs="Arial" w:eastAsia="Arial" w:hAnsi="Arial"/>
          <w:sz w:val="16"/>
          <w:szCs w:val="16"/>
          <w:i w:val="1"/>
          <w:iCs w:val="1"/>
          <w:color w:val="auto"/>
        </w:rPr>
        <w:t xml:space="preserve"> </w:t>
      </w:r>
      <w:r>
        <w:rPr>
          <w:rFonts w:ascii="Arial" w:cs="Arial" w:eastAsia="Arial" w:hAnsi="Arial"/>
          <w:sz w:val="16"/>
          <w:szCs w:val="16"/>
          <w:color w:val="auto"/>
        </w:rPr>
        <w:t>will file all documents required to be filed with the Commission pursuant to the Exchange Act within the time periods required by the Exchange Act.</w:t>
      </w:r>
    </w:p>
    <w:p>
      <w:pPr>
        <w:spacing w:after="0" w:line="123" w:lineRule="exact"/>
        <w:rPr>
          <w:rFonts w:ascii="Arial" w:cs="Arial" w:eastAsia="Arial" w:hAnsi="Arial"/>
          <w:sz w:val="16"/>
          <w:szCs w:val="16"/>
          <w:color w:val="auto"/>
        </w:rPr>
      </w:pPr>
    </w:p>
    <w:p>
      <w:pPr>
        <w:ind w:left="4" w:right="20" w:firstLine="645"/>
        <w:spacing w:after="0" w:line="269" w:lineRule="auto"/>
        <w:tabs>
          <w:tab w:leader="none" w:pos="1282"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Free Writing Prospectuses</w:t>
      </w:r>
      <w:r>
        <w:rPr>
          <w:rFonts w:ascii="Arial" w:cs="Arial" w:eastAsia="Arial" w:hAnsi="Arial"/>
          <w:sz w:val="17"/>
          <w:szCs w:val="17"/>
          <w:color w:val="auto"/>
        </w:rPr>
        <w:t>. The Partnership has complied and will comply with the requirements of Rule 433 under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Act applicable to any Issuer Free Writing Prospectus, including appropriate legending and timely filing with the Commission or retention where required. The Partnership represents that it has satisfied and agrees that it will satisfy the conditions under Rule 433 under the Securities Act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 and, if requested by the Representative, will prepare and furnish without charge to each Underwriter an Issuer Free Writing Prospectus or other document that will correct such conflict, statement or omission; provided, however, that this representation and warranty shall not apply to any statements or omissions in an Issuer Free Writing Prospectus made in reliance upon and in conformity with information furnished in writing to the Partnership by an Underwriter through the Representative expressly for use therein, which information is specified in Section 12.</w:t>
      </w:r>
    </w:p>
    <w:p>
      <w:pPr>
        <w:spacing w:after="0" w:line="179" w:lineRule="exact"/>
        <w:rPr>
          <w:rFonts w:ascii="Arial" w:cs="Arial" w:eastAsia="Arial" w:hAnsi="Arial"/>
          <w:sz w:val="17"/>
          <w:szCs w:val="17"/>
          <w:color w:val="auto"/>
        </w:rPr>
      </w:pPr>
    </w:p>
    <w:p>
      <w:pPr>
        <w:ind w:left="4" w:right="760" w:firstLine="645"/>
        <w:spacing w:after="0" w:line="277" w:lineRule="auto"/>
        <w:tabs>
          <w:tab w:leader="none" w:pos="1291"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Transfer Agent</w:t>
      </w:r>
      <w:r>
        <w:rPr>
          <w:rFonts w:ascii="Arial" w:cs="Arial" w:eastAsia="Arial" w:hAnsi="Arial"/>
          <w:sz w:val="18"/>
          <w:szCs w:val="18"/>
          <w:color w:val="auto"/>
        </w:rPr>
        <w:t>. The Partnership will maintain a transfer agent and, if necessary under the jurisdiction of formation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a registrar for the Shares.</w:t>
      </w:r>
    </w:p>
    <w:p>
      <w:pPr>
        <w:spacing w:after="0" w:line="170" w:lineRule="exact"/>
        <w:rPr>
          <w:rFonts w:ascii="Arial" w:cs="Arial" w:eastAsia="Arial" w:hAnsi="Arial"/>
          <w:sz w:val="18"/>
          <w:szCs w:val="18"/>
          <w:color w:val="auto"/>
        </w:rPr>
      </w:pPr>
    </w:p>
    <w:p>
      <w:pPr>
        <w:ind w:left="624" w:hanging="624"/>
        <w:spacing w:after="0"/>
        <w:tabs>
          <w:tab w:leader="none" w:pos="62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20" w:firstLine="645"/>
        <w:spacing w:after="0" w:line="284" w:lineRule="auto"/>
        <w:tabs>
          <w:tab w:leader="none" w:pos="1272"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Partnership Parties, jointly and severally, agree to indemnify and hold harmless each Underwriter, the directors, officers, employees and agents of each Underwriter, each affiliate of any Underwriter who has participated in the distribution of the Shares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 the Registration Statement, any Preliminary Prospectus, the Prospectus, (B) any Issuer Free Writing Prospectus or in any</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68" w:lineRule="auto"/>
        <w:rPr>
          <w:sz w:val="20"/>
          <w:szCs w:val="20"/>
          <w:color w:val="auto"/>
        </w:rPr>
      </w:pPr>
      <w:r>
        <w:rPr>
          <w:rFonts w:ascii="Arial" w:cs="Arial" w:eastAsia="Arial" w:hAnsi="Arial"/>
          <w:sz w:val="17"/>
          <w:szCs w:val="17"/>
          <w:color w:val="auto"/>
        </w:rPr>
        <w:t>amendment or supplement thereto, (C) any materials or information provided to investors by, or with the approval of, the Partnership in connection with the marketing of the offering of the Shares, including any “road show” (as defined in Rule 433 of the Rules and Regulations) not constituting an Issuer Free Writing Prospectus (“</w:t>
      </w:r>
      <w:r>
        <w:rPr>
          <w:rFonts w:ascii="Arial" w:cs="Arial" w:eastAsia="Arial" w:hAnsi="Arial"/>
          <w:sz w:val="17"/>
          <w:szCs w:val="17"/>
          <w:b w:val="1"/>
          <w:bCs w:val="1"/>
          <w:color w:val="auto"/>
        </w:rPr>
        <w:t>Marketing Materials</w:t>
      </w:r>
      <w:r>
        <w:rPr>
          <w:rFonts w:ascii="Arial" w:cs="Arial" w:eastAsia="Arial" w:hAnsi="Arial"/>
          <w:sz w:val="17"/>
          <w:szCs w:val="17"/>
          <w:color w:val="auto"/>
        </w:rPr>
        <w:t xml:space="preserve">”) or (ii) the omission or alleged omission to state in the Registration Statement, any Preliminary Prospectus, the Prospectus, any Issuer Free Writing Prospectus or in any amendment or supplement thereto or in any Marketing Materials,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Partnership Parties shall not be liable in any such case to the extent that any such loss, claim, damage or liability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Marketing Materials, in reliance upon and in conformity with written information concerning such Underwriter furnished to the Partnership through the Representative by or on behalf of any Underwriter specifically for inclusion therein, which information consists solely of the information specified in Section 12. The foregoing indemnity agreement is in addition to any liability that the Partnership Parties may otherwise have to any Underwriter or to any director, officer, employee or controlling person of that Underwriter.</w:t>
      </w:r>
    </w:p>
    <w:p>
      <w:pPr>
        <w:spacing w:after="0" w:line="181" w:lineRule="exact"/>
        <w:rPr>
          <w:sz w:val="20"/>
          <w:szCs w:val="20"/>
          <w:color w:val="auto"/>
        </w:rPr>
      </w:pPr>
    </w:p>
    <w:p>
      <w:pPr>
        <w:ind w:left="4" w:right="20" w:firstLine="645"/>
        <w:spacing w:after="0" w:line="283" w:lineRule="auto"/>
        <w:tabs>
          <w:tab w:leader="none" w:pos="1282" w:val="left"/>
        </w:tabs>
        <w:numPr>
          <w:ilvl w:val="1"/>
          <w:numId w:val="44"/>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any Underwriter, any director, officer, employee or agent of any Underwriter or any person controlling any Underwriter in respect of which indemnity may be sought against the Partnership Parties, such Underwriter or such director, officer, employee, agent or controlling person shall promptly notify the Partnership in writing, and the Partnership Parties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Partnership Parties have agreed in writing to pay such fees and expenses, (ii) the Partnership Parties have failed to assume the defense and employ counsel within a reasonable period of time in light of the circumstances or</w:t>
      </w:r>
    </w:p>
    <w:p>
      <w:pPr>
        <w:spacing w:after="0" w:line="5" w:lineRule="exact"/>
        <w:rPr>
          <w:rFonts w:ascii="Arial" w:cs="Arial" w:eastAsia="Arial" w:hAnsi="Arial"/>
          <w:sz w:val="16"/>
          <w:szCs w:val="16"/>
          <w:color w:val="auto"/>
        </w:rPr>
      </w:pPr>
    </w:p>
    <w:p>
      <w:pPr>
        <w:ind w:left="4" w:right="60" w:hanging="4"/>
        <w:spacing w:after="0" w:line="323" w:lineRule="auto"/>
        <w:tabs>
          <w:tab w:leader="none" w:pos="319"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such indemnified party or parties shall have reasonably concluded, based on the advice of counsel, that there may be defenses available to it or them that are different from, additional to or in conflict with those available to the Partnership Parties (in which case the Partnership Parties shall not</w:t>
      </w:r>
    </w:p>
    <w:p>
      <w:pPr>
        <w:spacing w:after="0" w:line="13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25" w:right="239" w:bottom="464" w:gutter="0" w:footer="0" w:header="0"/>
        </w:sectPr>
      </w:pPr>
    </w:p>
    <w:bookmarkStart w:id="15" w:name="page16"/>
    <w:bookmarkEnd w:id="15"/>
    <w:p>
      <w:pPr>
        <w:ind w:left="4" w:right="40"/>
        <w:spacing w:after="0" w:line="257" w:lineRule="auto"/>
        <w:rPr>
          <w:sz w:val="20"/>
          <w:szCs w:val="20"/>
          <w:color w:val="auto"/>
        </w:rPr>
      </w:pPr>
      <w:r>
        <w:rPr>
          <w:rFonts w:ascii="Arial" w:cs="Arial" w:eastAsia="Arial" w:hAnsi="Arial"/>
          <w:sz w:val="18"/>
          <w:szCs w:val="18"/>
          <w:color w:val="auto"/>
        </w:rPr>
        <w:t>have the right to direct the defense of such action, suit or proceeding on behalf of the indemnified party or parties), in any of which events the Partnership Parties shall pay the reasonable fees and expenses of such counsel as such fees and expenses are incurred (it being understood, however, that the Partnership Parties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88" w:lineRule="exact"/>
        <w:rPr>
          <w:sz w:val="20"/>
          <w:szCs w:val="20"/>
          <w:color w:val="auto"/>
        </w:rPr>
      </w:pPr>
    </w:p>
    <w:p>
      <w:pPr>
        <w:ind w:left="4" w:firstLine="645"/>
        <w:spacing w:after="0" w:line="286" w:lineRule="auto"/>
        <w:tabs>
          <w:tab w:leader="none" w:pos="1272"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Partnership, the General Partner’s directors and the officers who sign the Registration Statement, and any person who controls the Partnership within the meaning of Section 15 of the Securities Act or Section 20 of the Exchange Act, to the same extent as the foregoing indemnity from the Partnership Parties to each Underwriter, but only with respect to information furnished in writing by or on behalf of such Underwriter through the Representative expressly for use in the Registration Statement, any Preliminary Prospectus, the Prospectus, any Issuer Free Writing Prospectus or in any amendment or supplement thereto or in any Marketing Materials, which information is limited to the information set forth in Section 12. If any action, suit or proceeding shall be brought against the Partnership, any of such directors and officers of the General Partner or any such controlling person based on the Registration Statement, any Preliminary Prospectus, the Prospectus, any Issuer Free Writing Prospectus or in any amendment or supplement thereto or in any Marketing Materials, and in respect of which indemnity may be sought against any Underwriter pursuant to this paragraph (c), such Underwriter shall have the rights and duties given to the Partnership Parties by paragraph (b) above (except that if the Partnership shall have assumed the defense thereof such Underwriter shall not be required to do so, but may employ separate counsel therein and participate in (but not control) the defense thereof, but the fees and expenses of such counsel shall be at such Underwriter’s expense), and the Partnership Parties, any of such directors and officers of the General Partner and any such controlling person shall have the rights and duties given to the Underwriters by paragraph (b) above. The foregoing indemnity agreement shall be in addition to any liability that the Underwriters may otherwise have.</w:t>
      </w:r>
    </w:p>
    <w:p>
      <w:pPr>
        <w:spacing w:after="0" w:line="171" w:lineRule="exact"/>
        <w:rPr>
          <w:rFonts w:ascii="Arial" w:cs="Arial" w:eastAsia="Arial" w:hAnsi="Arial"/>
          <w:sz w:val="16"/>
          <w:szCs w:val="16"/>
          <w:color w:val="auto"/>
        </w:rPr>
      </w:pPr>
    </w:p>
    <w:p>
      <w:pPr>
        <w:ind w:left="4" w:right="100" w:firstLine="645"/>
        <w:spacing w:after="0" w:line="290" w:lineRule="auto"/>
        <w:tabs>
          <w:tab w:leader="none" w:pos="128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Parties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Partnership Parties on the one hand and the Underwriters on the other in connection with the statements or omissions that resulted in such losses, claims, damages, liabilities or expenses, as well as any other relevant equitable considerations. The relative benefits</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color w:val="auto"/>
        </w:rPr>
        <w:t>received by the Partnership Parties on the one hand and the Underwriters on the other shall be deemed to be in the same proportion as the total net proceeds from the offering (before deducting expenses) received by the Partnership Parties bear to the total underwriting discounts and commissions received by the Underwriters, in each case as set forth in the table on the cover page of the Prospectus. The relative fault of the Partnership Parties on the one hand and the Underwriters on the other hand shall be determined by reference to, among other things, whether the untrue or alleged untrue statement of a material fact or the omission or alleged omission to state a material fact relates to information supplied by the Partnership Parties or any affiliate of the Partnership Parties on the one hand, or by the Underwriters on the other hand, and the parties’ relative intent, knowledge, access to information and opportunity to correct or prevent such statement or omission.</w:t>
      </w:r>
    </w:p>
    <w:p>
      <w:pPr>
        <w:spacing w:after="0" w:line="178" w:lineRule="exact"/>
        <w:rPr>
          <w:sz w:val="20"/>
          <w:szCs w:val="20"/>
          <w:color w:val="auto"/>
        </w:rPr>
      </w:pPr>
    </w:p>
    <w:p>
      <w:pPr>
        <w:ind w:left="4" w:right="20" w:firstLine="645"/>
        <w:spacing w:after="0" w:line="269" w:lineRule="auto"/>
        <w:tabs>
          <w:tab w:leader="none" w:pos="127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Partnership Parties and the Underwriters agree that it would not be just and equitable if contribution pursuant to this Section 6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required to contribute any amount in excess of the amount by which the total price of the Shares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and not joint.</w:t>
      </w:r>
    </w:p>
    <w:p>
      <w:pPr>
        <w:spacing w:after="0" w:line="182" w:lineRule="exact"/>
        <w:rPr>
          <w:rFonts w:ascii="Arial" w:cs="Arial" w:eastAsia="Arial" w:hAnsi="Arial"/>
          <w:sz w:val="17"/>
          <w:szCs w:val="17"/>
          <w:color w:val="auto"/>
        </w:rPr>
      </w:pPr>
    </w:p>
    <w:p>
      <w:pPr>
        <w:ind w:left="4" w:right="20" w:firstLine="645"/>
        <w:spacing w:after="0" w:line="253" w:lineRule="auto"/>
        <w:tabs>
          <w:tab w:leader="none" w:pos="1291"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0" w:firstLine="645"/>
        <w:spacing w:after="0" w:line="284" w:lineRule="auto"/>
        <w:tabs>
          <w:tab w:leader="none" w:pos="1282"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losses, claims, damages, liabilities or expenses for which an indemnified party is entitled to indemnification or contribution under this Section 6 shall be paid by the indemnifying party to the indemnified party as such losses, claims, damages, liabilities or expenses are incurred. The indemnity and contribution agreements contained in this Section 6 and the covenants, representations and warranties of the Partnership Parties set forth in this Agreement shall remain operative and in full force and effect, regardless of (i) any investigation made by or on behalf of any Underwriter or any person controlling any Underwriter, the Partnership or any of the General Partner’s directors or officers or any person controlling the Partnership Parties, (ii) acceptance of any Shares and payment therefor in accordance with the terms of this Agreement, and</w:t>
      </w:r>
    </w:p>
    <w:p>
      <w:pPr>
        <w:spacing w:after="0" w:line="4" w:lineRule="exact"/>
        <w:rPr>
          <w:rFonts w:ascii="Arial" w:cs="Arial" w:eastAsia="Arial" w:hAnsi="Arial"/>
          <w:sz w:val="16"/>
          <w:szCs w:val="16"/>
          <w:color w:val="auto"/>
        </w:rPr>
      </w:pPr>
    </w:p>
    <w:p>
      <w:pPr>
        <w:ind w:left="324" w:hanging="324"/>
        <w:spacing w:after="0"/>
        <w:tabs>
          <w:tab w:leader="none" w:pos="324"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termination of this Agreement. A successor to any Underwriter or any person controlling any Underwriter, or to the Partnership Parties or</w:t>
      </w:r>
    </w:p>
    <w:p>
      <w:pPr>
        <w:sectPr>
          <w:pgSz w:w="11900" w:h="16838" w:orient="portrait"/>
          <w:cols w:equalWidth="0" w:num="1">
            <w:col w:w="10744"/>
          </w:cols>
          <w:pgMar w:left="896" w:top="125" w:right="259" w:bottom="0" w:gutter="0" w:footer="0" w:header="0"/>
        </w:sectPr>
      </w:pPr>
    </w:p>
    <w:bookmarkStart w:id="16" w:name="page17"/>
    <w:bookmarkEnd w:id="16"/>
    <w:p>
      <w:pPr>
        <w:ind w:left="660" w:right="240"/>
        <w:spacing w:after="0" w:line="277" w:lineRule="auto"/>
        <w:rPr>
          <w:sz w:val="20"/>
          <w:szCs w:val="20"/>
          <w:color w:val="auto"/>
        </w:rPr>
      </w:pPr>
      <w:r>
        <w:rPr>
          <w:rFonts w:ascii="Arial" w:cs="Arial" w:eastAsia="Arial" w:hAnsi="Arial"/>
          <w:sz w:val="18"/>
          <w:szCs w:val="18"/>
          <w:color w:val="auto"/>
        </w:rPr>
        <w:t>any of the General Partner’s directors or officers or any person controlling the Partnership Parties shall be entitled to the benefits of the indemnity, contribution and reimbursement agreements contained in this Section 6.</w:t>
      </w:r>
    </w:p>
    <w:p>
      <w:pPr>
        <w:spacing w:after="0" w:line="170" w:lineRule="exact"/>
        <w:rPr>
          <w:sz w:val="20"/>
          <w:szCs w:val="20"/>
          <w:color w:val="auto"/>
        </w:rPr>
      </w:pPr>
    </w:p>
    <w:p>
      <w:pPr>
        <w:ind w:left="660" w:right="60" w:firstLine="645"/>
        <w:spacing w:after="0" w:line="286" w:lineRule="auto"/>
        <w:tabs>
          <w:tab w:leader="none" w:pos="1939"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Partnership Parties, jointly and severally, agree to indemnify and hold harmless Morgan Stanley &amp; Co. LLC (including its affiliates, directors, officers and employees) and each person, if any, who controls Morgan Stanley &amp; Co. LLC within the meaning of Section 15 of the Securities Act or Section 20 of the Exchange Act (the “</w:t>
      </w:r>
      <w:r>
        <w:rPr>
          <w:rFonts w:ascii="Arial" w:cs="Arial" w:eastAsia="Arial" w:hAnsi="Arial"/>
          <w:sz w:val="16"/>
          <w:szCs w:val="16"/>
          <w:b w:val="1"/>
          <w:bCs w:val="1"/>
          <w:color w:val="auto"/>
        </w:rPr>
        <w:t>DSP Entities</w:t>
      </w:r>
      <w:r>
        <w:rPr>
          <w:rFonts w:ascii="Arial" w:cs="Arial" w:eastAsia="Arial" w:hAnsi="Arial"/>
          <w:sz w:val="16"/>
          <w:szCs w:val="16"/>
          <w:color w:val="auto"/>
        </w:rPr>
        <w:t>”), from and against any loss, claim, damage or liability or any action in respect thereof to which any of the DSP Entities may become subject, under the Securities Act or otherwise, insofar as such loss, claim, damage, liability or action (i) arises out of, or is based upon, any untrue statement or alleged untrue statement of a material fact contained in any material prepared by or with the approval of the Partnership Parties for distribution to Directed Share Participants in connection with the Directed Share Program or any omission or alleged omission to state therein a material fact required to be stated therein or necessary to make the statements therein not misleading, (ii) arises out of, or is based upon, the failure of the Directed Share Participant to pay for and accept delivery of Directed Shares that the Directed Share Participant agreed to purchase, or (iii) is otherwise related to the Directed Share Program; provided that the Partnership Parties shall not be liable under this clause (iii) for any loss, claim, damage, liability or action that is determined in a final judgment by a court of competent jurisdiction to have resulted from the gross negligence or willful misconduct of the DSP Entities. The Partnership Parties shall reimburse the DSP Entities promptly upon demand for any legal or other expenses reasonably incurred by them in connection with investigating or defending or preparing to defend against any such loss, claim, damage, liability or action as such expenses are incurred.</w:t>
      </w:r>
    </w:p>
    <w:p>
      <w:pPr>
        <w:spacing w:after="0" w:line="174" w:lineRule="exact"/>
        <w:rPr>
          <w:rFonts w:ascii="Arial" w:cs="Arial" w:eastAsia="Arial" w:hAnsi="Arial"/>
          <w:sz w:val="16"/>
          <w:szCs w:val="16"/>
          <w:color w:val="auto"/>
        </w:rPr>
      </w:pPr>
    </w:p>
    <w:p>
      <w:pPr>
        <w:ind w:right="580" w:firstLine="656"/>
        <w:spacing w:after="0" w:line="277" w:lineRule="auto"/>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several obligations of the Underwriters to purchase the Initial Shares and the Additional Shares, as the case may be, hereunder are subject to the following conditions:</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929"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filings required by Rule 424 of the Rules and Regulations shall have been made. All material required to be filed by the Partnership pursuant to Rule 433(d) under the Securities Act shall have been filed with the Commission within the applicable time period prescribed for such filing by Rule 433 under the Securities Act. No stop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Partnership or any Underwriter, threatened by the Commission, and any request of the Commission for additional information (to be included in the Registration Statement or the Prospectus or otherwise) shall have been complied with to the reasonable satisfaction of the Representative.</w:t>
      </w:r>
    </w:p>
    <w:p>
      <w:pPr>
        <w:spacing w:after="0" w:line="188" w:lineRule="exact"/>
        <w:rPr>
          <w:sz w:val="20"/>
          <w:szCs w:val="20"/>
          <w:color w:val="auto"/>
        </w:rPr>
      </w:pPr>
    </w:p>
    <w:p>
      <w:pPr>
        <w:ind w:left="660" w:right="160" w:firstLine="645"/>
        <w:spacing w:after="0" w:line="290" w:lineRule="auto"/>
        <w:tabs>
          <w:tab w:leader="none" w:pos="1939"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Shares or (ii) any event or development relating to or involving any of the Partnership Group Entities or any executive officer or director of any of such entities that makes any statement made in the Prospectus untrue or which, in the opinion of the Partnership and its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 opinion, materially adversely affect the market for the Shares.</w:t>
      </w:r>
    </w:p>
    <w:p>
      <w:pPr>
        <w:spacing w:after="0" w:line="166" w:lineRule="exact"/>
        <w:rPr>
          <w:rFonts w:ascii="Arial" w:cs="Arial" w:eastAsia="Arial" w:hAnsi="Arial"/>
          <w:sz w:val="16"/>
          <w:szCs w:val="16"/>
          <w:color w:val="auto"/>
        </w:rPr>
      </w:pPr>
    </w:p>
    <w:p>
      <w:pPr>
        <w:ind w:left="660" w:right="300" w:firstLine="645"/>
        <w:spacing w:after="0" w:line="264" w:lineRule="auto"/>
        <w:tabs>
          <w:tab w:leader="none" w:pos="19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Representative shall have received on each applicable Delivery Date, an opinion of Vinson &amp; Elkins L.L.P., counsel for the Partnership, dated the applicable Delivery Date and addressed to the Underwriters, in form and substance reasonably satisfactory to the Representatives, substantially in the form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left="660" w:right="300" w:firstLine="645"/>
        <w:spacing w:after="0" w:line="264" w:lineRule="auto"/>
        <w:tabs>
          <w:tab w:leader="none" w:pos="19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Representative shall have received on each applicable Delivery Date an opinion of Richard McGee, general counsel for the General Partner, dated the applicable Delivery Date and addressed to the Underwriters, in form and substance reasonably satisfactory to the Representatives, substantially in the form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left="660" w:right="200" w:firstLine="645"/>
        <w:spacing w:after="0" w:line="264" w:lineRule="auto"/>
        <w:tabs>
          <w:tab w:leader="none" w:pos="19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Representative shall have received on each applicable Delivery Date, an opinion of special internal Canadian counsel of the Partnership with respect to the Provinces of Alberta and British Columbia and the federal laws of Canada, dated the Closing Date and addressed to the Underwriters, substantially in the form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left="660" w:right="60" w:firstLine="645"/>
        <w:spacing w:after="0" w:line="259" w:lineRule="auto"/>
        <w:tabs>
          <w:tab w:leader="none" w:pos="19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Representative shall have received on each applicable Delivery Date an opinion of Baker Botts L.L.P., counsel for the Underwriters, dated the applicable Delivery Date and addressed to the Underwriters, with respect to the offering, issuance and sale of the Shares, the Registration Statement, the Pricing Disclosure Package, the Prospectus (together with any amendment or supplement thereto) and other related matters the Underwriters may reasonably require.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93" w:lineRule="auto"/>
        <w:tabs>
          <w:tab w:leader="none" w:pos="1939" w:val="left"/>
        </w:tabs>
        <w:numPr>
          <w:ilvl w:val="0"/>
          <w:numId w:val="53"/>
        </w:numPr>
        <w:rPr>
          <w:rFonts w:ascii="Arial" w:cs="Arial" w:eastAsia="Arial" w:hAnsi="Arial"/>
          <w:sz w:val="16"/>
          <w:szCs w:val="16"/>
          <w:color w:val="auto"/>
        </w:rPr>
      </w:pPr>
      <w:r>
        <w:rPr>
          <w:rFonts w:ascii="Arial" w:cs="Arial" w:eastAsia="Arial" w:hAnsi="Arial"/>
          <w:sz w:val="16"/>
          <w:szCs w:val="16"/>
          <w:color w:val="auto"/>
        </w:rPr>
        <w:t>At the time of the execution of this Agreement, the Representative shall have received from each of PricewaterhouseCoopers LLP, independent public accountants, and Ernst &amp; Young, LLP, independent registered public accountants, letters dated such date, in form and substance satisfactory to the Representative, together with signed or reproduced copies of such letters for each of the other Underwriters,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letters shall be a date not more than five days prior to the date of such letter.</w:t>
      </w:r>
    </w:p>
    <w:p>
      <w:pPr>
        <w:spacing w:after="0" w:line="164" w:lineRule="exact"/>
        <w:rPr>
          <w:rFonts w:ascii="Arial" w:cs="Arial" w:eastAsia="Arial" w:hAnsi="Arial"/>
          <w:sz w:val="16"/>
          <w:szCs w:val="16"/>
          <w:color w:val="auto"/>
        </w:rPr>
      </w:pPr>
    </w:p>
    <w:p>
      <w:pPr>
        <w:ind w:left="660" w:right="260" w:firstLine="645"/>
        <w:spacing w:after="0" w:line="259" w:lineRule="auto"/>
        <w:tabs>
          <w:tab w:leader="none" w:pos="19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each applicable the Delivery Date, the Representative shall have received from each of PricewaterhouseCoopers LLP and Ernst &amp; Young, LLP a letter, dated as of each such Delivery Date, to the effect that they reaffirm the statements made in the letters furnished pursuant to paragraph (g) of this Section 7, except that the date referred to in the proviso in Section 7(g) hereof shall be a date not more than three business days prior to each such Delivery Date.</w:t>
      </w:r>
    </w:p>
    <w:p>
      <w:pPr>
        <w:sectPr>
          <w:pgSz w:w="11900" w:h="16838" w:orient="portrait"/>
          <w:cols w:equalWidth="0" w:num="1">
            <w:col w:w="11420"/>
          </w:cols>
          <w:pgMar w:left="240" w:top="125" w:right="239" w:bottom="0" w:gutter="0" w:footer="0" w:header="0"/>
        </w:sectPr>
      </w:pPr>
    </w:p>
    <w:bookmarkStart w:id="17" w:name="page18"/>
    <w:bookmarkEnd w:id="17"/>
    <w:p>
      <w:pPr>
        <w:spacing w:after="0" w:line="93" w:lineRule="exact"/>
        <w:rPr>
          <w:sz w:val="20"/>
          <w:szCs w:val="20"/>
          <w:color w:val="auto"/>
        </w:rPr>
      </w:pPr>
    </w:p>
    <w:p>
      <w:pPr>
        <w:ind w:left="660" w:firstLine="645"/>
        <w:spacing w:after="0" w:line="259" w:lineRule="auto"/>
        <w:tabs>
          <w:tab w:leader="none" w:pos="19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Partnership Parties shall have furnished to the Representative at each applicable Delivery Date a certificate of the Partnership, signed on behalf of the Partnership by the President or any Vice President and the Chief Financial Officer of the General Partner, dated the applicable Delivery Date, to the effect that the signers of such certificate have examined the Registration Statement, the Pricing Disclosure Package, the Prospectus and any amendment or supplement thereto, and this Agreement and that:</w:t>
      </w:r>
    </w:p>
    <w:p>
      <w:pPr>
        <w:spacing w:after="0" w:line="186" w:lineRule="exact"/>
        <w:rPr>
          <w:rFonts w:ascii="Arial" w:cs="Arial" w:eastAsia="Arial" w:hAnsi="Arial"/>
          <w:sz w:val="18"/>
          <w:szCs w:val="18"/>
          <w:color w:val="auto"/>
        </w:rPr>
      </w:pPr>
    </w:p>
    <w:p>
      <w:pPr>
        <w:ind w:left="1960" w:hanging="7"/>
        <w:spacing w:after="0" w:line="259" w:lineRule="auto"/>
        <w:tabs>
          <w:tab w:leader="none" w:pos="25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representations and warranties of the Partnership Parties in this Agreement are true and correct on and as of the applicable Delivery Date with the same effect as if made on the applicable Delivery Date and the Partnership Parties have complied in all material respects with all the agreements and satisfied all the conditions on its part to be performed or satisfied at or prior to the applicable Delivery Date;</w:t>
      </w:r>
    </w:p>
    <w:p>
      <w:pPr>
        <w:spacing w:after="0" w:line="186" w:lineRule="exact"/>
        <w:rPr>
          <w:rFonts w:ascii="Arial" w:cs="Arial" w:eastAsia="Arial" w:hAnsi="Arial"/>
          <w:sz w:val="18"/>
          <w:szCs w:val="18"/>
          <w:color w:val="auto"/>
        </w:rPr>
      </w:pPr>
    </w:p>
    <w:p>
      <w:pPr>
        <w:ind w:left="1960" w:right="100" w:hanging="7"/>
        <w:spacing w:after="0" w:line="308" w:lineRule="auto"/>
        <w:tabs>
          <w:tab w:leader="none" w:pos="2582" w:val="left"/>
        </w:tabs>
        <w:numPr>
          <w:ilvl w:val="1"/>
          <w:numId w:val="54"/>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notice objecting to its use has been issued and no proceedings for that purpose have been instituted or, to the Partnership Parties’ knowledge, threatened; and</w:t>
      </w:r>
    </w:p>
    <w:p>
      <w:pPr>
        <w:spacing w:after="0" w:line="146" w:lineRule="exact"/>
        <w:rPr>
          <w:rFonts w:ascii="Arial" w:cs="Arial" w:eastAsia="Arial" w:hAnsi="Arial"/>
          <w:sz w:val="17"/>
          <w:szCs w:val="17"/>
          <w:color w:val="auto"/>
        </w:rPr>
      </w:pPr>
    </w:p>
    <w:p>
      <w:pPr>
        <w:ind w:left="1960" w:right="280" w:hanging="7"/>
        <w:spacing w:after="0" w:line="257" w:lineRule="auto"/>
        <w:tabs>
          <w:tab w:leader="none" w:pos="2582" w:val="left"/>
        </w:tabs>
        <w:numPr>
          <w:ilvl w:val="1"/>
          <w:numId w:val="54"/>
        </w:numPr>
        <w:rPr>
          <w:rFonts w:ascii="Arial" w:cs="Arial" w:eastAsia="Arial" w:hAnsi="Arial"/>
          <w:sz w:val="18"/>
          <w:szCs w:val="18"/>
          <w:color w:val="auto"/>
        </w:rPr>
      </w:pPr>
      <w:r>
        <w:rPr>
          <w:rFonts w:ascii="Arial" w:cs="Arial" w:eastAsia="Arial" w:hAnsi="Arial"/>
          <w:sz w:val="18"/>
          <w:szCs w:val="18"/>
          <w:color w:val="auto"/>
        </w:rPr>
        <w:t>(i) the Registration Statement, as of the Effective Date, (ii) the Prospectus, as of its date and on the applicable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NYSE shall have approved the Shares for listing, subject only to official notice of issuance and evidence of satisfactory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distribution.</w:t>
      </w:r>
    </w:p>
    <w:p>
      <w:pPr>
        <w:spacing w:after="0" w:line="210" w:lineRule="exact"/>
        <w:rPr>
          <w:rFonts w:ascii="Arial" w:cs="Arial" w:eastAsia="Arial" w:hAnsi="Arial"/>
          <w:sz w:val="17"/>
          <w:szCs w:val="17"/>
          <w:color w:val="auto"/>
        </w:rPr>
      </w:pPr>
    </w:p>
    <w:p>
      <w:pPr>
        <w:ind w:left="660" w:firstLine="645"/>
        <w:spacing w:after="0" w:line="277" w:lineRule="auto"/>
        <w:tabs>
          <w:tab w:leader="none" w:pos="19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underwriting, or other arrangements of the issuance and sale of the Shares.</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On or prior to the date hereof, the Partnership Parties shall have furnished to the Underwriters a letter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from each person named in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660" w:right="860" w:firstLine="645"/>
        <w:spacing w:after="0" w:line="277" w:lineRule="auto"/>
        <w:tabs>
          <w:tab w:leader="none" w:pos="19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Representative shall have received from the Partnership a certificate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and signed by the chief financial officer of the General Partner.</w:t>
      </w:r>
    </w:p>
    <w:p>
      <w:pPr>
        <w:spacing w:after="0" w:line="170" w:lineRule="exact"/>
        <w:rPr>
          <w:sz w:val="20"/>
          <w:szCs w:val="20"/>
          <w:color w:val="auto"/>
        </w:rPr>
      </w:pPr>
    </w:p>
    <w:p>
      <w:pPr>
        <w:ind w:right="100" w:firstLine="667"/>
        <w:spacing w:after="0" w:line="286" w:lineRule="auto"/>
        <w:rPr>
          <w:sz w:val="20"/>
          <w:szCs w:val="20"/>
          <w:color w:val="auto"/>
        </w:rPr>
      </w:pPr>
      <w:r>
        <w:rPr>
          <w:rFonts w:ascii="Arial" w:cs="Arial" w:eastAsia="Arial" w:hAnsi="Arial"/>
          <w:sz w:val="17"/>
          <w:szCs w:val="17"/>
          <w:color w:val="auto"/>
        </w:rPr>
        <w:t>All such opinions, certificates, letters and other documents referred to in this Section 7 will be in compliance with the provisions hereof only if they are reasonably satisfactory in form and substance to the Representative and counsel for the Underwriters. The Partnership shall furnish to the Underwriters conformed copies of such opinions, certificates, letters and other documents in such number as they shall reasonably request.</w:t>
      </w:r>
    </w:p>
    <w:p>
      <w:pPr>
        <w:spacing w:after="0" w:line="166" w:lineRule="exact"/>
        <w:rPr>
          <w:sz w:val="20"/>
          <w:szCs w:val="20"/>
          <w:color w:val="auto"/>
        </w:rPr>
      </w:pPr>
    </w:p>
    <w:p>
      <w:pPr>
        <w:ind w:right="200" w:firstLine="667"/>
        <w:spacing w:after="0" w:line="291" w:lineRule="auto"/>
        <w:rPr>
          <w:sz w:val="20"/>
          <w:szCs w:val="20"/>
          <w:color w:val="auto"/>
        </w:rPr>
      </w:pPr>
      <w:r>
        <w:rPr>
          <w:rFonts w:ascii="Arial" w:cs="Arial" w:eastAsia="Arial" w:hAnsi="Arial"/>
          <w:sz w:val="16"/>
          <w:szCs w:val="16"/>
          <w:color w:val="auto"/>
        </w:rPr>
        <w:t>The several obligations of the Underwriters to purchase Additional Shares hereunder are subject to the satisfaction on and as of any Additional Shares Delivery Date of the conditions set forth in this Section 7, except that, if any Additional Shares Delivery Date is other than the Initial Delivery Date,</w:t>
      </w:r>
    </w:p>
    <w:p>
      <w:pPr>
        <w:ind w:left="220" w:hanging="212"/>
        <w:spacing w:after="0"/>
        <w:tabs>
          <w:tab w:leader="none" w:pos="2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certificates, opinions and letters referred to in paragraphs (c) through (f), (h) and (i) shall be dated the Additional Shares Delivery Date in question,</w:t>
      </w:r>
    </w:p>
    <w:p>
      <w:pPr>
        <w:spacing w:after="0" w:line="32" w:lineRule="exact"/>
        <w:rPr>
          <w:rFonts w:ascii="Arial" w:cs="Arial" w:eastAsia="Arial" w:hAnsi="Arial"/>
          <w:sz w:val="16"/>
          <w:szCs w:val="16"/>
          <w:color w:val="auto"/>
        </w:rPr>
      </w:pPr>
    </w:p>
    <w:p>
      <w:pPr>
        <w:ind w:right="160" w:firstLine="8"/>
        <w:spacing w:after="0" w:line="261" w:lineRule="auto"/>
        <w:tabs>
          <w:tab w:leader="none" w:pos="2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opinions called for by paragraphs (c), (d), (e) and (f), as applicable, shall be revised to reflect the sale of Additional Shares and (iii) any references in Section 7 to the Initial Delivery Date shall be deemed to be such Additional Shares Delivery Date.</w:t>
      </w:r>
    </w:p>
    <w:p>
      <w:pPr>
        <w:spacing w:after="0" w:line="184" w:lineRule="exact"/>
        <w:rPr>
          <w:sz w:val="20"/>
          <w:szCs w:val="20"/>
          <w:color w:val="auto"/>
        </w:rPr>
      </w:pPr>
    </w:p>
    <w:p>
      <w:pPr>
        <w:ind w:firstLine="667"/>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applicable Delivery Date by the Underwriters. Notice of such cancellation shall be given to the Partnership in writing or by telephone or facsimile confirmed in writing.</w:t>
      </w:r>
    </w:p>
    <w:p>
      <w:pPr>
        <w:spacing w:after="0" w:line="188" w:lineRule="exact"/>
        <w:rPr>
          <w:sz w:val="20"/>
          <w:szCs w:val="20"/>
          <w:color w:val="auto"/>
        </w:rPr>
      </w:pPr>
    </w:p>
    <w:p>
      <w:pPr>
        <w:ind w:right="20" w:firstLine="656"/>
        <w:spacing w:after="0" w:line="297" w:lineRule="auto"/>
        <w:tabs>
          <w:tab w:leader="none" w:pos="128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Partnership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Documents and all amendments or supplements to any of them as may be reasonably requested for use in connection with the offering and sale of the Shares;</w:t>
      </w:r>
    </w:p>
    <w:p>
      <w:pPr>
        <w:spacing w:after="0" w:line="46" w:lineRule="exact"/>
        <w:rPr>
          <w:sz w:val="20"/>
          <w:szCs w:val="20"/>
          <w:color w:val="auto"/>
        </w:rPr>
      </w:pPr>
    </w:p>
    <w:p>
      <w:pPr>
        <w:ind w:right="20" w:firstLine="8"/>
        <w:spacing w:after="0" w:line="285" w:lineRule="auto"/>
        <w:tabs>
          <w:tab w:leader="none" w:pos="3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preparation, printing, authentication, issuance and delivery of certificates for the Shares, including any stamp taxes in connection with the original issuance and sale of the Shares; (iv) the printing (or reproduction) and delivery of this Agreement, the preliminary and supplemental Blue Sky Memoranda, and all other agreements or documents printed (or reproduced) and delivered in connection with the offering of the Shares; (v) the registration of the Shares under the Exchange Act and the listing of the Shares on the NYSE and any applicable listing or other similar fees; (vi) the registration or qualification of the Shares for offer and sale under the securities or Blue Sky laws of the several states as provided in Section 5(f)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offer and sale of the Directed Shares by the Underwriters in connection with the Directed Share Program, including the fees and disbursements of counsel to the Underwriters related thereto, the costs and expenses of preparation, printing and distribution of the Directed Share Program materials and all stamp duties or other taxes incurred by the Underwriters in connection with the Directed Share Program; (ix) costs and expenses related to investor presentations on any road show undertaken in connection with the marketing of the Shares, including, without limitation, expenses associated with any electronic road show, travel and lodging expenses of the Representative and officers and employees of the Partnership Parties; provided, however, that the Partnership is obligated to pay only 50% of the costs and expenses of any aircraft that is chartered in connection with the road show; and (x) the fees and expenses of the Partnership’s accountants and the fees and expenses of counsel (including local and special counsel) for the Partnership Group Entities; (xi) all expenses in connection with</w:t>
      </w:r>
    </w:p>
    <w:p>
      <w:pPr>
        <w:sectPr>
          <w:pgSz w:w="11900" w:h="16931" w:orient="portrait"/>
          <w:cols w:equalWidth="0" w:num="1">
            <w:col w:w="11420"/>
          </w:cols>
          <w:pgMar w:left="240" w:top="125" w:right="239" w:bottom="0" w:gutter="0" w:footer="0" w:header="0"/>
        </w:sectPr>
      </w:pPr>
    </w:p>
    <w:bookmarkStart w:id="18" w:name="page19"/>
    <w:bookmarkEnd w:id="18"/>
    <w:p>
      <w:pPr>
        <w:spacing w:after="0" w:line="13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qualification of the Shares for offering and sale in any Province or Territory in Canada, including the reasonable fees, disbursements and expenses of counsel for the Underwriters in connection therewith; (xii) the costs and expenses of qualifying the Shares for inclusion in the book-entry settlement system of the DTC; and (xiii) services provided by the transfer agent and registrar.</w:t>
      </w:r>
    </w:p>
    <w:p>
      <w:pPr>
        <w:spacing w:after="0" w:line="181" w:lineRule="exact"/>
        <w:rPr>
          <w:sz w:val="20"/>
          <w:szCs w:val="20"/>
          <w:color w:val="auto"/>
        </w:rPr>
      </w:pPr>
    </w:p>
    <w:p>
      <w:pPr>
        <w:ind w:right="60" w:firstLine="667"/>
        <w:spacing w:after="0" w:line="259" w:lineRule="auto"/>
        <w:rPr>
          <w:sz w:val="20"/>
          <w:szCs w:val="20"/>
          <w:color w:val="auto"/>
        </w:rPr>
      </w:pPr>
      <w:r>
        <w:rPr>
          <w:rFonts w:ascii="Arial" w:cs="Arial" w:eastAsia="Arial" w:hAnsi="Arial"/>
          <w:sz w:val="18"/>
          <w:szCs w:val="18"/>
          <w:color w:val="auto"/>
        </w:rPr>
        <w:t>It is understood, however, that except as otherwise provided in this Section 8 or Section 5(h) hereof, the Underwriters will pay all of their own costs and expenses, including the fees of their counsel, transfer taxes on any resale of the Shares by any Underwriter, any advertising expenses connected with any offers they may make and the transportation and other expenses incurred by the Underwriters on their own behalf in connection with presentations to prospective purchasers of the Shares.</w:t>
      </w:r>
    </w:p>
    <w:p>
      <w:pPr>
        <w:spacing w:after="0" w:line="187" w:lineRule="exact"/>
        <w:rPr>
          <w:sz w:val="20"/>
          <w:szCs w:val="20"/>
          <w:color w:val="auto"/>
        </w:rPr>
      </w:pPr>
    </w:p>
    <w:p>
      <w:pPr>
        <w:ind w:right="80" w:firstLine="656"/>
        <w:spacing w:after="0" w:line="293" w:lineRule="auto"/>
        <w:tabs>
          <w:tab w:leader="none" w:pos="128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of the Underwriters shall fail or refuse to purchase Shares that it or they are obligated to purchase hereunder on the Initial Delivery Date, and the aggregate number of Shares that such defaulting Underwriter or Underwriters are obligated but fail or refuse to purchase is not more than one-tenth of the aggregate number of the Shares that the Underwriters are obligated to purchase on the Initial Delivery Date, each non-defaulting Underwriter shall be obligated, severally, in the proportion that the number of Initial Shares set forth opposite its name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bears to the aggregate number of Initial Shares set forth opposite the names of all non-defaulting Underwriters or in such other proportion as the Representative may specify in accordance with the Agreement Among Underwriters of Barclays Capital Inc. to purchase the Shares that such</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defaulting Underwriter or Underwriters are obligated, but fail or refuse, to purchase. If any one or more of the Underwriters shall fail or refuse to purchase Shares that it or they are obligated to purchase on the Initial Delivery Date and the aggregate number of Shares with respect to which such default occurs is more than one-tenth of the aggregate number of Shares that the Underwriters are obligated to purchase on the Initial Delivery Date and arrangements satisfactory to the Representative and the Partnership for the purchase of such Shares by one or more non-defaulting Underwriters or other party or parties approved by the Representative and the Partnership are not made within five business days after such default, this Agreement will terminate without liability on the part of any party hereto (other than the defaulting Underwriter). In any such case that does not result in termination of this Agreement, either the Representative or the Partnership shall have the right to postpone the Initial Delivery Date, but in no event for longer than seven days, in order that the required changes, if any, in the Registration Statement and the Prospectus or any other documents or arrangements may be effected. If any one or more of the Underwriters shall fail or refuse to purchase Additional Shares that it or they are obligated to purchase hereunder on the Additional Shares Delivery Date, each non-defaulting Underwriter shall be obligated, severally, in the proportion that the number of Initial Shares set forth opposite its name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bears to the aggregate number of Initial Shares set forth opposite the names of all non-defaulting Underwriters or in such other proportion as the Representative may specify in accordance with the Agreement Among Underwriters of Barclays Capital Inc., to purchase the Additional Shares that such defaulting Underwriter or Underwriters are obligated, but fail or refuse, to purchase. Any action taken under this paragraph shall not relieve any defaulting Underwriter from liability in respect of any such default of any such Underwriter under this Agreement. The term “</w:t>
      </w:r>
      <w:r>
        <w:rPr>
          <w:rFonts w:ascii="Arial" w:cs="Arial" w:eastAsia="Arial" w:hAnsi="Arial"/>
          <w:sz w:val="16"/>
          <w:szCs w:val="16"/>
          <w:b w:val="1"/>
          <w:bCs w:val="1"/>
          <w:color w:val="auto"/>
        </w:rPr>
        <w:t>Underwriter</w:t>
      </w:r>
      <w:r>
        <w:rPr>
          <w:rFonts w:ascii="Arial" w:cs="Arial" w:eastAsia="Arial" w:hAnsi="Arial"/>
          <w:sz w:val="16"/>
          <w:szCs w:val="16"/>
          <w:color w:val="auto"/>
        </w:rPr>
        <w:t xml:space="preserve">” as used in this Agreement includes, for all purposes of this Agreement, any party not listed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who, with the Representative’ approval and the approval of the Partnership, purchases Shares that a defaulting Underwriter is obligated, but fails or refuses, to purchase.</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Any notice under this Section 9 may be given by telegram, telecopy or telephone but shall be subsequently confirmed by letter.</w:t>
      </w:r>
    </w:p>
    <w:p>
      <w:pPr>
        <w:spacing w:after="0" w:line="225" w:lineRule="exact"/>
        <w:rPr>
          <w:sz w:val="20"/>
          <w:szCs w:val="20"/>
          <w:color w:val="auto"/>
        </w:rPr>
      </w:pPr>
    </w:p>
    <w:p>
      <w:pPr>
        <w:ind w:right="40" w:firstLine="656"/>
        <w:spacing w:after="0" w:line="269" w:lineRule="auto"/>
        <w:tabs>
          <w:tab w:leader="none" w:pos="1256"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This Agreement shall be subject to termination in the Representative’s absolute discretion, without liability on the part of any Underwriters to the Partnership, by notice to the Partnership, if prior to the Initial Delivery Date or any Additional Shares Delivery Date (if different from the Initial Delivery Date and then only as to the Additional Shares), as the case may be, (i) trading in the Shares or the common units representing limited partner interests in PAA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judgment of the Representative, impractical or inadvisable to proceed with the offering or delivery of the Shares as contemplated by the Prospectus (exclusive of any amendment or supplement thereto). Notice of such</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termination may be given to the Partnership by telegram, telecopy or telephone and shall be subsequently confirmed by letter.</w:t>
      </w:r>
    </w:p>
    <w:p>
      <w:pPr>
        <w:spacing w:after="0" w:line="225" w:lineRule="exact"/>
        <w:rPr>
          <w:sz w:val="20"/>
          <w:szCs w:val="20"/>
          <w:color w:val="auto"/>
        </w:rPr>
      </w:pPr>
    </w:p>
    <w:p>
      <w:pPr>
        <w:ind w:right="300" w:firstLine="656"/>
        <w:spacing w:after="0" w:line="302" w:lineRule="auto"/>
        <w:tabs>
          <w:tab w:leader="none" w:pos="1249"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Notice; Successors</w:t>
      </w:r>
      <w:r>
        <w:rPr>
          <w:rFonts w:ascii="Arial" w:cs="Arial" w:eastAsia="Arial" w:hAnsi="Arial"/>
          <w:sz w:val="16"/>
          <w:szCs w:val="16"/>
          <w:color w:val="auto"/>
        </w:rPr>
        <w:t>. Except as otherwise provided in Sections 5, 9 and 10 hereof, all communications hereunder will be in writing and effective only on receipt, and, if sent to the Underwriters, will be mailed, delivered or telefaxed to the Representative c/o Barclays Capital Inc., Attention: Syndicate Registration, 745 Seventh Avenue, New York, New York 10019 (fax: 646-834-8133); or, if sent to the Partnership, will be mailed, delivered or telefaxed to (713) 646-4313 and confirmed to it at 333 Clay St., Suite 1600, Houston, Texas 77002, Attention: General Counsel.</w:t>
      </w:r>
    </w:p>
    <w:p>
      <w:pPr>
        <w:spacing w:after="0" w:line="154" w:lineRule="exact"/>
        <w:rPr>
          <w:sz w:val="20"/>
          <w:szCs w:val="20"/>
          <w:color w:val="auto"/>
        </w:rPr>
      </w:pPr>
    </w:p>
    <w:p>
      <w:pPr>
        <w:ind w:right="300" w:firstLine="667"/>
        <w:spacing w:after="0" w:line="297" w:lineRule="auto"/>
        <w:rPr>
          <w:sz w:val="20"/>
          <w:szCs w:val="20"/>
          <w:color w:val="auto"/>
        </w:rPr>
      </w:pPr>
      <w:r>
        <w:rPr>
          <w:rFonts w:ascii="Arial" w:cs="Arial" w:eastAsia="Arial" w:hAnsi="Arial"/>
          <w:sz w:val="16"/>
          <w:szCs w:val="16"/>
          <w:color w:val="auto"/>
        </w:rPr>
        <w:t>This Agreement has been and is made solely for the benefit of the several Underwriters and their directors, officers, employees, agents and other controlling persons referred to in Section 6 hereof and the Partnership and the General Partner’s directors and the officers who sign the Registration Statement, and other controlling persons referred to in Section 6 hereof, and their respective successors and assigns, to the extent provided herein, and no other person shall acquire or have any right under or by virtue of this Agreement. Neither the term “</w:t>
      </w:r>
      <w:r>
        <w:rPr>
          <w:rFonts w:ascii="Arial" w:cs="Arial" w:eastAsia="Arial" w:hAnsi="Arial"/>
          <w:sz w:val="16"/>
          <w:szCs w:val="16"/>
          <w:b w:val="1"/>
          <w:bCs w:val="1"/>
          <w:color w:val="auto"/>
        </w:rPr>
        <w:t>successor</w:t>
      </w:r>
      <w:r>
        <w:rPr>
          <w:rFonts w:ascii="Arial" w:cs="Arial" w:eastAsia="Arial" w:hAnsi="Arial"/>
          <w:sz w:val="16"/>
          <w:szCs w:val="16"/>
          <w:color w:val="auto"/>
        </w:rPr>
        <w:t>” nor the term “</w:t>
      </w:r>
      <w:r>
        <w:rPr>
          <w:rFonts w:ascii="Arial" w:cs="Arial" w:eastAsia="Arial" w:hAnsi="Arial"/>
          <w:sz w:val="16"/>
          <w:szCs w:val="16"/>
          <w:b w:val="1"/>
          <w:bCs w:val="1"/>
          <w:color w:val="auto"/>
        </w:rPr>
        <w:t>successors and assigns</w:t>
      </w:r>
      <w:r>
        <w:rPr>
          <w:rFonts w:ascii="Arial" w:cs="Arial" w:eastAsia="Arial" w:hAnsi="Arial"/>
          <w:sz w:val="16"/>
          <w:szCs w:val="16"/>
          <w:color w:val="auto"/>
        </w:rPr>
        <w:t>” as used in this Agreement shall include a purchaser from any Underwriter of any of the Shares in his status as such purchaser.</w:t>
      </w:r>
    </w:p>
    <w:p>
      <w:pPr>
        <w:spacing w:after="0" w:line="158" w:lineRule="exact"/>
        <w:rPr>
          <w:sz w:val="20"/>
          <w:szCs w:val="20"/>
          <w:color w:val="auto"/>
        </w:rPr>
      </w:pPr>
    </w:p>
    <w:p>
      <w:pPr>
        <w:ind w:right="100" w:firstLine="656"/>
        <w:spacing w:after="0" w:line="297" w:lineRule="auto"/>
        <w:tabs>
          <w:tab w:leader="none" w:pos="125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Information Furnished by the Underwriters</w:t>
      </w:r>
      <w:r>
        <w:rPr>
          <w:rFonts w:ascii="Arial" w:cs="Arial" w:eastAsia="Arial" w:hAnsi="Arial"/>
          <w:sz w:val="16"/>
          <w:szCs w:val="16"/>
          <w:color w:val="auto"/>
        </w:rPr>
        <w:t>. The Partnership Parties acknowledge that the following statements set forth in the most recent Preliminary Prospectus and the Prospectus constitute the only information furnished by or on behalf of the Underwriters through the Representative as such information is referred to in Sections 1(e), 1(f), 1(g), 1(h), 5(q), 6(a) and 6(c) hereof: (A) the names of the Underwriters, (B) the table under the first paragraph under the heading “Underwriting,” (C) the sentence in the second paragraph under the heading “Underwriting—Commissions and Expenses” related to selling concessions and (D) the paragraphs under the heading “Underwriting—Stabilization, Short Positions and Penalty Bids.”</w:t>
      </w:r>
    </w:p>
    <w:p>
      <w:pPr>
        <w:spacing w:after="0" w:line="158" w:lineRule="exact"/>
        <w:rPr>
          <w:rFonts w:ascii="Arial" w:cs="Arial" w:eastAsia="Arial" w:hAnsi="Arial"/>
          <w:sz w:val="16"/>
          <w:szCs w:val="16"/>
          <w:color w:val="auto"/>
        </w:rPr>
      </w:pPr>
    </w:p>
    <w:p>
      <w:pPr>
        <w:jc w:val="both"/>
        <w:ind w:right="220" w:firstLine="656"/>
        <w:spacing w:after="0" w:line="342" w:lineRule="auto"/>
        <w:tabs>
          <w:tab w:leader="none" w:pos="125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Research Analyst Independence</w:t>
      </w:r>
      <w:r>
        <w:rPr>
          <w:rFonts w:ascii="Arial" w:cs="Arial" w:eastAsia="Arial" w:hAnsi="Arial"/>
          <w:sz w:val="16"/>
          <w:szCs w:val="16"/>
          <w:color w:val="auto"/>
        </w:rPr>
        <w:t>. The Partnership Parties acknowledge that the Underwriters’ research analysts and research departments are required to be independent from their respective investment banking divisions and are subject to certain regulations and internal policies, and that such</w:t>
      </w:r>
    </w:p>
    <w:p>
      <w:pPr>
        <w:sectPr>
          <w:pgSz w:w="11900" w:h="16975" w:orient="portrait"/>
          <w:cols w:equalWidth="0" w:num="1">
            <w:col w:w="11380"/>
          </w:cols>
          <w:pgMar w:left="240" w:top="125" w:right="279" w:bottom="0" w:gutter="0" w:footer="0" w:header="0"/>
        </w:sectPr>
      </w:pPr>
    </w:p>
    <w:bookmarkStart w:id="19" w:name="page20"/>
    <w:bookmarkEnd w:id="19"/>
    <w:p>
      <w:pPr>
        <w:ind w:right="100"/>
        <w:spacing w:after="0" w:line="271" w:lineRule="auto"/>
        <w:rPr>
          <w:sz w:val="20"/>
          <w:szCs w:val="20"/>
          <w:color w:val="auto"/>
        </w:rPr>
      </w:pPr>
      <w:r>
        <w:rPr>
          <w:rFonts w:ascii="Arial" w:cs="Arial" w:eastAsia="Arial" w:hAnsi="Arial"/>
          <w:sz w:val="17"/>
          <w:szCs w:val="17"/>
          <w:color w:val="auto"/>
        </w:rPr>
        <w:t>Underwriters’ research analysts may hold views and make statements or investment recommendations and/or publish research reports with respect to the Partnership and/or the offering that differ from the views of their respective investment banking divisions. The Partnership Parties hereby waive and release, to the fullest extent permitted by law, any claims that the Partnership Parties may have against the Underwriters with respect to any conflict of interest that may arise from the fact that the views expressed by their independent research analysts and research departments may be different from or inconsistent with the views or advice communicated to the Partnership Parties by such Underwriters’ investment banking divisions. The Partnership Parties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56"/>
        <w:spacing w:after="0" w:line="277" w:lineRule="auto"/>
        <w:tabs>
          <w:tab w:leader="none" w:pos="125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Partnership Parties and the Underwriters, or any of them, with respect to the subject matter hereof.</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Effective Date of Agreement</w:t>
      </w:r>
      <w:r>
        <w:rPr>
          <w:rFonts w:ascii="Arial" w:cs="Arial" w:eastAsia="Arial" w:hAnsi="Arial"/>
          <w:sz w:val="17"/>
          <w:szCs w:val="17"/>
          <w:color w:val="auto"/>
        </w:rPr>
        <w:t>. This Agreement shall become effective upon the execution and delivery hereof by the parties hereto.</w:t>
      </w:r>
    </w:p>
    <w:p>
      <w:pPr>
        <w:spacing w:after="0" w:line="236" w:lineRule="exact"/>
        <w:rPr>
          <w:rFonts w:ascii="Arial" w:cs="Arial" w:eastAsia="Arial" w:hAnsi="Arial"/>
          <w:sz w:val="17"/>
          <w:szCs w:val="17"/>
          <w:color w:val="auto"/>
        </w:rPr>
      </w:pPr>
    </w:p>
    <w:p>
      <w:pPr>
        <w:ind w:right="80" w:firstLine="656"/>
        <w:spacing w:after="0" w:line="253" w:lineRule="auto"/>
        <w:tabs>
          <w:tab w:leader="none" w:pos="125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Partnership Parties acknowledge and agree that in connection with this offering and sale of the Shares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Partnership Parties and any other person, on the one hand, and the Underwriters, on the other hand, exists; (ii) the Underwriters are not acting as advisors, expert or otherwise, to the Partnership Parties, including, without limitation, with respect to the determination of the public offering price of the Shares, and such relationship between the Partnership Parties , on the one hand, and the Underwriters, on the other, is entirely and solely commercial, based on arms-length negotiations; (iii) any duties and obligations that the Underwriters may have to the Partnership Parties shall be limited to those duties and obligations specifically stated herein; and (iv) the Underwriters and their respective affiliates may have interests that differ from those of the Partnership Parties. The Partnership Parties hereby waive any claims that they may have against the Underwriters with respect to any breach of fiduciary duty in connection with this offering.</w:t>
      </w:r>
    </w:p>
    <w:p>
      <w:pPr>
        <w:spacing w:after="0" w:line="194" w:lineRule="exact"/>
        <w:rPr>
          <w:rFonts w:ascii="Arial" w:cs="Arial" w:eastAsia="Arial" w:hAnsi="Arial"/>
          <w:sz w:val="18"/>
          <w:szCs w:val="18"/>
          <w:color w:val="auto"/>
        </w:rPr>
      </w:pPr>
    </w:p>
    <w:p>
      <w:pPr>
        <w:ind w:right="100" w:firstLine="656"/>
        <w:spacing w:after="0" w:line="259" w:lineRule="auto"/>
        <w:tabs>
          <w:tab w:leader="none" w:pos="125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25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Please confirm that the foregoing correctly sets forth the agreement among the Partnership and the Underwriters.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PAA GP HOLDINGS LLC,</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220"/>
        <w:spacing w:after="0"/>
        <w:tabs>
          <w:tab w:leader="none" w:pos="6720" w:val="left"/>
        </w:tabs>
        <w:rPr>
          <w:sz w:val="20"/>
          <w:szCs w:val="20"/>
          <w:color w:val="auto"/>
        </w:rPr>
      </w:pPr>
      <w:r>
        <w:rPr>
          <w:rFonts w:ascii="Arial" w:cs="Arial" w:eastAsia="Arial" w:hAnsi="Arial"/>
          <w:sz w:val="18"/>
          <w:szCs w:val="18"/>
          <w:color w:val="auto"/>
        </w:rPr>
        <w:t>By:</w:t>
        <w:tab/>
        <w:t>/s/ Al Swanson</w:t>
      </w:r>
    </w:p>
    <w:p>
      <w:pPr>
        <w:spacing w:after="0" w:line="23" w:lineRule="exact"/>
        <w:rPr>
          <w:sz w:val="20"/>
          <w:szCs w:val="20"/>
          <w:color w:val="auto"/>
        </w:rPr>
      </w:pPr>
    </w:p>
    <w:tbl>
      <w:tblPr>
        <w:tblLayout w:type="fixed"/>
        <w:tblInd w:w="574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040" w:type="dxa"/>
            <w:vAlign w:val="bottom"/>
            <w:tcBorders>
              <w:top w:val="single" w:sz="8" w:color="auto"/>
            </w:tcBorders>
          </w:tcPr>
          <w:p>
            <w:pPr>
              <w:ind w:left="5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50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40" w:type="dxa"/>
            <w:vAlign w:val="bottom"/>
          </w:tcPr>
          <w:p>
            <w:pPr>
              <w:ind w:left="500"/>
              <w:spacing w:after="0"/>
              <w:rPr>
                <w:sz w:val="20"/>
                <w:szCs w:val="20"/>
                <w:color w:val="auto"/>
              </w:rPr>
            </w:pPr>
            <w:r>
              <w:rPr>
                <w:rFonts w:ascii="Arial" w:cs="Arial" w:eastAsia="Arial" w:hAnsi="Arial"/>
                <w:sz w:val="18"/>
                <w:szCs w:val="18"/>
                <w:color w:val="auto"/>
              </w:rPr>
              <w:t>Chief Financial Officer</w:t>
            </w:r>
          </w:p>
        </w:tc>
      </w:tr>
      <w:tr>
        <w:trPr>
          <w:trHeight w:val="432"/>
        </w:trPr>
        <w:tc>
          <w:tcPr>
            <w:tcW w:w="5680" w:type="dxa"/>
            <w:vAlign w:val="bottom"/>
            <w:gridSpan w:val="4"/>
          </w:tcPr>
          <w:p>
            <w:pPr>
              <w:spacing w:after="0"/>
              <w:rPr>
                <w:sz w:val="20"/>
                <w:szCs w:val="20"/>
                <w:color w:val="auto"/>
              </w:rPr>
            </w:pPr>
            <w:r>
              <w:rPr>
                <w:rFonts w:ascii="Arial" w:cs="Arial" w:eastAsia="Arial" w:hAnsi="Arial"/>
                <w:sz w:val="18"/>
                <w:szCs w:val="18"/>
                <w:b w:val="1"/>
                <w:bCs w:val="1"/>
                <w:color w:val="auto"/>
              </w:rPr>
              <w:t>PAA GP HOLDINGS LLC</w:t>
            </w:r>
          </w:p>
        </w:tc>
      </w:tr>
      <w:tr>
        <w:trPr>
          <w:trHeight w:val="432"/>
        </w:trPr>
        <w:tc>
          <w:tcPr>
            <w:tcW w:w="1640" w:type="dxa"/>
            <w:vAlign w:val="bottom"/>
            <w:gridSpan w:val="3"/>
          </w:tcPr>
          <w:p>
            <w:pPr>
              <w:spacing w:after="0"/>
              <w:rPr>
                <w:sz w:val="20"/>
                <w:szCs w:val="20"/>
                <w:color w:val="auto"/>
              </w:rPr>
            </w:pPr>
            <w:r>
              <w:rPr>
                <w:rFonts w:ascii="Arial" w:cs="Arial" w:eastAsia="Arial" w:hAnsi="Arial"/>
                <w:sz w:val="18"/>
                <w:szCs w:val="18"/>
                <w:color w:val="auto"/>
              </w:rPr>
              <w:t>By:   /s/ Al Swanson</w:t>
            </w:r>
          </w:p>
        </w:tc>
        <w:tc>
          <w:tcPr>
            <w:tcW w:w="4040" w:type="dxa"/>
            <w:vAlign w:val="bottom"/>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1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40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6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 confirmed and accepted as of the date first above written.</w:t>
      </w:r>
    </w:p>
    <w:p>
      <w:pPr>
        <w:sectPr>
          <w:pgSz w:w="11900" w:h="16838" w:orient="portrait"/>
          <w:cols w:equalWidth="0" w:num="1">
            <w:col w:w="11420"/>
          </w:cols>
          <w:pgMar w:left="240" w:top="125" w:right="239" w:bottom="154"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As Representative of the several underwriters</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Victoria Hale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3310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840" w:type="dxa"/>
            <w:vAlign w:val="bottom"/>
            <w:gridSpan w:val="4"/>
          </w:tcPr>
          <w:p>
            <w:pPr>
              <w:jc w:val="center"/>
              <w:ind w:right="458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4"/>
                <w:szCs w:val="24"/>
                <w:color w:val="auto"/>
              </w:rPr>
            </w:pPr>
          </w:p>
        </w:tc>
        <w:tc>
          <w:tcPr>
            <w:tcW w:w="6840" w:type="dxa"/>
            <w:vAlign w:val="bottom"/>
            <w:gridSpan w:val="4"/>
          </w:tcPr>
          <w:p>
            <w:pPr>
              <w:jc w:val="center"/>
              <w:ind w:right="4580"/>
              <w:spacing w:after="0"/>
              <w:rPr>
                <w:sz w:val="20"/>
                <w:szCs w:val="20"/>
                <w:color w:val="auto"/>
              </w:rPr>
            </w:pPr>
            <w:r>
              <w:rPr>
                <w:rFonts w:ascii="Arial" w:cs="Arial" w:eastAsia="Arial" w:hAnsi="Arial"/>
                <w:sz w:val="18"/>
                <w:szCs w:val="18"/>
                <w:b w:val="1"/>
                <w:bCs w:val="1"/>
                <w:color w:val="auto"/>
                <w:w w:val="90"/>
              </w:rPr>
              <w:t>Plains GP Holdings, L.P.</w:t>
            </w:r>
          </w:p>
        </w:tc>
        <w:tc>
          <w:tcPr>
            <w:tcW w:w="0" w:type="dxa"/>
            <w:vAlign w:val="bottom"/>
          </w:tcPr>
          <w:p>
            <w:pPr>
              <w:spacing w:after="0"/>
              <w:rPr>
                <w:sz w:val="1"/>
                <w:szCs w:val="1"/>
                <w:color w:val="auto"/>
              </w:rPr>
            </w:pPr>
          </w:p>
        </w:tc>
      </w:tr>
      <w:tr>
        <w:trPr>
          <w:trHeight w:val="342"/>
        </w:trPr>
        <w:tc>
          <w:tcPr>
            <w:tcW w:w="4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71"/>
        </w:trPr>
        <w:tc>
          <w:tcPr>
            <w:tcW w:w="4580" w:type="dxa"/>
            <w:vAlign w:val="bottom"/>
            <w:vMerge w:val="continue"/>
          </w:tcPr>
          <w:p>
            <w:pPr>
              <w:spacing w:after="0"/>
              <w:rPr>
                <w:sz w:val="14"/>
                <w:szCs w:val="14"/>
                <w:color w:val="auto"/>
              </w:rPr>
            </w:pPr>
          </w:p>
        </w:tc>
        <w:tc>
          <w:tcPr>
            <w:tcW w:w="5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5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Goldman, Sachs &amp; Co.</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21,653,333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21,653,333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10,373,333</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5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Incorporated</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9,093,333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UBS Securities LLC</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9,093,333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9,093,333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2,346,667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2,346,667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2,346,667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2,346,667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Robert W. Baird &amp; Co. Incorporated</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1,173,333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1,173,333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Stifel, Nicolaus &amp; Company, Incorporated</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1,173,333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USCA Securities LLC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826,667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Mitsubishi UFJ Securities (USA), Inc.</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586,667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586,667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586,667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ING Financial Markets LLC</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586,667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586,667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Piper Jaffray &amp; Co.</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586,667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586,667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Scotia Capital (USA) Inc.</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586,667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586,667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SG Americas Securities, LLC</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586,667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586,667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w w:val="98"/>
              </w:rPr>
              <w:t>BB&amp;T Capital Markets, a division of BB&amp;T Securities, LLC</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293,333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CIBC World Markets Corp.</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293,333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Ladenburg Thalmann &amp; Co. Inc.</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293,333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293,333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Simmons &amp; Company International</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293,333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Stephens Inc.</w:t>
            </w:r>
          </w:p>
        </w:tc>
        <w:tc>
          <w:tcPr>
            <w:tcW w:w="6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293,333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Tudor, Pickering, Holt &amp; Co. Securities, Inc.</w:t>
            </w:r>
          </w:p>
        </w:tc>
        <w:tc>
          <w:tcPr>
            <w:tcW w:w="6840" w:type="dxa"/>
            <w:vAlign w:val="bottom"/>
            <w:gridSpan w:val="4"/>
          </w:tcPr>
          <w:p>
            <w:pPr>
              <w:jc w:val="right"/>
              <w:ind w:right="100"/>
              <w:spacing w:after="0"/>
              <w:rPr>
                <w:sz w:val="20"/>
                <w:szCs w:val="20"/>
                <w:color w:val="auto"/>
              </w:rPr>
            </w:pPr>
            <w:r>
              <w:rPr>
                <w:rFonts w:ascii="Arial" w:cs="Arial" w:eastAsia="Arial" w:hAnsi="Arial"/>
                <w:sz w:val="18"/>
                <w:szCs w:val="18"/>
                <w:color w:val="auto"/>
              </w:rPr>
              <w:t>293,333</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Pricing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Number of Shares:</w:t>
      </w:r>
      <w:r>
        <w:rPr>
          <w:sz w:val="20"/>
          <w:szCs w:val="20"/>
          <w:color w:val="auto"/>
        </w:rPr>
        <w:tab/>
      </w:r>
      <w:r>
        <w:rPr>
          <w:rFonts w:ascii="Arial" w:cs="Arial" w:eastAsia="Arial" w:hAnsi="Arial"/>
          <w:sz w:val="16"/>
          <w:szCs w:val="16"/>
          <w:color w:val="auto"/>
        </w:rPr>
        <w:t>128,000,000 Initial Shares or, if the Underwriters exercise in full their option to purchase 19,200,000</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Additional Shares granted in Section 2 hereof, 147,200,000 Shares</w:t>
      </w:r>
    </w:p>
    <w:p>
      <w:pPr>
        <w:spacing w:after="0" w:line="211"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Public offering price for the Shares:</w:t>
      </w:r>
      <w:r>
        <w:rPr>
          <w:sz w:val="20"/>
          <w:szCs w:val="20"/>
          <w:color w:val="auto"/>
        </w:rPr>
        <w:tab/>
      </w:r>
      <w:r>
        <w:rPr>
          <w:rFonts w:ascii="Arial" w:cs="Arial" w:eastAsia="Arial" w:hAnsi="Arial"/>
          <w:sz w:val="15"/>
          <w:szCs w:val="15"/>
          <w:color w:val="auto"/>
        </w:rPr>
        <w:t>$22.00 per Share</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Schedule II to Underwriting Agreement</w:t>
      </w:r>
    </w:p>
    <w:p>
      <w:pPr>
        <w:sectPr>
          <w:pgSz w:w="11900" w:h="16838" w:orient="portrait"/>
          <w:cols w:equalWidth="0" w:num="1">
            <w:col w:w="11420"/>
          </w:cols>
          <w:pgMar w:left="240" w:top="125" w:right="239" w:bottom="0" w:gutter="0" w:footer="0" w:header="0"/>
          <w:type w:val="continuous"/>
        </w:sectPr>
      </w:pPr>
    </w:p>
    <w:bookmarkStart w:id="21" w:name="page22"/>
    <w:bookmarkEnd w:id="2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IV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2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Formation/</w:t>
            </w:r>
          </w:p>
        </w:tc>
        <w:tc>
          <w:tcPr>
            <w:tcW w:w="4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Foreign Qualifications</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2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Organization</w:t>
            </w:r>
          </w:p>
        </w:tc>
        <w:tc>
          <w:tcPr>
            <w:tcW w:w="4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PAA GP LLC</w:t>
            </w:r>
          </w:p>
        </w:tc>
        <w:tc>
          <w:tcPr>
            <w:tcW w:w="2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0" w:type="dxa"/>
            <w:vAlign w:val="bottom"/>
            <w:tcBorders>
              <w:top w:val="single" w:sz="8" w:color="CCEEFF"/>
            </w:tcBorders>
            <w:shd w:val="clear" w:color="auto" w:fill="CCEEFF"/>
          </w:tcPr>
          <w:p>
            <w:pPr>
              <w:spacing w:after="0"/>
              <w:rPr>
                <w:sz w:val="18"/>
                <w:szCs w:val="18"/>
                <w:color w:val="auto"/>
              </w:rPr>
            </w:pPr>
          </w:p>
        </w:tc>
        <w:tc>
          <w:tcPr>
            <w:tcW w:w="4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Pacific Pipeline System LLC</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Delaware</w:t>
            </w:r>
          </w:p>
        </w:tc>
        <w:tc>
          <w:tcPr>
            <w:tcW w:w="4540" w:type="dxa"/>
            <w:vAlign w:val="bottom"/>
          </w:tcPr>
          <w:p>
            <w:pPr>
              <w:jc w:val="cente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Pine Prairie Energy Center, LLC</w:t>
            </w:r>
          </w:p>
        </w:tc>
        <w:tc>
          <w:tcPr>
            <w:tcW w:w="2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Delaware</w:t>
            </w:r>
          </w:p>
        </w:tc>
        <w:tc>
          <w:tcPr>
            <w:tcW w:w="4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LA</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Plains AAP, L.P.</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Delaware</w:t>
            </w:r>
          </w:p>
        </w:tc>
        <w:tc>
          <w:tcPr>
            <w:tcW w:w="4540" w:type="dxa"/>
            <w:vAlign w:val="bottom"/>
          </w:tcPr>
          <w:p>
            <w:pPr>
              <w:jc w:val="cente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All American GP LLC</w:t>
            </w:r>
          </w:p>
        </w:tc>
        <w:tc>
          <w:tcPr>
            <w:tcW w:w="2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Delaware</w:t>
            </w:r>
          </w:p>
        </w:tc>
        <w:tc>
          <w:tcPr>
            <w:tcW w:w="4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 IL, LA, OK, TX</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Plains All American Pipeline, L.P.</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Delaware</w:t>
            </w:r>
          </w:p>
        </w:tc>
        <w:tc>
          <w:tcPr>
            <w:tcW w:w="4540" w:type="dxa"/>
            <w:vAlign w:val="bottom"/>
          </w:tcPr>
          <w:p>
            <w:pPr>
              <w:jc w:val="cente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2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Texas</w:t>
            </w:r>
          </w:p>
        </w:tc>
        <w:tc>
          <w:tcPr>
            <w:tcW w:w="4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CA, IL, OK</w:t>
            </w:r>
          </w:p>
        </w:tc>
        <w:tc>
          <w:tcPr>
            <w:tcW w:w="0" w:type="dxa"/>
            <w:vAlign w:val="bottom"/>
          </w:tcPr>
          <w:p>
            <w:pPr>
              <w:spacing w:after="0"/>
              <w:rPr>
                <w:sz w:val="1"/>
                <w:szCs w:val="1"/>
                <w:color w:val="auto"/>
              </w:rPr>
            </w:pPr>
          </w:p>
        </w:tc>
      </w:tr>
      <w:tr>
        <w:trPr>
          <w:trHeight w:val="253"/>
        </w:trPr>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Plains Marketing, L.P.</w:t>
            </w:r>
          </w:p>
        </w:tc>
        <w:tc>
          <w:tcPr>
            <w:tcW w:w="29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5"/>
              </w:rPr>
              <w:t>Texas</w:t>
            </w:r>
          </w:p>
        </w:tc>
        <w:tc>
          <w:tcPr>
            <w:tcW w:w="45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CA, IL, LA, OK</w:t>
            </w:r>
          </w:p>
        </w:tc>
        <w:tc>
          <w:tcPr>
            <w:tcW w:w="0" w:type="dxa"/>
            <w:vAlign w:val="bottom"/>
          </w:tcPr>
          <w:p>
            <w:pPr>
              <w:spacing w:after="0"/>
              <w:rPr>
                <w:sz w:val="1"/>
                <w:szCs w:val="1"/>
                <w:color w:val="auto"/>
              </w:rPr>
            </w:pPr>
          </w:p>
        </w:tc>
      </w:tr>
    </w:tbl>
    <w:p>
      <w:pPr>
        <w:sectPr>
          <w:pgSz w:w="11900" w:h="16900" w:orient="portrait"/>
          <w:cols w:equalWidth="0" w:num="1">
            <w:col w:w="11420"/>
          </w:cols>
          <w:pgMar w:left="240" w:top="1053"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Canada ULC</w:t>
            </w:r>
          </w:p>
        </w:tc>
        <w:tc>
          <w:tcPr>
            <w:tcW w:w="2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British Columbia</w:t>
            </w:r>
          </w:p>
        </w:tc>
        <w:tc>
          <w:tcPr>
            <w:tcW w:w="47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Alberta, Manitoba, New Brunswick, Nova Scotia, Quebec,</w:t>
            </w:r>
          </w:p>
        </w:tc>
        <w:tc>
          <w:tcPr>
            <w:tcW w:w="40" w:type="dxa"/>
            <w:vAlign w:val="bottom"/>
          </w:tcPr>
          <w:p>
            <w:pPr>
              <w:spacing w:after="0"/>
              <w:rPr>
                <w:sz w:val="17"/>
                <w:szCs w:val="17"/>
                <w:color w:val="auto"/>
              </w:rPr>
            </w:pPr>
          </w:p>
        </w:tc>
      </w:tr>
      <w:tr>
        <w:trPr>
          <w:trHeight w:val="230"/>
        </w:trPr>
        <w:tc>
          <w:tcPr>
            <w:tcW w:w="37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47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7"/>
              </w:rPr>
              <w:t>Saskatchewan</w:t>
            </w:r>
          </w:p>
        </w:tc>
        <w:tc>
          <w:tcPr>
            <w:tcW w:w="40" w:type="dxa"/>
            <w:vAlign w:val="bottom"/>
          </w:tcPr>
          <w:p>
            <w:pPr>
              <w:spacing w:after="0"/>
              <w:rPr>
                <w:sz w:val="20"/>
                <w:szCs w:val="20"/>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Plains Pipeline, L.P.</w:t>
            </w:r>
          </w:p>
        </w:tc>
        <w:tc>
          <w:tcPr>
            <w:tcW w:w="2920" w:type="dxa"/>
            <w:vAlign w:val="bottom"/>
          </w:tcPr>
          <w:p>
            <w:pPr>
              <w:jc w:val="center"/>
              <w:ind w:left="130"/>
              <w:spacing w:after="0"/>
              <w:rPr>
                <w:sz w:val="20"/>
                <w:szCs w:val="20"/>
                <w:color w:val="auto"/>
              </w:rPr>
            </w:pPr>
            <w:r>
              <w:rPr>
                <w:rFonts w:ascii="Arial" w:cs="Arial" w:eastAsia="Arial" w:hAnsi="Arial"/>
                <w:sz w:val="18"/>
                <w:szCs w:val="18"/>
                <w:color w:val="auto"/>
                <w:w w:val="85"/>
              </w:rPr>
              <w:t>Texas</w:t>
            </w:r>
          </w:p>
        </w:tc>
        <w:tc>
          <w:tcPr>
            <w:tcW w:w="4740" w:type="dxa"/>
            <w:vAlign w:val="bottom"/>
          </w:tcPr>
          <w:p>
            <w:pPr>
              <w:jc w:val="center"/>
              <w:ind w:left="110"/>
              <w:spacing w:after="0"/>
              <w:rPr>
                <w:sz w:val="20"/>
                <w:szCs w:val="20"/>
                <w:color w:val="auto"/>
              </w:rPr>
            </w:pPr>
            <w:r>
              <w:rPr>
                <w:rFonts w:ascii="Arial" w:cs="Arial" w:eastAsia="Arial" w:hAnsi="Arial"/>
                <w:sz w:val="18"/>
                <w:szCs w:val="18"/>
                <w:color w:val="auto"/>
                <w:w w:val="99"/>
              </w:rPr>
              <w:t>CA, IL, LA, OK</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Plains Products Terminals LLC</w:t>
            </w:r>
          </w:p>
        </w:tc>
        <w:tc>
          <w:tcPr>
            <w:tcW w:w="2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Delaware</w:t>
            </w:r>
          </w:p>
        </w:tc>
        <w:tc>
          <w:tcPr>
            <w:tcW w:w="47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rPr>
              <w:t>CA</w:t>
            </w: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Plains South Texas Gathering LLC</w:t>
            </w:r>
          </w:p>
        </w:tc>
        <w:tc>
          <w:tcPr>
            <w:tcW w:w="2920" w:type="dxa"/>
            <w:vAlign w:val="bottom"/>
          </w:tcPr>
          <w:p>
            <w:pPr>
              <w:jc w:val="center"/>
              <w:ind w:left="130"/>
              <w:spacing w:after="0"/>
              <w:rPr>
                <w:sz w:val="20"/>
                <w:szCs w:val="20"/>
                <w:color w:val="auto"/>
              </w:rPr>
            </w:pPr>
            <w:r>
              <w:rPr>
                <w:rFonts w:ascii="Arial" w:cs="Arial" w:eastAsia="Arial" w:hAnsi="Arial"/>
                <w:sz w:val="18"/>
                <w:szCs w:val="18"/>
                <w:color w:val="auto"/>
                <w:w w:val="85"/>
              </w:rPr>
              <w:t>Texas</w:t>
            </w:r>
          </w:p>
        </w:tc>
        <w:tc>
          <w:tcPr>
            <w:tcW w:w="4740" w:type="dxa"/>
            <w:vAlign w:val="bottom"/>
          </w:tcPr>
          <w:p>
            <w:pPr>
              <w:jc w:val="center"/>
              <w:ind w:left="110"/>
              <w:spacing w:after="0"/>
              <w:rPr>
                <w:sz w:val="20"/>
                <w:szCs w:val="20"/>
                <w:color w:val="auto"/>
              </w:rPr>
            </w:pPr>
            <w:r>
              <w:rPr>
                <w:rFonts w:ascii="Arial" w:cs="Arial" w:eastAsia="Arial" w:hAnsi="Arial"/>
                <w:sz w:val="18"/>
                <w:szCs w:val="18"/>
                <w:color w:val="auto"/>
                <w:w w:val="99"/>
              </w:rPr>
              <w:t>OK</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Plains West Coast Terminals LLC</w:t>
            </w:r>
          </w:p>
        </w:tc>
        <w:tc>
          <w:tcPr>
            <w:tcW w:w="2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Delaware</w:t>
            </w:r>
          </w:p>
        </w:tc>
        <w:tc>
          <w:tcPr>
            <w:tcW w:w="47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rPr>
              <w:t>CA</w:t>
            </w: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Rocky Mountain Pipeline System LLC</w:t>
            </w:r>
          </w:p>
        </w:tc>
        <w:tc>
          <w:tcPr>
            <w:tcW w:w="2920" w:type="dxa"/>
            <w:vAlign w:val="bottom"/>
          </w:tcPr>
          <w:p>
            <w:pPr>
              <w:jc w:val="center"/>
              <w:ind w:left="110"/>
              <w:spacing w:after="0"/>
              <w:rPr>
                <w:sz w:val="20"/>
                <w:szCs w:val="20"/>
                <w:color w:val="auto"/>
              </w:rPr>
            </w:pPr>
            <w:r>
              <w:rPr>
                <w:rFonts w:ascii="Arial" w:cs="Arial" w:eastAsia="Arial" w:hAnsi="Arial"/>
                <w:sz w:val="18"/>
                <w:szCs w:val="18"/>
                <w:color w:val="auto"/>
                <w:w w:val="89"/>
              </w:rPr>
              <w:t>Delaware</w:t>
            </w:r>
          </w:p>
        </w:tc>
        <w:tc>
          <w:tcPr>
            <w:tcW w:w="4740" w:type="dxa"/>
            <w:vAlign w:val="bottom"/>
          </w:tcPr>
          <w:p>
            <w:pPr>
              <w:jc w:val="center"/>
              <w:ind w:left="130"/>
              <w:spacing w:after="0"/>
              <w:rPr>
                <w:sz w:val="20"/>
                <w:szCs w:val="20"/>
                <w:color w:val="auto"/>
              </w:rPr>
            </w:pPr>
            <w:r>
              <w:rPr>
                <w:rFonts w:ascii="Arial" w:cs="Arial" w:eastAsia="Arial" w:hAnsi="Arial"/>
                <w:sz w:val="18"/>
                <w:szCs w:val="18"/>
                <w:color w:val="auto"/>
                <w:w w:val="99"/>
              </w:rPr>
              <w:t>UT</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SG Resources Mississippi LLC</w:t>
            </w:r>
          </w:p>
        </w:tc>
        <w:tc>
          <w:tcPr>
            <w:tcW w:w="29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Delaware</w:t>
            </w:r>
          </w:p>
        </w:tc>
        <w:tc>
          <w:tcPr>
            <w:tcW w:w="47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8"/>
              </w:rPr>
              <w:t>AL, MS</w:t>
            </w:r>
          </w:p>
        </w:tc>
        <w:tc>
          <w:tcPr>
            <w:tcW w:w="40" w:type="dxa"/>
            <w:vAlign w:val="bottom"/>
          </w:tcPr>
          <w:p>
            <w:pPr>
              <w:spacing w:after="0"/>
              <w:rPr>
                <w:sz w:val="18"/>
                <w:szCs w:val="18"/>
                <w:color w:val="auto"/>
              </w:rPr>
            </w:pPr>
          </w:p>
        </w:tc>
      </w:tr>
      <w:tr>
        <w:trPr>
          <w:trHeight w:val="432"/>
        </w:trPr>
        <w:tc>
          <w:tcPr>
            <w:tcW w:w="3760" w:type="dxa"/>
            <w:vAlign w:val="bottom"/>
          </w:tcPr>
          <w:p>
            <w:pPr>
              <w:spacing w:after="0"/>
              <w:rPr>
                <w:sz w:val="24"/>
                <w:szCs w:val="24"/>
                <w:color w:val="auto"/>
              </w:rPr>
            </w:pPr>
          </w:p>
        </w:tc>
        <w:tc>
          <w:tcPr>
            <w:tcW w:w="2920" w:type="dxa"/>
            <w:vAlign w:val="bottom"/>
          </w:tcPr>
          <w:p>
            <w:pPr>
              <w:jc w:val="center"/>
              <w:ind w:left="890"/>
              <w:spacing w:after="0"/>
              <w:rPr>
                <w:sz w:val="20"/>
                <w:szCs w:val="20"/>
                <w:color w:val="auto"/>
              </w:rPr>
            </w:pPr>
            <w:r>
              <w:rPr>
                <w:rFonts w:ascii="Arial" w:cs="Arial" w:eastAsia="Arial" w:hAnsi="Arial"/>
                <w:sz w:val="18"/>
                <w:szCs w:val="18"/>
                <w:color w:val="auto"/>
                <w:w w:val="98"/>
              </w:rPr>
              <w:t>Exhibit A-1</w:t>
            </w: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010101"/>
            </w:tcBorders>
          </w:tcPr>
          <w:p>
            <w:pPr>
              <w:spacing w:after="0"/>
              <w:rPr>
                <w:sz w:val="11"/>
                <w:szCs w:val="11"/>
                <w:color w:val="auto"/>
              </w:rPr>
            </w:pPr>
          </w:p>
        </w:tc>
        <w:tc>
          <w:tcPr>
            <w:tcW w:w="2920" w:type="dxa"/>
            <w:vAlign w:val="bottom"/>
            <w:tcBorders>
              <w:bottom w:val="single" w:sz="8" w:color="010101"/>
            </w:tcBorders>
          </w:tcPr>
          <w:p>
            <w:pPr>
              <w:spacing w:after="0"/>
              <w:rPr>
                <w:sz w:val="11"/>
                <w:szCs w:val="11"/>
                <w:color w:val="auto"/>
              </w:rPr>
            </w:pPr>
          </w:p>
        </w:tc>
        <w:tc>
          <w:tcPr>
            <w:tcW w:w="4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3760" w:type="dxa"/>
            <w:vAlign w:val="bottom"/>
          </w:tcPr>
          <w:p>
            <w:pPr>
              <w:spacing w:after="0"/>
              <w:rPr>
                <w:sz w:val="24"/>
                <w:szCs w:val="24"/>
                <w:color w:val="auto"/>
              </w:rPr>
            </w:pPr>
          </w:p>
        </w:tc>
        <w:tc>
          <w:tcPr>
            <w:tcW w:w="2920" w:type="dxa"/>
            <w:vAlign w:val="bottom"/>
          </w:tcPr>
          <w:p>
            <w:pPr>
              <w:jc w:val="center"/>
              <w:ind w:left="890"/>
              <w:spacing w:after="0"/>
              <w:rPr>
                <w:sz w:val="20"/>
                <w:szCs w:val="20"/>
                <w:color w:val="auto"/>
              </w:rPr>
            </w:pPr>
            <w:r>
              <w:rPr>
                <w:rFonts w:ascii="Arial" w:cs="Arial" w:eastAsia="Arial" w:hAnsi="Arial"/>
                <w:sz w:val="18"/>
                <w:szCs w:val="18"/>
                <w:b w:val="1"/>
                <w:bCs w:val="1"/>
                <w:color w:val="auto"/>
              </w:rPr>
              <w:t>EXHIBIT B</w:t>
            </w: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3760" w:type="dxa"/>
            <w:vAlign w:val="bottom"/>
          </w:tcPr>
          <w:p>
            <w:pPr>
              <w:spacing w:after="0"/>
              <w:rPr>
                <w:sz w:val="24"/>
                <w:szCs w:val="24"/>
                <w:color w:val="auto"/>
              </w:rPr>
            </w:pPr>
          </w:p>
        </w:tc>
        <w:tc>
          <w:tcPr>
            <w:tcW w:w="2920" w:type="dxa"/>
            <w:vAlign w:val="bottom"/>
          </w:tcPr>
          <w:p>
            <w:pPr>
              <w:jc w:val="center"/>
              <w:ind w:left="890"/>
              <w:spacing w:after="0"/>
              <w:rPr>
                <w:sz w:val="20"/>
                <w:szCs w:val="20"/>
                <w:color w:val="auto"/>
              </w:rPr>
            </w:pPr>
            <w:r>
              <w:rPr>
                <w:rFonts w:ascii="Arial" w:cs="Arial" w:eastAsia="Arial" w:hAnsi="Arial"/>
                <w:sz w:val="18"/>
                <w:szCs w:val="18"/>
                <w:color w:val="auto"/>
                <w:w w:val="97"/>
              </w:rPr>
              <w:t>October   , 2013</w:t>
            </w: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Public Offering of Class A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firstLine="667"/>
        <w:spacing w:after="0" w:line="303" w:lineRule="auto"/>
        <w:rPr>
          <w:sz w:val="20"/>
          <w:szCs w:val="20"/>
          <w:color w:val="auto"/>
        </w:rPr>
      </w:pPr>
      <w:r>
        <w:rPr>
          <w:rFonts w:ascii="Arial" w:cs="Arial" w:eastAsia="Arial" w:hAnsi="Arial"/>
          <w:sz w:val="16"/>
          <w:szCs w:val="16"/>
          <w:color w:val="auto"/>
        </w:rPr>
        <w:t>The undersigned understands that Barclays Capital Inc. (“</w:t>
      </w:r>
      <w:r>
        <w:rPr>
          <w:rFonts w:ascii="Arial" w:cs="Arial" w:eastAsia="Arial" w:hAnsi="Arial"/>
          <w:sz w:val="16"/>
          <w:szCs w:val="16"/>
          <w:b w:val="1"/>
          <w:bCs w:val="1"/>
          <w:color w:val="auto"/>
        </w:rPr>
        <w:t>Barclays</w:t>
      </w:r>
      <w:r>
        <w:rPr>
          <w:rFonts w:ascii="Arial" w:cs="Arial" w:eastAsia="Arial" w:hAnsi="Arial"/>
          <w:sz w:val="16"/>
          <w:szCs w:val="16"/>
          <w:color w:val="auto"/>
        </w:rPr>
        <w:t>”) and certain other firms (the “</w:t>
      </w:r>
      <w:r>
        <w:rPr>
          <w:rFonts w:ascii="Arial" w:cs="Arial" w:eastAsia="Arial" w:hAnsi="Arial"/>
          <w:sz w:val="16"/>
          <w:szCs w:val="16"/>
          <w:b w:val="1"/>
          <w:bCs w:val="1"/>
          <w:color w:val="auto"/>
        </w:rPr>
        <w:t>Underwriters</w:t>
      </w:r>
      <w:r>
        <w:rPr>
          <w:rFonts w:ascii="Arial" w:cs="Arial" w:eastAsia="Arial" w:hAnsi="Arial"/>
          <w:sz w:val="16"/>
          <w:szCs w:val="16"/>
          <w:color w:val="auto"/>
        </w:rPr>
        <w:t>”) propose to 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Plains GP Holdings, L.P., a Delaware limited partnership (the “</w:t>
      </w:r>
      <w:r>
        <w:rPr>
          <w:rFonts w:ascii="Arial" w:cs="Arial" w:eastAsia="Arial" w:hAnsi="Arial"/>
          <w:sz w:val="16"/>
          <w:szCs w:val="16"/>
          <w:b w:val="1"/>
          <w:bCs w:val="1"/>
          <w:color w:val="auto"/>
        </w:rPr>
        <w:t>Partnership</w:t>
      </w:r>
      <w:r>
        <w:rPr>
          <w:rFonts w:ascii="Arial" w:cs="Arial" w:eastAsia="Arial" w:hAnsi="Arial"/>
          <w:sz w:val="16"/>
          <w:szCs w:val="16"/>
          <w:color w:val="auto"/>
        </w:rPr>
        <w:t>”), and PAA GP Holdings LLC, a Delaware limited liability company (the “</w:t>
      </w:r>
      <w:r>
        <w:rPr>
          <w:rFonts w:ascii="Arial" w:cs="Arial" w:eastAsia="Arial" w:hAnsi="Arial"/>
          <w:sz w:val="16"/>
          <w:szCs w:val="16"/>
          <w:b w:val="1"/>
          <w:bCs w:val="1"/>
          <w:color w:val="auto"/>
        </w:rPr>
        <w:t>General Partner</w:t>
      </w:r>
      <w:r>
        <w:rPr>
          <w:rFonts w:ascii="Arial" w:cs="Arial" w:eastAsia="Arial" w:hAnsi="Arial"/>
          <w:sz w:val="16"/>
          <w:szCs w:val="16"/>
          <w:color w:val="auto"/>
        </w:rPr>
        <w:t>”), providing for the purchase by the Underwriters of Class A shares representing limited partner interests in the Partnership (the “</w:t>
      </w:r>
      <w:r>
        <w:rPr>
          <w:rFonts w:ascii="Arial" w:cs="Arial" w:eastAsia="Arial" w:hAnsi="Arial"/>
          <w:sz w:val="16"/>
          <w:szCs w:val="16"/>
          <w:b w:val="1"/>
          <w:bCs w:val="1"/>
          <w:color w:val="auto"/>
        </w:rPr>
        <w:t>Shares</w:t>
      </w:r>
      <w:r>
        <w:rPr>
          <w:rFonts w:ascii="Arial" w:cs="Arial" w:eastAsia="Arial" w:hAnsi="Arial"/>
          <w:sz w:val="16"/>
          <w:szCs w:val="16"/>
          <w:color w:val="auto"/>
        </w:rPr>
        <w:t>”) and that the Underwriters propose to reoffer the Shares to the public (the “</w:t>
      </w:r>
      <w:r>
        <w:rPr>
          <w:rFonts w:ascii="Arial" w:cs="Arial" w:eastAsia="Arial" w:hAnsi="Arial"/>
          <w:sz w:val="16"/>
          <w:szCs w:val="16"/>
          <w:b w:val="1"/>
          <w:bCs w:val="1"/>
          <w:color w:val="auto"/>
        </w:rPr>
        <w:t>Offering</w:t>
      </w:r>
      <w:r>
        <w:rPr>
          <w:rFonts w:ascii="Arial" w:cs="Arial" w:eastAsia="Arial" w:hAnsi="Arial"/>
          <w:sz w:val="16"/>
          <w:szCs w:val="16"/>
          <w:color w:val="auto"/>
        </w:rPr>
        <w:t>”).</w:t>
      </w:r>
    </w:p>
    <w:p>
      <w:pPr>
        <w:spacing w:after="0" w:line="155" w:lineRule="exact"/>
        <w:rPr>
          <w:sz w:val="20"/>
          <w:szCs w:val="20"/>
          <w:color w:val="auto"/>
        </w:rPr>
      </w:pPr>
    </w:p>
    <w:p>
      <w:pPr>
        <w:ind w:right="60" w:firstLine="667"/>
        <w:spacing w:after="0" w:line="287" w:lineRule="auto"/>
        <w:rPr>
          <w:sz w:val="20"/>
          <w:szCs w:val="20"/>
          <w:color w:val="auto"/>
        </w:rPr>
      </w:pPr>
      <w:r>
        <w:rPr>
          <w:rFonts w:ascii="Arial" w:cs="Arial" w:eastAsia="Arial" w:hAnsi="Arial"/>
          <w:sz w:val="16"/>
          <w:szCs w:val="16"/>
          <w:color w:val="auto"/>
        </w:rPr>
        <w:t>In consideration of the execution of the Underwriting Agreement by the Underwriters, and for other good and valuable consideration, the undersigned hereby irrevocably agrees that, without the prior written consent of Barclays, on behalf of the Underwriters, the undersigned will not, directly or indirectly, (1) offer for sale, sell, pledge, or otherwise dispose of (or enter into any transaction or device that is designed to, or could be expected to, result in the disposition by any person at any time in the future of) any Shares (including, without limitation, Shares that may be deemed to be beneficially owned by the undersigned in accordance with the rules and regulations of the Securities and Exchange Commission and Shares that may be issued upon exercise of any options or warrants), (2) enter into any swap or other derivatives transaction that transfers to another, in whole or in part, any of the economic benefits or risks of ownership of Shares, whether any such transaction described in clause (1) or (2) above is to be settled by delivery of Shares or other securities, in cash or otherwise, (3) make any demand for or exercise any right or cause to be filed a registration statement, including any amendments thereto, with respect to the registration of any Shares or securities convertible into or exercisable or exchangeable for Shares or any other securities of the Partnership, or (4) publicly disclose the intention to do any of the foregoing for a period commencing on the date of the Underwriting Agreement and ending on the 180th day after the date of the Prospectus relating to the Offering (such 180-day period, the “</w:t>
      </w:r>
      <w:r>
        <w:rPr>
          <w:rFonts w:ascii="Arial" w:cs="Arial" w:eastAsia="Arial" w:hAnsi="Arial"/>
          <w:sz w:val="16"/>
          <w:szCs w:val="16"/>
          <w:b w:val="1"/>
          <w:bCs w:val="1"/>
          <w:color w:val="auto"/>
        </w:rPr>
        <w:t>Lock-Up Period</w:t>
      </w:r>
      <w:r>
        <w:rPr>
          <w:rFonts w:ascii="Arial" w:cs="Arial" w:eastAsia="Arial" w:hAnsi="Arial"/>
          <w:sz w:val="16"/>
          <w:szCs w:val="16"/>
          <w:color w:val="auto"/>
        </w:rPr>
        <w:t>”).</w:t>
      </w:r>
    </w:p>
    <w:p>
      <w:pPr>
        <w:spacing w:after="0" w:line="173" w:lineRule="exact"/>
        <w:rPr>
          <w:sz w:val="20"/>
          <w:szCs w:val="20"/>
          <w:color w:val="auto"/>
        </w:rPr>
      </w:pPr>
    </w:p>
    <w:p>
      <w:pPr>
        <w:jc w:val="both"/>
        <w:ind w:right="320" w:firstLine="667"/>
        <w:spacing w:after="0" w:line="264" w:lineRule="auto"/>
        <w:rPr>
          <w:sz w:val="20"/>
          <w:szCs w:val="20"/>
          <w:color w:val="auto"/>
        </w:rPr>
      </w:pPr>
      <w:r>
        <w:rPr>
          <w:rFonts w:ascii="Arial" w:cs="Arial" w:eastAsia="Arial" w:hAnsi="Arial"/>
          <w:sz w:val="18"/>
          <w:szCs w:val="18"/>
          <w:color w:val="auto"/>
        </w:rPr>
        <w:t xml:space="preserve">The foregoing paragraph shall not apply to (a) bona fide gifts or charitable donations of Shares, (b) sales to pay tax liabilities associated with the vesting of awards under the Partnership’s long-term incentive plan; or (c) private transfers of Class B Shares, AAP Units or General Partner Units (as such terms are defined in the Underwriting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 shall be a condition to any transfer pursuant to this sentence that the transferee/donee agrees to be bound by the terms of this letter agreement to the same extent as if the transferee/donee were a party hereto.</w:t>
      </w:r>
    </w:p>
    <w:p>
      <w:pPr>
        <w:spacing w:after="0" w:line="170" w:lineRule="exact"/>
        <w:rPr>
          <w:sz w:val="20"/>
          <w:szCs w:val="20"/>
          <w:color w:val="auto"/>
        </w:rPr>
      </w:pPr>
    </w:p>
    <w:p>
      <w:pPr>
        <w:ind w:right="100" w:firstLine="667"/>
        <w:spacing w:after="0" w:line="284" w:lineRule="auto"/>
        <w:rPr>
          <w:sz w:val="20"/>
          <w:szCs w:val="20"/>
          <w:color w:val="auto"/>
        </w:rPr>
      </w:pPr>
      <w:r>
        <w:rPr>
          <w:rFonts w:ascii="Arial" w:cs="Arial" w:eastAsia="Arial" w:hAnsi="Arial"/>
          <w:sz w:val="16"/>
          <w:szCs w:val="16"/>
          <w:color w:val="auto"/>
        </w:rPr>
        <w:t>If the undersigned is an officer or director of the General Partner, (i) the undersigned agrees that the foregoing provisions shall be equally applicable to any issuer-directed Shares, as referred to in FINRA Rule 5131(d)(2)(A) that the undersigned may purchase in the Offering pursuant to an allocation of Shares that is directed in writing by the Partnership, (ii) Barclays Capital Inc. agrees that, at least three business days before the effective date of any release or waiver of the foregoing restrictions in connection with a transfer of Shares, Barclays Capital Inc. will notify the Partnership of the impending release or waiver, and (iii) the Partnership has agreed in the Underwriting Agreement to announce the impending release or waiver by issuing a press release through a major news service (as referred to in FINRA Rule 5131(d)(2)(B)) at least two business days before the effective date of the release or waiver. Any release or waiver granted by Barclays Capital Inc. hereunder to any such officer or director shall only be effective two business days after the publication date of such press release. The provisions of this paragraph will not apply if both (a) the release or waiver is effected solely to permit a transfer not for consideration, and</w:t>
      </w:r>
    </w:p>
    <w:p>
      <w:pPr>
        <w:spacing w:after="0" w:line="1" w:lineRule="exact"/>
        <w:rPr>
          <w:sz w:val="20"/>
          <w:szCs w:val="20"/>
          <w:color w:val="auto"/>
        </w:rPr>
      </w:pPr>
    </w:p>
    <w:p>
      <w:pPr>
        <w:ind w:right="420" w:firstLine="8"/>
        <w:spacing w:after="0" w:line="261"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transferee has agreed in writing to be bound by the same terms described in this letter that are applicable to the transferor, to the extent and for the duration that such terms remain in effect at the time of the transfer.</w:t>
      </w:r>
    </w:p>
    <w:p>
      <w:pPr>
        <w:spacing w:after="0" w:line="184" w:lineRule="exact"/>
        <w:rPr>
          <w:sz w:val="20"/>
          <w:szCs w:val="20"/>
          <w:color w:val="auto"/>
        </w:rPr>
      </w:pPr>
    </w:p>
    <w:p>
      <w:pPr>
        <w:ind w:right="140" w:firstLine="667"/>
        <w:spacing w:after="0" w:line="280" w:lineRule="auto"/>
        <w:rPr>
          <w:sz w:val="20"/>
          <w:szCs w:val="20"/>
          <w:color w:val="auto"/>
        </w:rPr>
      </w:pPr>
      <w:r>
        <w:rPr>
          <w:rFonts w:ascii="Arial" w:cs="Arial" w:eastAsia="Arial" w:hAnsi="Arial"/>
          <w:sz w:val="16"/>
          <w:szCs w:val="16"/>
          <w:color w:val="auto"/>
        </w:rPr>
        <w:t>Notwithstanding the foregoing, if (1) during the last 17 days of the Lock-Up Period, the Partnership issues an earnings release or material news or a material event relating to the Partnership occurs or (2) prior to the expiration of the Lock-Up Period, the Partnership announces that it will release earnings results during the 16-day period beginning on the last day of the Lock-Up Period, then the restrictions imposed by this letter shall continue to apply until the expiration of the 18-day period beginning on the issuance of the earnings release or the announcement of the material news or the occurrence of the material event, unless Barclays waives such extension in writing. The undersigned hereby further agrees that, prior to engaging in any transaction or taking any other action that is subject to the terms of this letter during the period from the date of this letter to and including the 34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expiration of the Lock-Up Period, it will give notice thereof to the Partnership and will not consummate such transaction or take any such action unless it has received written confirmation from the Partnership that the Lock-Up Period (as such may have been extended pursuant to this paragraph) has expired.</w:t>
      </w:r>
    </w:p>
    <w:p>
      <w:pPr>
        <w:sectPr>
          <w:pgSz w:w="11900" w:h="16838" w:orient="portrait"/>
          <w:cols w:equalWidth="0" w:num="1">
            <w:col w:w="11460"/>
          </w:cols>
          <w:pgMar w:left="240" w:top="134" w:right="199" w:bottom="0" w:gutter="0" w:footer="0" w:header="0"/>
        </w:sectPr>
      </w:pPr>
    </w:p>
    <w:bookmarkStart w:id="23" w:name="page24"/>
    <w:bookmarkEnd w:id="23"/>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667"/>
        <w:spacing w:after="0" w:line="277" w:lineRule="auto"/>
        <w:rPr>
          <w:sz w:val="20"/>
          <w:szCs w:val="20"/>
          <w:color w:val="auto"/>
        </w:rPr>
      </w:pPr>
      <w:r>
        <w:rPr>
          <w:rFonts w:ascii="Arial" w:cs="Arial" w:eastAsia="Arial" w:hAnsi="Arial"/>
          <w:sz w:val="18"/>
          <w:szCs w:val="18"/>
          <w:color w:val="auto"/>
        </w:rPr>
        <w:t>If for any reason the Underwriting Agreement is terminated before the applicable Delivery Date (as defined in the Underwriting Agreement), the agreement set forth above shall likewise be terminated.</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Yours very truly,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-130175</wp:posOffset>
            </wp:positionV>
            <wp:extent cx="3576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PARTIES TO EXECUTE LOCK UP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Barclays Capital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Offering of Class A Shares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Requesting Waiver</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w:t>
      </w:r>
      <w:r>
        <w:rPr>
          <w:rFonts w:ascii="Arial" w:cs="Arial" w:eastAsia="Arial" w:hAnsi="Arial"/>
          <w:sz w:val="18"/>
          <w:szCs w:val="18"/>
          <w:i w:val="1"/>
          <w:iCs w:val="1"/>
          <w:color w:val="auto"/>
        </w:rPr>
        <w:t>Insert Name</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This letter is being delivered to you in connection with the offering by Plains GP Holdings, L.P. (the “</w:t>
      </w:r>
      <w:r>
        <w:rPr>
          <w:rFonts w:ascii="Arial" w:cs="Arial" w:eastAsia="Arial" w:hAnsi="Arial"/>
          <w:sz w:val="17"/>
          <w:szCs w:val="17"/>
          <w:i w:val="1"/>
          <w:iCs w:val="1"/>
          <w:color w:val="auto"/>
        </w:rPr>
        <w:t>Partnership</w:t>
      </w:r>
      <w:r>
        <w:rPr>
          <w:rFonts w:ascii="Arial" w:cs="Arial" w:eastAsia="Arial" w:hAnsi="Arial"/>
          <w:sz w:val="17"/>
          <w:szCs w:val="17"/>
          <w:color w:val="auto"/>
        </w:rPr>
        <w:t>”) of 128,000,000 Class A shares of the Partnership (the “</w:t>
      </w:r>
      <w:r>
        <w:rPr>
          <w:rFonts w:ascii="Arial" w:cs="Arial" w:eastAsia="Arial" w:hAnsi="Arial"/>
          <w:sz w:val="17"/>
          <w:szCs w:val="17"/>
          <w:i w:val="1"/>
          <w:iCs w:val="1"/>
          <w:color w:val="auto"/>
        </w:rPr>
        <w:t>Class A Shares</w:t>
      </w:r>
      <w:r>
        <w:rPr>
          <w:rFonts w:ascii="Arial" w:cs="Arial" w:eastAsia="Arial" w:hAnsi="Arial"/>
          <w:sz w:val="17"/>
          <w:szCs w:val="17"/>
          <w:color w:val="auto"/>
        </w:rPr>
        <w:t>”) and the lock-up letter agreement dated [</w:t>
      </w:r>
      <w:r>
        <w:rPr>
          <w:rFonts w:ascii="Arial" w:cs="Arial" w:eastAsia="Arial" w:hAnsi="Arial"/>
          <w:sz w:val="17"/>
          <w:szCs w:val="17"/>
          <w:i w:val="1"/>
          <w:iCs w:val="1"/>
          <w:color w:val="auto"/>
        </w:rPr>
        <w:t>insert date</w:t>
      </w:r>
      <w:r>
        <w:rPr>
          <w:rFonts w:ascii="Arial" w:cs="Arial" w:eastAsia="Arial" w:hAnsi="Arial"/>
          <w:sz w:val="17"/>
          <w:szCs w:val="17"/>
          <w:color w:val="auto"/>
        </w:rPr>
        <w:t>] (the “</w:t>
      </w:r>
      <w:r>
        <w:rPr>
          <w:rFonts w:ascii="Arial" w:cs="Arial" w:eastAsia="Arial" w:hAnsi="Arial"/>
          <w:sz w:val="17"/>
          <w:szCs w:val="17"/>
          <w:i w:val="1"/>
          <w:iCs w:val="1"/>
          <w:color w:val="auto"/>
        </w:rPr>
        <w:t>Lock-Up Agreement</w:t>
      </w:r>
      <w:r>
        <w:rPr>
          <w:rFonts w:ascii="Arial" w:cs="Arial" w:eastAsia="Arial" w:hAnsi="Arial"/>
          <w:sz w:val="17"/>
          <w:szCs w:val="17"/>
          <w:color w:val="auto"/>
        </w:rPr>
        <w:t>”), executed by you in connection with such offering, and your request for a [waiver] [release] dated [</w:t>
      </w:r>
      <w:r>
        <w:rPr>
          <w:rFonts w:ascii="Arial" w:cs="Arial" w:eastAsia="Arial" w:hAnsi="Arial"/>
          <w:sz w:val="17"/>
          <w:szCs w:val="17"/>
          <w:i w:val="1"/>
          <w:iCs w:val="1"/>
          <w:color w:val="auto"/>
        </w:rPr>
        <w:t>insert date</w:t>
      </w:r>
      <w:r>
        <w:rPr>
          <w:rFonts w:ascii="Arial" w:cs="Arial" w:eastAsia="Arial" w:hAnsi="Arial"/>
          <w:sz w:val="17"/>
          <w:szCs w:val="17"/>
          <w:color w:val="auto"/>
        </w:rPr>
        <w:t>] with respect to [·] Class A Shares (the “</w:t>
      </w:r>
      <w:r>
        <w:rPr>
          <w:rFonts w:ascii="Arial" w:cs="Arial" w:eastAsia="Arial" w:hAnsi="Arial"/>
          <w:sz w:val="17"/>
          <w:szCs w:val="17"/>
          <w:i w:val="1"/>
          <w:iCs w:val="1"/>
          <w:color w:val="auto"/>
        </w:rPr>
        <w:t>Shares</w:t>
      </w:r>
      <w:r>
        <w:rPr>
          <w:rFonts w:ascii="Arial" w:cs="Arial" w:eastAsia="Arial" w:hAnsi="Arial"/>
          <w:sz w:val="17"/>
          <w:szCs w:val="17"/>
          <w:color w:val="auto"/>
        </w:rPr>
        <w:t>”).</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Barclays Capital Inc., as representative of the Underwriters (as defined in the Lock-Up Agreement) hereby agrees (subject to the proviso below) to [waive] [release] the transfer restrictions set forth in the Lock-Up Agreement, but only with respect to the Shares, effective [</w:t>
      </w:r>
      <w:r>
        <w:rPr>
          <w:rFonts w:ascii="Arial" w:cs="Arial" w:eastAsia="Arial" w:hAnsi="Arial"/>
          <w:sz w:val="18"/>
          <w:szCs w:val="18"/>
          <w:i w:val="1"/>
          <w:iCs w:val="1"/>
          <w:color w:val="auto"/>
        </w:rPr>
        <w:t>insert date</w:t>
      </w:r>
      <w:r>
        <w:rPr>
          <w:rFonts w:ascii="Arial" w:cs="Arial" w:eastAsia="Arial" w:hAnsi="Arial"/>
          <w:sz w:val="18"/>
          <w:szCs w:val="18"/>
          <w:color w:val="auto"/>
        </w:rPr>
        <w:t>] (the “</w:t>
      </w:r>
      <w:r>
        <w:rPr>
          <w:rFonts w:ascii="Arial" w:cs="Arial" w:eastAsia="Arial" w:hAnsi="Arial"/>
          <w:sz w:val="18"/>
          <w:szCs w:val="18"/>
          <w:i w:val="1"/>
          <w:iCs w:val="1"/>
          <w:color w:val="auto"/>
        </w:rPr>
        <w:t>Anticipated</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 Date</w:t>
      </w:r>
      <w:r>
        <w:rPr>
          <w:rFonts w:ascii="Arial" w:cs="Arial" w:eastAsia="Arial" w:hAnsi="Arial"/>
          <w:sz w:val="18"/>
          <w:szCs w:val="18"/>
          <w:color w:val="auto"/>
        </w:rPr>
        <w:t>”); provided, however, that such [waiver] [release] is expressly conditioned on the Partnership announcing the impending [waiver] [release] by</w:t>
      </w:r>
      <w:r>
        <w:rPr>
          <w:rFonts w:ascii="Arial" w:cs="Arial" w:eastAsia="Arial" w:hAnsi="Arial"/>
          <w:sz w:val="18"/>
          <w:szCs w:val="18"/>
          <w:i w:val="1"/>
          <w:iCs w:val="1"/>
          <w:color w:val="auto"/>
        </w:rPr>
        <w:t xml:space="preserve"> </w:t>
      </w:r>
      <w:r>
        <w:rPr>
          <w:rFonts w:ascii="Arial" w:cs="Arial" w:eastAsia="Arial" w:hAnsi="Arial"/>
          <w:sz w:val="18"/>
          <w:szCs w:val="18"/>
          <w:color w:val="auto"/>
        </w:rPr>
        <w:t>issuing a press release through a major news service at least two business days before the Anticipated Effective Date. This letter will serve as notice to the Partnership of the impending [waiver] [release].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expressly [waived] [released] hereby, the Lock-Up Agreement shall remain in full force and effect.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cc: [</w:t>
      </w:r>
      <w:r>
        <w:rPr>
          <w:rFonts w:ascii="Arial" w:cs="Arial" w:eastAsia="Arial" w:hAnsi="Arial"/>
          <w:sz w:val="18"/>
          <w:szCs w:val="18"/>
          <w:i w:val="1"/>
          <w:iCs w:val="1"/>
          <w:color w:val="auto"/>
        </w:rPr>
        <w:t>Insert name of issuer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date</w:t>
      </w:r>
      <w:r>
        <w:rPr>
          <w:rFonts w:ascii="Arial" w:cs="Arial" w:eastAsia="Arial" w:hAnsi="Arial"/>
          <w:sz w:val="18"/>
          <w:szCs w:val="18"/>
          <w:color w:val="auto"/>
        </w:rPr>
        <w:t>]</w:t>
      </w:r>
    </w:p>
    <w:p>
      <w:pPr>
        <w:spacing w:after="0" w:line="207"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color w:val="auto"/>
        </w:rPr>
        <w:t>Plains GP Holdings, L.P., (the “</w:t>
      </w:r>
      <w:r>
        <w:rPr>
          <w:rFonts w:ascii="Arial" w:cs="Arial" w:eastAsia="Arial" w:hAnsi="Arial"/>
          <w:sz w:val="16"/>
          <w:szCs w:val="16"/>
          <w:b w:val="1"/>
          <w:bCs w:val="1"/>
          <w:color w:val="auto"/>
        </w:rPr>
        <w:t>Partnership</w:t>
      </w:r>
      <w:r>
        <w:rPr>
          <w:rFonts w:ascii="Arial" w:cs="Arial" w:eastAsia="Arial" w:hAnsi="Arial"/>
          <w:sz w:val="16"/>
          <w:szCs w:val="16"/>
          <w:color w:val="auto"/>
        </w:rPr>
        <w:t>”) announced today that Barclays Capital Inc., the lead book-running manager in the Company’s recent public sale of 128,000,000 Class A shares representing limited partner interests (“</w:t>
      </w:r>
      <w:r>
        <w:rPr>
          <w:rFonts w:ascii="Arial" w:cs="Arial" w:eastAsia="Arial" w:hAnsi="Arial"/>
          <w:sz w:val="16"/>
          <w:szCs w:val="16"/>
          <w:b w:val="1"/>
          <w:bCs w:val="1"/>
          <w:color w:val="auto"/>
        </w:rPr>
        <w:t>Shares</w:t>
      </w:r>
      <w:r>
        <w:rPr>
          <w:rFonts w:ascii="Arial" w:cs="Arial" w:eastAsia="Arial" w:hAnsi="Arial"/>
          <w:sz w:val="16"/>
          <w:szCs w:val="16"/>
          <w:color w:val="auto"/>
        </w:rPr>
        <w:t>”) [and the other underwriters of such offering whose consent is required]</w:t>
      </w:r>
    </w:p>
    <w:p>
      <w:pPr>
        <w:sectPr>
          <w:pgSz w:w="11900" w:h="16911" w:orient="portrait"/>
          <w:cols w:equalWidth="0" w:num="1">
            <w:col w:w="11420"/>
          </w:cols>
          <w:pgMar w:left="240" w:top="125" w:right="239" w:bottom="0" w:gutter="0" w:footer="0" w:header="0"/>
        </w:sectPr>
      </w:pPr>
    </w:p>
    <w:bookmarkStart w:id="24" w:name="page25"/>
    <w:bookmarkEnd w:id="24"/>
    <w:p>
      <w:pPr>
        <w:ind w:right="960"/>
        <w:spacing w:after="0" w:line="342" w:lineRule="auto"/>
        <w:rPr>
          <w:sz w:val="20"/>
          <w:szCs w:val="20"/>
          <w:color w:val="auto"/>
        </w:rPr>
      </w:pPr>
      <w:r>
        <w:rPr>
          <w:rFonts w:ascii="Arial" w:cs="Arial" w:eastAsia="Arial" w:hAnsi="Arial"/>
          <w:sz w:val="16"/>
          <w:szCs w:val="16"/>
          <w:color w:val="auto"/>
        </w:rPr>
        <w:t>[is][are][waiving] [releasing] a lock-up restriction with respect to [•] Shares held by [certain officers or directors] [an officer or director]* of the Partnership.** The [waiver] [release] will take effect on [</w:t>
      </w:r>
      <w:r>
        <w:rPr>
          <w:rFonts w:ascii="Arial" w:cs="Arial" w:eastAsia="Arial" w:hAnsi="Arial"/>
          <w:sz w:val="16"/>
          <w:szCs w:val="16"/>
          <w:i w:val="1"/>
          <w:iCs w:val="1"/>
          <w:color w:val="auto"/>
        </w:rPr>
        <w:t>insert date</w:t>
      </w:r>
      <w:r>
        <w:rPr>
          <w:rFonts w:ascii="Arial" w:cs="Arial" w:eastAsia="Arial" w:hAnsi="Arial"/>
          <w:sz w:val="16"/>
          <w:szCs w:val="16"/>
          <w:color w:val="auto"/>
        </w:rPr>
        <w:t>], and the Shares may be sold or otherwise disposed of on or after such date.</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right="120" w:firstLine="8"/>
        <w:spacing w:after="0" w:line="264" w:lineRule="auto"/>
        <w:tabs>
          <w:tab w:leader="none" w:pos="1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Barclays Capital Inc. so requests in writing (either in or accompanying the notice to the Partnership about the impending release or waiver), the Partnership will include in the press release such other information as Barclays Capital Inc. may require regarding the circumstances of the release or waiver and/or the identity of the officer(s) or director(s) with respect to which the release or waiver applies.</w:t>
      </w:r>
    </w:p>
    <w:p>
      <w:pPr>
        <w:spacing w:after="0" w:line="181" w:lineRule="exact"/>
        <w:rPr>
          <w:sz w:val="20"/>
          <w:szCs w:val="20"/>
          <w:color w:val="auto"/>
        </w:rPr>
      </w:pPr>
    </w:p>
    <w:p>
      <w:pPr>
        <w:ind w:right="340" w:firstLine="8"/>
        <w:spacing w:after="0" w:line="277" w:lineRule="auto"/>
        <w:tabs>
          <w:tab w:leader="none" w:pos="2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Note to Draft: Depending on the circumstances, Barclays Capital Inc. may wish to consider whether it may be appropriate to include the names of the specific officers/directors for which a waiver or release has been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 OF VINSON &amp; ELKINS, L.L.P.</w:t>
      </w:r>
    </w:p>
    <w:p>
      <w:pPr>
        <w:spacing w:after="0" w:line="211" w:lineRule="exact"/>
        <w:rPr>
          <w:sz w:val="20"/>
          <w:szCs w:val="20"/>
          <w:color w:val="auto"/>
        </w:rPr>
      </w:pPr>
    </w:p>
    <w:p>
      <w:pPr>
        <w:ind w:right="140" w:firstLine="656"/>
        <w:spacing w:after="0" w:line="259" w:lineRule="auto"/>
        <w:tabs>
          <w:tab w:leader="none" w:pos="1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the Partnership Parties, the PAA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186" w:lineRule="exact"/>
        <w:rPr>
          <w:rFonts w:ascii="Arial" w:cs="Arial" w:eastAsia="Arial" w:hAnsi="Arial"/>
          <w:sz w:val="18"/>
          <w:szCs w:val="18"/>
          <w:color w:val="auto"/>
        </w:rPr>
      </w:pPr>
    </w:p>
    <w:p>
      <w:pPr>
        <w:ind w:right="320" w:firstLine="656"/>
        <w:spacing w:after="0" w:line="342" w:lineRule="auto"/>
        <w:tabs>
          <w:tab w:leader="none" w:pos="1314"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Partnership Group Entity that serves as a general partner of another Partnership Group Entity has full corporate or limited liability company power and authority, as the case may be, to serve as general partner of such Partnership Group Entity in each case in all material respects.</w:t>
      </w:r>
    </w:p>
    <w:p>
      <w:pPr>
        <w:spacing w:after="0" w:line="123" w:lineRule="exact"/>
        <w:rPr>
          <w:rFonts w:ascii="Arial" w:cs="Arial" w:eastAsia="Arial" w:hAnsi="Arial"/>
          <w:sz w:val="16"/>
          <w:szCs w:val="16"/>
          <w:color w:val="auto"/>
        </w:rPr>
      </w:pPr>
    </w:p>
    <w:p>
      <w:pPr>
        <w:ind w:right="100" w:firstLine="656"/>
        <w:spacing w:after="0" w:line="255" w:lineRule="auto"/>
        <w:tabs>
          <w:tab w:leader="none" w:pos="1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Partnership owns 128,000,000 General Partner Units; such General Partner Units have been duly authorized and validly issued in accordance with the General Partner LLC Agreement and is fully paid (to the extent required under the General Partner LLC Agreement) and nonassessable (except as such nonassessability may be affected by Sections 18-303, 18-607, and 18-804 of the Delaware LLC Act); and such General Partner Units are owned free and clear of all Liens (A) in respect of which a financing statement under the Uniform Commercial Code of the States of Delaware or Texas naming the Partnership as debtor, is on file in the office of the Secretary of State of the States of Delaware or Texas or (B) otherwise known to such counsel, without independent investigation, other than those created by or arising under the Delaware LLC Act, except as disclosed in the Pricing Disclosure Package and the Prospectus.</w:t>
      </w:r>
    </w:p>
    <w:p>
      <w:pPr>
        <w:spacing w:after="0" w:line="189" w:lineRule="exact"/>
        <w:rPr>
          <w:rFonts w:ascii="Arial" w:cs="Arial" w:eastAsia="Arial" w:hAnsi="Arial"/>
          <w:sz w:val="18"/>
          <w:szCs w:val="18"/>
          <w:color w:val="auto"/>
        </w:rPr>
      </w:pPr>
    </w:p>
    <w:p>
      <w:pPr>
        <w:ind w:right="40" w:firstLine="656"/>
        <w:spacing w:after="0" w:line="255"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General Partner is the sole general partner of the Partnership, with a non-economic general partner interest in the Partnership; such general partner interest has been duly authorized and validly issued in accordance with the Partnership Agreement and the General Partner owns such general partner interest free and clear of all Liens (A) in respect of which a financing statement under the Uniform Commercial Code of the States of Delaware or Texas naming the General Partner as debtor is on file in the office of the Secretary of State of the States of Delaware or Texas or (B) otherwise known to such counsel, without independent investigation, other than those created by or arising under the Delaware LP Act, except as disclosed in the Pricing Disclosure Package and the Prospectus.</w:t>
      </w:r>
    </w:p>
    <w:p>
      <w:pPr>
        <w:spacing w:after="0" w:line="193" w:lineRule="exact"/>
        <w:rPr>
          <w:rFonts w:ascii="Arial" w:cs="Arial" w:eastAsia="Arial" w:hAnsi="Arial"/>
          <w:sz w:val="18"/>
          <w:szCs w:val="18"/>
          <w:color w:val="auto"/>
        </w:rPr>
      </w:pPr>
    </w:p>
    <w:p>
      <w:pPr>
        <w:ind w:right="120" w:firstLine="656"/>
        <w:spacing w:after="0" w:line="255" w:lineRule="auto"/>
        <w:tabs>
          <w:tab w:leader="none" w:pos="12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Partnership owns a 100% membership interest in GP LLC; such membership interest has been duly authorized and validly issued in accordance with the Plains GP LLC Agreement and is fully paid (to the extent required under the Plains GP LLC Agreement) and nonassessable (except as such nonassessability may be affected by Sections 18-303, 18-607, and 18-804 of the Delaware LLC Act; and such membership interest is owned free and clear of all Liens (A) in respect of which a financing statement under the Uniform Commercial Code of the States of Delaware or Texas naming the Partnership as debtor is on file in the office of the Secretary of State of the States of Delaware or Texas or (B) otherwise known to such counsel, without independent investigation, other than those created by or arising under the Delaware LLC Act, except as disclosed in the Pricing Disclosure Package and the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firstLine="656"/>
        <w:spacing w:after="0" w:line="297" w:lineRule="auto"/>
        <w:tabs>
          <w:tab w:leader="none" w:pos="1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GP LLC is the sole general partner of Plains AAP, with a non-economic general partner interest in Plains AAP; such general partner interest has been duly authorized and validly issued in accordance with the AAP Partnership Agreement and GP LLC owns such general partner interest free and clear of all Liens (A) in respect of which a financing statement under the Uniform Commercial Code of the States of Delaware or Texas naming the GP LLC as debtor is on file in the office of the Secretary of State of the States of Delaware or Texas or (B) otherwise known to such counsel, without independent investigation, other than those created by or arising under the Delaware LP Act, except as disclosed in the Pricing Disclosure Package and the Prospectus.</w:t>
      </w:r>
    </w:p>
    <w:p>
      <w:pPr>
        <w:spacing w:after="0" w:line="158" w:lineRule="exact"/>
        <w:rPr>
          <w:rFonts w:ascii="Arial" w:cs="Arial" w:eastAsia="Arial" w:hAnsi="Arial"/>
          <w:sz w:val="16"/>
          <w:szCs w:val="16"/>
          <w:color w:val="auto"/>
        </w:rPr>
      </w:pPr>
    </w:p>
    <w:p>
      <w:pPr>
        <w:ind w:right="20" w:firstLine="656"/>
        <w:spacing w:after="0" w:line="293" w:lineRule="auto"/>
        <w:tabs>
          <w:tab w:leader="none" w:pos="1309" w:val="left"/>
        </w:tabs>
        <w:numPr>
          <w:ilvl w:val="0"/>
          <w:numId w:val="67"/>
        </w:numPr>
        <w:rPr>
          <w:rFonts w:ascii="Arial" w:cs="Arial" w:eastAsia="Arial" w:hAnsi="Arial"/>
          <w:sz w:val="16"/>
          <w:szCs w:val="16"/>
          <w:color w:val="auto"/>
        </w:rPr>
      </w:pPr>
      <w:r>
        <w:rPr>
          <w:rFonts w:ascii="Arial" w:cs="Arial" w:eastAsia="Arial" w:hAnsi="Arial"/>
          <w:sz w:val="16"/>
          <w:szCs w:val="16"/>
          <w:color w:val="auto"/>
        </w:rPr>
        <w:t>Plains AAP owns a 100% membership interest in PAA GP; such membership interest has been duly authorized and validly issued in accordance with the PAA GP LLC Agreement and is fully paid (to the extent required under the PAA GP LLC Agreement) and nonassessable (except as such nonassessability may be affected by Sections 18-303, 18-607, and 18-804 of the Delaware LLC Act; and such membership interest is owned free and clear of all Liens (A) in respect of which a financing statement under the Uniform Commercial Code of the States of Delaware or Texas naming Plains AAP as debtor is on file in the office of the Secretary of State of the States of Delaware or Texas or (B) otherwise known to such counsel, without independent investigation, other than those created by or arising under the Delaware LLC Act, except as disclosed in the Pricing Disclosure Package and the Prospectus.</w:t>
      </w:r>
    </w:p>
    <w:p>
      <w:pPr>
        <w:spacing w:after="0" w:line="164" w:lineRule="exact"/>
        <w:rPr>
          <w:rFonts w:ascii="Arial" w:cs="Arial" w:eastAsia="Arial" w:hAnsi="Arial"/>
          <w:sz w:val="16"/>
          <w:szCs w:val="16"/>
          <w:color w:val="auto"/>
        </w:rPr>
      </w:pPr>
    </w:p>
    <w:p>
      <w:pPr>
        <w:ind w:right="40" w:firstLine="656"/>
        <w:spacing w:after="0" w:line="297" w:lineRule="auto"/>
        <w:tabs>
          <w:tab w:leader="none" w:pos="1319" w:val="left"/>
        </w:tabs>
        <w:numPr>
          <w:ilvl w:val="0"/>
          <w:numId w:val="67"/>
        </w:numPr>
        <w:rPr>
          <w:rFonts w:ascii="Arial" w:cs="Arial" w:eastAsia="Arial" w:hAnsi="Arial"/>
          <w:sz w:val="16"/>
          <w:szCs w:val="16"/>
          <w:color w:val="auto"/>
        </w:rPr>
      </w:pPr>
      <w:r>
        <w:rPr>
          <w:rFonts w:ascii="Arial" w:cs="Arial" w:eastAsia="Arial" w:hAnsi="Arial"/>
          <w:sz w:val="16"/>
          <w:szCs w:val="16"/>
          <w:color w:val="auto"/>
        </w:rPr>
        <w:t>PAA GP is the sole general partner of PAA, with a 2.0% general partner interest in PAA; such general partner interest has been duly authorized and validly issued in accordance with the PAA Partnership Agreement and the General Partner owns such general partner interest free and clear of all Liens (A) in respect of which a financing statement under the Uniform Commercial Code of the States of Delaware or Texas naming PAA GP as debtor is on file in the office of the Secretary of State of the States of Delaware or Texas or (B) otherwise known to such counsel, without independent investigation, other than those created by or arising under the Delaware LP Act, except as disclosed in the Pricing Disclosure Package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-3021965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25" w:name="page26"/>
    <w:bookmarkEnd w:id="25"/>
    <w:p>
      <w:pPr>
        <w:spacing w:after="0" w:line="137" w:lineRule="exact"/>
        <w:rPr>
          <w:sz w:val="20"/>
          <w:szCs w:val="20"/>
          <w:color w:val="auto"/>
        </w:rPr>
      </w:pPr>
    </w:p>
    <w:p>
      <w:pPr>
        <w:ind w:left="1300" w:hanging="644"/>
        <w:spacing w:after="0"/>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equity interests (other than general partner interests) of each Domestic Subsidiary</w:t>
      </w:r>
    </w:p>
    <w:p>
      <w:pPr>
        <w:spacing w:after="0" w:line="46" w:lineRule="exact"/>
        <w:rPr>
          <w:rFonts w:ascii="Arial" w:cs="Arial" w:eastAsia="Arial" w:hAnsi="Arial"/>
          <w:sz w:val="16"/>
          <w:szCs w:val="16"/>
          <w:color w:val="auto"/>
        </w:rPr>
      </w:pPr>
    </w:p>
    <w:p>
      <w:pPr>
        <w:ind w:right="80" w:firstLine="8"/>
        <w:spacing w:after="0" w:line="268" w:lineRule="auto"/>
        <w:tabs>
          <w:tab w:leader="none" w:pos="245" w:val="left"/>
        </w:tabs>
        <w:numPr>
          <w:ilvl w:val="0"/>
          <w:numId w:val="69"/>
        </w:numPr>
        <w:rPr>
          <w:rFonts w:ascii="Arial" w:cs="Arial" w:eastAsia="Arial" w:hAnsi="Arial"/>
          <w:sz w:val="17"/>
          <w:szCs w:val="17"/>
          <w:color w:val="auto"/>
        </w:rPr>
      </w:pPr>
      <w:r>
        <w:rPr>
          <w:rFonts w:ascii="Arial" w:cs="Arial" w:eastAsia="Arial" w:hAnsi="Arial"/>
          <w:sz w:val="17"/>
          <w:szCs w:val="17"/>
          <w:color w:val="auto"/>
        </w:rPr>
        <w:t>have been duly authorized and validly issued (in the case of an interest in a limited partnership or limited liability company, in accordance with the Organizational Agreements of such Domestic Subsidiary), are fully paid (in the case of an interest in a limited partnership or limited liability company, to the extent required under the Organizational Agreements of such Domestic Subsidiary) and nonassessable (except (i) in the case of an interest in a Delaware limited partnership or Delaware limited liability company, as such nonassessability may be affected by Sections 17-303,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except for the portion of the limited partnership interest in PAA and PNG held by public investors, are owned, directly or indirectly, by the Partnership Group Entities, free and clear of all Liens (A) in respect of which a financing statement under the Uniform Commercial Code of the States of Delaware or Texas naming the Partnership Group Entities as debtor or, in the case of capital stock or other equity interests of a Domestic Subsidiary owned directly by one or more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 except as disclosed in the Pricing Disclosure Package and the Prospectus.</w:t>
      </w:r>
    </w:p>
    <w:p>
      <w:pPr>
        <w:spacing w:after="0" w:line="187" w:lineRule="exact"/>
        <w:rPr>
          <w:sz w:val="20"/>
          <w:szCs w:val="20"/>
          <w:color w:val="auto"/>
        </w:rPr>
      </w:pPr>
    </w:p>
    <w:p>
      <w:pPr>
        <w:ind w:firstLine="656"/>
        <w:spacing w:after="0" w:line="272" w:lineRule="auto"/>
        <w:tabs>
          <w:tab w:leader="none" w:pos="129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outstanding general partner interests in each Domestic Subsidiary that is a partnership have been duly authorized and validly issued in accordance with the Organizational Agreements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 except as disclosed in the Pricing Disclosure Package and the Prospectus.</w:t>
      </w:r>
    </w:p>
    <w:p>
      <w:pPr>
        <w:spacing w:after="0" w:line="177" w:lineRule="exact"/>
        <w:rPr>
          <w:rFonts w:ascii="Arial" w:cs="Arial" w:eastAsia="Arial" w:hAnsi="Arial"/>
          <w:sz w:val="17"/>
          <w:szCs w:val="17"/>
          <w:color w:val="auto"/>
        </w:rPr>
      </w:pPr>
    </w:p>
    <w:p>
      <w:pPr>
        <w:ind w:right="140" w:firstLine="656"/>
        <w:spacing w:after="0" w:line="272"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Plains AAP owns all of the Incentive Distribution Rights; the Incentive Distribution Rights and the limited partner interests represented thereby have been duly authorized and validly issued in accordance with the PAA Partnership Agreement and will be fully paid (to the extent required under the PAA Partnership Agreement) and nonassessable (except as such nonassessability may be affected by matters described in Sections 17-303, 17-607, and 17-804 of the Delaware LP Act); and Plains AAP owns such interests free and clear of all Liens (A) in respect of which a financing statement under the Uniform Commercial Code of the States of Delaware or Texas naming Plains AAP as debtor is on file in the office of the Secretary of State of the States of Delaware or Texas or (B) otherwise known to such counsel, without independent investigation, other than those created by or arising under the Delaware LP Act, except as disclosed in the Pricing Disclosure Package and the Prospectus.</w:t>
      </w:r>
    </w:p>
    <w:p>
      <w:pPr>
        <w:spacing w:after="0" w:line="177" w:lineRule="exact"/>
        <w:rPr>
          <w:rFonts w:ascii="Arial" w:cs="Arial" w:eastAsia="Arial" w:hAnsi="Arial"/>
          <w:sz w:val="17"/>
          <w:szCs w:val="17"/>
          <w:color w:val="auto"/>
        </w:rPr>
      </w:pPr>
    </w:p>
    <w:p>
      <w:pPr>
        <w:ind w:right="20" w:firstLine="656"/>
        <w:spacing w:after="0" w:line="285" w:lineRule="auto"/>
        <w:tabs>
          <w:tab w:leader="none" w:pos="1309"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Partnership owns 128,000,000 AAP Units; all of the AAP Units and the limited partner interests represented thereby have been duly authorized and validly issued in accordance with the AAP Partnership Agreement and will be fully paid (to the extent required under the AAP Partnership Agreement) and nonassessable (except as such nonassessability may be affected by matters described in Sections 17-303, 17-607, and 17-804 of the Delaware LP Act); and the Partnership owns its interests free and clear of all Liens (A) in respect of which a financing statement under the Uniform Commercial Code of the States of Delaware or Texas naming the Partnership as debtor is on file in the office of the Secretary of State of the States of Delaware or Texas or</w:t>
      </w:r>
    </w:p>
    <w:p>
      <w:pPr>
        <w:spacing w:after="0" w:line="2" w:lineRule="exact"/>
        <w:rPr>
          <w:rFonts w:ascii="Arial" w:cs="Arial" w:eastAsia="Arial" w:hAnsi="Arial"/>
          <w:sz w:val="16"/>
          <w:szCs w:val="16"/>
          <w:color w:val="auto"/>
        </w:rPr>
      </w:pPr>
    </w:p>
    <w:p>
      <w:pPr>
        <w:ind w:right="660" w:firstLine="8"/>
        <w:spacing w:after="0" w:line="261" w:lineRule="auto"/>
        <w:tabs>
          <w:tab w:leader="none" w:pos="2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otherwise known to such counsel, without independent investigation, other than those created by or arising under the Delaware LP Act, except as disclosed in the Pricing Disclosure Package and the Prospectus.</w:t>
      </w:r>
    </w:p>
    <w:p>
      <w:pPr>
        <w:spacing w:after="0" w:line="183" w:lineRule="exact"/>
        <w:rPr>
          <w:rFonts w:ascii="Arial" w:cs="Arial" w:eastAsia="Arial" w:hAnsi="Arial"/>
          <w:sz w:val="18"/>
          <w:szCs w:val="18"/>
          <w:color w:val="auto"/>
        </w:rPr>
      </w:pPr>
    </w:p>
    <w:p>
      <w:pPr>
        <w:ind w:right="320" w:firstLine="656"/>
        <w:spacing w:after="0" w:line="264" w:lineRule="auto"/>
        <w:tabs>
          <w:tab w:leader="none" w:pos="1319"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Initial Shares (and/or Additional Shares, as applicable) to be issued and sold to the Underwriters by the Partnership pursuant to this Agreement and the limited partner interests represented thereby have been duly authorized by the Partnership Agreement and, when issued and delivered against payment therefor as provided in this Agreement, will be validly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issued, fully paid (to the extent required under the Partnership Agreement) and nonassessable (except as such nonassessability may be affected by Sections 17-607 and 17-804 of the Delaware LP Act).</w:t>
      </w:r>
    </w:p>
    <w:p>
      <w:pPr>
        <w:spacing w:after="0" w:line="170" w:lineRule="exact"/>
        <w:rPr>
          <w:sz w:val="20"/>
          <w:szCs w:val="20"/>
          <w:color w:val="auto"/>
        </w:rPr>
      </w:pPr>
    </w:p>
    <w:p>
      <w:pPr>
        <w:ind w:right="40" w:firstLine="656"/>
        <w:spacing w:after="0" w:line="297" w:lineRule="auto"/>
        <w:tabs>
          <w:tab w:leader="none" w:pos="1295"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Except as described in the Pricing Disclosure Package and the Prospectus or as provided in the Operative Documents, there are no preemptive rights or other rights to subscribe for or to purchase, nor any restriction upon the voting or transfer of, any equity securities of the Partnership. Neither the filing of the Registration Statement nor the offering or sale of the Shares as contemplated by this Agreement gives rise to any rights for or relating to the registration of any Shares or other securities of the Partnership, except such rights as have been waived or satisfied. Except as described in the Pricing Disclosure Package and the Prospectus, there are no outstanding options or warrants to purchase any Shares or other equity interests in the Partnership.</w:t>
      </w:r>
    </w:p>
    <w:p>
      <w:pPr>
        <w:spacing w:after="0" w:line="158" w:lineRule="exact"/>
        <w:rPr>
          <w:rFonts w:ascii="Arial" w:cs="Arial" w:eastAsia="Arial" w:hAnsi="Arial"/>
          <w:sz w:val="16"/>
          <w:szCs w:val="16"/>
          <w:color w:val="auto"/>
        </w:rPr>
      </w:pPr>
    </w:p>
    <w:p>
      <w:pPr>
        <w:ind w:right="240" w:firstLine="656"/>
        <w:spacing w:after="0" w:line="259" w:lineRule="auto"/>
        <w:tabs>
          <w:tab w:leader="none" w:pos="128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Partnership has all requisite power and authority to issue, sell and deliver the Shares, in accordance with and upon the terms and conditions set forth in this Agreement, the Partnership Agreement, the Registration Statement, the Pricing Disclosure Package and the Prospectus. Each of the Partnership Parties has all requisite limited partnership or limited liability company power and authority to execute and deliver this Agreement and to perform its respective obligations hereunder.</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This Agreement has been duly authorized and validly executed and delivered by or on behalf of each of the Partnership Parties.</w:t>
      </w:r>
    </w:p>
    <w:p>
      <w:pPr>
        <w:spacing w:after="0" w:line="236" w:lineRule="exact"/>
        <w:rPr>
          <w:rFonts w:ascii="Arial" w:cs="Arial" w:eastAsia="Arial" w:hAnsi="Arial"/>
          <w:sz w:val="17"/>
          <w:szCs w:val="17"/>
          <w:color w:val="auto"/>
        </w:rPr>
      </w:pPr>
    </w:p>
    <w:p>
      <w:pPr>
        <w:ind w:right="20" w:firstLine="656"/>
        <w:spacing w:after="0" w:line="255" w:lineRule="auto"/>
        <w:tabs>
          <w:tab w:leader="none" w:pos="13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Operative Documents (other than the AAP Credit Agreement) have been duly authorized, executed and delivered by the parties thereto and are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93" w:lineRule="exact"/>
        <w:rPr>
          <w:rFonts w:ascii="Arial" w:cs="Arial" w:eastAsia="Arial" w:hAnsi="Arial"/>
          <w:sz w:val="18"/>
          <w:szCs w:val="18"/>
          <w:color w:val="auto"/>
        </w:rPr>
      </w:pPr>
    </w:p>
    <w:p>
      <w:pPr>
        <w:ind w:right="40" w:firstLine="656"/>
        <w:spacing w:after="0" w:line="342" w:lineRule="auto"/>
        <w:tabs>
          <w:tab w:leader="none" w:pos="131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Contribution Agreement is legally sufficient to transfer or convey, directly or indirectly, 128,000,000 of (A) the Existing Owners’ AAP Units to the Partnership, as contemplated by the Pricing Disclosure Package and the Prospectus, subject to the conditions, reservations and limitations</w:t>
      </w:r>
    </w:p>
    <w:p>
      <w:pPr>
        <w:sectPr>
          <w:pgSz w:w="11900" w:h="16975" w:orient="portrait"/>
          <w:cols w:equalWidth="0" w:num="1">
            <w:col w:w="11420"/>
          </w:cols>
          <w:pgMar w:left="240" w:top="125" w:right="239" w:bottom="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contained in the Contribution Agreement and those set forth in the Pricing Disclosure Package and Prospectus.</w:t>
      </w:r>
    </w:p>
    <w:p>
      <w:pPr>
        <w:spacing w:after="0" w:line="225" w:lineRule="exact"/>
        <w:rPr>
          <w:sz w:val="20"/>
          <w:szCs w:val="20"/>
          <w:color w:val="auto"/>
        </w:rPr>
      </w:pPr>
    </w:p>
    <w:p>
      <w:pPr>
        <w:jc w:val="both"/>
        <w:ind w:right="80" w:firstLine="656"/>
        <w:spacing w:after="0" w:line="257" w:lineRule="auto"/>
        <w:tabs>
          <w:tab w:leader="none" w:pos="12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or before each applicable Delivery Date, the partnership agreement or limited liability company agreement, as applicable, of each of the Partnership Parties, the PAA GP Entities, PAA and the Domestic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1" w:lineRule="exact"/>
        <w:rPr>
          <w:sz w:val="20"/>
          <w:szCs w:val="20"/>
          <w:color w:val="auto"/>
        </w:rPr>
      </w:pPr>
    </w:p>
    <w:p>
      <w:pPr>
        <w:ind w:right="160" w:firstLine="656"/>
        <w:spacing w:after="0" w:line="288" w:lineRule="auto"/>
        <w:tabs>
          <w:tab w:leader="none" w:pos="1286"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None of the (i) offering, issuance and sale by the Partnership of the Shares, (ii) the execution, delivery and performance of this Agreement or the Operative Documents by the Partnership Parties, PAA, the PAA GP Entities or the Domestic Subsidiaries party hereto or thereto, or (iii) the consummation of the Transactions: (A) conflicts or will conflict with or constitutes or will constitute a violation of the Organizational Agreements,</w:t>
      </w:r>
    </w:p>
    <w:p>
      <w:pPr>
        <w:ind w:right="120" w:firstLine="8"/>
        <w:spacing w:after="0" w:line="281" w:lineRule="auto"/>
        <w:tabs>
          <w:tab w:leader="none" w:pos="285"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the PNG Facility,</w:t>
      </w:r>
    </w:p>
    <w:p>
      <w:pPr>
        <w:spacing w:after="0" w:line="1" w:lineRule="exact"/>
        <w:rPr>
          <w:rFonts w:ascii="Arial" w:cs="Arial" w:eastAsia="Arial" w:hAnsi="Arial"/>
          <w:sz w:val="16"/>
          <w:szCs w:val="16"/>
          <w:color w:val="auto"/>
        </w:rPr>
      </w:pPr>
    </w:p>
    <w:p>
      <w:pPr>
        <w:ind w:firstLine="8"/>
        <w:spacing w:after="0" w:line="270" w:lineRule="auto"/>
        <w:tabs>
          <w:tab w:leader="none" w:pos="285"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results or will result in any violation of the Delaware LP Act, the Delaware LLC Act,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the laws of the State of Texas or federal law, or (D) other than pursuant to AAP Credit Agreement, results or will result in the creation or imposition of any Lien upon any property or assets of any of the Partnership Parties, PAA, the PAA GP Entities or the Domestic Subsidiaries, which conflicts, breaches, violations or defaults in the case of clauses (B), (C) or (D) would reasonably be expected to have a Material Adverse Effect or materially impair the ability of the Partnership Parties or the PAA GP Entities to consummate the transactions contemplated by this Agreement, it being understood that such counsel need not express an opinion in clause (C) of this paragraph (xx) with respect to any securities or other anti-fraud law.</w:t>
      </w:r>
    </w:p>
    <w:p>
      <w:pPr>
        <w:spacing w:after="0" w:line="178" w:lineRule="exact"/>
        <w:rPr>
          <w:rFonts w:ascii="Arial" w:cs="Arial" w:eastAsia="Arial" w:hAnsi="Arial"/>
          <w:sz w:val="17"/>
          <w:szCs w:val="17"/>
          <w:color w:val="auto"/>
        </w:rPr>
      </w:pPr>
    </w:p>
    <w:p>
      <w:pPr>
        <w:ind w:firstLine="656"/>
        <w:spacing w:after="0" w:line="285" w:lineRule="auto"/>
        <w:tabs>
          <w:tab w:leader="none" w:pos="1295"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federal, Delaware or Texas court, governmental agency or body having jurisdiction over the Partnership Parties, PAA, the PAA GP Entities or the Domestic Subsidiaries or any of their respective properties is required in connection with (i) the offering, issuance and sale by the Partnership of the Shares, (ii) the execution, delivery and performance of, or the consummation of this Agreement or the Operative Documents by the Partnership Parties or the PAA GP Entities or the Domestic Subsidiaries party hereto or thereto or (iii) the consummation by the Partnership Parties or the PAA GP Entities of the Transactions, except (A) such as have been obtained under the Securities Act,</w:t>
      </w:r>
    </w:p>
    <w:p>
      <w:pPr>
        <w:spacing w:after="0" w:line="2" w:lineRule="exact"/>
        <w:rPr>
          <w:rFonts w:ascii="Arial" w:cs="Arial" w:eastAsia="Arial" w:hAnsi="Arial"/>
          <w:sz w:val="16"/>
          <w:szCs w:val="16"/>
          <w:color w:val="auto"/>
        </w:rPr>
      </w:pPr>
    </w:p>
    <w:p>
      <w:pPr>
        <w:ind w:right="200" w:firstLine="8"/>
        <w:spacing w:after="0" w:line="253" w:lineRule="auto"/>
        <w:tabs>
          <w:tab w:leader="none" w:pos="2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as may be required under the blue sky laws of any jurisdiction or the by-laws and rules of FINRA in connection with the purchase and distribution by the Underwriters of the Shares in the manner contemplated herein and in the Pricing Disclosure Package and the Prospectus (as to which such counsel need not express any opinion) and (C) such that the failure to obtain or make would not reasonably be expected to have a Material Adverse Effect or materially impair the ability of any of the Partnership Parties or the PAA GP Entities to consummate the Transactions and (D) such other that have been obtained or taken and are in full force and effect</w:t>
      </w:r>
    </w:p>
    <w:p>
      <w:pPr>
        <w:spacing w:after="0" w:line="191" w:lineRule="exact"/>
        <w:rPr>
          <w:rFonts w:ascii="Arial" w:cs="Arial" w:eastAsia="Arial" w:hAnsi="Arial"/>
          <w:sz w:val="18"/>
          <w:szCs w:val="18"/>
          <w:color w:val="auto"/>
        </w:rPr>
      </w:pPr>
    </w:p>
    <w:p>
      <w:pPr>
        <w:ind w:right="60" w:firstLine="656"/>
        <w:spacing w:after="0" w:line="259" w:lineRule="auto"/>
        <w:tabs>
          <w:tab w:leader="none" w:pos="1305"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statements in the Registration Statement, the Pricing Disclosure Package and the Prospectus under the captions “Our Cash Distribution Policy and Restrictions on Distributions,” “How We Make Cash Distributions,” “Management’s Discussion and Analysis of Financial Condition and Results of Operations—Liquidity and Capital Resources,” “Certain Relationships and Related Party Transactions,” “Conflicts of Interest, Fiduciary Duties and Administrative Agreement” “Description of Our Shares,” “Comparison of Rights of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PAA’s Common Units and Our Class A Shares,” “Description of Our Partnership Agreement,” “Plains All American Pipeline, L.P.’s Cash Distribution Policy,” “Material Provisions of the Partnership Agreement of Plains All American Pipeline, L.P.,” and “Investments in Us by Employee Benefit Plans,” insofar as they constitute descriptions of agreements or refer to statements of law or legal conclusions, are accurate in all material respects, and the Shares, the Class B Shares and the Incentive Distribution Rights conform in all material respects to the descriptions thereof contained in the Registration Statement, the Pricing Disclosure Package and the Prospectus.</w:t>
      </w:r>
    </w:p>
    <w:p>
      <w:pPr>
        <w:spacing w:after="0" w:line="188" w:lineRule="exact"/>
        <w:rPr>
          <w:sz w:val="20"/>
          <w:szCs w:val="20"/>
          <w:color w:val="auto"/>
        </w:rPr>
      </w:pPr>
    </w:p>
    <w:p>
      <w:pPr>
        <w:ind w:right="80" w:firstLine="656"/>
        <w:spacing w:after="0" w:line="277" w:lineRule="auto"/>
        <w:tabs>
          <w:tab w:leader="none" w:pos="131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opinion of Vinson &amp; Elkins L.L.P. that is filed as Exhibit 8.1 to the Registration Statement is confirmed and the Underwriters may rely upon such opinion as if it were addressed to them.</w:t>
      </w:r>
    </w:p>
    <w:p>
      <w:pPr>
        <w:spacing w:after="0" w:line="170" w:lineRule="exact"/>
        <w:rPr>
          <w:rFonts w:ascii="Arial" w:cs="Arial" w:eastAsia="Arial" w:hAnsi="Arial"/>
          <w:sz w:val="18"/>
          <w:szCs w:val="18"/>
          <w:color w:val="auto"/>
        </w:rPr>
      </w:pPr>
    </w:p>
    <w:p>
      <w:pPr>
        <w:jc w:val="both"/>
        <w:ind w:right="20" w:firstLine="656"/>
        <w:spacing w:after="0" w:line="259" w:lineRule="auto"/>
        <w:tabs>
          <w:tab w:leader="none" w:pos="129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Registration Statement was declared effective under the Securities Act on October 15, 2013; to the knowledge of such counsel, no stop order suspending the effectiveness of the Registration Statement has been issued and no proceedings for that purpose have been instituted or threatened by the Commission; and any required filing of the Prospectus pursuant to Rule 424(b) has been made in the manner and within the time period required by such Rule.</w:t>
      </w:r>
    </w:p>
    <w:p>
      <w:pPr>
        <w:spacing w:after="0" w:line="186" w:lineRule="exact"/>
        <w:rPr>
          <w:rFonts w:ascii="Arial" w:cs="Arial" w:eastAsia="Arial" w:hAnsi="Arial"/>
          <w:sz w:val="18"/>
          <w:szCs w:val="18"/>
          <w:color w:val="auto"/>
        </w:rPr>
      </w:pPr>
    </w:p>
    <w:p>
      <w:pPr>
        <w:jc w:val="both"/>
        <w:ind w:right="20" w:firstLine="656"/>
        <w:spacing w:after="0" w:line="259" w:lineRule="auto"/>
        <w:tabs>
          <w:tab w:leader="none" w:pos="128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Registration Statement, the Pricing Disclosure Package and the Prospectus (except for the financial statements and the notes and the schedules thereto and the other financial information included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w:t>
      </w:r>
    </w:p>
    <w:p>
      <w:pPr>
        <w:spacing w:after="0" w:line="186" w:lineRule="exact"/>
        <w:rPr>
          <w:rFonts w:ascii="Arial" w:cs="Arial" w:eastAsia="Arial" w:hAnsi="Arial"/>
          <w:sz w:val="18"/>
          <w:szCs w:val="18"/>
          <w:color w:val="auto"/>
        </w:rPr>
      </w:pPr>
    </w:p>
    <w:p>
      <w:pPr>
        <w:ind w:right="20" w:firstLine="656"/>
        <w:spacing w:after="0" w:line="286" w:lineRule="auto"/>
        <w:tabs>
          <w:tab w:leader="none" w:pos="1291"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None of the Partnership Group Entities is now, and after sale of the Shares to be sold by the Partnership hereunder and application of the net proceeds from such sale as described in the Pricing Disclosure Package and the Prospectus under the caption “Use of Proceeds,” none of the Partnership Group Entities will be, required to register as an “investment company” as such term is defined in the Investment Company Act.</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Shares are duly listed and admitted and authorized for trading, subject to official notice of issuance, on the NYSE.</w:t>
      </w:r>
    </w:p>
    <w:p>
      <w:pPr>
        <w:spacing w:after="0" w:line="225" w:lineRule="exact"/>
        <w:rPr>
          <w:sz w:val="20"/>
          <w:szCs w:val="20"/>
          <w:color w:val="auto"/>
        </w:rPr>
      </w:pPr>
    </w:p>
    <w:p>
      <w:pPr>
        <w:ind w:right="100" w:firstLine="667"/>
        <w:spacing w:after="0" w:line="302" w:lineRule="auto"/>
        <w:rPr>
          <w:sz w:val="20"/>
          <w:szCs w:val="20"/>
          <w:color w:val="auto"/>
        </w:rPr>
      </w:pPr>
      <w:r>
        <w:rPr>
          <w:rFonts w:ascii="Arial" w:cs="Arial" w:eastAsia="Arial" w:hAnsi="Arial"/>
          <w:sz w:val="16"/>
          <w:szCs w:val="16"/>
          <w:color w:val="auto"/>
        </w:rPr>
        <w:t>In addition, such counsel shall state that they have participated in conferences with officers and other representatives of the Partnership Parties, representatives of the independent public accountants of the Partnership Parties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w:t>
      </w:r>
    </w:p>
    <w:p>
      <w:pPr>
        <w:sectPr>
          <w:pgSz w:w="11900" w:h="16838" w:orient="portrait"/>
          <w:cols w:equalWidth="0" w:num="1">
            <w:col w:w="11420"/>
          </w:cols>
          <w:pgMar w:left="240" w:top="125" w:right="239" w:bottom="0" w:gutter="0" w:footer="0" w:header="0"/>
        </w:sectPr>
      </w:pPr>
    </w:p>
    <w:bookmarkStart w:id="27" w:name="page28"/>
    <w:bookmarkEnd w:id="27"/>
    <w:p>
      <w:pPr>
        <w:ind w:right="720"/>
        <w:spacing w:after="0" w:line="277" w:lineRule="auto"/>
        <w:rPr>
          <w:sz w:val="20"/>
          <w:szCs w:val="20"/>
          <w:color w:val="auto"/>
        </w:rPr>
      </w:pPr>
      <w:r>
        <w:rPr>
          <w:rFonts w:ascii="Arial" w:cs="Arial" w:eastAsia="Arial" w:hAnsi="Arial"/>
          <w:sz w:val="18"/>
          <w:szCs w:val="18"/>
          <w:color w:val="auto"/>
        </w:rPr>
        <w:t>Registration Statement, the Pricing Disclosure Package and the Prospectus (except to the extent specified in opinion (xxi above)), on the basis of the foregoing, no facts have come to the attention of such counsel that lead them to believe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firstLine="1305"/>
        <w:spacing w:after="0" w:line="277" w:lineRule="auto"/>
        <w:tabs>
          <w:tab w:leader="none" w:pos="19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Registration Statement, as of the Effective Date, contained an untrue statement of a material fact or omitted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ind w:right="360" w:firstLine="1305"/>
        <w:spacing w:after="0" w:line="342" w:lineRule="auto"/>
        <w:tabs>
          <w:tab w:leader="none" w:pos="19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23" w:lineRule="exact"/>
        <w:rPr>
          <w:rFonts w:ascii="Arial" w:cs="Arial" w:eastAsia="Arial" w:hAnsi="Arial"/>
          <w:sz w:val="16"/>
          <w:szCs w:val="16"/>
          <w:color w:val="auto"/>
        </w:rPr>
      </w:pPr>
    </w:p>
    <w:p>
      <w:pPr>
        <w:ind w:right="40" w:firstLine="1305"/>
        <w:spacing w:after="0" w:line="297" w:lineRule="auto"/>
        <w:tabs>
          <w:tab w:leader="none" w:pos="19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 it being understood that such counsel need not express any statement or belief with respect to (i) the financial statements and related schedules, including the notes and schedules thereto and the auditor’s report thereon, included in the Registration Statement, the Pricing Disclosure Package and the Prospectus or (ii) any other financial information included in the Registration Statement, the Pricing Disclosure Package and the Prospectus.</w:t>
      </w:r>
    </w:p>
    <w:p>
      <w:pPr>
        <w:spacing w:after="0" w:line="15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the Partnership Group Entities,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and the laws of the State of Texas and</w:t>
      </w:r>
    </w:p>
    <w:p>
      <w:pPr>
        <w:spacing w:after="0" w:line="2" w:lineRule="exact"/>
        <w:rPr>
          <w:sz w:val="20"/>
          <w:szCs w:val="20"/>
          <w:color w:val="auto"/>
        </w:rPr>
      </w:pPr>
    </w:p>
    <w:p>
      <w:pPr>
        <w:ind w:firstLine="8"/>
        <w:spacing w:after="0" w:line="261" w:lineRule="auto"/>
        <w:tabs>
          <w:tab w:leader="none" w:pos="2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state that they express no opinion with respect to (i) any permits to own or operate any real or personal property or (ii) state or local taxes or tax statutes to which any of the limited partners of the Partnership Group Entities may be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OPINION OF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PARTNERSHIP</w:t>
      </w:r>
    </w:p>
    <w:p>
      <w:pPr>
        <w:spacing w:after="0" w:line="211" w:lineRule="exact"/>
        <w:rPr>
          <w:sz w:val="20"/>
          <w:szCs w:val="20"/>
          <w:color w:val="auto"/>
        </w:rPr>
      </w:pPr>
    </w:p>
    <w:p>
      <w:pPr>
        <w:ind w:right="20" w:firstLine="656"/>
        <w:spacing w:after="0" w:line="270" w:lineRule="auto"/>
        <w:tabs>
          <w:tab w:leader="none" w:pos="1304"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None of the (i) offering, issuance and sale by the Partnership of the Shares, (ii) the execution, delivery and performance of this Agreement or the Operative Documents by the Partnership Entities party hereto or thereto, or (iii) the consummation of the Transactions: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Entities is a party or by which any one of them may be bound (other than any other document or agreement filed as an exhibit to the Registration Statement) or (B) violates or will violate any statute, law or regulation or any order, judgment, decree or injunction known to such counsel of any court or governmental agency or body directed to the Partnership Entities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w:t>
      </w:r>
    </w:p>
    <w:p>
      <w:pPr>
        <w:spacing w:after="0" w:line="181" w:lineRule="exact"/>
        <w:rPr>
          <w:rFonts w:ascii="Arial" w:cs="Arial" w:eastAsia="Arial" w:hAnsi="Arial"/>
          <w:sz w:val="17"/>
          <w:szCs w:val="17"/>
          <w:color w:val="auto"/>
        </w:rPr>
      </w:pPr>
    </w:p>
    <w:p>
      <w:pPr>
        <w:jc w:val="both"/>
        <w:ind w:right="40" w:firstLine="656"/>
        <w:spacing w:after="0" w:line="264" w:lineRule="auto"/>
        <w:tabs>
          <w:tab w:leader="none" w:pos="131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the knowledge of such counsel, there is no legal or governmental proceeding pending or threatened to which the Partnership Entities is a party or to which any of their respective properties is subject that is required to be disclosed in the Pricing Disclosure Package or the Prospectus and is not so disclosed.</w:t>
      </w:r>
    </w:p>
    <w:p>
      <w:pPr>
        <w:spacing w:after="0" w:line="181" w:lineRule="exact"/>
        <w:rPr>
          <w:rFonts w:ascii="Arial" w:cs="Arial" w:eastAsia="Arial" w:hAnsi="Arial"/>
          <w:sz w:val="18"/>
          <w:szCs w:val="18"/>
          <w:color w:val="auto"/>
        </w:rPr>
      </w:pPr>
    </w:p>
    <w:p>
      <w:pPr>
        <w:ind w:right="120" w:firstLine="656"/>
        <w:spacing w:after="0" w:line="264" w:lineRule="auto"/>
        <w:tabs>
          <w:tab w:leader="none" w:pos="132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the knowledge of such counsel, except as described in the Pricing Disclosure Package and the Prospectus or as have been issued pursuant to compensation plans adopted or administered by the General Partner, there are no outstanding options or warrants to purchase any Shares or other equity interests in the Partnership.</w:t>
      </w:r>
    </w:p>
    <w:p>
      <w:pPr>
        <w:spacing w:after="0" w:line="181" w:lineRule="exact"/>
        <w:rPr>
          <w:rFonts w:ascii="Arial" w:cs="Arial" w:eastAsia="Arial" w:hAnsi="Arial"/>
          <w:sz w:val="18"/>
          <w:szCs w:val="18"/>
          <w:color w:val="auto"/>
        </w:rPr>
      </w:pPr>
    </w:p>
    <w:p>
      <w:pPr>
        <w:ind w:right="20" w:firstLine="656"/>
        <w:spacing w:after="0" w:line="264"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the Partnership Entities are a party or are bound that are required to be described in the Registration Statement, the Pricing Disclosure Package or the Prospectus or to be filed as exhibits to the Registration Statement that are not described or filed as required.</w:t>
      </w:r>
    </w:p>
    <w:p>
      <w:pPr>
        <w:spacing w:after="0" w:line="181" w:lineRule="exact"/>
        <w:rPr>
          <w:sz w:val="20"/>
          <w:szCs w:val="20"/>
          <w:color w:val="auto"/>
        </w:rPr>
      </w:pPr>
    </w:p>
    <w:p>
      <w:pPr>
        <w:ind w:right="100" w:firstLine="667"/>
        <w:spacing w:after="0" w:line="255" w:lineRule="auto"/>
        <w:rPr>
          <w:sz w:val="20"/>
          <w:szCs w:val="20"/>
          <w:color w:val="auto"/>
        </w:rPr>
      </w:pPr>
      <w:r>
        <w:rPr>
          <w:rFonts w:ascii="Arial" w:cs="Arial" w:eastAsia="Arial" w:hAnsi="Arial"/>
          <w:sz w:val="18"/>
          <w:szCs w:val="18"/>
          <w:color w:val="auto"/>
        </w:rPr>
        <w:t>In addition, such counsel shall state that he has participated in conferences with officers and other representatives of the Partnership Entities, representatives of the independent public accountants of the Partnership Entities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w:t>
      </w:r>
    </w:p>
    <w:p>
      <w:pPr>
        <w:spacing w:after="0" w:line="193" w:lineRule="exact"/>
        <w:rPr>
          <w:sz w:val="20"/>
          <w:szCs w:val="20"/>
          <w:color w:val="auto"/>
        </w:rPr>
      </w:pPr>
    </w:p>
    <w:p>
      <w:pPr>
        <w:ind w:firstLine="1305"/>
        <w:spacing w:after="0" w:line="277" w:lineRule="auto"/>
        <w:tabs>
          <w:tab w:leader="none" w:pos="19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360" w:firstLine="1305"/>
        <w:spacing w:after="0" w:line="342" w:lineRule="auto"/>
        <w:tabs>
          <w:tab w:leader="none" w:pos="19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23" w:lineRule="exact"/>
        <w:rPr>
          <w:rFonts w:ascii="Arial" w:cs="Arial" w:eastAsia="Arial" w:hAnsi="Arial"/>
          <w:sz w:val="16"/>
          <w:szCs w:val="16"/>
          <w:color w:val="auto"/>
        </w:rPr>
      </w:pPr>
    </w:p>
    <w:p>
      <w:pPr>
        <w:ind w:right="40" w:firstLine="1305"/>
        <w:spacing w:after="0" w:line="297" w:lineRule="auto"/>
        <w:tabs>
          <w:tab w:leader="none" w:pos="19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 it being understood that such counsel need not express any statement or belief with respect to (i) the financial statements and related schedules, including the notes and schedules thereto and the auditor’s report thereon, included in the Registration Statement, the Pricing Disclosure Package and the Prospectus or (ii) any other financial or statistical information included in the Registration Statement, the Pricing Disclosure Package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-1512570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8" w:name="page29"/>
    <w:bookmarkEnd w:id="28"/>
    <w:p>
      <w:pPr>
        <w:ind w:right="60" w:firstLine="648"/>
        <w:spacing w:after="0" w:line="288"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the Partnership Entities, to the extent he deems appropriate, and upon information obtained from public officials, (B) assume that all documents submitted to him as originals are authentic, that all copies submitted to him conform to the originals thereof, and that the signatures on all documents examined by him are genuine,</w:t>
      </w:r>
    </w:p>
    <w:p>
      <w:pPr>
        <w:ind w:left="300" w:hanging="292"/>
        <w:spacing w:after="0"/>
        <w:tabs>
          <w:tab w:leader="none" w:pos="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state that such opinions are limited to federal laws and the Delaware LP Act, the Delaware LLC Act, the DGCL and the laws of the State of Texas and</w:t>
      </w:r>
    </w:p>
    <w:p>
      <w:pPr>
        <w:spacing w:after="0" w:line="32" w:lineRule="exact"/>
        <w:rPr>
          <w:rFonts w:ascii="Arial" w:cs="Arial" w:eastAsia="Arial" w:hAnsi="Arial"/>
          <w:sz w:val="16"/>
          <w:szCs w:val="16"/>
          <w:color w:val="auto"/>
        </w:rPr>
      </w:pPr>
    </w:p>
    <w:p>
      <w:pPr>
        <w:ind w:right="280" w:firstLine="8"/>
        <w:spacing w:after="0" w:line="261" w:lineRule="auto"/>
        <w:tabs>
          <w:tab w:leader="none" w:pos="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state that he expresses no opinion with respect to either federal or state securities laws in clause (B) of paragraph (i) above or state or local taxes or tax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OPINION OF SPECIAL INTERNAL CANADIAN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PARTNERSHIP</w:t>
      </w:r>
    </w:p>
    <w:p>
      <w:pPr>
        <w:spacing w:after="0" w:line="207" w:lineRule="exact"/>
        <w:rPr>
          <w:sz w:val="20"/>
          <w:szCs w:val="20"/>
          <w:color w:val="auto"/>
        </w:rPr>
      </w:pPr>
    </w:p>
    <w:p>
      <w:pPr>
        <w:ind w:right="40" w:firstLine="656"/>
        <w:spacing w:after="0" w:line="256" w:lineRule="auto"/>
        <w:tabs>
          <w:tab w:leader="none" w:pos="13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Plains Midstream Canada ULC, a British Columbia unlimited liability company (“</w:t>
      </w:r>
      <w:r>
        <w:rPr>
          <w:rFonts w:ascii="Arial" w:cs="Arial" w:eastAsia="Arial" w:hAnsi="Arial"/>
          <w:sz w:val="18"/>
          <w:szCs w:val="18"/>
          <w:b w:val="1"/>
          <w:bCs w:val="1"/>
          <w:color w:val="auto"/>
        </w:rPr>
        <w:t>Plains Midstream Canada</w:t>
      </w:r>
      <w:r>
        <w:rPr>
          <w:rFonts w:ascii="Arial" w:cs="Arial" w:eastAsia="Arial" w:hAnsi="Arial"/>
          <w:sz w:val="18"/>
          <w:szCs w:val="18"/>
          <w:color w:val="auto"/>
        </w:rPr>
        <w:t>”) has been duly amalgamated and is validly existing as an unlimited liability company under the laws of British Columbia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under the laws of the provinces of Alberta, Manitoba, Quebec, New Brunswick, Nova Scotia, Ontario and Saskatchewan.</w:t>
      </w:r>
    </w:p>
    <w:p>
      <w:pPr>
        <w:spacing w:after="0" w:line="191" w:lineRule="exact"/>
        <w:rPr>
          <w:rFonts w:ascii="Arial" w:cs="Arial" w:eastAsia="Arial" w:hAnsi="Arial"/>
          <w:sz w:val="18"/>
          <w:szCs w:val="18"/>
          <w:color w:val="auto"/>
        </w:rPr>
      </w:pPr>
    </w:p>
    <w:p>
      <w:pPr>
        <w:jc w:val="both"/>
        <w:ind w:right="140" w:firstLine="656"/>
        <w:spacing w:after="0" w:line="259" w:lineRule="auto"/>
        <w:tabs>
          <w:tab w:leader="none" w:pos="1314" w:val="left"/>
        </w:tabs>
        <w:numPr>
          <w:ilvl w:val="0"/>
          <w:numId w:val="83"/>
        </w:numPr>
        <w:rPr>
          <w:rFonts w:ascii="Arial" w:cs="Arial" w:eastAsia="Arial" w:hAnsi="Arial"/>
          <w:sz w:val="18"/>
          <w:szCs w:val="18"/>
          <w:color w:val="auto"/>
        </w:rPr>
      </w:pPr>
      <w:r>
        <w:rPr>
          <w:rFonts w:ascii="Arial" w:cs="Arial" w:eastAsia="Arial" w:hAnsi="Arial"/>
          <w:sz w:val="18"/>
          <w:szCs w:val="18"/>
          <w:color w:val="auto"/>
        </w:rPr>
        <w:t>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Articles of Continuance, as fully paid and nonassessable shares (except as such nonassessability may be affected by the laws of the Province of British Columbia).</w:t>
      </w:r>
    </w:p>
    <w:p>
      <w:pPr>
        <w:spacing w:after="0" w:line="186" w:lineRule="exact"/>
        <w:rPr>
          <w:rFonts w:ascii="Arial" w:cs="Arial" w:eastAsia="Arial" w:hAnsi="Arial"/>
          <w:sz w:val="18"/>
          <w:szCs w:val="18"/>
          <w:color w:val="auto"/>
        </w:rPr>
      </w:pPr>
    </w:p>
    <w:p>
      <w:pPr>
        <w:ind w:right="20" w:firstLine="656"/>
        <w:spacing w:after="0" w:line="279" w:lineRule="auto"/>
        <w:tabs>
          <w:tab w:leader="none" w:pos="1323" w:val="left"/>
        </w:tabs>
        <w:numPr>
          <w:ilvl w:val="0"/>
          <w:numId w:val="83"/>
        </w:numPr>
        <w:rPr>
          <w:rFonts w:ascii="Arial" w:cs="Arial" w:eastAsia="Arial" w:hAnsi="Arial"/>
          <w:sz w:val="17"/>
          <w:szCs w:val="17"/>
          <w:color w:val="auto"/>
        </w:rPr>
      </w:pPr>
      <w:r>
        <w:rPr>
          <w:rFonts w:ascii="Arial" w:cs="Arial" w:eastAsia="Arial" w:hAnsi="Arial"/>
          <w:sz w:val="17"/>
          <w:szCs w:val="17"/>
          <w:color w:val="auto"/>
        </w:rPr>
        <w:t>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71" w:lineRule="exact"/>
        <w:rPr>
          <w:rFonts w:ascii="Arial" w:cs="Arial" w:eastAsia="Arial" w:hAnsi="Arial"/>
          <w:sz w:val="17"/>
          <w:szCs w:val="17"/>
          <w:color w:val="auto"/>
        </w:rPr>
      </w:pPr>
    </w:p>
    <w:p>
      <w:pPr>
        <w:ind w:right="80" w:firstLine="656"/>
        <w:spacing w:after="0" w:line="264"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Partnership of the Shares.</w:t>
      </w:r>
    </w:p>
    <w:p>
      <w:pPr>
        <w:spacing w:after="0" w:line="181" w:lineRule="exact"/>
        <w:rPr>
          <w:rFonts w:ascii="Arial" w:cs="Arial" w:eastAsia="Arial" w:hAnsi="Arial"/>
          <w:sz w:val="18"/>
          <w:szCs w:val="18"/>
          <w:color w:val="auto"/>
        </w:rPr>
      </w:pPr>
    </w:p>
    <w:p>
      <w:pPr>
        <w:ind w:right="20" w:firstLine="656"/>
        <w:spacing w:after="0" w:line="273" w:lineRule="auto"/>
        <w:tabs>
          <w:tab w:leader="none" w:pos="129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None of the (i) offering, issuance and sale by the Partnership of the Shares, (ii) the execution, delivery and performance of this Agreement or the Operative Documents by the Partnership Entities party hereto or thereto, or (iii) the consummation of the Transactions 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178" w:lineRule="exact"/>
        <w:rPr>
          <w:rFonts w:ascii="Arial" w:cs="Arial" w:eastAsia="Arial" w:hAnsi="Arial"/>
          <w:sz w:val="17"/>
          <w:szCs w:val="17"/>
          <w:color w:val="auto"/>
        </w:rPr>
      </w:pPr>
    </w:p>
    <w:p>
      <w:pPr>
        <w:ind w:right="280" w:firstLine="656"/>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the knowledge of such counsel, Plains Midstream Canada has such Permits issued by the appropriate federal, provincial or regulatory authorities as are necessary to own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w:t>
      </w:r>
    </w:p>
    <w:p>
      <w:pPr>
        <w:spacing w:after="0" w:line="147" w:lineRule="exact"/>
        <w:rPr>
          <w:sz w:val="20"/>
          <w:szCs w:val="20"/>
          <w:color w:val="auto"/>
        </w:rPr>
      </w:pPr>
    </w:p>
    <w:p>
      <w:pPr>
        <w:ind w:firstLine="667"/>
        <w:spacing w:after="0" w:line="255"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the Partnership Entities, to the extent they deem proper,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Alberta, excepting therefrom municipal and local ordinances and regulations and (D) state that they express no opinion with respect to state or local taxes or tax statutes to which any of the limited partners of the Partnership Entities may be subject.</w:t>
      </w:r>
    </w:p>
    <w:p>
      <w:pPr>
        <w:spacing w:after="0" w:line="193" w:lineRule="exact"/>
        <w:rPr>
          <w:sz w:val="20"/>
          <w:szCs w:val="20"/>
          <w:color w:val="auto"/>
        </w:rPr>
      </w:pPr>
    </w:p>
    <w:p>
      <w:pPr>
        <w:ind w:right="520" w:firstLine="667"/>
        <w:spacing w:after="0" w:line="291" w:lineRule="auto"/>
        <w:rPr>
          <w:sz w:val="20"/>
          <w:szCs w:val="20"/>
          <w:color w:val="auto"/>
        </w:rPr>
      </w:pPr>
      <w:r>
        <w:rPr>
          <w:rFonts w:ascii="Arial" w:cs="Arial" w:eastAsia="Arial" w:hAnsi="Arial"/>
          <w:sz w:val="16"/>
          <w:szCs w:val="16"/>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w:t>
      </w:r>
    </w:p>
    <w:p>
      <w:pPr>
        <w:jc w:val="both"/>
        <w:ind w:right="880" w:firstLine="8"/>
        <w:spacing w:after="0" w:line="323" w:lineRule="auto"/>
        <w:tabs>
          <w:tab w:leader="none" w:pos="285" w:val="left"/>
        </w:tabs>
        <w:numPr>
          <w:ilvl w:val="0"/>
          <w:numId w:val="84"/>
        </w:numPr>
        <w:rPr>
          <w:rFonts w:ascii="Arial" w:cs="Arial" w:eastAsia="Arial" w:hAnsi="Arial"/>
          <w:sz w:val="16"/>
          <w:szCs w:val="16"/>
          <w:color w:val="auto"/>
        </w:rPr>
      </w:pPr>
      <w:r>
        <w:rPr>
          <w:rFonts w:ascii="Arial" w:cs="Arial" w:eastAsia="Arial" w:hAnsi="Arial"/>
          <w:sz w:val="16"/>
          <w:szCs w:val="16"/>
          <w:color w:val="auto"/>
        </w:rPr>
        <w:t>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OFFICER’S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15, 2013</w:t>
      </w:r>
    </w:p>
    <w:p>
      <w:pPr>
        <w:sectPr>
          <w:pgSz w:w="11900" w:h="16838" w:orient="portrait"/>
          <w:cols w:equalWidth="0" w:num="1">
            <w:col w:w="11420"/>
          </w:cols>
          <w:pgMar w:left="240" w:top="341" w:right="239" w:bottom="181" w:gutter="0" w:footer="0" w:header="0"/>
        </w:sectPr>
      </w:pPr>
    </w:p>
    <w:bookmarkStart w:id="29" w:name="page30"/>
    <w:bookmarkEnd w:id="29"/>
    <w:p>
      <w:pPr>
        <w:ind w:right="20" w:firstLine="667"/>
        <w:spacing w:after="0" w:line="276" w:lineRule="auto"/>
        <w:rPr>
          <w:sz w:val="20"/>
          <w:szCs w:val="20"/>
          <w:color w:val="auto"/>
        </w:rPr>
      </w:pPr>
      <w:r>
        <w:rPr>
          <w:rFonts w:ascii="Arial" w:cs="Arial" w:eastAsia="Arial" w:hAnsi="Arial"/>
          <w:sz w:val="17"/>
          <w:szCs w:val="17"/>
          <w:color w:val="auto"/>
        </w:rPr>
        <w:t>The undersigned, in his capacity as the Chief Financial Officer of PAA GP Holdings LLC, a Delaware limited liability company and the general partner (the “</w:t>
      </w:r>
      <w:r>
        <w:rPr>
          <w:rFonts w:ascii="Arial" w:cs="Arial" w:eastAsia="Arial" w:hAnsi="Arial"/>
          <w:sz w:val="17"/>
          <w:szCs w:val="17"/>
          <w:b w:val="1"/>
          <w:bCs w:val="1"/>
          <w:color w:val="auto"/>
        </w:rPr>
        <w:t>General Partner</w:t>
      </w:r>
      <w:r>
        <w:rPr>
          <w:rFonts w:ascii="Arial" w:cs="Arial" w:eastAsia="Arial" w:hAnsi="Arial"/>
          <w:sz w:val="17"/>
          <w:szCs w:val="17"/>
          <w:color w:val="auto"/>
        </w:rPr>
        <w:t>”) of Plains GP Holdings, L.P., a Delaware limited partnership (the “</w:t>
      </w:r>
      <w:r>
        <w:rPr>
          <w:rFonts w:ascii="Arial" w:cs="Arial" w:eastAsia="Arial" w:hAnsi="Arial"/>
          <w:sz w:val="17"/>
          <w:szCs w:val="17"/>
          <w:b w:val="1"/>
          <w:bCs w:val="1"/>
          <w:color w:val="auto"/>
        </w:rPr>
        <w:t>Partnership</w:t>
      </w:r>
      <w:r>
        <w:rPr>
          <w:rFonts w:ascii="Arial" w:cs="Arial" w:eastAsia="Arial" w:hAnsi="Arial"/>
          <w:sz w:val="17"/>
          <w:szCs w:val="17"/>
          <w:color w:val="auto"/>
        </w:rPr>
        <w:t>”),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June 30, 2013. In addition, as of the date of this certificate, the total debt of the Partnership and its consolidated subsidiaries is approximately $8.3 billion.</w:t>
      </w:r>
    </w:p>
    <w:p>
      <w:pPr>
        <w:spacing w:after="0" w:line="173" w:lineRule="exact"/>
        <w:rPr>
          <w:sz w:val="20"/>
          <w:szCs w:val="20"/>
          <w:color w:val="auto"/>
        </w:rPr>
      </w:pPr>
    </w:p>
    <w:p>
      <w:pPr>
        <w:ind w:right="40" w:firstLine="667"/>
        <w:spacing w:after="0" w:line="308" w:lineRule="auto"/>
        <w:rPr>
          <w:sz w:val="20"/>
          <w:szCs w:val="20"/>
          <w:color w:val="auto"/>
        </w:rPr>
      </w:pPr>
      <w:r>
        <w:rPr>
          <w:rFonts w:ascii="Arial" w:cs="Arial" w:eastAsia="Arial" w:hAnsi="Arial"/>
          <w:sz w:val="17"/>
          <w:szCs w:val="17"/>
          <w:color w:val="auto"/>
        </w:rPr>
        <w:t>Capitalized terms used but not defined herein have the meanings assigned to them in the Underwriting Agreement dated as of the date hereof by and among the Partnership and the General Partner and Barclays Capital Inc. as the representative of the several Underwriters.</w:t>
      </w:r>
    </w:p>
    <w:p>
      <w:pPr>
        <w:spacing w:after="0" w:line="147"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This certificate is to assist the Underwriters in conducting and documenting their investigation of the affairs of the Partnership in connection with the offering of the Shares covered by the Registration Statement, the Pricing Disclosure Package and the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WITNESS WHEREOF, the undersigned has hereunto affixed his signature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upperLetter"/>
      <w:start w:val="1"/>
    </w:lvl>
  </w:abstractNum>
  <w:abstractNum w:abstractNumId="1">
    <w:nsid w:val="2A487CB0"/>
    <w:multiLevelType w:val="hybridMultilevel"/>
    <w:lvl w:ilvl="0">
      <w:lvlJc w:val="left"/>
      <w:lvlText w:val="%1."/>
      <w:numFmt w:val="upperLetter"/>
      <w:start w:val="2"/>
    </w:lvl>
    <w:lvl w:ilvl="1">
      <w:lvlJc w:val="left"/>
      <w:lvlText w:val="(%2)"/>
      <w:numFmt w:val="lowerRoman"/>
      <w:start w:val="1"/>
    </w:lvl>
  </w:abstractNum>
  <w:abstractNum w:abstractNumId="2">
    <w:nsid w:val="1D4ED43B"/>
    <w:multiLevelType w:val="hybridMultilevel"/>
    <w:lvl w:ilvl="0">
      <w:lvlJc w:val="left"/>
      <w:lvlText w:val="(%1)"/>
      <w:numFmt w:val="lowerRoman"/>
      <w:start w:val="1"/>
    </w:lvl>
  </w:abstractNum>
  <w:abstractNum w:abstractNumId="3">
    <w:nsid w:val="725A06FB"/>
    <w:multiLevelType w:val="hybridMultilevel"/>
    <w:lvl w:ilvl="0">
      <w:lvlJc w:val="left"/>
      <w:lvlText w:val="(%1)"/>
      <w:numFmt w:val="upperLetter"/>
      <w:start w:val="5"/>
    </w:lvl>
    <w:lvl w:ilvl="1">
      <w:lvlJc w:val="left"/>
      <w:lvlText w:val="(%2)"/>
      <w:numFmt w:val="lowerRoman"/>
      <w:start w:val="4"/>
    </w:lvl>
    <w:lvl w:ilvl="2">
      <w:lvlJc w:val="left"/>
      <w:lvlText w:val="(%3)"/>
      <w:numFmt w:val="lowerRoman"/>
      <w:start w:val="7"/>
    </w:lvl>
    <w:lvl w:ilvl="3">
      <w:lvlJc w:val="left"/>
      <w:lvlText w:val="(%4)"/>
      <w:numFmt w:val="lowerRoman"/>
      <w:start w:val="5"/>
    </w:lvl>
    <w:lvl w:ilvl="4">
      <w:lvlJc w:val="left"/>
      <w:lvlText w:val="(%5)"/>
      <w:numFmt w:val="lowerLetter"/>
      <w:start w:val="1"/>
    </w:lvl>
  </w:abstractNum>
  <w:abstractNum w:abstractNumId="4">
    <w:nsid w:val="2CD89A32"/>
    <w:multiLevelType w:val="hybridMultilevel"/>
    <w:lvl w:ilvl="0">
      <w:lvlJc w:val="left"/>
      <w:lvlText w:val="(%1)"/>
      <w:numFmt w:val="lowerRoman"/>
      <w:start w:val="9"/>
    </w:lvl>
  </w:abstractNum>
  <w:abstractNum w:abstractNumId="5">
    <w:nsid w:val="57E4CCAF"/>
    <w:multiLevelType w:val="hybridMultilevel"/>
    <w:lvl w:ilvl="0">
      <w:lvlJc w:val="left"/>
      <w:lvlText w:val="%1."/>
      <w:numFmt w:val="decimal"/>
      <w:start w:val="1"/>
    </w:lvl>
    <w:lvl w:ilvl="1">
      <w:lvlJc w:val="left"/>
      <w:lvlText w:val="(%2)"/>
      <w:numFmt w:val="lowerLetter"/>
      <w:start w:val="1"/>
    </w:lvl>
  </w:abstractNum>
  <w:abstractNum w:abstractNumId="6">
    <w:nsid w:val="7A6D8D3C"/>
    <w:multiLevelType w:val="hybridMultilevel"/>
    <w:lvl w:ilvl="0">
      <w:lvlJc w:val="left"/>
      <w:lvlText w:val="(%1)"/>
      <w:numFmt w:val="lowerRoman"/>
      <w:start w:val="1"/>
    </w:lvl>
  </w:abstractNum>
  <w:abstractNum w:abstractNumId="7">
    <w:nsid w:val="4B588F54"/>
    <w:multiLevelType w:val="hybridMultilevel"/>
    <w:lvl w:ilvl="0">
      <w:lvlJc w:val="left"/>
      <w:lvlText w:val="(%1)"/>
      <w:numFmt w:val="lowerLetter"/>
      <w:start w:val="2"/>
    </w:lvl>
  </w:abstractNum>
  <w:abstractNum w:abstractNumId="8">
    <w:nsid w:val="542289EC"/>
    <w:multiLevelType w:val="hybridMultilevel"/>
    <w:lvl w:ilvl="0">
      <w:lvlJc w:val="left"/>
      <w:lvlText w:val="(%1)"/>
      <w:numFmt w:val="lowerLetter"/>
      <w:start w:val="7"/>
    </w:lvl>
  </w:abstractNum>
  <w:abstractNum w:abstractNumId="9">
    <w:nsid w:val="6DE91B18"/>
    <w:multiLevelType w:val="hybridMultilevel"/>
    <w:lvl w:ilvl="0">
      <w:lvlJc w:val="left"/>
      <w:lvlText w:val="%1"/>
      <w:numFmt w:val="lowerLetter"/>
      <w:start w:val="1"/>
    </w:lvl>
    <w:lvl w:ilvl="1">
      <w:lvlJc w:val="left"/>
      <w:lvlText w:val="(%2)"/>
      <w:numFmt w:val="lowerLetter"/>
      <w:start w:val="8"/>
    </w:lvl>
  </w:abstractNum>
  <w:abstractNum w:abstractNumId="10">
    <w:nsid w:val="38437FDB"/>
    <w:multiLevelType w:val="hybridMultilevel"/>
    <w:lvl w:ilvl="0">
      <w:lvlJc w:val="left"/>
      <w:lvlText w:val="(%1)"/>
      <w:numFmt w:val="lowerLetter"/>
      <w:start w:val="9"/>
    </w:lvl>
    <w:lvl w:ilvl="1">
      <w:lvlJc w:val="left"/>
      <w:lvlText w:val="%2"/>
      <w:numFmt w:val="lowerLetter"/>
      <w:start w:val="1"/>
    </w:lvl>
  </w:abstractNum>
  <w:abstractNum w:abstractNumId="11">
    <w:nsid w:val="7644A45C"/>
    <w:multiLevelType w:val="hybridMultilevel"/>
    <w:lvl w:ilvl="0">
      <w:lvlJc w:val="left"/>
      <w:lvlText w:val="%1"/>
      <w:numFmt w:val="lowerLetter"/>
      <w:start w:val="1"/>
    </w:lvl>
    <w:lvl w:ilvl="1">
      <w:lvlJc w:val="left"/>
      <w:lvlText w:val="(%2)"/>
      <w:numFmt w:val="lowerLetter"/>
      <w:start w:val="11"/>
    </w:lvl>
  </w:abstractNum>
  <w:abstractNum w:abstractNumId="12">
    <w:nsid w:val="32FFF902"/>
    <w:multiLevelType w:val="hybridMultilevel"/>
    <w:lvl w:ilvl="0">
      <w:lvlJc w:val="left"/>
      <w:lvlText w:val="(%1)"/>
      <w:numFmt w:val="lowerLetter"/>
      <w:start w:val="9"/>
    </w:lvl>
    <w:lvl w:ilvl="1">
      <w:lvlJc w:val="left"/>
      <w:lvlText w:val="(%2)"/>
      <w:numFmt w:val="lowerLetter"/>
      <w:start w:val="13"/>
    </w:lvl>
  </w:abstractNum>
  <w:abstractNum w:abstractNumId="13">
    <w:nsid w:val="684A481A"/>
    <w:multiLevelType w:val="hybridMultilevel"/>
    <w:lvl w:ilvl="0">
      <w:lvlJc w:val="left"/>
      <w:lvlText w:val="(%1)"/>
      <w:numFmt w:val="lowerLetter"/>
      <w:start w:val="15"/>
    </w:lvl>
  </w:abstractNum>
  <w:abstractNum w:abstractNumId="14">
    <w:nsid w:val="579478FE"/>
    <w:multiLevelType w:val="hybridMultilevel"/>
    <w:lvl w:ilvl="0">
      <w:lvlJc w:val="left"/>
      <w:lvlText w:val="(%1)"/>
      <w:numFmt w:val="lowerLetter"/>
      <w:start w:val="19"/>
    </w:lvl>
  </w:abstractNum>
  <w:abstractNum w:abstractNumId="15">
    <w:nsid w:val="749ABB43"/>
    <w:multiLevelType w:val="hybridMultilevel"/>
    <w:lvl w:ilvl="0">
      <w:lvlJc w:val="left"/>
      <w:lvlText w:val="(%1)"/>
      <w:numFmt w:val="lowerLetter"/>
      <w:start w:val="23"/>
    </w:lvl>
  </w:abstractNum>
  <w:abstractNum w:abstractNumId="16">
    <w:nsid w:val="3DC240FB"/>
    <w:multiLevelType w:val="hybridMultilevel"/>
    <w:lvl w:ilvl="0">
      <w:lvlJc w:val="left"/>
      <w:lvlText w:val="(%1)"/>
      <w:numFmt w:val="lowerLetter"/>
      <w:start w:val="61"/>
    </w:lvl>
    <w:lvl w:ilvl="1">
      <w:lvlJc w:val="left"/>
      <w:lvlText w:val="(%2)"/>
      <w:numFmt w:val="lowerLetter"/>
      <w:start w:val="27"/>
    </w:lvl>
  </w:abstractNum>
  <w:abstractNum w:abstractNumId="17">
    <w:nsid w:val="1BA026FA"/>
    <w:multiLevelType w:val="hybridMultilevel"/>
    <w:lvl w:ilvl="0">
      <w:lvlJc w:val="left"/>
      <w:lvlText w:val="%1"/>
      <w:numFmt w:val="lowerLetter"/>
      <w:start w:val="1"/>
    </w:lvl>
    <w:lvl w:ilvl="1">
      <w:lvlJc w:val="left"/>
      <w:lvlText w:val="(%2)"/>
      <w:numFmt w:val="lowerLetter"/>
      <w:start w:val="30"/>
    </w:lvl>
  </w:abstractNum>
  <w:abstractNum w:abstractNumId="18">
    <w:nsid w:val="79A1DEAA"/>
    <w:multiLevelType w:val="hybridMultilevel"/>
    <w:lvl w:ilvl="0">
      <w:lvlJc w:val="left"/>
      <w:lvlText w:val="(%1)"/>
      <w:numFmt w:val="lowerLetter"/>
      <w:start w:val="61"/>
    </w:lvl>
    <w:lvl w:ilvl="1">
      <w:lvlJc w:val="left"/>
      <w:lvlText w:val="(%2)"/>
      <w:numFmt w:val="lowerLetter"/>
      <w:start w:val="31"/>
    </w:lvl>
  </w:abstractNum>
  <w:abstractNum w:abstractNumId="19">
    <w:nsid w:val="75C6C33A"/>
    <w:multiLevelType w:val="hybridMultilevel"/>
    <w:lvl w:ilvl="0">
      <w:lvlJc w:val="left"/>
      <w:lvlText w:val="(%1)"/>
      <w:numFmt w:val="lowerLetter"/>
      <w:start w:val="34"/>
    </w:lvl>
  </w:abstractNum>
  <w:abstractNum w:abstractNumId="20">
    <w:nsid w:val="12E685FB"/>
    <w:multiLevelType w:val="hybridMultilevel"/>
    <w:lvl w:ilvl="0">
      <w:lvlJc w:val="left"/>
      <w:lvlText w:val="(%1)"/>
      <w:numFmt w:val="lowerRoman"/>
      <w:start w:val="2"/>
    </w:lvl>
  </w:abstractNum>
  <w:abstractNum w:abstractNumId="21">
    <w:nsid w:val="70C6A529"/>
    <w:multiLevelType w:val="hybridMultilevel"/>
    <w:lvl w:ilvl="0">
      <w:lvlJc w:val="left"/>
      <w:lvlText w:val="(%1)"/>
      <w:numFmt w:val="lowerLetter"/>
      <w:start w:val="36"/>
    </w:lvl>
  </w:abstractNum>
  <w:abstractNum w:abstractNumId="22">
    <w:nsid w:val="520EEDD1"/>
    <w:multiLevelType w:val="hybridMultilevel"/>
    <w:lvl w:ilvl="0">
      <w:lvlJc w:val="left"/>
      <w:lvlText w:val="(%1)"/>
      <w:numFmt w:val="lowerLetter"/>
      <w:start w:val="38"/>
    </w:lvl>
  </w:abstractNum>
  <w:abstractNum w:abstractNumId="23">
    <w:nsid w:val="374A3FE6"/>
    <w:multiLevelType w:val="hybridMultilevel"/>
    <w:lvl w:ilvl="0">
      <w:lvlJc w:val="left"/>
      <w:lvlText w:val="(%1)"/>
      <w:numFmt w:val="lowerLetter"/>
      <w:start w:val="42"/>
    </w:lvl>
  </w:abstractNum>
  <w:abstractNum w:abstractNumId="24">
    <w:nsid w:val="4F4EF005"/>
    <w:multiLevelType w:val="hybridMultilevel"/>
    <w:lvl w:ilvl="0">
      <w:lvlJc w:val="left"/>
      <w:lvlText w:val="(%1)"/>
      <w:numFmt w:val="lowerLetter"/>
      <w:start w:val="35"/>
    </w:lvl>
    <w:lvl w:ilvl="1">
      <w:lvlJc w:val="left"/>
      <w:lvlText w:val="(%2)"/>
      <w:numFmt w:val="lowerLetter"/>
      <w:start w:val="45"/>
    </w:lvl>
  </w:abstractNum>
  <w:abstractNum w:abstractNumId="25">
    <w:nsid w:val="23F9C13C"/>
    <w:multiLevelType w:val="hybridMultilevel"/>
    <w:lvl w:ilvl="0">
      <w:lvlJc w:val="left"/>
      <w:lvlText w:val="(%1)"/>
      <w:numFmt w:val="lowerLetter"/>
      <w:start w:val="61"/>
    </w:lvl>
    <w:lvl w:ilvl="1">
      <w:lvlJc w:val="left"/>
      <w:lvlText w:val="(%2)"/>
      <w:numFmt w:val="lowerLetter"/>
      <w:start w:val="46"/>
    </w:lvl>
  </w:abstractNum>
  <w:abstractNum w:abstractNumId="26">
    <w:nsid w:val="649BB77C"/>
    <w:multiLevelType w:val="hybridMultilevel"/>
    <w:lvl w:ilvl="0">
      <w:lvlJc w:val="left"/>
      <w:lvlText w:val="(%1)"/>
      <w:numFmt w:val="lowerLetter"/>
      <w:start w:val="47"/>
    </w:lvl>
  </w:abstractNum>
  <w:abstractNum w:abstractNumId="27">
    <w:nsid w:val="275AC794"/>
    <w:multiLevelType w:val="hybridMultilevel"/>
    <w:lvl w:ilvl="0">
      <w:lvlJc w:val="left"/>
      <w:lvlText w:val="(%1)"/>
      <w:numFmt w:val="lowerLetter"/>
      <w:start w:val="53"/>
    </w:lvl>
  </w:abstractNum>
  <w:abstractNum w:abstractNumId="28">
    <w:nsid w:val="39386575"/>
    <w:multiLevelType w:val="hybridMultilevel"/>
    <w:lvl w:ilvl="0">
      <w:lvlJc w:val="left"/>
      <w:lvlText w:val="(%1)"/>
      <w:numFmt w:val="lowerLetter"/>
      <w:start w:val="56"/>
    </w:lvl>
  </w:abstractNum>
  <w:abstractNum w:abstractNumId="29">
    <w:nsid w:val="1CF10FD8"/>
    <w:multiLevelType w:val="hybridMultilevel"/>
    <w:lvl w:ilvl="0">
      <w:lvlJc w:val="left"/>
      <w:lvlText w:val="%1."/>
      <w:numFmt w:val="decimal"/>
      <w:start w:val="2"/>
    </w:lvl>
    <w:lvl w:ilvl="1">
      <w:lvlJc w:val="left"/>
      <w:lvlText w:val="(%2)"/>
      <w:numFmt w:val="lowerLetter"/>
      <w:start w:val="1"/>
    </w:lvl>
  </w:abstractNum>
  <w:abstractNum w:abstractNumId="30">
    <w:nsid w:val="180115BE"/>
    <w:multiLevelType w:val="hybridMultilevel"/>
    <w:lvl w:ilvl="0">
      <w:lvlJc w:val="left"/>
      <w:lvlText w:val="%1"/>
      <w:numFmt w:val="decimal"/>
      <w:start w:val="1"/>
    </w:lvl>
    <w:lvl w:ilvl="1">
      <w:lvlJc w:val="left"/>
      <w:lvlText w:val="(%2)"/>
      <w:numFmt w:val="lowerLetter"/>
      <w:start w:val="2"/>
    </w:lvl>
  </w:abstractNum>
  <w:abstractNum w:abstractNumId="31">
    <w:nsid w:val="235BA861"/>
    <w:multiLevelType w:val="hybridMultilevel"/>
    <w:lvl w:ilvl="0">
      <w:lvlJc w:val="left"/>
      <w:lvlText w:val="%1."/>
      <w:numFmt w:val="decimal"/>
      <w:start w:val="3"/>
    </w:lvl>
    <w:lvl w:ilvl="1">
      <w:lvlJc w:val="left"/>
      <w:lvlText w:val="%2"/>
      <w:numFmt w:val="lowerLetter"/>
      <w:start w:val="1"/>
    </w:lvl>
  </w:abstractNum>
  <w:abstractNum w:abstractNumId="32">
    <w:nsid w:val="47398C89"/>
    <w:multiLevelType w:val="hybridMultilevel"/>
    <w:lvl w:ilvl="0">
      <w:lvlJc w:val="left"/>
      <w:lvlText w:val="%1."/>
      <w:numFmt w:val="decimal"/>
      <w:start w:val="4"/>
    </w:lvl>
    <w:lvl w:ilvl="1">
      <w:lvlJc w:val="left"/>
      <w:lvlText w:val="(%2)"/>
      <w:numFmt w:val="lowerLetter"/>
      <w:start w:val="1"/>
    </w:lvl>
  </w:abstractNum>
  <w:abstractNum w:abstractNumId="33">
    <w:nsid w:val="354FE9F9"/>
    <w:multiLevelType w:val="hybridMultilevel"/>
    <w:lvl w:ilvl="0">
      <w:lvlJc w:val="left"/>
      <w:lvlText w:val="%1."/>
      <w:numFmt w:val="decimal"/>
      <w:start w:val="5"/>
    </w:lvl>
    <w:lvl w:ilvl="1">
      <w:lvlJc w:val="left"/>
      <w:lvlText w:val="(%2)"/>
      <w:numFmt w:val="lowerLetter"/>
      <w:start w:val="1"/>
    </w:lvl>
  </w:abstractNum>
  <w:abstractNum w:abstractNumId="34">
    <w:nsid w:val="15B5AF5C"/>
    <w:multiLevelType w:val="hybridMultilevel"/>
    <w:lvl w:ilvl="0">
      <w:lvlJc w:val="left"/>
      <w:lvlText w:val="%1"/>
      <w:numFmt w:val="lowerLetter"/>
      <w:start w:val="1"/>
    </w:lvl>
    <w:lvl w:ilvl="1">
      <w:lvlJc w:val="left"/>
      <w:lvlText w:val="(%2)"/>
      <w:numFmt w:val="lowerLetter"/>
      <w:start w:val="3"/>
    </w:lvl>
  </w:abstractNum>
  <w:abstractNum w:abstractNumId="35">
    <w:nsid w:val="741226BB"/>
    <w:multiLevelType w:val="hybridMultilevel"/>
    <w:lvl w:ilvl="0">
      <w:lvlJc w:val="left"/>
      <w:lvlText w:val="(%1)"/>
      <w:numFmt w:val="lowerLetter"/>
      <w:start w:val="35"/>
    </w:lvl>
    <w:lvl w:ilvl="1">
      <w:lvlJc w:val="left"/>
      <w:lvlText w:val="(%2)"/>
      <w:numFmt w:val="lowerLetter"/>
      <w:start w:val="4"/>
    </w:lvl>
  </w:abstractNum>
  <w:abstractNum w:abstractNumId="36">
    <w:nsid w:val="D34B6A8"/>
    <w:multiLevelType w:val="hybridMultilevel"/>
    <w:lvl w:ilvl="0">
      <w:lvlJc w:val="left"/>
      <w:lvlText w:val="(%1)"/>
      <w:numFmt w:val="lowerLetter"/>
      <w:start w:val="6"/>
    </w:lvl>
  </w:abstractNum>
  <w:abstractNum w:abstractNumId="37">
    <w:nsid w:val="10233C99"/>
    <w:multiLevelType w:val="hybridMultilevel"/>
    <w:lvl w:ilvl="0">
      <w:lvlJc w:val="left"/>
      <w:lvlText w:val="(%1)"/>
      <w:numFmt w:val="lowerLetter"/>
      <w:start w:val="7"/>
    </w:lvl>
  </w:abstractNum>
  <w:abstractNum w:abstractNumId="38">
    <w:nsid w:val="3F6AB60F"/>
    <w:multiLevelType w:val="hybridMultilevel"/>
    <w:lvl w:ilvl="0">
      <w:lvlJc w:val="left"/>
      <w:lvlText w:val="%1"/>
      <w:numFmt w:val="upperLetter"/>
      <w:start w:val="1"/>
    </w:lvl>
    <w:lvl w:ilvl="1">
      <w:lvlJc w:val="left"/>
      <w:lvlText w:val="(%2)"/>
      <w:numFmt w:val="lowerLetter"/>
      <w:start w:val="11"/>
    </w:lvl>
  </w:abstractNum>
  <w:abstractNum w:abstractNumId="39">
    <w:nsid w:val="61574095"/>
    <w:multiLevelType w:val="hybridMultilevel"/>
    <w:lvl w:ilvl="0">
      <w:lvlJc w:val="left"/>
      <w:lvlText w:val="(%1)"/>
      <w:numFmt w:val="upperLetter"/>
      <w:start w:val="2"/>
    </w:lvl>
    <w:lvl w:ilvl="1">
      <w:lvlJc w:val="left"/>
      <w:lvlText w:val="%2"/>
      <w:numFmt w:val="lowerLetter"/>
      <w:start w:val="1"/>
    </w:lvl>
  </w:abstractNum>
  <w:abstractNum w:abstractNumId="40">
    <w:nsid w:val="7E0C57B1"/>
    <w:multiLevelType w:val="hybridMultilevel"/>
    <w:lvl w:ilvl="0">
      <w:lvlJc w:val="left"/>
      <w:lvlText w:val="(%1)"/>
      <w:numFmt w:val="lowerLetter"/>
      <w:start w:val="12"/>
    </w:lvl>
  </w:abstractNum>
  <w:abstractNum w:abstractNumId="41">
    <w:nsid w:val="77AE35EB"/>
    <w:multiLevelType w:val="hybridMultilevel"/>
    <w:lvl w:ilvl="0">
      <w:lvlJc w:val="left"/>
      <w:lvlText w:val="%1"/>
      <w:numFmt w:val="decimal"/>
      <w:start w:val="1"/>
    </w:lvl>
    <w:lvl w:ilvl="1">
      <w:lvlJc w:val="left"/>
      <w:lvlText w:val="(%2)"/>
      <w:numFmt w:val="lowerLetter"/>
      <w:start w:val="16"/>
    </w:lvl>
  </w:abstractNum>
  <w:abstractNum w:abstractNumId="42">
    <w:nsid w:val="579BE4F1"/>
    <w:multiLevelType w:val="hybridMultilevel"/>
    <w:lvl w:ilvl="0">
      <w:lvlJc w:val="left"/>
      <w:lvlText w:val="%1."/>
      <w:numFmt w:val="decimal"/>
      <w:start w:val="6"/>
    </w:lvl>
    <w:lvl w:ilvl="1">
      <w:lvlJc w:val="left"/>
      <w:lvlText w:val="(%2)"/>
      <w:numFmt w:val="lowerLetter"/>
      <w:start w:val="1"/>
    </w:lvl>
  </w:abstractNum>
  <w:abstractNum w:abstractNumId="43">
    <w:nsid w:val="310C50B3"/>
    <w:multiLevelType w:val="hybridMultilevel"/>
    <w:lvl w:ilvl="0">
      <w:lvlJc w:val="left"/>
      <w:lvlText w:val="%1"/>
      <w:numFmt w:val="lowerLetter"/>
      <w:start w:val="1"/>
    </w:lvl>
    <w:lvl w:ilvl="1">
      <w:lvlJc w:val="left"/>
      <w:lvlText w:val="(%2)"/>
      <w:numFmt w:val="lowerLetter"/>
      <w:start w:val="2"/>
    </w:lvl>
  </w:abstractNum>
  <w:abstractNum w:abstractNumId="44">
    <w:nsid w:val="5FF87E05"/>
    <w:multiLevelType w:val="hybridMultilevel"/>
    <w:lvl w:ilvl="0">
      <w:lvlJc w:val="left"/>
      <w:lvlText w:val="(%1)"/>
      <w:numFmt w:val="lowerLetter"/>
      <w:start w:val="61"/>
    </w:lvl>
    <w:lvl w:ilvl="1">
      <w:lvlJc w:val="left"/>
      <w:lvlText w:val="%2"/>
      <w:numFmt w:val="lowerLetter"/>
      <w:start w:val="1"/>
    </w:lvl>
  </w:abstractNum>
  <w:abstractNum w:abstractNumId="45">
    <w:nsid w:val="2F305DEF"/>
    <w:multiLevelType w:val="hybridMultilevel"/>
    <w:lvl w:ilvl="0">
      <w:lvlJc w:val="left"/>
      <w:lvlText w:val="(%1)"/>
      <w:numFmt w:val="lowerLetter"/>
      <w:start w:val="3"/>
    </w:lvl>
  </w:abstractNum>
  <w:abstractNum w:abstractNumId="46">
    <w:nsid w:val="25A70BF7"/>
    <w:multiLevelType w:val="hybridMultilevel"/>
    <w:lvl w:ilvl="0">
      <w:lvlJc w:val="left"/>
      <w:lvlText w:val="(%1)"/>
      <w:numFmt w:val="lowerLetter"/>
      <w:start w:val="5"/>
    </w:lvl>
  </w:abstractNum>
  <w:abstractNum w:abstractNumId="47">
    <w:nsid w:val="1DBABF00"/>
    <w:multiLevelType w:val="hybridMultilevel"/>
    <w:lvl w:ilvl="0">
      <w:lvlJc w:val="left"/>
      <w:lvlText w:val="%1"/>
      <w:numFmt w:val="lowerLetter"/>
      <w:start w:val="1"/>
    </w:lvl>
    <w:lvl w:ilvl="1">
      <w:lvlJc w:val="left"/>
      <w:lvlText w:val="(%2)"/>
      <w:numFmt w:val="lowerLetter"/>
      <w:start w:val="7"/>
    </w:lvl>
  </w:abstractNum>
  <w:abstractNum w:abstractNumId="48">
    <w:nsid w:val="4AD084E9"/>
    <w:multiLevelType w:val="hybridMultilevel"/>
    <w:lvl w:ilvl="0">
      <w:lvlJc w:val="left"/>
      <w:lvlText w:val="(%1)"/>
      <w:numFmt w:val="lowerLetter"/>
      <w:start w:val="61"/>
    </w:lvl>
    <w:lvl w:ilvl="1">
      <w:lvlJc w:val="left"/>
      <w:lvlText w:val="%2"/>
      <w:numFmt w:val="lowerLetter"/>
      <w:start w:val="1"/>
    </w:lvl>
  </w:abstractNum>
  <w:abstractNum w:abstractNumId="49">
    <w:nsid w:val="1F48EAA1"/>
    <w:multiLevelType w:val="hybridMultilevel"/>
    <w:lvl w:ilvl="0">
      <w:lvlJc w:val="left"/>
      <w:lvlText w:val="%1"/>
      <w:numFmt w:val="decimal"/>
      <w:start w:val="1"/>
    </w:lvl>
    <w:lvl w:ilvl="1">
      <w:lvlJc w:val="left"/>
      <w:lvlText w:val="(%2)"/>
      <w:numFmt w:val="lowerLetter"/>
      <w:start w:val="8"/>
    </w:lvl>
  </w:abstractNum>
  <w:abstractNum w:abstractNumId="50">
    <w:nsid w:val="1381823A"/>
    <w:multiLevelType w:val="hybridMultilevel"/>
    <w:lvl w:ilvl="0">
      <w:lvlJc w:val="left"/>
      <w:lvlText w:val="%1."/>
      <w:numFmt w:val="decimal"/>
      <w:start w:val="7"/>
    </w:lvl>
    <w:lvl w:ilvl="1">
      <w:lvlJc w:val="left"/>
      <w:lvlText w:val="(%2)"/>
      <w:numFmt w:val="lowerLetter"/>
      <w:start w:val="1"/>
    </w:lvl>
  </w:abstractNum>
  <w:abstractNum w:abstractNumId="51">
    <w:nsid w:val="5DB70AE5"/>
    <w:multiLevelType w:val="hybridMultilevel"/>
    <w:lvl w:ilvl="0">
      <w:lvlJc w:val="left"/>
      <w:lvlText w:val="(%1)"/>
      <w:numFmt w:val="lowerLetter"/>
      <w:start w:val="2"/>
    </w:lvl>
  </w:abstractNum>
  <w:abstractNum w:abstractNumId="52">
    <w:nsid w:val="100F8FCA"/>
    <w:multiLevelType w:val="hybridMultilevel"/>
    <w:lvl w:ilvl="0">
      <w:lvlJc w:val="left"/>
      <w:lvlText w:val="(%1)"/>
      <w:numFmt w:val="lowerLetter"/>
      <w:start w:val="7"/>
    </w:lvl>
  </w:abstractNum>
  <w:abstractNum w:abstractNumId="53">
    <w:nsid w:val="6590700B"/>
    <w:multiLevelType w:val="hybridMultilevel"/>
    <w:lvl w:ilvl="0">
      <w:lvlJc w:val="left"/>
      <w:lvlText w:val="(%1)"/>
      <w:numFmt w:val="lowerRoman"/>
      <w:start w:val="1"/>
    </w:lvl>
    <w:lvl w:ilvl="1">
      <w:lvlJc w:val="left"/>
      <w:lvlText w:val="(%2)"/>
      <w:numFmt w:val="upperLetter"/>
      <w:start w:val="1"/>
    </w:lvl>
  </w:abstractNum>
  <w:abstractNum w:abstractNumId="54">
    <w:nsid w:val="15014ACB"/>
    <w:multiLevelType w:val="hybridMultilevel"/>
    <w:lvl w:ilvl="0">
      <w:lvlJc w:val="left"/>
      <w:lvlText w:val="(%1)"/>
      <w:numFmt w:val="lowerLetter"/>
      <w:start w:val="10"/>
    </w:lvl>
  </w:abstractNum>
  <w:abstractNum w:abstractNumId="55">
    <w:nsid w:val="5F5E7FD0"/>
    <w:multiLevelType w:val="hybridMultilevel"/>
    <w:lvl w:ilvl="0">
      <w:lvlJc w:val="left"/>
      <w:lvlText w:val="(%1)"/>
      <w:numFmt w:val="lowerRoman"/>
      <w:start w:val="1"/>
    </w:lvl>
  </w:abstractNum>
  <w:abstractNum w:abstractNumId="56">
    <w:nsid w:val="98A3148"/>
    <w:multiLevelType w:val="hybridMultilevel"/>
    <w:lvl w:ilvl="0">
      <w:lvlJc w:val="left"/>
      <w:lvlText w:val="%1."/>
      <w:numFmt w:val="decimal"/>
      <w:start w:val="8"/>
    </w:lvl>
  </w:abstractNum>
  <w:abstractNum w:abstractNumId="57">
    <w:nsid w:val="799D0247"/>
    <w:multiLevelType w:val="hybridMultilevel"/>
    <w:lvl w:ilvl="0">
      <w:lvlJc w:val="left"/>
      <w:lvlText w:val="(%1)"/>
      <w:numFmt w:val="lowerRoman"/>
      <w:start w:val="3"/>
    </w:lvl>
  </w:abstractNum>
  <w:abstractNum w:abstractNumId="58">
    <w:nsid w:val="6B94764"/>
    <w:multiLevelType w:val="hybridMultilevel"/>
    <w:lvl w:ilvl="0">
      <w:lvlJc w:val="left"/>
      <w:lvlText w:val="%1."/>
      <w:numFmt w:val="decimal"/>
      <w:start w:val="9"/>
    </w:lvl>
  </w:abstractNum>
  <w:abstractNum w:abstractNumId="59">
    <w:nsid w:val="42C296BD"/>
    <w:multiLevelType w:val="hybridMultilevel"/>
    <w:lvl w:ilvl="0">
      <w:lvlJc w:val="left"/>
      <w:lvlText w:val="%1."/>
      <w:numFmt w:val="decimal"/>
      <w:start w:val="10"/>
    </w:lvl>
  </w:abstractNum>
  <w:abstractNum w:abstractNumId="60">
    <w:nsid w:val="168E121F"/>
    <w:multiLevelType w:val="hybridMultilevel"/>
    <w:lvl w:ilvl="0">
      <w:lvlJc w:val="left"/>
      <w:lvlText w:val="%1."/>
      <w:numFmt w:val="decimal"/>
      <w:start w:val="11"/>
    </w:lvl>
  </w:abstractNum>
  <w:abstractNum w:abstractNumId="61">
    <w:nsid w:val="1EBA5D23"/>
    <w:multiLevelType w:val="hybridMultilevel"/>
    <w:lvl w:ilvl="0">
      <w:lvlJc w:val="left"/>
      <w:lvlText w:val="%1."/>
      <w:numFmt w:val="decimal"/>
      <w:start w:val="12"/>
    </w:lvl>
  </w:abstractNum>
  <w:abstractNum w:abstractNumId="62">
    <w:nsid w:val="661E3F1E"/>
    <w:multiLevelType w:val="hybridMultilevel"/>
    <w:lvl w:ilvl="0">
      <w:lvlJc w:val="left"/>
      <w:lvlText w:val="%1."/>
      <w:numFmt w:val="decimal"/>
      <w:start w:val="14"/>
    </w:lvl>
  </w:abstractNum>
  <w:abstractNum w:abstractNumId="63">
    <w:nsid w:val="5DC79EA8"/>
    <w:multiLevelType w:val="hybridMultilevel"/>
    <w:lvl w:ilvl="0">
      <w:lvlJc w:val="left"/>
      <w:lvlText w:val="(%1)"/>
      <w:numFmt w:val="lowerLetter"/>
      <w:start w:val="2"/>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1)"/>
      <w:numFmt w:val="lowerRoman"/>
      <w:start w:val="1"/>
    </w:lvl>
  </w:abstractNum>
  <w:abstractNum w:abstractNumId="67">
    <w:nsid w:val="613EFDC5"/>
    <w:multiLevelType w:val="hybridMultilevel"/>
    <w:lvl w:ilvl="0">
      <w:lvlJc w:val="left"/>
      <w:lvlText w:val="%1"/>
      <w:numFmt w:val="lowerLetter"/>
      <w:start w:val="1"/>
    </w:lvl>
    <w:lvl w:ilvl="1">
      <w:lvlJc w:val="left"/>
      <w:lvlText w:val="(%2)"/>
      <w:numFmt w:val="lowerRoman"/>
      <w:start w:val="9"/>
    </w:lvl>
  </w:abstractNum>
  <w:abstractNum w:abstractNumId="68">
    <w:nsid w:val="BF72B14"/>
    <w:multiLevelType w:val="hybridMultilevel"/>
    <w:lvl w:ilvl="0">
      <w:lvlJc w:val="left"/>
      <w:lvlText w:val="(%1)"/>
      <w:numFmt w:val="lowerLetter"/>
      <w:start w:val="1"/>
    </w:lvl>
    <w:lvl w:ilvl="1">
      <w:lvlJc w:val="left"/>
      <w:lvlText w:val="%2"/>
      <w:numFmt w:val="lowerRoman"/>
      <w:start w:val="1"/>
    </w:lvl>
  </w:abstractNum>
  <w:abstractNum w:abstractNumId="69">
    <w:nsid w:val="11447B73"/>
    <w:multiLevelType w:val="hybridMultilevel"/>
    <w:lvl w:ilvl="0">
      <w:lvlJc w:val="left"/>
      <w:lvlText w:val="%1"/>
      <w:numFmt w:val="upperLetter"/>
      <w:start w:val="1"/>
    </w:lvl>
    <w:lvl w:ilvl="1">
      <w:lvlJc w:val="left"/>
      <w:lvlText w:val="(%2)"/>
      <w:numFmt w:val="lowerRoman"/>
      <w:start w:val="10"/>
    </w:lvl>
  </w:abstractNum>
  <w:abstractNum w:abstractNumId="70">
    <w:nsid w:val="42963E5A"/>
    <w:multiLevelType w:val="hybridMultilevel"/>
    <w:lvl w:ilvl="0">
      <w:lvlJc w:val="left"/>
      <w:lvlText w:val="(%1)"/>
      <w:numFmt w:val="upperLetter"/>
      <w:start w:val="2"/>
    </w:lvl>
    <w:lvl w:ilvl="1">
      <w:lvlJc w:val="left"/>
      <w:lvlText w:val="(%2)"/>
      <w:numFmt w:val="lowerRoman"/>
      <w:start w:val="13"/>
    </w:lvl>
  </w:abstractNum>
  <w:abstractNum w:abstractNumId="71">
    <w:nsid w:val="A0382C5"/>
    <w:multiLevelType w:val="hybridMultilevel"/>
    <w:lvl w:ilvl="0">
      <w:lvlJc w:val="left"/>
      <w:lvlText w:val="(%1)"/>
      <w:numFmt w:val="lowerRoman"/>
      <w:start w:val="14"/>
    </w:lvl>
  </w:abstractNum>
  <w:abstractNum w:abstractNumId="72">
    <w:nsid w:val="8F2B15E"/>
    <w:multiLevelType w:val="hybridMultilevel"/>
    <w:lvl w:ilvl="0">
      <w:lvlJc w:val="left"/>
      <w:lvlText w:val="(%1)"/>
      <w:numFmt w:val="lowerRoman"/>
      <w:start w:val="19"/>
    </w:lvl>
  </w:abstractNum>
  <w:abstractNum w:abstractNumId="73">
    <w:nsid w:val="1A32234B"/>
    <w:multiLevelType w:val="hybridMultilevel"/>
    <w:lvl w:ilvl="0">
      <w:lvlJc w:val="left"/>
      <w:lvlText w:val="%1"/>
      <w:numFmt w:val="upperLetter"/>
      <w:start w:val="1"/>
    </w:lvl>
    <w:lvl w:ilvl="1">
      <w:lvlJc w:val="left"/>
      <w:lvlText w:val="(%2)"/>
      <w:numFmt w:val="lowerRoman"/>
      <w:start w:val="20"/>
    </w:lvl>
  </w:abstractNum>
  <w:abstractNum w:abstractNumId="74">
    <w:nsid w:val="3B0FD379"/>
    <w:multiLevelType w:val="hybridMultilevel"/>
    <w:lvl w:ilvl="0">
      <w:lvlJc w:val="left"/>
      <w:lvlText w:val="(%1)"/>
      <w:numFmt w:val="upperLetter"/>
      <w:start w:val="2"/>
    </w:lvl>
    <w:lvl w:ilvl="1">
      <w:lvlJc w:val="left"/>
      <w:lvlText w:val="(%2)"/>
      <w:numFmt w:val="lowerRoman"/>
      <w:start w:val="21"/>
    </w:lvl>
  </w:abstractNum>
  <w:abstractNum w:abstractNumId="75">
    <w:nsid w:val="68EB2F63"/>
    <w:multiLevelType w:val="hybridMultilevel"/>
    <w:lvl w:ilvl="0">
      <w:lvlJc w:val="left"/>
      <w:lvlText w:val="(%1)"/>
      <w:numFmt w:val="upperLetter"/>
      <w:start w:val="2"/>
    </w:lvl>
    <w:lvl w:ilvl="1">
      <w:lvlJc w:val="left"/>
      <w:lvlText w:val="(%2)"/>
      <w:numFmt w:val="lowerRoman"/>
      <w:start w:val="22"/>
    </w:lvl>
  </w:abstractNum>
  <w:abstractNum w:abstractNumId="76">
    <w:nsid w:val="4962813B"/>
    <w:multiLevelType w:val="hybridMultilevel"/>
    <w:lvl w:ilvl="0">
      <w:lvlJc w:val="left"/>
      <w:lvlText w:val="(%1)"/>
      <w:numFmt w:val="lowerRoman"/>
      <w:start w:val="23"/>
    </w:lvl>
  </w:abstractNum>
  <w:abstractNum w:abstractNumId="77">
    <w:nsid w:val="60B6DF70"/>
    <w:multiLevelType w:val="hybridMultilevel"/>
    <w:lvl w:ilvl="0">
      <w:lvlJc w:val="left"/>
      <w:lvlText w:val="(%1)"/>
      <w:numFmt w:val="upperLetter"/>
      <w:start w:val="1"/>
    </w:lvl>
  </w:abstractNum>
  <w:abstractNum w:abstractNumId="78">
    <w:nsid w:val="6A5EE64"/>
    <w:multiLevelType w:val="hybridMultilevel"/>
    <w:lvl w:ilvl="0">
      <w:lvlJc w:val="left"/>
      <w:lvlText w:val="(%1)"/>
      <w:numFmt w:val="upperLetter"/>
      <w:start w:val="4"/>
    </w:lvl>
  </w:abstractNum>
  <w:abstractNum w:abstractNumId="79">
    <w:nsid w:val="14330624"/>
    <w:multiLevelType w:val="hybridMultilevel"/>
    <w:lvl w:ilvl="0">
      <w:lvlJc w:val="left"/>
      <w:lvlText w:val="(%1)"/>
      <w:numFmt w:val="lowerRoman"/>
      <w:start w:val="1"/>
    </w:lvl>
  </w:abstractNum>
  <w:abstractNum w:abstractNumId="80">
    <w:nsid w:val="7FFFCA11"/>
    <w:multiLevelType w:val="hybridMultilevel"/>
    <w:lvl w:ilvl="0">
      <w:lvlJc w:val="left"/>
      <w:lvlText w:val="(%1)"/>
      <w:numFmt w:val="upperLetter"/>
      <w:start w:val="1"/>
    </w:lvl>
  </w:abstractNum>
  <w:abstractNum w:abstractNumId="81">
    <w:nsid w:val="1A27709E"/>
    <w:multiLevelType w:val="hybridMultilevel"/>
    <w:lvl w:ilvl="0">
      <w:lvlJc w:val="left"/>
      <w:lvlText w:val="(%1)"/>
      <w:numFmt w:val="upperLetter"/>
      <w:start w:val="3"/>
    </w:lvl>
  </w:abstractNum>
  <w:abstractNum w:abstractNumId="82">
    <w:nsid w:val="71EA1109"/>
    <w:multiLevelType w:val="hybridMultilevel"/>
    <w:lvl w:ilvl="0">
      <w:lvlJc w:val="left"/>
      <w:lvlText w:val="(%1)"/>
      <w:numFmt w:val="lowerRoman"/>
      <w:start w:val="1"/>
    </w:lvl>
  </w:abstractNum>
  <w:abstractNum w:abstractNumId="83">
    <w:nsid w:val="100F59DC"/>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2020-01-30T10:19:04Z</dcterms:created>
  <dcterms:modified xsi:type="dcterms:W3CDTF">2020-01-30T10:19:04Z</dcterms:modified>
</cp:coreProperties>
</file>