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hyperlink w:anchor="TableOfContents">
        <w:bookmarkStart w:id="0" w:name="a10-20268_18k.htm"/>
        <w:bookmarkStart w:id="1" w:name="ksa1020268_18k"/>
        <w:bookmarkEnd w:id="0"/>
        <w:bookmarkEnd w:id="1"/>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b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 November 3, 2010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rPr>
      </w:pPr>
      <w:r>
        <w:rPr>
          <w:rFonts w:ascii="Times New Roman" w:hAnsi="Times New Roman"/>
          <w:b/>
          <w:sz w:val="17"/>
        </w:rPr>
        <w:t>333 Clay Street, Suite 1600, Houston, Texas 77002</w:t>
      </w:r>
      <w:r>
        <w:rPr>
          <w:rFonts w:ascii="Times New Roman" w:hAnsi="Times New Roman"/>
          <w:sz w:val="17"/>
        </w:rPr>
        <w:b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TABLE OF CO</w:t>
      </w:r>
      <w:bookmarkStart w:id="2" w:name="TableOfContents"/>
      <w:bookmarkEnd w:id="2"/>
      <w:r>
        <w:rPr>
          <w:rFonts w:ascii="Times New Roman" w:hAnsi="Times New Roman"/>
          <w:b/>
          <w:sz w:val="17"/>
          <w:u w:val="single"/>
        </w:rPr>
        <w:t>NTENTS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864"/>
        <w:gridCol w:w="1341"/>
      </w:tblGrid>
      <w:tr>
        <w:trPr/>
        <w:tc>
          <w:tcPr>
            <w:tcW w:w="8864" w:type="dxa"/>
            <w:tcBorders/>
            <w:shd w:fill="auto" w:val="clear"/>
          </w:tcPr>
          <w:p>
            <w:pPr>
              <w:pStyle w:val="TableContents"/>
              <w:spacing w:before="0" w:after="0"/>
              <w:ind w:left="0" w:right="0" w:hanging="0"/>
              <w:rPr/>
            </w:pPr>
            <w:hyperlink w:anchor="Item9_01_FinancialStatementsAndEx_010522">
              <w:r>
                <w:rPr>
                  <w:rStyle w:val="InternetLink"/>
                  <w:rFonts w:ascii="Times New Roman" w:hAnsi="Times New Roman"/>
                  <w:sz w:val="17"/>
                  <w:u w:val="single"/>
                </w:rPr>
                <w:t>Item 9.01. Financial Statements and Exhibits</w:t>
              </w:r>
            </w:hyperlink>
          </w:p>
        </w:tc>
        <w:tc>
          <w:tcPr>
            <w:tcW w:w="1341" w:type="dxa"/>
            <w:tcBorders/>
            <w:shd w:fill="auto" w:val="clear"/>
          </w:tcPr>
          <w:p>
            <w:pPr>
              <w:pStyle w:val="TableContents"/>
              <w:spacing w:before="0" w:after="0"/>
              <w:ind w:left="0" w:right="0" w:hanging="0"/>
              <w:jc w:val="right"/>
              <w:rPr/>
            </w:pPr>
            <w:r>
              <w:rPr/>
              <w:t> </w:t>
            </w:r>
          </w:p>
        </w:tc>
      </w:tr>
      <w:tr>
        <w:trPr/>
        <w:tc>
          <w:tcPr>
            <w:tcW w:w="8864" w:type="dxa"/>
            <w:tcBorders/>
            <w:shd w:fill="auto" w:val="clear"/>
          </w:tcPr>
          <w:p>
            <w:pPr>
              <w:pStyle w:val="TableContents"/>
              <w:spacing w:before="0" w:after="0"/>
              <w:ind w:left="0" w:right="0" w:hanging="0"/>
              <w:rPr/>
            </w:pPr>
            <w:hyperlink w:anchor="Item2_02AndItem7_01_ResultsOfOper_010525">
              <w:r>
                <w:rPr>
                  <w:rStyle w:val="InternetLink"/>
                  <w:rFonts w:ascii="Times New Roman" w:hAnsi="Times New Roman"/>
                  <w:sz w:val="17"/>
                  <w:u w:val="single"/>
                </w:rPr>
                <w:t>Item 2.02 and Item 7.01. Results of Operations and Financial Condition; Regulation FD Disclosure</w:t>
              </w:r>
            </w:hyperlink>
          </w:p>
        </w:tc>
        <w:tc>
          <w:tcPr>
            <w:tcW w:w="1341" w:type="dxa"/>
            <w:tcBorders/>
            <w:shd w:fill="auto" w:val="clear"/>
          </w:tcPr>
          <w:p>
            <w:pPr>
              <w:pStyle w:val="TableContents"/>
              <w:spacing w:before="0" w:after="0"/>
              <w:ind w:left="0" w:right="0" w:hanging="0"/>
              <w:jc w:val="right"/>
              <w:rPr/>
            </w:pPr>
            <w:r>
              <w:rPr/>
              <w:t> </w:t>
            </w:r>
          </w:p>
        </w:tc>
      </w:tr>
      <w:tr>
        <w:trPr/>
        <w:tc>
          <w:tcPr>
            <w:tcW w:w="8864" w:type="dxa"/>
            <w:tcBorders/>
            <w:shd w:fill="auto" w:val="clear"/>
          </w:tcPr>
          <w:p>
            <w:pPr>
              <w:pStyle w:val="TableContents"/>
              <w:spacing w:before="0" w:after="0"/>
              <w:ind w:left="0" w:right="0" w:hanging="0"/>
              <w:rPr/>
            </w:pPr>
            <w:hyperlink w:anchor="Signatures_010545">
              <w:r>
                <w:rPr>
                  <w:rStyle w:val="InternetLink"/>
                  <w:rFonts w:ascii="Times New Roman" w:hAnsi="Times New Roman"/>
                  <w:sz w:val="17"/>
                  <w:u w:val="single"/>
                </w:rPr>
                <w:t>SIGNATURES</w:t>
              </w:r>
            </w:hyperlink>
          </w:p>
        </w:tc>
        <w:tc>
          <w:tcPr>
            <w:tcW w:w="1341" w:type="dxa"/>
            <w:tcBorders/>
            <w:shd w:fill="auto" w:val="clear"/>
          </w:tcPr>
          <w:p>
            <w:pPr>
              <w:pStyle w:val="TableContents"/>
              <w:spacing w:before="0" w:after="0"/>
              <w:ind w:left="0" w:right="0" w:hanging="0"/>
              <w:jc w:val="right"/>
              <w:rPr/>
            </w:pPr>
            <w:r>
              <w:rPr/>
              <w:t> </w:t>
            </w:r>
          </w:p>
        </w:tc>
      </w:tr>
      <w:tr>
        <w:trPr/>
        <w:tc>
          <w:tcPr>
            <w:tcW w:w="8864" w:type="dxa"/>
            <w:tcBorders/>
            <w:shd w:fill="auto" w:val="clear"/>
          </w:tcPr>
          <w:p>
            <w:pPr>
              <w:pStyle w:val="TableContents"/>
              <w:spacing w:before="0" w:after="0"/>
              <w:ind w:left="0" w:right="0" w:hanging="0"/>
              <w:rPr>
                <w:rFonts w:ascii="Times New Roman" w:hAnsi="Times New Roman"/>
                <w:sz w:val="17"/>
                <w:u w:val="single"/>
              </w:rPr>
            </w:pPr>
            <w:r>
              <w:rPr>
                <w:rFonts w:ascii="Times New Roman" w:hAnsi="Times New Roman"/>
                <w:sz w:val="17"/>
                <w:u w:val="single"/>
              </w:rPr>
              <w:t>EX-99.1</w:t>
            </w:r>
          </w:p>
        </w:tc>
        <w:tc>
          <w:tcPr>
            <w:tcW w:w="1341" w:type="dxa"/>
            <w:tcBorders/>
            <w:shd w:fill="auto" w:val="clear"/>
          </w:tcPr>
          <w:p>
            <w:pPr>
              <w:pStyle w:val="TableContents"/>
              <w:spacing w:before="0" w:after="0"/>
              <w:ind w:left="0" w:right="0" w:hanging="0"/>
              <w:jc w:val="right"/>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9.01. </w:t>
      </w:r>
      <w:r>
        <w:rPr>
          <w:rFonts w:ascii="Times New Roman" w:hAnsi="Times New Roman"/>
        </w:rPr>
        <w:t xml:space="preserve">        </w:t>
      </w:r>
      <w:r>
        <w:rPr>
          <w:rFonts w:ascii="Times New Roman" w:hAnsi="Times New Roman"/>
          <w:b/>
          <w:sz w:val="17"/>
        </w:rPr>
        <w:t>Financial Statements and Exhibits</w:t>
      </w:r>
      <w:bookmarkStart w:id="3" w:name="Item9_01_FinancialStatementsAndEx_010522"/>
      <w:bookmarkEnd w:id="3"/>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Exhibit 99.1  Press Release dated November 3,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2.02 </w:t>
      </w:r>
      <w:r>
        <w:rPr>
          <w:rFonts w:ascii="Times New Roman" w:hAnsi="Times New Roman"/>
        </w:rPr>
        <w:t xml:space="preserve">       </w:t>
      </w:r>
      <w:r>
        <w:rPr>
          <w:rFonts w:ascii="Times New Roman" w:hAnsi="Times New Roman"/>
          <w:b/>
          <w:sz w:val="17"/>
        </w:rPr>
        <w:t>and Item 7.01. Results of Operations and Financial Condition; Regulation FD Disclosure</w:t>
      </w:r>
      <w:bookmarkStart w:id="4" w:name="Item2_02AndItem7_01_ResultsOfOper_010525"/>
      <w:bookmarkEnd w:id="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Partnership) today issued a press release reporting its third-quarter 2010 results. We are furnishing the press release, attached as Exhibit 99.1, pursuant to Item 2.02 and Item 7.01 of Form 8-K. Pursuant to Item 7.01 we are providing updated detailed guidance for financial performance for the fourth quarter of calendar 2010, with resulting performance for the full calendar year of 2010 (which supersedes guidance pertaining to 2010 contained in our Form 8-K furnished on August 4, 2010). We are providing preliminary guidance for calendar year 2011. In accordance with General Instruction B.2. of Form 8-K, the information presented herein under this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Update of Fourth Quarter 2010 Guidance; Disclosure of Full Year 2011 Preliminary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EBIT and EBITDA (each as defined below in Note 1 to the Operating and Financial Guidance table) are non-GAAP financial measures. Net income and cash flows from operating activities are the most directly comparable GAAP measures to EBIT and EBITDA. In Note 9 below, we reconcile net income to EBIT and EBITDA for the 2010 guidance periods presented. We do not, however, reconcile cash flows from operating activities to EBIT and EBITDA, because such reconciliations are impractical for a forecasted period. We encourage you to visit our website at </w:t>
      </w:r>
      <w:r>
        <w:rPr>
          <w:rFonts w:ascii="Times New Roman" w:hAnsi="Times New Roman"/>
          <w:i/>
          <w:sz w:val="17"/>
        </w:rPr>
        <w:t>www.paalp.com</w:t>
      </w:r>
      <w:r>
        <w:rPr>
          <w:rFonts w:ascii="Times New Roman" w:hAnsi="Times New Roman"/>
          <w:sz w:val="17"/>
        </w:rPr>
        <w:t xml:space="preserve"> (in particular the section entitled Non-GAAP Reconciliations), which presents a historical reconciliation of EBIT and EBITDA as well as certain other commonly used non-GAAP financial measures. We present EBIT and EBITDA because we believe they provide additional information with respect to both the performance of our fundamental business activities and our ability to meet our future debt service, capital expenditure and working capital requirements. We also believe that debt holders commonly use EBITDA to analyze partnership performance. In addition, we have highlighted the impact of our equity compensation plans, gains and losses from other derivative activities, net loss on early repayment of senior notes, and PNGS contingent consideration fair value adjustment on Segment Profit, EBITDA, Net Income attributable to Plains and Net Income per Basic and Diluted Limited Partner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based our guidance for the three months and twelve months ending December 31, 2010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LPG sales) and acquisition synergies. Our assumptions and future performance, however, are both subject to a wide range of business risks and uncertainties, so no assurance can be provided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November 2, 2010. We undertake no obligation to publicly update or revise any forward-looking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5" w:name="PB_2_012433_2983"/>
      <w:bookmarkEnd w:id="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Operating and Financial Guidance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874"/>
        <w:gridCol w:w="214"/>
        <w:gridCol w:w="125"/>
        <w:gridCol w:w="906"/>
        <w:gridCol w:w="218"/>
        <w:gridCol w:w="127"/>
        <w:gridCol w:w="892"/>
        <w:gridCol w:w="221"/>
        <w:gridCol w:w="127"/>
        <w:gridCol w:w="892"/>
        <w:gridCol w:w="218"/>
        <w:gridCol w:w="124"/>
        <w:gridCol w:w="899"/>
        <w:gridCol w:w="217"/>
        <w:gridCol w:w="124"/>
        <w:gridCol w:w="899"/>
        <w:gridCol w:w="128"/>
      </w:tblGrid>
      <w:tr>
        <w:trPr/>
        <w:tc>
          <w:tcPr>
            <w:tcW w:w="387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03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218" w:type="dxa"/>
            <w:tcBorders/>
            <w:shd w:fill="auto" w:val="clear"/>
            <w:vAlign w:val="bottom"/>
          </w:tcPr>
          <w:p>
            <w:pPr>
              <w:pStyle w:val="TableContents"/>
              <w:spacing w:before="0" w:after="0"/>
              <w:ind w:left="0" w:right="0" w:hanging="0"/>
              <w:jc w:val="center"/>
              <w:rPr/>
            </w:pPr>
            <w:r>
              <w:rPr/>
              <w:t> </w:t>
            </w:r>
          </w:p>
        </w:tc>
        <w:tc>
          <w:tcPr>
            <w:tcW w:w="4740"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28" w:type="dxa"/>
            <w:tcBorders/>
            <w:shd w:fill="auto" w:val="clear"/>
            <w:vAlign w:val="bottom"/>
          </w:tcPr>
          <w:p>
            <w:pPr>
              <w:pStyle w:val="TableContents"/>
              <w:spacing w:before="0" w:after="0"/>
              <w:ind w:left="0" w:right="0" w:hanging="0"/>
              <w:jc w:val="center"/>
              <w:rPr/>
            </w:pPr>
            <w:r>
              <w:rPr/>
              <w:t> </w:t>
            </w:r>
          </w:p>
        </w:tc>
      </w:tr>
      <w:tr>
        <w:trPr/>
        <w:tc>
          <w:tcPr>
            <w:tcW w:w="387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03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9 Months</w:t>
            </w:r>
          </w:p>
        </w:tc>
        <w:tc>
          <w:tcPr>
            <w:tcW w:w="218" w:type="dxa"/>
            <w:tcBorders/>
            <w:shd w:fill="auto" w:val="clear"/>
            <w:vAlign w:val="bottom"/>
          </w:tcPr>
          <w:p>
            <w:pPr>
              <w:pStyle w:val="TableContents"/>
              <w:spacing w:before="0" w:after="0"/>
              <w:ind w:left="0" w:right="0" w:hanging="0"/>
              <w:jc w:val="center"/>
              <w:rPr/>
            </w:pPr>
            <w:r>
              <w:rPr/>
              <w:t> </w:t>
            </w:r>
          </w:p>
        </w:tc>
        <w:tc>
          <w:tcPr>
            <w:tcW w:w="225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18" w:type="dxa"/>
            <w:tcBorders/>
            <w:shd w:fill="auto" w:val="clear"/>
            <w:vAlign w:val="bottom"/>
          </w:tcPr>
          <w:p>
            <w:pPr>
              <w:pStyle w:val="TableContents"/>
              <w:spacing w:before="0" w:after="0"/>
              <w:ind w:left="0" w:right="0" w:hanging="0"/>
              <w:jc w:val="center"/>
              <w:rPr/>
            </w:pPr>
            <w:r>
              <w:rPr/>
              <w:t> </w:t>
            </w:r>
          </w:p>
        </w:tc>
        <w:tc>
          <w:tcPr>
            <w:tcW w:w="226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28" w:type="dxa"/>
            <w:tcBorders/>
            <w:shd w:fill="auto" w:val="clear"/>
            <w:vAlign w:val="bottom"/>
          </w:tcPr>
          <w:p>
            <w:pPr>
              <w:pStyle w:val="TableContents"/>
              <w:spacing w:before="0" w:after="0"/>
              <w:ind w:left="0" w:right="0" w:hanging="0"/>
              <w:jc w:val="center"/>
              <w:rPr/>
            </w:pPr>
            <w:r>
              <w:rPr/>
              <w:t> </w:t>
            </w:r>
          </w:p>
        </w:tc>
      </w:tr>
      <w:tr>
        <w:trPr/>
        <w:tc>
          <w:tcPr>
            <w:tcW w:w="387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03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18" w:type="dxa"/>
            <w:tcBorders/>
            <w:shd w:fill="auto" w:val="clear"/>
            <w:vAlign w:val="bottom"/>
          </w:tcPr>
          <w:p>
            <w:pPr>
              <w:pStyle w:val="TableContents"/>
              <w:spacing w:before="0" w:after="0"/>
              <w:ind w:left="0" w:right="0" w:hanging="0"/>
              <w:jc w:val="center"/>
              <w:rPr/>
            </w:pPr>
            <w:r>
              <w:rPr/>
              <w:t> </w:t>
            </w:r>
          </w:p>
        </w:tc>
        <w:tc>
          <w:tcPr>
            <w:tcW w:w="225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218" w:type="dxa"/>
            <w:tcBorders/>
            <w:shd w:fill="auto" w:val="clear"/>
            <w:vAlign w:val="bottom"/>
          </w:tcPr>
          <w:p>
            <w:pPr>
              <w:pStyle w:val="TableContents"/>
              <w:spacing w:before="0" w:after="0"/>
              <w:ind w:left="0" w:right="0" w:hanging="0"/>
              <w:jc w:val="center"/>
              <w:rPr/>
            </w:pPr>
            <w:r>
              <w:rPr/>
              <w:t> </w:t>
            </w:r>
          </w:p>
        </w:tc>
        <w:tc>
          <w:tcPr>
            <w:tcW w:w="226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128" w:type="dxa"/>
            <w:tcBorders/>
            <w:shd w:fill="auto" w:val="clear"/>
            <w:vAlign w:val="bottom"/>
          </w:tcPr>
          <w:p>
            <w:pPr>
              <w:pStyle w:val="TableContents"/>
              <w:spacing w:before="0" w:after="0"/>
              <w:ind w:left="0" w:right="0" w:hanging="0"/>
              <w:jc w:val="center"/>
              <w:rPr/>
            </w:pPr>
            <w:r>
              <w:rPr/>
              <w:t> </w:t>
            </w:r>
          </w:p>
        </w:tc>
      </w:tr>
      <w:tr>
        <w:trPr/>
        <w:tc>
          <w:tcPr>
            <w:tcW w:w="387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03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9/30/2010</w:t>
            </w:r>
          </w:p>
        </w:tc>
        <w:tc>
          <w:tcPr>
            <w:tcW w:w="218" w:type="dxa"/>
            <w:tcBorders/>
            <w:shd w:fill="auto" w:val="clear"/>
            <w:vAlign w:val="bottom"/>
          </w:tcPr>
          <w:p>
            <w:pPr>
              <w:pStyle w:val="TableContents"/>
              <w:spacing w:before="0" w:after="0"/>
              <w:ind w:left="0" w:right="0" w:hanging="0"/>
              <w:jc w:val="center"/>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2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18" w:type="dxa"/>
            <w:tcBorders/>
            <w:shd w:fill="auto" w:val="clear"/>
            <w:vAlign w:val="bottom"/>
          </w:tcPr>
          <w:p>
            <w:pPr>
              <w:pStyle w:val="TableContents"/>
              <w:spacing w:before="0" w:after="0"/>
              <w:ind w:left="0" w:right="0" w:hanging="0"/>
              <w:jc w:val="center"/>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28" w:type="dxa"/>
            <w:tcBorders/>
            <w:shd w:fill="auto" w:val="clear"/>
            <w:vAlign w:val="bottom"/>
          </w:tcPr>
          <w:p>
            <w:pPr>
              <w:pStyle w:val="TableContents"/>
              <w:spacing w:before="0" w:after="0"/>
              <w:ind w:left="0" w:right="0" w:hanging="0"/>
              <w:jc w:val="center"/>
              <w:rPr/>
            </w:pPr>
            <w:r>
              <w:rPr/>
              <w:t> </w:t>
            </w:r>
          </w:p>
        </w:tc>
      </w:tr>
      <w:tr>
        <w:trPr/>
        <w:tc>
          <w:tcPr>
            <w:tcW w:w="387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Segment Profit</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from unconsolidated entities)</w:t>
            </w:r>
          </w:p>
        </w:tc>
        <w:tc>
          <w:tcPr>
            <w:tcW w:w="214"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1,432</w:t>
            </w:r>
          </w:p>
        </w:tc>
        <w:tc>
          <w:tcPr>
            <w:tcW w:w="218"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499</w:t>
            </w:r>
          </w:p>
        </w:tc>
        <w:tc>
          <w:tcPr>
            <w:tcW w:w="221"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218"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1,931</w:t>
            </w:r>
          </w:p>
        </w:tc>
        <w:tc>
          <w:tcPr>
            <w:tcW w:w="217"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1,948</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(682</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(226</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18"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1,015</w:t>
            </w:r>
          </w:p>
        </w:tc>
        <w:tc>
          <w:tcPr>
            <w:tcW w:w="217"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1,040</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 expense</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benefit (expense)</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(expense), net</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4"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0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368</w:t>
            </w:r>
          </w:p>
        </w:tc>
        <w:tc>
          <w:tcPr>
            <w:tcW w:w="218"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2"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145</w:t>
            </w:r>
          </w:p>
        </w:tc>
        <w:tc>
          <w:tcPr>
            <w:tcW w:w="221"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2"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175</w:t>
            </w:r>
          </w:p>
        </w:tc>
        <w:tc>
          <w:tcPr>
            <w:tcW w:w="218"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513</w:t>
            </w:r>
          </w:p>
        </w:tc>
        <w:tc>
          <w:tcPr>
            <w:tcW w:w="217"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543</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the noncontrolling interests</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363</w:t>
            </w:r>
          </w:p>
        </w:tc>
        <w:tc>
          <w:tcPr>
            <w:tcW w:w="218"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142</w:t>
            </w:r>
          </w:p>
        </w:tc>
        <w:tc>
          <w:tcPr>
            <w:tcW w:w="221"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173</w:t>
            </w:r>
          </w:p>
        </w:tc>
        <w:tc>
          <w:tcPr>
            <w:tcW w:w="218"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505</w:t>
            </w:r>
          </w:p>
        </w:tc>
        <w:tc>
          <w:tcPr>
            <w:tcW w:w="217"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536</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to Limited Partners</w:t>
            </w:r>
          </w:p>
        </w:tc>
        <w:tc>
          <w:tcPr>
            <w:tcW w:w="214"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18"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21"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18"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17"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Units Outstanding</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Per Unit</w:t>
            </w:r>
          </w:p>
        </w:tc>
        <w:tc>
          <w:tcPr>
            <w:tcW w:w="21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8"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0.71</w:t>
            </w:r>
          </w:p>
        </w:tc>
        <w:tc>
          <w:tcPr>
            <w:tcW w:w="221"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218"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217"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Units Outstanding</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Per Unit</w:t>
            </w:r>
          </w:p>
        </w:tc>
        <w:tc>
          <w:tcPr>
            <w:tcW w:w="21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218"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0.70</w:t>
            </w:r>
          </w:p>
        </w:tc>
        <w:tc>
          <w:tcPr>
            <w:tcW w:w="221"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218"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217"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EBIT</w:t>
            </w:r>
          </w:p>
        </w:tc>
        <w:tc>
          <w:tcPr>
            <w:tcW w:w="214"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547</w:t>
            </w:r>
          </w:p>
        </w:tc>
        <w:tc>
          <w:tcPr>
            <w:tcW w:w="218"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210</w:t>
            </w:r>
          </w:p>
        </w:tc>
        <w:tc>
          <w:tcPr>
            <w:tcW w:w="221"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237</w:t>
            </w:r>
          </w:p>
        </w:tc>
        <w:tc>
          <w:tcPr>
            <w:tcW w:w="218"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757</w:t>
            </w:r>
          </w:p>
        </w:tc>
        <w:tc>
          <w:tcPr>
            <w:tcW w:w="217"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784</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EBITDA</w:t>
            </w:r>
          </w:p>
        </w:tc>
        <w:tc>
          <w:tcPr>
            <w:tcW w:w="214"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739</w:t>
            </w:r>
          </w:p>
        </w:tc>
        <w:tc>
          <w:tcPr>
            <w:tcW w:w="218"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267</w:t>
            </w:r>
          </w:p>
        </w:tc>
        <w:tc>
          <w:tcPr>
            <w:tcW w:w="221"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292</w:t>
            </w:r>
          </w:p>
        </w:tc>
        <w:tc>
          <w:tcPr>
            <w:tcW w:w="218"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1,006</w:t>
            </w:r>
          </w:p>
        </w:tc>
        <w:tc>
          <w:tcPr>
            <w:tcW w:w="217"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1,031</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21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charge</w:t>
            </w:r>
          </w:p>
        </w:tc>
        <w:tc>
          <w:tcPr>
            <w:tcW w:w="21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Gains / (Losses) from other derivative activities</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Net loss on early repayment of senior notes</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PNGS contingent consideration fair value adjustment</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affecting Net Income</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Gains / (Losses) from other derivative activities</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affecting EBITDA</w:t>
            </w:r>
          </w:p>
        </w:tc>
        <w:tc>
          <w:tcPr>
            <w:tcW w:w="214"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21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3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r>
        <w:trPr/>
        <w:tc>
          <w:tcPr>
            <w:tcW w:w="387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21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Excluding Selected Items Impacting Comparability</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Segment Profit</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w:t>
            </w:r>
          </w:p>
        </w:tc>
        <w:tc>
          <w:tcPr>
            <w:tcW w:w="214"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411</w:t>
            </w:r>
          </w:p>
        </w:tc>
        <w:tc>
          <w:tcPr>
            <w:tcW w:w="218"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21"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18"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549</w:t>
            </w:r>
          </w:p>
        </w:tc>
        <w:tc>
          <w:tcPr>
            <w:tcW w:w="217"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218"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17"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(Expense), net</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4"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218"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221"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8"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1,059</w:t>
            </w:r>
          </w:p>
        </w:tc>
        <w:tc>
          <w:tcPr>
            <w:tcW w:w="217"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1,084</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4"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218"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21"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218"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17"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588</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Basic Net Income per Limited Partner Unit</w:t>
            </w:r>
          </w:p>
        </w:tc>
        <w:tc>
          <w:tcPr>
            <w:tcW w:w="214"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218"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0.77</w:t>
            </w:r>
          </w:p>
        </w:tc>
        <w:tc>
          <w:tcPr>
            <w:tcW w:w="221"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0.99</w:t>
            </w:r>
          </w:p>
        </w:tc>
        <w:tc>
          <w:tcPr>
            <w:tcW w:w="218"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17"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Diluted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218"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0.76</w:t>
            </w:r>
          </w:p>
        </w:tc>
        <w:tc>
          <w:tcPr>
            <w:tcW w:w="221"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0.98</w:t>
            </w:r>
          </w:p>
        </w:tc>
        <w:tc>
          <w:tcPr>
            <w:tcW w:w="218"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217"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21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3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projected average foreign exchange rate was based on the average rates for October 2010 and $1.02 Canadian dollar to $1 U.S. Dollar, for the remainder of 2010. The rate as of November 2, 2010 was $1.01 Canadian dollar to $1 U.S. Dollar.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6" w:name="PB_3_012433_6228"/>
      <w:bookmarkEnd w:id="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265"/>
        <w:gridCol w:w="205"/>
        <w:gridCol w:w="7735"/>
      </w:tblGrid>
      <w:tr>
        <w:trPr/>
        <w:tc>
          <w:tcPr>
            <w:tcW w:w="1020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1. </w:t>
            </w:r>
            <w:r>
              <w:rPr>
                <w:rFonts w:ascii="Times New Roman" w:hAnsi="Times New Roman"/>
                <w:i/>
                <w:sz w:val="17"/>
              </w:rPr>
              <w:t>Definitions.</w:t>
            </w:r>
          </w:p>
        </w:tc>
      </w:tr>
      <w:tr>
        <w:trPr/>
        <w:tc>
          <w:tcPr>
            <w:tcW w:w="226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pPr>
            <w:r>
              <w:rPr/>
              <w:t> </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as applicable) less field operating costs and segment general and administrative expenses</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Bbls/d</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Liquefied petroleum gas and other natural gas-related petroleum products (primarily propane and butane)</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(GP)</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the context requires, general partner refers to any or all of (i) PAA GP LLC, the owner of our 2% general partner interest, (ii) Plains AAP, L.P., the sole member of PAA GP LLC and owner of our incentive distribution rights and (iii) Plains All American GP LLC, the general partner of Plains AAP, L.P.</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units</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units of Plains AAP, L.P.</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i/>
          <w:sz w:val="17"/>
        </w:rPr>
        <w:t>Operating Segments</w:t>
      </w:r>
      <w:r>
        <w:rPr>
          <w:rFonts w:ascii="Times New Roman" w:hAnsi="Times New Roman"/>
          <w:sz w:val="17"/>
        </w:rPr>
        <w:t>. We manage our operations through three operating segments: (i) Transportation, (ii) Facilities and (iii) Supply and Logistics. The following is a brief explanation of the operating activities for each segment as well as key metrics.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Transportation.</w:t>
      </w:r>
      <w:r>
        <w:rPr>
          <w:rFonts w:ascii="Times New Roman" w:hAnsi="Times New Roman"/>
        </w:rPr>
        <w:t xml:space="preserve"> </w:t>
      </w:r>
      <w:r>
        <w:rPr>
          <w:rFonts w:ascii="Times New Roman" w:hAnsi="Times New Roman"/>
          <w:sz w:val="17"/>
        </w:rPr>
        <w:t>Our transportation segment operations generally consist of fee-based activities associated with transporting crude oil and refined products on pipelines, gathering systems, trucks and barges. We generate revenue through a combination of tariffs, third-party leases of pipeline capacity and transportation fees. Our transportation segment also includes our equity earnings from our investments in the Butte, Frontier and White Cliffs (in which we acquired a 34% ownership interest effective September 1, 2010) pipeline systems and Settoon Towing,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volume estimates are based on historical trends, anticipated future operating performance and assumed completion of internal growth projects. Actual volumes will be influenced by maintenance schedules at refineries, production declines, weather and other natural occurances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total pipeline volumes and highlights major systems that are significant either in total volumes transported or in contribution to total transportation segment profit.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7" w:name="PB_4_012433_6479"/>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4300" w:type="pct"/>
        <w:jc w:val="left"/>
        <w:tblInd w:w="0" w:type="dxa"/>
        <w:tblCellMar>
          <w:top w:w="0" w:type="dxa"/>
          <w:left w:w="0" w:type="dxa"/>
          <w:bottom w:w="0" w:type="dxa"/>
          <w:right w:w="0" w:type="dxa"/>
        </w:tblCellMar>
      </w:tblPr>
      <w:tblGrid>
        <w:gridCol w:w="3685"/>
        <w:gridCol w:w="171"/>
        <w:gridCol w:w="200"/>
        <w:gridCol w:w="1188"/>
        <w:gridCol w:w="171"/>
        <w:gridCol w:w="213"/>
        <w:gridCol w:w="1229"/>
        <w:gridCol w:w="207"/>
        <w:gridCol w:w="227"/>
        <w:gridCol w:w="1270"/>
        <w:gridCol w:w="215"/>
      </w:tblGrid>
      <w:tr>
        <w:trPr/>
        <w:tc>
          <w:tcPr>
            <w:tcW w:w="3685"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71" w:type="dxa"/>
            <w:tcBorders/>
            <w:shd w:fill="auto" w:val="clear"/>
            <w:vAlign w:val="bottom"/>
          </w:tcPr>
          <w:p>
            <w:pPr>
              <w:pStyle w:val="TableContents"/>
              <w:spacing w:before="0" w:after="0"/>
              <w:ind w:left="0" w:right="0" w:hanging="0"/>
              <w:jc w:val="center"/>
              <w:rPr/>
            </w:pPr>
            <w:r>
              <w:rPr/>
              <w:t> </w:t>
            </w:r>
          </w:p>
        </w:tc>
        <w:tc>
          <w:tcPr>
            <w:tcW w:w="314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15" w:type="dxa"/>
            <w:tcBorders/>
            <w:shd w:fill="auto" w:val="clear"/>
            <w:vAlign w:val="bottom"/>
          </w:tcPr>
          <w:p>
            <w:pPr>
              <w:pStyle w:val="TableContents"/>
              <w:spacing w:before="0" w:after="0"/>
              <w:ind w:left="0" w:right="0" w:hanging="0"/>
              <w:jc w:val="center"/>
              <w:rPr/>
            </w:pPr>
            <w:r>
              <w:rPr/>
              <w:t> </w:t>
            </w:r>
          </w:p>
        </w:tc>
      </w:tr>
      <w:tr>
        <w:trPr/>
        <w:tc>
          <w:tcPr>
            <w:tcW w:w="3685"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38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71" w:type="dxa"/>
            <w:tcBorders/>
            <w:shd w:fill="auto" w:val="clear"/>
            <w:vAlign w:val="bottom"/>
          </w:tcPr>
          <w:p>
            <w:pPr>
              <w:pStyle w:val="TableContents"/>
              <w:spacing w:before="0" w:after="0"/>
              <w:ind w:left="0" w:right="0" w:hanging="0"/>
              <w:jc w:val="center"/>
              <w:rPr/>
            </w:pPr>
            <w:r>
              <w:rPr/>
              <w:t> </w:t>
            </w:r>
          </w:p>
        </w:tc>
        <w:tc>
          <w:tcPr>
            <w:tcW w:w="14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7" w:type="dxa"/>
            <w:tcBorders/>
            <w:shd w:fill="auto" w:val="clear"/>
            <w:vAlign w:val="bottom"/>
          </w:tcPr>
          <w:p>
            <w:pPr>
              <w:pStyle w:val="TableContents"/>
              <w:spacing w:before="0" w:after="0"/>
              <w:ind w:left="0" w:right="0" w:hanging="0"/>
              <w:jc w:val="center"/>
              <w:rPr/>
            </w:pPr>
            <w:r>
              <w:rPr/>
              <w:t> </w:t>
            </w:r>
          </w:p>
        </w:tc>
        <w:tc>
          <w:tcPr>
            <w:tcW w:w="149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15" w:type="dxa"/>
            <w:tcBorders/>
            <w:shd w:fill="auto" w:val="clear"/>
            <w:vAlign w:val="bottom"/>
          </w:tcPr>
          <w:p>
            <w:pPr>
              <w:pStyle w:val="TableContents"/>
              <w:spacing w:before="0" w:after="0"/>
              <w:ind w:left="0" w:right="0" w:hanging="0"/>
              <w:jc w:val="center"/>
              <w:rPr/>
            </w:pPr>
            <w:r>
              <w:rPr/>
              <w:t> </w:t>
            </w:r>
          </w:p>
        </w:tc>
      </w:tr>
      <w:tr>
        <w:trPr/>
        <w:tc>
          <w:tcPr>
            <w:tcW w:w="3685"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38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71" w:type="dxa"/>
            <w:tcBorders/>
            <w:shd w:fill="auto" w:val="clear"/>
            <w:vAlign w:val="bottom"/>
          </w:tcPr>
          <w:p>
            <w:pPr>
              <w:pStyle w:val="TableContents"/>
              <w:spacing w:before="0" w:after="0"/>
              <w:ind w:left="0" w:right="0" w:hanging="0"/>
              <w:jc w:val="center"/>
              <w:rPr/>
            </w:pPr>
            <w:r>
              <w:rPr/>
              <w:t> </w:t>
            </w:r>
          </w:p>
        </w:tc>
        <w:tc>
          <w:tcPr>
            <w:tcW w:w="14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07" w:type="dxa"/>
            <w:tcBorders/>
            <w:shd w:fill="auto" w:val="clear"/>
            <w:vAlign w:val="bottom"/>
          </w:tcPr>
          <w:p>
            <w:pPr>
              <w:pStyle w:val="TableContents"/>
              <w:spacing w:before="0" w:after="0"/>
              <w:ind w:left="0" w:right="0" w:hanging="0"/>
              <w:jc w:val="center"/>
              <w:rPr/>
            </w:pPr>
            <w:r>
              <w:rPr/>
              <w:t> </w:t>
            </w:r>
          </w:p>
        </w:tc>
        <w:tc>
          <w:tcPr>
            <w:tcW w:w="149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5" w:type="dxa"/>
            <w:tcBorders/>
            <w:shd w:fill="auto" w:val="clear"/>
            <w:vAlign w:val="bottom"/>
          </w:tcPr>
          <w:p>
            <w:pPr>
              <w:pStyle w:val="TableContents"/>
              <w:spacing w:before="0" w:after="0"/>
              <w:ind w:left="0" w:right="0" w:hanging="0"/>
              <w:jc w:val="center"/>
              <w:rPr/>
            </w:pPr>
            <w:r>
              <w:rPr/>
              <w:t> </w:t>
            </w:r>
          </w:p>
        </w:tc>
      </w:tr>
      <w:tr>
        <w:trPr/>
        <w:tc>
          <w:tcPr>
            <w:tcW w:w="3685"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2010</w:t>
            </w:r>
          </w:p>
        </w:tc>
        <w:tc>
          <w:tcPr>
            <w:tcW w:w="171" w:type="dxa"/>
            <w:tcBorders/>
            <w:shd w:fill="auto" w:val="clear"/>
            <w:vAlign w:val="bottom"/>
          </w:tcPr>
          <w:p>
            <w:pPr>
              <w:pStyle w:val="TableContents"/>
              <w:spacing w:before="0" w:after="0"/>
              <w:ind w:left="0" w:right="0" w:hanging="0"/>
              <w:jc w:val="center"/>
              <w:rPr/>
            </w:pPr>
            <w:r>
              <w:rPr/>
              <w:t> </w:t>
            </w:r>
          </w:p>
        </w:tc>
        <w:tc>
          <w:tcPr>
            <w:tcW w:w="14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2010</w:t>
            </w:r>
          </w:p>
        </w:tc>
        <w:tc>
          <w:tcPr>
            <w:tcW w:w="207" w:type="dxa"/>
            <w:tcBorders/>
            <w:shd w:fill="auto" w:val="clear"/>
            <w:vAlign w:val="bottom"/>
          </w:tcPr>
          <w:p>
            <w:pPr>
              <w:pStyle w:val="TableContents"/>
              <w:spacing w:before="0" w:after="0"/>
              <w:ind w:left="0" w:right="0" w:hanging="0"/>
              <w:jc w:val="center"/>
              <w:rPr/>
            </w:pPr>
            <w:r>
              <w:rPr/>
              <w:t> </w:t>
            </w:r>
          </w:p>
        </w:tc>
        <w:tc>
          <w:tcPr>
            <w:tcW w:w="14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2010</w:t>
            </w:r>
          </w:p>
        </w:tc>
        <w:tc>
          <w:tcPr>
            <w:tcW w:w="215" w:type="dxa"/>
            <w:tcBorders/>
            <w:shd w:fill="auto" w:val="clear"/>
            <w:vAlign w:val="bottom"/>
          </w:tcPr>
          <w:p>
            <w:pPr>
              <w:pStyle w:val="TableContents"/>
              <w:spacing w:before="0" w:after="0"/>
              <w:ind w:left="0" w:right="0" w:hanging="0"/>
              <w:jc w:val="center"/>
              <w:rPr/>
            </w:pPr>
            <w:r>
              <w:rPr/>
              <w:t> </w:t>
            </w:r>
          </w:p>
        </w:tc>
      </w:tr>
      <w:tr>
        <w:trPr/>
        <w:tc>
          <w:tcPr>
            <w:tcW w:w="36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Average Daily Volumes (000 Bbls/d)</w:t>
            </w:r>
          </w:p>
        </w:tc>
        <w:tc>
          <w:tcPr>
            <w:tcW w:w="171"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1442"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497"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r>
      <w:tr>
        <w:trPr/>
        <w:tc>
          <w:tcPr>
            <w:tcW w:w="36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171" w:type="dxa"/>
            <w:tcBorders/>
            <w:shd w:fill="auto" w:val="clear"/>
            <w:vAlign w:val="bottom"/>
          </w:tcPr>
          <w:p>
            <w:pPr>
              <w:pStyle w:val="TableContents"/>
              <w:spacing w:before="0" w:after="0"/>
              <w:ind w:left="0" w:right="0" w:hanging="0"/>
              <w:rPr/>
            </w:pPr>
            <w:r>
              <w:rPr/>
              <w:t> </w:t>
            </w:r>
          </w:p>
        </w:tc>
        <w:tc>
          <w:tcPr>
            <w:tcW w:w="13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71" w:type="dxa"/>
            <w:tcBorders/>
            <w:shd w:fill="auto" w:val="clear"/>
            <w:vAlign w:val="bottom"/>
          </w:tcPr>
          <w:p>
            <w:pPr>
              <w:pStyle w:val="TableContents"/>
              <w:spacing w:before="0" w:after="0"/>
              <w:ind w:left="0" w:right="0" w:hanging="0"/>
              <w:rPr/>
            </w:pPr>
            <w:r>
              <w:rPr/>
              <w:t> </w:t>
            </w:r>
          </w:p>
        </w:tc>
        <w:tc>
          <w:tcPr>
            <w:tcW w:w="14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7" w:type="dxa"/>
            <w:tcBorders/>
            <w:shd w:fill="auto" w:val="clear"/>
            <w:vAlign w:val="bottom"/>
          </w:tcPr>
          <w:p>
            <w:pPr>
              <w:pStyle w:val="TableContents"/>
              <w:spacing w:before="0" w:after="0"/>
              <w:ind w:left="0" w:right="0" w:hanging="0"/>
              <w:rPr/>
            </w:pPr>
            <w:r>
              <w:rPr/>
              <w:t> </w:t>
            </w:r>
          </w:p>
        </w:tc>
        <w:tc>
          <w:tcPr>
            <w:tcW w:w="14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5" w:type="dxa"/>
            <w:tcBorders/>
            <w:shd w:fill="auto" w:val="clear"/>
            <w:vAlign w:val="bottom"/>
          </w:tcPr>
          <w:p>
            <w:pPr>
              <w:pStyle w:val="TableContents"/>
              <w:spacing w:before="0" w:after="0"/>
              <w:ind w:left="0" w:right="0" w:hanging="0"/>
              <w:rPr/>
            </w:pPr>
            <w:r>
              <w:rPr/>
              <w:t> </w:t>
            </w:r>
          </w:p>
        </w:tc>
      </w:tr>
      <w:tr>
        <w:trPr/>
        <w:tc>
          <w:tcPr>
            <w:tcW w:w="36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171"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171" w:type="dxa"/>
            <w:tcBorders/>
            <w:shd w:fill="CCEEFF" w:val="clear"/>
            <w:vAlign w:val="bottom"/>
          </w:tcPr>
          <w:p>
            <w:pPr>
              <w:pStyle w:val="TableContents"/>
              <w:spacing w:before="0" w:after="0"/>
              <w:ind w:left="0" w:right="0" w:hanging="0"/>
              <w:rPr/>
            </w:pPr>
            <w:r>
              <w:rPr/>
              <w:t> </w:t>
            </w:r>
          </w:p>
        </w:tc>
        <w:tc>
          <w:tcPr>
            <w:tcW w:w="14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207" w:type="dxa"/>
            <w:tcBorders/>
            <w:shd w:fill="CCEEFF" w:val="clear"/>
            <w:vAlign w:val="bottom"/>
          </w:tcPr>
          <w:p>
            <w:pPr>
              <w:pStyle w:val="TableContents"/>
              <w:spacing w:before="0" w:after="0"/>
              <w:ind w:left="0" w:right="0" w:hanging="0"/>
              <w:rPr/>
            </w:pPr>
            <w:r>
              <w:rPr/>
              <w:t> </w:t>
            </w:r>
          </w:p>
        </w:tc>
        <w:tc>
          <w:tcPr>
            <w:tcW w:w="14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w:t>
            </w:r>
          </w:p>
        </w:tc>
        <w:tc>
          <w:tcPr>
            <w:tcW w:w="215" w:type="dxa"/>
            <w:tcBorders/>
            <w:shd w:fill="CCEEFF" w:val="clear"/>
            <w:vAlign w:val="bottom"/>
          </w:tcPr>
          <w:p>
            <w:pPr>
              <w:pStyle w:val="TableContents"/>
              <w:spacing w:before="0" w:after="0"/>
              <w:ind w:left="0" w:right="0" w:hanging="0"/>
              <w:rPr/>
            </w:pPr>
            <w:r>
              <w:rPr/>
              <w:t> </w:t>
            </w:r>
          </w:p>
        </w:tc>
      </w:tr>
      <w:tr>
        <w:trPr/>
        <w:tc>
          <w:tcPr>
            <w:tcW w:w="36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171" w:type="dxa"/>
            <w:tcBorders/>
            <w:shd w:fill="auto" w:val="clear"/>
            <w:vAlign w:val="bottom"/>
          </w:tcPr>
          <w:p>
            <w:pPr>
              <w:pStyle w:val="TableContents"/>
              <w:spacing w:before="0" w:after="0"/>
              <w:ind w:left="0" w:right="0" w:hanging="0"/>
              <w:rPr/>
            </w:pPr>
            <w:r>
              <w:rPr/>
              <w:t> </w:t>
            </w:r>
          </w:p>
        </w:tc>
        <w:tc>
          <w:tcPr>
            <w:tcW w:w="13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171" w:type="dxa"/>
            <w:tcBorders/>
            <w:shd w:fill="auto" w:val="clear"/>
            <w:vAlign w:val="bottom"/>
          </w:tcPr>
          <w:p>
            <w:pPr>
              <w:pStyle w:val="TableContents"/>
              <w:spacing w:before="0" w:after="0"/>
              <w:ind w:left="0" w:right="0" w:hanging="0"/>
              <w:rPr/>
            </w:pPr>
            <w:r>
              <w:rPr/>
              <w:t> </w:t>
            </w:r>
          </w:p>
        </w:tc>
        <w:tc>
          <w:tcPr>
            <w:tcW w:w="14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07" w:type="dxa"/>
            <w:tcBorders/>
            <w:shd w:fill="auto" w:val="clear"/>
            <w:vAlign w:val="bottom"/>
          </w:tcPr>
          <w:p>
            <w:pPr>
              <w:pStyle w:val="TableContents"/>
              <w:spacing w:before="0" w:after="0"/>
              <w:ind w:left="0" w:right="0" w:hanging="0"/>
              <w:rPr/>
            </w:pPr>
            <w:r>
              <w:rPr/>
              <w:t> </w:t>
            </w:r>
          </w:p>
        </w:tc>
        <w:tc>
          <w:tcPr>
            <w:tcW w:w="14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w:t>
            </w:r>
          </w:p>
        </w:tc>
        <w:tc>
          <w:tcPr>
            <w:tcW w:w="215" w:type="dxa"/>
            <w:tcBorders/>
            <w:shd w:fill="auto" w:val="clear"/>
            <w:vAlign w:val="bottom"/>
          </w:tcPr>
          <w:p>
            <w:pPr>
              <w:pStyle w:val="TableContents"/>
              <w:spacing w:before="0" w:after="0"/>
              <w:ind w:left="0" w:right="0" w:hanging="0"/>
              <w:rPr/>
            </w:pPr>
            <w:r>
              <w:rPr/>
              <w:t> </w:t>
            </w:r>
          </w:p>
        </w:tc>
      </w:tr>
      <w:tr>
        <w:trPr/>
        <w:tc>
          <w:tcPr>
            <w:tcW w:w="36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 / 2000</w:t>
            </w:r>
          </w:p>
        </w:tc>
        <w:tc>
          <w:tcPr>
            <w:tcW w:w="171"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71" w:type="dxa"/>
            <w:tcBorders/>
            <w:shd w:fill="CCEEFF" w:val="clear"/>
            <w:vAlign w:val="bottom"/>
          </w:tcPr>
          <w:p>
            <w:pPr>
              <w:pStyle w:val="TableContents"/>
              <w:spacing w:before="0" w:after="0"/>
              <w:ind w:left="0" w:right="0" w:hanging="0"/>
              <w:rPr/>
            </w:pPr>
            <w:r>
              <w:rPr/>
              <w:t> </w:t>
            </w:r>
          </w:p>
        </w:tc>
        <w:tc>
          <w:tcPr>
            <w:tcW w:w="14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07" w:type="dxa"/>
            <w:tcBorders/>
            <w:shd w:fill="CCEEFF" w:val="clear"/>
            <w:vAlign w:val="bottom"/>
          </w:tcPr>
          <w:p>
            <w:pPr>
              <w:pStyle w:val="TableContents"/>
              <w:spacing w:before="0" w:after="0"/>
              <w:ind w:left="0" w:right="0" w:hanging="0"/>
              <w:rPr/>
            </w:pPr>
            <w:r>
              <w:rPr/>
              <w:t> </w:t>
            </w:r>
          </w:p>
        </w:tc>
        <w:tc>
          <w:tcPr>
            <w:tcW w:w="14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15" w:type="dxa"/>
            <w:tcBorders/>
            <w:shd w:fill="CCEEFF" w:val="clear"/>
            <w:vAlign w:val="bottom"/>
          </w:tcPr>
          <w:p>
            <w:pPr>
              <w:pStyle w:val="TableContents"/>
              <w:spacing w:before="0" w:after="0"/>
              <w:ind w:left="0" w:right="0" w:hanging="0"/>
              <w:rPr/>
            </w:pPr>
            <w:r>
              <w:rPr/>
              <w:t> </w:t>
            </w:r>
          </w:p>
        </w:tc>
      </w:tr>
      <w:tr>
        <w:trPr/>
        <w:tc>
          <w:tcPr>
            <w:tcW w:w="3685" w:type="dxa"/>
            <w:tcBorders/>
            <w:shd w:fill="auto" w:val="clear"/>
            <w:vAlign w:val="bottom"/>
          </w:tcPr>
          <w:p>
            <w:pPr>
              <w:pStyle w:val="TableContents"/>
              <w:spacing w:before="0" w:after="0"/>
              <w:ind w:left="0" w:right="0" w:hanging="0"/>
              <w:rPr/>
            </w:pPr>
            <w:r>
              <w:rPr>
                <w:rFonts w:ascii="Times New Roman" w:hAnsi="Times New Roman"/>
                <w:sz w:val="17"/>
              </w:rPr>
              <w:t xml:space="preserve">Salt Lake City Area Systems </w:t>
            </w:r>
            <w:r>
              <w:rPr>
                <w:sz w:val="11"/>
              </w:rPr>
              <w:t>(1)</w:t>
            </w:r>
          </w:p>
        </w:tc>
        <w:tc>
          <w:tcPr>
            <w:tcW w:w="171" w:type="dxa"/>
            <w:tcBorders/>
            <w:shd w:fill="auto" w:val="clear"/>
            <w:vAlign w:val="bottom"/>
          </w:tcPr>
          <w:p>
            <w:pPr>
              <w:pStyle w:val="TableContents"/>
              <w:spacing w:before="0" w:after="0"/>
              <w:ind w:left="0" w:right="0" w:hanging="0"/>
              <w:rPr/>
            </w:pPr>
            <w:r>
              <w:rPr/>
              <w:t> </w:t>
            </w:r>
          </w:p>
        </w:tc>
        <w:tc>
          <w:tcPr>
            <w:tcW w:w="13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71" w:type="dxa"/>
            <w:tcBorders/>
            <w:shd w:fill="auto" w:val="clear"/>
            <w:vAlign w:val="bottom"/>
          </w:tcPr>
          <w:p>
            <w:pPr>
              <w:pStyle w:val="TableContents"/>
              <w:spacing w:before="0" w:after="0"/>
              <w:ind w:left="0" w:right="0" w:hanging="0"/>
              <w:rPr/>
            </w:pPr>
            <w:r>
              <w:rPr/>
              <w:t> </w:t>
            </w:r>
          </w:p>
        </w:tc>
        <w:tc>
          <w:tcPr>
            <w:tcW w:w="14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07" w:type="dxa"/>
            <w:tcBorders/>
            <w:shd w:fill="auto" w:val="clear"/>
            <w:vAlign w:val="bottom"/>
          </w:tcPr>
          <w:p>
            <w:pPr>
              <w:pStyle w:val="TableContents"/>
              <w:spacing w:before="0" w:after="0"/>
              <w:ind w:left="0" w:right="0" w:hanging="0"/>
              <w:rPr/>
            </w:pPr>
            <w:r>
              <w:rPr/>
              <w:t> </w:t>
            </w:r>
          </w:p>
        </w:tc>
        <w:tc>
          <w:tcPr>
            <w:tcW w:w="14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15" w:type="dxa"/>
            <w:tcBorders/>
            <w:shd w:fill="auto" w:val="clear"/>
            <w:vAlign w:val="bottom"/>
          </w:tcPr>
          <w:p>
            <w:pPr>
              <w:pStyle w:val="TableContents"/>
              <w:spacing w:before="0" w:after="0"/>
              <w:ind w:left="0" w:right="0" w:hanging="0"/>
              <w:rPr/>
            </w:pPr>
            <w:r>
              <w:rPr/>
              <w:t> </w:t>
            </w:r>
          </w:p>
        </w:tc>
      </w:tr>
      <w:tr>
        <w:trPr/>
        <w:tc>
          <w:tcPr>
            <w:tcW w:w="3685" w:type="dxa"/>
            <w:tcBorders/>
            <w:shd w:fill="CCEEFF" w:val="clear"/>
            <w:vAlign w:val="bottom"/>
          </w:tcPr>
          <w:p>
            <w:pPr>
              <w:pStyle w:val="TableContents"/>
              <w:spacing w:before="0" w:after="0"/>
              <w:ind w:left="0" w:right="0" w:hanging="0"/>
              <w:rPr/>
            </w:pPr>
            <w:r>
              <w:rPr>
                <w:rFonts w:ascii="Times New Roman" w:hAnsi="Times New Roman"/>
                <w:sz w:val="17"/>
              </w:rPr>
              <w:t xml:space="preserve">West Texas / New Mexico Area Systems </w:t>
            </w:r>
            <w:r>
              <w:rPr>
                <w:sz w:val="11"/>
              </w:rPr>
              <w:t>(1)</w:t>
            </w:r>
          </w:p>
        </w:tc>
        <w:tc>
          <w:tcPr>
            <w:tcW w:w="171"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379</w:t>
            </w:r>
          </w:p>
        </w:tc>
        <w:tc>
          <w:tcPr>
            <w:tcW w:w="171" w:type="dxa"/>
            <w:tcBorders/>
            <w:shd w:fill="CCEEFF" w:val="clear"/>
            <w:vAlign w:val="bottom"/>
          </w:tcPr>
          <w:p>
            <w:pPr>
              <w:pStyle w:val="TableContents"/>
              <w:spacing w:before="0" w:after="0"/>
              <w:ind w:left="0" w:right="0" w:hanging="0"/>
              <w:rPr/>
            </w:pPr>
            <w:r>
              <w:rPr/>
              <w:t> </w:t>
            </w:r>
          </w:p>
        </w:tc>
        <w:tc>
          <w:tcPr>
            <w:tcW w:w="14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w:t>
            </w:r>
          </w:p>
        </w:tc>
        <w:tc>
          <w:tcPr>
            <w:tcW w:w="207" w:type="dxa"/>
            <w:tcBorders/>
            <w:shd w:fill="CCEEFF" w:val="clear"/>
            <w:vAlign w:val="bottom"/>
          </w:tcPr>
          <w:p>
            <w:pPr>
              <w:pStyle w:val="TableContents"/>
              <w:spacing w:before="0" w:after="0"/>
              <w:ind w:left="0" w:right="0" w:hanging="0"/>
              <w:rPr/>
            </w:pPr>
            <w:r>
              <w:rPr/>
              <w:t> </w:t>
            </w:r>
          </w:p>
        </w:tc>
        <w:tc>
          <w:tcPr>
            <w:tcW w:w="14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15" w:type="dxa"/>
            <w:tcBorders/>
            <w:shd w:fill="CCEEFF" w:val="clear"/>
            <w:vAlign w:val="bottom"/>
          </w:tcPr>
          <w:p>
            <w:pPr>
              <w:pStyle w:val="TableContents"/>
              <w:spacing w:before="0" w:after="0"/>
              <w:ind w:left="0" w:right="0" w:hanging="0"/>
              <w:rPr/>
            </w:pPr>
            <w:r>
              <w:rPr/>
              <w:t> </w:t>
            </w:r>
          </w:p>
        </w:tc>
      </w:tr>
      <w:tr>
        <w:trPr/>
        <w:tc>
          <w:tcPr>
            <w:tcW w:w="36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171" w:type="dxa"/>
            <w:tcBorders/>
            <w:shd w:fill="auto" w:val="clear"/>
            <w:vAlign w:val="bottom"/>
          </w:tcPr>
          <w:p>
            <w:pPr>
              <w:pStyle w:val="TableContents"/>
              <w:spacing w:before="0" w:after="0"/>
              <w:ind w:left="0" w:right="0" w:hanging="0"/>
              <w:rPr/>
            </w:pPr>
            <w:r>
              <w:rPr/>
              <w:t> </w:t>
            </w:r>
          </w:p>
        </w:tc>
        <w:tc>
          <w:tcPr>
            <w:tcW w:w="13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171" w:type="dxa"/>
            <w:tcBorders/>
            <w:shd w:fill="auto" w:val="clear"/>
            <w:vAlign w:val="bottom"/>
          </w:tcPr>
          <w:p>
            <w:pPr>
              <w:pStyle w:val="TableContents"/>
              <w:spacing w:before="0" w:after="0"/>
              <w:ind w:left="0" w:right="0" w:hanging="0"/>
              <w:rPr/>
            </w:pPr>
            <w:r>
              <w:rPr/>
              <w:t> </w:t>
            </w:r>
          </w:p>
        </w:tc>
        <w:tc>
          <w:tcPr>
            <w:tcW w:w="14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07" w:type="dxa"/>
            <w:tcBorders/>
            <w:shd w:fill="auto" w:val="clear"/>
            <w:vAlign w:val="bottom"/>
          </w:tcPr>
          <w:p>
            <w:pPr>
              <w:pStyle w:val="TableContents"/>
              <w:spacing w:before="0" w:after="0"/>
              <w:ind w:left="0" w:right="0" w:hanging="0"/>
              <w:rPr/>
            </w:pPr>
            <w:r>
              <w:rPr/>
              <w:t> </w:t>
            </w:r>
          </w:p>
        </w:tc>
        <w:tc>
          <w:tcPr>
            <w:tcW w:w="14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w:t>
            </w:r>
          </w:p>
        </w:tc>
        <w:tc>
          <w:tcPr>
            <w:tcW w:w="215" w:type="dxa"/>
            <w:tcBorders/>
            <w:shd w:fill="auto" w:val="clear"/>
            <w:vAlign w:val="bottom"/>
          </w:tcPr>
          <w:p>
            <w:pPr>
              <w:pStyle w:val="TableContents"/>
              <w:spacing w:before="0" w:after="0"/>
              <w:ind w:left="0" w:right="0" w:hanging="0"/>
              <w:rPr/>
            </w:pPr>
            <w:r>
              <w:rPr/>
              <w:t> </w:t>
            </w:r>
          </w:p>
        </w:tc>
      </w:tr>
      <w:tr>
        <w:trPr/>
        <w:tc>
          <w:tcPr>
            <w:tcW w:w="36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171"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71" w:type="dxa"/>
            <w:tcBorders/>
            <w:shd w:fill="CCEEFF" w:val="clear"/>
            <w:vAlign w:val="bottom"/>
          </w:tcPr>
          <w:p>
            <w:pPr>
              <w:pStyle w:val="TableContents"/>
              <w:spacing w:before="0" w:after="0"/>
              <w:ind w:left="0" w:right="0" w:hanging="0"/>
              <w:rPr/>
            </w:pPr>
            <w:r>
              <w:rPr/>
              <w:t> </w:t>
            </w:r>
          </w:p>
        </w:tc>
        <w:tc>
          <w:tcPr>
            <w:tcW w:w="14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7" w:type="dxa"/>
            <w:tcBorders/>
            <w:shd w:fill="CCEEFF" w:val="clear"/>
            <w:vAlign w:val="bottom"/>
          </w:tcPr>
          <w:p>
            <w:pPr>
              <w:pStyle w:val="TableContents"/>
              <w:spacing w:before="0" w:after="0"/>
              <w:ind w:left="0" w:right="0" w:hanging="0"/>
              <w:rPr/>
            </w:pPr>
            <w:r>
              <w:rPr/>
              <w:t> </w:t>
            </w:r>
          </w:p>
        </w:tc>
        <w:tc>
          <w:tcPr>
            <w:tcW w:w="14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5" w:type="dxa"/>
            <w:tcBorders/>
            <w:shd w:fill="CCEEFF" w:val="clear"/>
            <w:vAlign w:val="bottom"/>
          </w:tcPr>
          <w:p>
            <w:pPr>
              <w:pStyle w:val="TableContents"/>
              <w:spacing w:before="0" w:after="0"/>
              <w:ind w:left="0" w:right="0" w:hanging="0"/>
              <w:rPr/>
            </w:pPr>
            <w:r>
              <w:rPr/>
              <w:t> </w:t>
            </w:r>
          </w:p>
        </w:tc>
      </w:tr>
      <w:tr>
        <w:trPr/>
        <w:tc>
          <w:tcPr>
            <w:tcW w:w="36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171" w:type="dxa"/>
            <w:tcBorders/>
            <w:shd w:fill="auto" w:val="clear"/>
            <w:vAlign w:val="bottom"/>
          </w:tcPr>
          <w:p>
            <w:pPr>
              <w:pStyle w:val="TableContents"/>
              <w:spacing w:before="0" w:after="0"/>
              <w:ind w:left="0" w:right="0" w:hanging="0"/>
              <w:rPr/>
            </w:pPr>
            <w:r>
              <w:rPr/>
              <w:t> </w:t>
            </w:r>
          </w:p>
        </w:tc>
        <w:tc>
          <w:tcPr>
            <w:tcW w:w="13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71" w:type="dxa"/>
            <w:tcBorders/>
            <w:shd w:fill="auto" w:val="clear"/>
            <w:vAlign w:val="bottom"/>
          </w:tcPr>
          <w:p>
            <w:pPr>
              <w:pStyle w:val="TableContents"/>
              <w:spacing w:before="0" w:after="0"/>
              <w:ind w:left="0" w:right="0" w:hanging="0"/>
              <w:rPr/>
            </w:pPr>
            <w:r>
              <w:rPr/>
              <w:t> </w:t>
            </w:r>
          </w:p>
        </w:tc>
        <w:tc>
          <w:tcPr>
            <w:tcW w:w="14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07" w:type="dxa"/>
            <w:tcBorders/>
            <w:shd w:fill="auto" w:val="clear"/>
            <w:vAlign w:val="bottom"/>
          </w:tcPr>
          <w:p>
            <w:pPr>
              <w:pStyle w:val="TableContents"/>
              <w:spacing w:before="0" w:after="0"/>
              <w:ind w:left="0" w:right="0" w:hanging="0"/>
              <w:rPr/>
            </w:pPr>
            <w:r>
              <w:rPr/>
              <w:t> </w:t>
            </w:r>
          </w:p>
        </w:tc>
        <w:tc>
          <w:tcPr>
            <w:tcW w:w="14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15" w:type="dxa"/>
            <w:tcBorders/>
            <w:shd w:fill="auto" w:val="clear"/>
            <w:vAlign w:val="bottom"/>
          </w:tcPr>
          <w:p>
            <w:pPr>
              <w:pStyle w:val="TableContents"/>
              <w:spacing w:before="0" w:after="0"/>
              <w:ind w:left="0" w:right="0" w:hanging="0"/>
              <w:rPr/>
            </w:pPr>
            <w:r>
              <w:rPr/>
              <w:t> </w:t>
            </w:r>
          </w:p>
        </w:tc>
      </w:tr>
      <w:tr>
        <w:trPr/>
        <w:tc>
          <w:tcPr>
            <w:tcW w:w="36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171"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71" w:type="dxa"/>
            <w:tcBorders/>
            <w:shd w:fill="CCEEFF" w:val="clear"/>
            <w:vAlign w:val="bottom"/>
          </w:tcPr>
          <w:p>
            <w:pPr>
              <w:pStyle w:val="TableContents"/>
              <w:spacing w:before="0" w:after="0"/>
              <w:ind w:left="0" w:right="0" w:hanging="0"/>
              <w:rPr/>
            </w:pPr>
            <w:r>
              <w:rPr/>
              <w:t> </w:t>
            </w:r>
          </w:p>
        </w:tc>
        <w:tc>
          <w:tcPr>
            <w:tcW w:w="14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7" w:type="dxa"/>
            <w:tcBorders/>
            <w:shd w:fill="CCEEFF" w:val="clear"/>
            <w:vAlign w:val="bottom"/>
          </w:tcPr>
          <w:p>
            <w:pPr>
              <w:pStyle w:val="TableContents"/>
              <w:spacing w:before="0" w:after="0"/>
              <w:ind w:left="0" w:right="0" w:hanging="0"/>
              <w:rPr/>
            </w:pPr>
            <w:r>
              <w:rPr/>
              <w:t> </w:t>
            </w:r>
          </w:p>
        </w:tc>
        <w:tc>
          <w:tcPr>
            <w:tcW w:w="14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15" w:type="dxa"/>
            <w:tcBorders/>
            <w:shd w:fill="CCEEFF" w:val="clear"/>
            <w:vAlign w:val="bottom"/>
          </w:tcPr>
          <w:p>
            <w:pPr>
              <w:pStyle w:val="TableContents"/>
              <w:spacing w:before="0" w:after="0"/>
              <w:ind w:left="0" w:right="0" w:hanging="0"/>
              <w:rPr/>
            </w:pPr>
            <w:r>
              <w:rPr/>
              <w:t> </w:t>
            </w:r>
          </w:p>
        </w:tc>
      </w:tr>
      <w:tr>
        <w:trPr/>
        <w:tc>
          <w:tcPr>
            <w:tcW w:w="36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71" w:type="dxa"/>
            <w:tcBorders/>
            <w:shd w:fill="auto" w:val="clear"/>
            <w:vAlign w:val="bottom"/>
          </w:tcPr>
          <w:p>
            <w:pPr>
              <w:pStyle w:val="TableContents"/>
              <w:spacing w:before="0" w:after="0"/>
              <w:ind w:left="0" w:right="0" w:hanging="0"/>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1,210</w:t>
            </w:r>
          </w:p>
        </w:tc>
        <w:tc>
          <w:tcPr>
            <w:tcW w:w="171" w:type="dxa"/>
            <w:tcBorders/>
            <w:shd w:fill="auto" w:val="clear"/>
            <w:vAlign w:val="bottom"/>
          </w:tcPr>
          <w:p>
            <w:pPr>
              <w:pStyle w:val="TableContents"/>
              <w:spacing w:before="0" w:after="0"/>
              <w:ind w:left="0" w:right="0" w:hanging="0"/>
              <w:rPr/>
            </w:pPr>
            <w:r>
              <w:rPr/>
              <w:t> </w:t>
            </w:r>
          </w:p>
        </w:tc>
        <w:tc>
          <w:tcPr>
            <w:tcW w:w="14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1,242</w:t>
            </w:r>
          </w:p>
        </w:tc>
        <w:tc>
          <w:tcPr>
            <w:tcW w:w="207" w:type="dxa"/>
            <w:tcBorders/>
            <w:shd w:fill="auto" w:val="clear"/>
            <w:vAlign w:val="bottom"/>
          </w:tcPr>
          <w:p>
            <w:pPr>
              <w:pStyle w:val="TableContents"/>
              <w:spacing w:before="0" w:after="0"/>
              <w:ind w:left="0" w:right="0" w:hanging="0"/>
              <w:rPr/>
            </w:pPr>
            <w:r>
              <w:rPr/>
              <w:t> </w:t>
            </w:r>
          </w:p>
        </w:tc>
        <w:tc>
          <w:tcPr>
            <w:tcW w:w="14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1,218</w:t>
            </w:r>
          </w:p>
        </w:tc>
        <w:tc>
          <w:tcPr>
            <w:tcW w:w="215" w:type="dxa"/>
            <w:tcBorders/>
            <w:shd w:fill="auto" w:val="clear"/>
            <w:vAlign w:val="bottom"/>
          </w:tcPr>
          <w:p>
            <w:pPr>
              <w:pStyle w:val="TableContents"/>
              <w:spacing w:before="0" w:after="0"/>
              <w:ind w:left="0" w:right="0" w:hanging="0"/>
              <w:rPr/>
            </w:pPr>
            <w:r>
              <w:rPr/>
              <w:t> </w:t>
            </w:r>
          </w:p>
        </w:tc>
      </w:tr>
      <w:tr>
        <w:trPr/>
        <w:tc>
          <w:tcPr>
            <w:tcW w:w="3685"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2,889</w:t>
            </w:r>
          </w:p>
        </w:tc>
        <w:tc>
          <w:tcPr>
            <w:tcW w:w="171" w:type="dxa"/>
            <w:tcBorders/>
            <w:shd w:fill="CCEEFF" w:val="clear"/>
            <w:vAlign w:val="bottom"/>
          </w:tcPr>
          <w:p>
            <w:pPr>
              <w:pStyle w:val="TableContents"/>
              <w:spacing w:before="0" w:after="0"/>
              <w:ind w:left="0" w:right="0" w:hanging="0"/>
              <w:rPr/>
            </w:pPr>
            <w:r>
              <w:rPr/>
              <w:t> </w:t>
            </w:r>
          </w:p>
        </w:tc>
        <w:tc>
          <w:tcPr>
            <w:tcW w:w="14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2,920</w:t>
            </w:r>
          </w:p>
        </w:tc>
        <w:tc>
          <w:tcPr>
            <w:tcW w:w="207" w:type="dxa"/>
            <w:tcBorders/>
            <w:shd w:fill="CCEEFF" w:val="clear"/>
            <w:vAlign w:val="bottom"/>
          </w:tcPr>
          <w:p>
            <w:pPr>
              <w:pStyle w:val="TableContents"/>
              <w:spacing w:before="0" w:after="0"/>
              <w:ind w:left="0" w:right="0" w:hanging="0"/>
              <w:rPr/>
            </w:pPr>
            <w:r>
              <w:rPr/>
              <w:t> </w:t>
            </w:r>
          </w:p>
        </w:tc>
        <w:tc>
          <w:tcPr>
            <w:tcW w:w="14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2,897</w:t>
            </w:r>
          </w:p>
        </w:tc>
        <w:tc>
          <w:tcPr>
            <w:tcW w:w="215" w:type="dxa"/>
            <w:tcBorders/>
            <w:shd w:fill="CCEEFF" w:val="clear"/>
            <w:vAlign w:val="bottom"/>
          </w:tcPr>
          <w:p>
            <w:pPr>
              <w:pStyle w:val="TableContents"/>
              <w:spacing w:before="0" w:after="0"/>
              <w:ind w:left="0" w:right="0" w:hanging="0"/>
              <w:rPr/>
            </w:pPr>
            <w:r>
              <w:rPr/>
              <w:t> </w:t>
            </w:r>
          </w:p>
        </w:tc>
      </w:tr>
      <w:tr>
        <w:trPr/>
        <w:tc>
          <w:tcPr>
            <w:tcW w:w="36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171" w:type="dxa"/>
            <w:tcBorders/>
            <w:shd w:fill="auto" w:val="clear"/>
            <w:vAlign w:val="bottom"/>
          </w:tcPr>
          <w:p>
            <w:pPr>
              <w:pStyle w:val="TableContents"/>
              <w:spacing w:before="0" w:after="0"/>
              <w:ind w:left="0" w:right="0" w:hanging="0"/>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71" w:type="dxa"/>
            <w:tcBorders/>
            <w:shd w:fill="auto" w:val="clear"/>
            <w:vAlign w:val="bottom"/>
          </w:tcPr>
          <w:p>
            <w:pPr>
              <w:pStyle w:val="TableContents"/>
              <w:spacing w:before="0" w:after="0"/>
              <w:ind w:left="0" w:right="0" w:hanging="0"/>
              <w:rPr/>
            </w:pPr>
            <w:r>
              <w:rPr/>
              <w:t> </w:t>
            </w:r>
          </w:p>
        </w:tc>
        <w:tc>
          <w:tcPr>
            <w:tcW w:w="14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07" w:type="dxa"/>
            <w:tcBorders/>
            <w:shd w:fill="auto" w:val="clear"/>
            <w:vAlign w:val="bottom"/>
          </w:tcPr>
          <w:p>
            <w:pPr>
              <w:pStyle w:val="TableContents"/>
              <w:spacing w:before="0" w:after="0"/>
              <w:ind w:left="0" w:right="0" w:hanging="0"/>
              <w:rPr/>
            </w:pPr>
            <w:r>
              <w:rPr/>
              <w:t> </w:t>
            </w:r>
          </w:p>
        </w:tc>
        <w:tc>
          <w:tcPr>
            <w:tcW w:w="14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15" w:type="dxa"/>
            <w:tcBorders/>
            <w:shd w:fill="auto" w:val="clear"/>
            <w:vAlign w:val="bottom"/>
          </w:tcPr>
          <w:p>
            <w:pPr>
              <w:pStyle w:val="TableContents"/>
              <w:spacing w:before="0" w:after="0"/>
              <w:ind w:left="0" w:right="0" w:hanging="0"/>
              <w:rPr/>
            </w:pPr>
            <w:r>
              <w:rPr/>
              <w:t> </w:t>
            </w:r>
          </w:p>
        </w:tc>
      </w:tr>
      <w:tr>
        <w:trPr/>
        <w:tc>
          <w:tcPr>
            <w:tcW w:w="3685"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pPr>
            <w:r>
              <w:rPr/>
              <w:t> </w:t>
            </w:r>
          </w:p>
        </w:tc>
        <w:tc>
          <w:tcPr>
            <w:tcW w:w="138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2,983</w:t>
            </w:r>
          </w:p>
        </w:tc>
        <w:tc>
          <w:tcPr>
            <w:tcW w:w="171" w:type="dxa"/>
            <w:tcBorders/>
            <w:shd w:fill="CCEEFF" w:val="clear"/>
            <w:vAlign w:val="bottom"/>
          </w:tcPr>
          <w:p>
            <w:pPr>
              <w:pStyle w:val="TableContents"/>
              <w:spacing w:before="0" w:after="0"/>
              <w:ind w:left="0" w:right="0" w:hanging="0"/>
              <w:rPr/>
            </w:pPr>
            <w:r>
              <w:rPr/>
              <w:t> </w:t>
            </w:r>
          </w:p>
        </w:tc>
        <w:tc>
          <w:tcPr>
            <w:tcW w:w="144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3,025</w:t>
            </w:r>
          </w:p>
        </w:tc>
        <w:tc>
          <w:tcPr>
            <w:tcW w:w="207" w:type="dxa"/>
            <w:tcBorders/>
            <w:shd w:fill="CCEEFF" w:val="clear"/>
            <w:vAlign w:val="bottom"/>
          </w:tcPr>
          <w:p>
            <w:pPr>
              <w:pStyle w:val="TableContents"/>
              <w:spacing w:before="0" w:after="0"/>
              <w:ind w:left="0" w:right="0" w:hanging="0"/>
              <w:rPr/>
            </w:pPr>
            <w:r>
              <w:rPr/>
              <w:t> </w:t>
            </w:r>
          </w:p>
        </w:tc>
        <w:tc>
          <w:tcPr>
            <w:tcW w:w="149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2,994</w:t>
            </w:r>
          </w:p>
        </w:tc>
        <w:tc>
          <w:tcPr>
            <w:tcW w:w="215" w:type="dxa"/>
            <w:tcBorders/>
            <w:shd w:fill="CCEEFF" w:val="clear"/>
            <w:vAlign w:val="bottom"/>
          </w:tcPr>
          <w:p>
            <w:pPr>
              <w:pStyle w:val="TableContents"/>
              <w:spacing w:before="0" w:after="0"/>
              <w:ind w:left="0" w:right="0" w:hanging="0"/>
              <w:rPr/>
            </w:pPr>
            <w:r>
              <w:rPr/>
              <w:t> </w:t>
            </w:r>
          </w:p>
        </w:tc>
      </w:tr>
      <w:tr>
        <w:trPr/>
        <w:tc>
          <w:tcPr>
            <w:tcW w:w="36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71" w:type="dxa"/>
            <w:tcBorders/>
            <w:shd w:fill="auto" w:val="clear"/>
            <w:vAlign w:val="bottom"/>
          </w:tcPr>
          <w:p>
            <w:pPr>
              <w:pStyle w:val="TableContents"/>
              <w:spacing w:before="0" w:after="0"/>
              <w:ind w:left="0" w:right="0" w:hanging="0"/>
              <w:rPr/>
            </w:pPr>
            <w:r>
              <w:rPr/>
              <w:t> </w:t>
            </w:r>
          </w:p>
        </w:tc>
        <w:tc>
          <w:tcPr>
            <w:tcW w:w="1388"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1442"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49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r>
      <w:tr>
        <w:trPr/>
        <w:tc>
          <w:tcPr>
            <w:tcW w:w="36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171" w:type="dxa"/>
            <w:tcBorders/>
            <w:shd w:fill="CCEEFF" w:val="clear"/>
            <w:vAlign w:val="bottom"/>
          </w:tcPr>
          <w:p>
            <w:pPr>
              <w:pStyle w:val="TableContents"/>
              <w:spacing w:before="0" w:after="0"/>
              <w:ind w:left="0" w:right="0" w:hanging="0"/>
              <w:rPr/>
            </w:pPr>
            <w:r>
              <w:rPr/>
              <w:t> </w:t>
            </w:r>
          </w:p>
        </w:tc>
        <w:tc>
          <w:tcPr>
            <w:tcW w:w="2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0.50</w:t>
            </w:r>
          </w:p>
        </w:tc>
        <w:tc>
          <w:tcPr>
            <w:tcW w:w="171"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0.50</w:t>
            </w:r>
          </w:p>
        </w:tc>
        <w:tc>
          <w:tcPr>
            <w:tcW w:w="207"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0.50</w:t>
            </w:r>
          </w:p>
        </w:tc>
        <w:tc>
          <w:tcPr>
            <w:tcW w:w="21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68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aggregate of multiple systems in the respective areas.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Facilities</w:t>
      </w:r>
      <w:r>
        <w:rPr>
          <w:rFonts w:ascii="Times New Roman" w:hAnsi="Times New Roman"/>
          <w:sz w:val="17"/>
        </w:rPr>
        <w:t>. Our facilities segment operations generally consist of fee-based activities associated with providing storage, terminalling and throughput services for crude oil, refined products, LPG and natural gas, as well as LPG fractionation and isomerization services. We generate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is forecast using the volume assumptions in the table below, priced at forecasted rates, less estimated field operating costs and G&amp;A expenses. Field operating costs do not include depreciation.</w:t>
      </w:r>
    </w:p>
    <w:p>
      <w:pPr>
        <w:pStyle w:val="TextBody"/>
        <w:spacing w:before="0" w:after="0"/>
        <w:ind w:left="0" w:right="0" w:hanging="0"/>
        <w:rPr/>
      </w:pPr>
      <w:r>
        <w:rPr/>
        <w:t> </w:t>
      </w:r>
    </w:p>
    <w:tbl>
      <w:tblPr>
        <w:tblW w:w="4500" w:type="pct"/>
        <w:jc w:val="left"/>
        <w:tblInd w:w="0" w:type="dxa"/>
        <w:tblCellMar>
          <w:top w:w="0" w:type="dxa"/>
          <w:left w:w="0" w:type="dxa"/>
          <w:bottom w:w="0" w:type="dxa"/>
          <w:right w:w="0" w:type="dxa"/>
        </w:tblCellMar>
      </w:tblPr>
      <w:tblGrid>
        <w:gridCol w:w="3908"/>
        <w:gridCol w:w="181"/>
        <w:gridCol w:w="201"/>
        <w:gridCol w:w="1239"/>
        <w:gridCol w:w="181"/>
        <w:gridCol w:w="214"/>
        <w:gridCol w:w="1279"/>
        <w:gridCol w:w="215"/>
        <w:gridCol w:w="227"/>
        <w:gridCol w:w="1318"/>
        <w:gridCol w:w="221"/>
      </w:tblGrid>
      <w:tr>
        <w:trPr/>
        <w:tc>
          <w:tcPr>
            <w:tcW w:w="3908"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14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81" w:type="dxa"/>
            <w:tcBorders/>
            <w:shd w:fill="auto" w:val="clear"/>
            <w:vAlign w:val="bottom"/>
          </w:tcPr>
          <w:p>
            <w:pPr>
              <w:pStyle w:val="TableContents"/>
              <w:spacing w:before="0" w:after="0"/>
              <w:ind w:left="0" w:right="0" w:hanging="0"/>
              <w:jc w:val="center"/>
              <w:rPr/>
            </w:pPr>
            <w:r>
              <w:rPr/>
              <w:t> </w:t>
            </w:r>
          </w:p>
        </w:tc>
        <w:tc>
          <w:tcPr>
            <w:tcW w:w="325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21" w:type="dxa"/>
            <w:tcBorders/>
            <w:shd w:fill="auto" w:val="clear"/>
            <w:vAlign w:val="bottom"/>
          </w:tcPr>
          <w:p>
            <w:pPr>
              <w:pStyle w:val="TableContents"/>
              <w:spacing w:before="0" w:after="0"/>
              <w:ind w:left="0" w:right="0" w:hanging="0"/>
              <w:jc w:val="center"/>
              <w:rPr/>
            </w:pPr>
            <w:r>
              <w:rPr/>
              <w:t> </w:t>
            </w:r>
          </w:p>
        </w:tc>
      </w:tr>
      <w:tr>
        <w:trPr/>
        <w:tc>
          <w:tcPr>
            <w:tcW w:w="3908"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144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81" w:type="dxa"/>
            <w:tcBorders/>
            <w:shd w:fill="auto" w:val="clear"/>
            <w:vAlign w:val="bottom"/>
          </w:tcPr>
          <w:p>
            <w:pPr>
              <w:pStyle w:val="TableContents"/>
              <w:spacing w:before="0" w:after="0"/>
              <w:ind w:left="0" w:right="0" w:hanging="0"/>
              <w:jc w:val="center"/>
              <w:rPr/>
            </w:pPr>
            <w:r>
              <w:rPr/>
              <w:t> </w:t>
            </w:r>
          </w:p>
        </w:tc>
        <w:tc>
          <w:tcPr>
            <w:tcW w:w="149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5" w:type="dxa"/>
            <w:tcBorders/>
            <w:shd w:fill="auto" w:val="clear"/>
            <w:vAlign w:val="bottom"/>
          </w:tcPr>
          <w:p>
            <w:pPr>
              <w:pStyle w:val="TableContents"/>
              <w:spacing w:before="0" w:after="0"/>
              <w:ind w:left="0" w:right="0" w:hanging="0"/>
              <w:jc w:val="center"/>
              <w:rPr/>
            </w:pPr>
            <w:r>
              <w:rPr/>
              <w:t> </w:t>
            </w:r>
          </w:p>
        </w:tc>
        <w:tc>
          <w:tcPr>
            <w:tcW w:w="154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21" w:type="dxa"/>
            <w:tcBorders/>
            <w:shd w:fill="auto" w:val="clear"/>
            <w:vAlign w:val="bottom"/>
          </w:tcPr>
          <w:p>
            <w:pPr>
              <w:pStyle w:val="TableContents"/>
              <w:spacing w:before="0" w:after="0"/>
              <w:ind w:left="0" w:right="0" w:hanging="0"/>
              <w:jc w:val="center"/>
              <w:rPr/>
            </w:pPr>
            <w:r>
              <w:rPr/>
              <w:t> </w:t>
            </w:r>
          </w:p>
        </w:tc>
      </w:tr>
      <w:tr>
        <w:trPr/>
        <w:tc>
          <w:tcPr>
            <w:tcW w:w="3908"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144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81" w:type="dxa"/>
            <w:tcBorders/>
            <w:shd w:fill="auto" w:val="clear"/>
            <w:vAlign w:val="bottom"/>
          </w:tcPr>
          <w:p>
            <w:pPr>
              <w:pStyle w:val="TableContents"/>
              <w:spacing w:before="0" w:after="0"/>
              <w:ind w:left="0" w:right="0" w:hanging="0"/>
              <w:jc w:val="center"/>
              <w:rPr/>
            </w:pPr>
            <w:r>
              <w:rPr/>
              <w:t> </w:t>
            </w:r>
          </w:p>
        </w:tc>
        <w:tc>
          <w:tcPr>
            <w:tcW w:w="149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5" w:type="dxa"/>
            <w:tcBorders/>
            <w:shd w:fill="auto" w:val="clear"/>
            <w:vAlign w:val="bottom"/>
          </w:tcPr>
          <w:p>
            <w:pPr>
              <w:pStyle w:val="TableContents"/>
              <w:spacing w:before="0" w:after="0"/>
              <w:ind w:left="0" w:right="0" w:hanging="0"/>
              <w:jc w:val="center"/>
              <w:rPr/>
            </w:pPr>
            <w:r>
              <w:rPr/>
              <w:t> </w:t>
            </w:r>
          </w:p>
        </w:tc>
        <w:tc>
          <w:tcPr>
            <w:tcW w:w="154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21" w:type="dxa"/>
            <w:tcBorders/>
            <w:shd w:fill="auto" w:val="clear"/>
            <w:vAlign w:val="bottom"/>
          </w:tcPr>
          <w:p>
            <w:pPr>
              <w:pStyle w:val="TableContents"/>
              <w:spacing w:before="0" w:after="0"/>
              <w:ind w:left="0" w:right="0" w:hanging="0"/>
              <w:jc w:val="center"/>
              <w:rPr/>
            </w:pPr>
            <w:r>
              <w:rPr/>
              <w:t> </w:t>
            </w:r>
          </w:p>
        </w:tc>
      </w:tr>
      <w:tr>
        <w:trPr/>
        <w:tc>
          <w:tcPr>
            <w:tcW w:w="3908"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14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2010</w:t>
            </w:r>
          </w:p>
        </w:tc>
        <w:tc>
          <w:tcPr>
            <w:tcW w:w="181" w:type="dxa"/>
            <w:tcBorders/>
            <w:shd w:fill="auto" w:val="clear"/>
            <w:vAlign w:val="bottom"/>
          </w:tcPr>
          <w:p>
            <w:pPr>
              <w:pStyle w:val="TableContents"/>
              <w:spacing w:before="0" w:after="0"/>
              <w:ind w:left="0" w:right="0" w:hanging="0"/>
              <w:jc w:val="center"/>
              <w:rPr/>
            </w:pPr>
            <w:r>
              <w:rPr/>
              <w:t> </w:t>
            </w:r>
          </w:p>
        </w:tc>
        <w:tc>
          <w:tcPr>
            <w:tcW w:w="14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2010</w:t>
            </w:r>
          </w:p>
        </w:tc>
        <w:tc>
          <w:tcPr>
            <w:tcW w:w="215" w:type="dxa"/>
            <w:tcBorders/>
            <w:shd w:fill="auto" w:val="clear"/>
            <w:vAlign w:val="bottom"/>
          </w:tcPr>
          <w:p>
            <w:pPr>
              <w:pStyle w:val="TableContents"/>
              <w:spacing w:before="0" w:after="0"/>
              <w:ind w:left="0" w:right="0" w:hanging="0"/>
              <w:jc w:val="center"/>
              <w:rPr/>
            </w:pPr>
            <w:r>
              <w:rPr/>
              <w:t> </w:t>
            </w:r>
          </w:p>
        </w:tc>
        <w:tc>
          <w:tcPr>
            <w:tcW w:w="154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2010</w:t>
            </w:r>
          </w:p>
        </w:tc>
        <w:tc>
          <w:tcPr>
            <w:tcW w:w="221" w:type="dxa"/>
            <w:tcBorders/>
            <w:shd w:fill="auto" w:val="clear"/>
            <w:vAlign w:val="bottom"/>
          </w:tcPr>
          <w:p>
            <w:pPr>
              <w:pStyle w:val="TableContents"/>
              <w:spacing w:before="0" w:after="0"/>
              <w:ind w:left="0" w:right="0" w:hanging="0"/>
              <w:jc w:val="center"/>
              <w:rPr/>
            </w:pPr>
            <w:r>
              <w:rPr/>
              <w:t> </w:t>
            </w:r>
          </w:p>
        </w:tc>
      </w:tr>
      <w:tr>
        <w:trPr/>
        <w:tc>
          <w:tcPr>
            <w:tcW w:w="39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Data</w:t>
            </w:r>
          </w:p>
        </w:tc>
        <w:tc>
          <w:tcPr>
            <w:tcW w:w="181" w:type="dxa"/>
            <w:tcBorders/>
            <w:shd w:fill="CCEEFF" w:val="clear"/>
            <w:vAlign w:val="bottom"/>
          </w:tcPr>
          <w:p>
            <w:pPr>
              <w:pStyle w:val="TableContents"/>
              <w:spacing w:before="0" w:after="0"/>
              <w:ind w:left="0" w:right="0" w:hanging="0"/>
              <w:rPr/>
            </w:pPr>
            <w:r>
              <w:rPr/>
              <w:t> </w:t>
            </w:r>
          </w:p>
        </w:tc>
        <w:tc>
          <w:tcPr>
            <w:tcW w:w="1440"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49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545"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r>
      <w:tr>
        <w:trPr/>
        <w:tc>
          <w:tcPr>
            <w:tcW w:w="39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storage (MMBbls/Mo.)</w:t>
            </w:r>
          </w:p>
        </w:tc>
        <w:tc>
          <w:tcPr>
            <w:tcW w:w="181" w:type="dxa"/>
            <w:tcBorders/>
            <w:shd w:fill="auto" w:val="clear"/>
            <w:vAlign w:val="bottom"/>
          </w:tcPr>
          <w:p>
            <w:pPr>
              <w:pStyle w:val="TableContents"/>
              <w:spacing w:before="0" w:after="0"/>
              <w:ind w:left="0" w:right="0" w:hanging="0"/>
              <w:rPr/>
            </w:pPr>
            <w:r>
              <w:rPr/>
              <w:t> </w:t>
            </w:r>
          </w:p>
        </w:tc>
        <w:tc>
          <w:tcPr>
            <w:tcW w:w="144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81" w:type="dxa"/>
            <w:tcBorders/>
            <w:shd w:fill="auto" w:val="clear"/>
            <w:vAlign w:val="bottom"/>
          </w:tcPr>
          <w:p>
            <w:pPr>
              <w:pStyle w:val="TableContents"/>
              <w:spacing w:before="0" w:after="0"/>
              <w:ind w:left="0" w:right="0" w:hanging="0"/>
              <w:rPr/>
            </w:pPr>
            <w:r>
              <w:rPr/>
              <w:t> </w:t>
            </w:r>
          </w:p>
        </w:tc>
        <w:tc>
          <w:tcPr>
            <w:tcW w:w="149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5" w:type="dxa"/>
            <w:tcBorders/>
            <w:shd w:fill="auto" w:val="clear"/>
            <w:vAlign w:val="bottom"/>
          </w:tcPr>
          <w:p>
            <w:pPr>
              <w:pStyle w:val="TableContents"/>
              <w:spacing w:before="0" w:after="0"/>
              <w:ind w:left="0" w:right="0" w:hanging="0"/>
              <w:rPr/>
            </w:pPr>
            <w:r>
              <w:rPr/>
              <w:t> </w:t>
            </w:r>
          </w:p>
        </w:tc>
        <w:tc>
          <w:tcPr>
            <w:tcW w:w="154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21" w:type="dxa"/>
            <w:tcBorders/>
            <w:shd w:fill="auto" w:val="clear"/>
            <w:vAlign w:val="bottom"/>
          </w:tcPr>
          <w:p>
            <w:pPr>
              <w:pStyle w:val="TableContents"/>
              <w:spacing w:before="0" w:after="0"/>
              <w:ind w:left="0" w:right="0" w:hanging="0"/>
              <w:rPr/>
            </w:pPr>
            <w:r>
              <w:rPr/>
              <w:t> </w:t>
            </w:r>
          </w:p>
        </w:tc>
      </w:tr>
      <w:tr>
        <w:trPr/>
        <w:tc>
          <w:tcPr>
            <w:tcW w:w="39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(Bcf/Mo.)</w:t>
            </w:r>
          </w:p>
        </w:tc>
        <w:tc>
          <w:tcPr>
            <w:tcW w:w="181" w:type="dxa"/>
            <w:tcBorders/>
            <w:shd w:fill="CCEEFF" w:val="clear"/>
            <w:vAlign w:val="bottom"/>
          </w:tcPr>
          <w:p>
            <w:pPr>
              <w:pStyle w:val="TableContents"/>
              <w:spacing w:before="0" w:after="0"/>
              <w:ind w:left="0" w:right="0" w:hanging="0"/>
              <w:rPr/>
            </w:pPr>
            <w:r>
              <w:rPr/>
              <w:t> </w:t>
            </w:r>
          </w:p>
        </w:tc>
        <w:tc>
          <w:tcPr>
            <w:tcW w:w="144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81" w:type="dxa"/>
            <w:tcBorders/>
            <w:shd w:fill="CCEEFF" w:val="clear"/>
            <w:vAlign w:val="bottom"/>
          </w:tcPr>
          <w:p>
            <w:pPr>
              <w:pStyle w:val="TableContents"/>
              <w:spacing w:before="0" w:after="0"/>
              <w:ind w:left="0" w:right="0" w:hanging="0"/>
              <w:rPr/>
            </w:pPr>
            <w:r>
              <w:rPr/>
              <w:t> </w:t>
            </w:r>
          </w:p>
        </w:tc>
        <w:tc>
          <w:tcPr>
            <w:tcW w:w="149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5" w:type="dxa"/>
            <w:tcBorders/>
            <w:shd w:fill="CCEEFF" w:val="clear"/>
            <w:vAlign w:val="bottom"/>
          </w:tcPr>
          <w:p>
            <w:pPr>
              <w:pStyle w:val="TableContents"/>
              <w:spacing w:before="0" w:after="0"/>
              <w:ind w:left="0" w:right="0" w:hanging="0"/>
              <w:rPr/>
            </w:pPr>
            <w:r>
              <w:rPr/>
              <w:t> </w:t>
            </w:r>
          </w:p>
        </w:tc>
        <w:tc>
          <w:tcPr>
            <w:tcW w:w="154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21" w:type="dxa"/>
            <w:tcBorders/>
            <w:shd w:fill="CCEEFF" w:val="clear"/>
            <w:vAlign w:val="bottom"/>
          </w:tcPr>
          <w:p>
            <w:pPr>
              <w:pStyle w:val="TableContents"/>
              <w:spacing w:before="0" w:after="0"/>
              <w:ind w:left="0" w:right="0" w:hanging="0"/>
              <w:rPr/>
            </w:pPr>
            <w:r>
              <w:rPr/>
              <w:t> </w:t>
            </w:r>
          </w:p>
        </w:tc>
      </w:tr>
      <w:tr>
        <w:trPr/>
        <w:tc>
          <w:tcPr>
            <w:tcW w:w="39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Processing (MBbl/d)</w:t>
            </w:r>
          </w:p>
        </w:tc>
        <w:tc>
          <w:tcPr>
            <w:tcW w:w="181" w:type="dxa"/>
            <w:tcBorders/>
            <w:shd w:fill="auto" w:val="clear"/>
            <w:vAlign w:val="bottom"/>
          </w:tcPr>
          <w:p>
            <w:pPr>
              <w:pStyle w:val="TableContents"/>
              <w:spacing w:before="0" w:after="0"/>
              <w:ind w:left="0" w:right="0" w:hanging="0"/>
              <w:rPr/>
            </w:pPr>
            <w:r>
              <w:rPr/>
              <w:t> </w:t>
            </w:r>
          </w:p>
        </w:tc>
        <w:tc>
          <w:tcPr>
            <w:tcW w:w="144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1" w:type="dxa"/>
            <w:tcBorders/>
            <w:shd w:fill="auto" w:val="clear"/>
            <w:vAlign w:val="bottom"/>
          </w:tcPr>
          <w:p>
            <w:pPr>
              <w:pStyle w:val="TableContents"/>
              <w:spacing w:before="0" w:after="0"/>
              <w:ind w:left="0" w:right="0" w:hanging="0"/>
              <w:rPr/>
            </w:pPr>
            <w:r>
              <w:rPr/>
              <w:t> </w:t>
            </w:r>
          </w:p>
        </w:tc>
        <w:tc>
          <w:tcPr>
            <w:tcW w:w="149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5" w:type="dxa"/>
            <w:tcBorders/>
            <w:shd w:fill="auto" w:val="clear"/>
            <w:vAlign w:val="bottom"/>
          </w:tcPr>
          <w:p>
            <w:pPr>
              <w:pStyle w:val="TableContents"/>
              <w:spacing w:before="0" w:after="0"/>
              <w:ind w:left="0" w:right="0" w:hanging="0"/>
              <w:rPr/>
            </w:pPr>
            <w:r>
              <w:rPr/>
              <w:t> </w:t>
            </w:r>
          </w:p>
        </w:tc>
        <w:tc>
          <w:tcPr>
            <w:tcW w:w="154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1" w:type="dxa"/>
            <w:tcBorders/>
            <w:shd w:fill="auto" w:val="clear"/>
            <w:vAlign w:val="bottom"/>
          </w:tcPr>
          <w:p>
            <w:pPr>
              <w:pStyle w:val="TableContents"/>
              <w:spacing w:before="0" w:after="0"/>
              <w:ind w:left="0" w:right="0" w:hanging="0"/>
              <w:rPr/>
            </w:pPr>
            <w:r>
              <w:rPr/>
              <w:t> </w:t>
            </w:r>
          </w:p>
        </w:tc>
      </w:tr>
      <w:tr>
        <w:trPr/>
        <w:tc>
          <w:tcPr>
            <w:tcW w:w="3908" w:type="dxa"/>
            <w:tcBorders/>
            <w:shd w:fill="CCEEFF" w:val="clear"/>
            <w:vAlign w:val="bottom"/>
          </w:tcPr>
          <w:p>
            <w:pPr>
              <w:pStyle w:val="TableContents"/>
              <w:spacing w:before="0" w:after="0"/>
              <w:ind w:left="0" w:right="0" w:hanging="0"/>
              <w:rPr/>
            </w:pPr>
            <w:r>
              <w:rPr>
                <w:rFonts w:ascii="Times New Roman" w:hAnsi="Times New Roman"/>
                <w:sz w:val="17"/>
              </w:rPr>
              <w:t xml:space="preserve">Facilities Activities Total </w:t>
            </w:r>
            <w:r>
              <w:rPr>
                <w:sz w:val="11"/>
              </w:rPr>
              <w:t>(1)</w:t>
            </w:r>
          </w:p>
        </w:tc>
        <w:tc>
          <w:tcPr>
            <w:tcW w:w="181" w:type="dxa"/>
            <w:tcBorders/>
            <w:shd w:fill="CCEEFF" w:val="clear"/>
            <w:vAlign w:val="bottom"/>
          </w:tcPr>
          <w:p>
            <w:pPr>
              <w:pStyle w:val="TableContents"/>
              <w:spacing w:before="0" w:after="0"/>
              <w:ind w:left="0" w:right="0" w:hanging="0"/>
              <w:rPr/>
            </w:pPr>
            <w:r>
              <w:rPr/>
              <w:t> </w:t>
            </w:r>
          </w:p>
        </w:tc>
        <w:tc>
          <w:tcPr>
            <w:tcW w:w="1440"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49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545"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r>
      <w:tr>
        <w:trPr/>
        <w:tc>
          <w:tcPr>
            <w:tcW w:w="39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Avg. Capacity (MMBbls/Mo.)</w:t>
            </w:r>
          </w:p>
        </w:tc>
        <w:tc>
          <w:tcPr>
            <w:tcW w:w="181" w:type="dxa"/>
            <w:tcBorders/>
            <w:shd w:fill="auto" w:val="clear"/>
            <w:vAlign w:val="bottom"/>
          </w:tcPr>
          <w:p>
            <w:pPr>
              <w:pStyle w:val="TableContents"/>
              <w:spacing w:before="0" w:after="0"/>
              <w:ind w:left="0" w:right="0" w:hanging="0"/>
              <w:rPr/>
            </w:pPr>
            <w:r>
              <w:rPr/>
              <w:t> </w:t>
            </w:r>
          </w:p>
        </w:tc>
        <w:tc>
          <w:tcPr>
            <w:tcW w:w="144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81" w:type="dxa"/>
            <w:tcBorders/>
            <w:shd w:fill="auto" w:val="clear"/>
            <w:vAlign w:val="bottom"/>
          </w:tcPr>
          <w:p>
            <w:pPr>
              <w:pStyle w:val="TableContents"/>
              <w:spacing w:before="0" w:after="0"/>
              <w:ind w:left="0" w:right="0" w:hanging="0"/>
              <w:rPr/>
            </w:pPr>
            <w:r>
              <w:rPr/>
              <w:t> </w:t>
            </w:r>
          </w:p>
        </w:tc>
        <w:tc>
          <w:tcPr>
            <w:tcW w:w="149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5" w:type="dxa"/>
            <w:tcBorders/>
            <w:shd w:fill="auto" w:val="clear"/>
            <w:vAlign w:val="bottom"/>
          </w:tcPr>
          <w:p>
            <w:pPr>
              <w:pStyle w:val="TableContents"/>
              <w:spacing w:before="0" w:after="0"/>
              <w:ind w:left="0" w:right="0" w:hanging="0"/>
              <w:rPr/>
            </w:pPr>
            <w:r>
              <w:rPr/>
              <w:t> </w:t>
            </w:r>
          </w:p>
        </w:tc>
        <w:tc>
          <w:tcPr>
            <w:tcW w:w="154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21" w:type="dxa"/>
            <w:tcBorders/>
            <w:shd w:fill="auto" w:val="clear"/>
            <w:vAlign w:val="bottom"/>
          </w:tcPr>
          <w:p>
            <w:pPr>
              <w:pStyle w:val="TableContents"/>
              <w:spacing w:before="0" w:after="0"/>
              <w:ind w:left="0" w:right="0" w:hanging="0"/>
              <w:rPr/>
            </w:pPr>
            <w:r>
              <w:rPr/>
              <w:t> </w:t>
            </w:r>
          </w:p>
        </w:tc>
      </w:tr>
      <w:tr>
        <w:trPr/>
        <w:tc>
          <w:tcPr>
            <w:tcW w:w="3908"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1440"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49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545"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r>
      <w:tr>
        <w:trPr/>
        <w:tc>
          <w:tcPr>
            <w:tcW w:w="39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81" w:type="dxa"/>
            <w:tcBorders/>
            <w:shd w:fill="auto" w:val="clear"/>
            <w:vAlign w:val="bottom"/>
          </w:tcPr>
          <w:p>
            <w:pPr>
              <w:pStyle w:val="TableContents"/>
              <w:spacing w:before="0" w:after="0"/>
              <w:ind w:left="0" w:right="0" w:hanging="0"/>
              <w:rPr/>
            </w:pPr>
            <w:r>
              <w:rPr/>
              <w:t> </w:t>
            </w:r>
          </w:p>
        </w:tc>
        <w:tc>
          <w:tcPr>
            <w:tcW w:w="1440"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49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545"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r>
      <w:tr>
        <w:trPr/>
        <w:tc>
          <w:tcPr>
            <w:tcW w:w="39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181" w:type="dxa"/>
            <w:tcBorders/>
            <w:shd w:fill="CCEEFF" w:val="clear"/>
            <w:vAlign w:val="bottom"/>
          </w:tcPr>
          <w:p>
            <w:pPr>
              <w:pStyle w:val="TableContents"/>
              <w:spacing w:before="0" w:after="0"/>
              <w:ind w:left="0" w:right="0" w:hanging="0"/>
              <w:rPr/>
            </w:pPr>
            <w:r>
              <w:rPr/>
              <w:t> </w:t>
            </w:r>
          </w:p>
        </w:tc>
        <w:tc>
          <w:tcPr>
            <w:tcW w:w="2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0.34</w:t>
            </w:r>
          </w:p>
        </w:tc>
        <w:tc>
          <w:tcPr>
            <w:tcW w:w="181" w:type="dxa"/>
            <w:tcBorders/>
            <w:shd w:fill="CCEEFF" w:val="clear"/>
            <w:vAlign w:val="bottom"/>
          </w:tcPr>
          <w:p>
            <w:pPr>
              <w:pStyle w:val="TableContents"/>
              <w:spacing w:before="0" w:after="0"/>
              <w:ind w:left="0" w:right="0" w:hanging="0"/>
              <w:rPr/>
            </w:pPr>
            <w:r>
              <w:rPr/>
              <w:t> </w:t>
            </w:r>
          </w:p>
        </w:tc>
        <w:tc>
          <w:tcPr>
            <w:tcW w:w="2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0.33</w:t>
            </w:r>
          </w:p>
        </w:tc>
        <w:tc>
          <w:tcPr>
            <w:tcW w:w="21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0.33</w:t>
            </w:r>
          </w:p>
        </w:tc>
        <w:tc>
          <w:tcPr>
            <w:tcW w:w="22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90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Calculated as the sum of: (i) crude oil, refined products and LPG storage capacity; (ii) natural gas storage capacity divided by the gas to crude Btu equivalent ratio of 6 mcf of gas to1 barrel of crude oil; and (iii) LPG processing volumes multiplied by the number of days in the period and divided by the number of months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Supply and Logistics</w:t>
      </w:r>
      <w:r>
        <w:rPr>
          <w:rFonts w:ascii="Times New Roman" w:hAnsi="Times New Roman"/>
          <w:sz w:val="17"/>
        </w:rPr>
        <w:t>. Our supply and logistics segment operations generally consist of the following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crude oil at the wellhead and the bulk purchase of crude oil at pipeline and terminal facilities, as well as the purchase of foreign cargoes at their load port and various other locations in transit;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storage of inventory during contango market conditions and the seasonal storage of LPG;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refined products and LPG from producers, refiners and other marketers;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8" w:name="PB_5_012433_2639"/>
      <w:bookmarkEnd w:id="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resale or exchange of crude oil, refined products and LPG at various points along the distribution chain to refiners or other resellers to maximize profits;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transportation of crude oil, refined products and LPG on trucks, barges, railcars, pipelines and ocean-going vessels to our terminals and third-party terminals.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level of profit in the supply and logistics segment is influenced by overall market structure and the degree of volatility in the crude oil market, as well as variable operating expenses. Forecasted operating results for the remainder of 2010 reflect the current market structure and seasonal, weather-related variations in LPG sales. The fourth quarter of 2010 reflects our expectation of normal winter weather for our LPG business. Variations in weather, market structure or volatility could cause actual results to differ materially from forecasted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oil, maintenance schedules at refineries, production declines, weather, and other external factors beyond our control. Field operating costs do not include depreciation. Realized unit margins for any given lease-gathered barrel could vary significantly based on a variety of factors including location, quality and contract structure. Accordingly, the projected segment profit per barrel can vary significantly even if aggregate volumes are in line with the forecasted levels.</w:t>
      </w:r>
    </w:p>
    <w:p>
      <w:pPr>
        <w:pStyle w:val="TextBody"/>
        <w:spacing w:before="0" w:after="0"/>
        <w:ind w:left="0" w:right="0" w:hanging="0"/>
        <w:rPr/>
      </w:pPr>
      <w:r>
        <w:rPr/>
        <w:t> </w:t>
      </w:r>
    </w:p>
    <w:tbl>
      <w:tblPr>
        <w:tblW w:w="4300" w:type="pct"/>
        <w:jc w:val="left"/>
        <w:tblInd w:w="0" w:type="dxa"/>
        <w:tblCellMar>
          <w:top w:w="0" w:type="dxa"/>
          <w:left w:w="0" w:type="dxa"/>
          <w:bottom w:w="0" w:type="dxa"/>
          <w:right w:w="0" w:type="dxa"/>
        </w:tblCellMar>
      </w:tblPr>
      <w:tblGrid>
        <w:gridCol w:w="3685"/>
        <w:gridCol w:w="171"/>
        <w:gridCol w:w="200"/>
        <w:gridCol w:w="1188"/>
        <w:gridCol w:w="171"/>
        <w:gridCol w:w="213"/>
        <w:gridCol w:w="1229"/>
        <w:gridCol w:w="207"/>
        <w:gridCol w:w="227"/>
        <w:gridCol w:w="1270"/>
        <w:gridCol w:w="215"/>
      </w:tblGrid>
      <w:tr>
        <w:trPr/>
        <w:tc>
          <w:tcPr>
            <w:tcW w:w="3685"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71" w:type="dxa"/>
            <w:tcBorders/>
            <w:shd w:fill="auto" w:val="clear"/>
            <w:vAlign w:val="bottom"/>
          </w:tcPr>
          <w:p>
            <w:pPr>
              <w:pStyle w:val="TableContents"/>
              <w:spacing w:before="0" w:after="0"/>
              <w:ind w:left="0" w:right="0" w:hanging="0"/>
              <w:jc w:val="center"/>
              <w:rPr/>
            </w:pPr>
            <w:r>
              <w:rPr/>
              <w:t> </w:t>
            </w:r>
          </w:p>
        </w:tc>
        <w:tc>
          <w:tcPr>
            <w:tcW w:w="314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15" w:type="dxa"/>
            <w:tcBorders/>
            <w:shd w:fill="auto" w:val="clear"/>
            <w:vAlign w:val="bottom"/>
          </w:tcPr>
          <w:p>
            <w:pPr>
              <w:pStyle w:val="TableContents"/>
              <w:spacing w:before="0" w:after="0"/>
              <w:ind w:left="0" w:right="0" w:hanging="0"/>
              <w:jc w:val="center"/>
              <w:rPr/>
            </w:pPr>
            <w:r>
              <w:rPr/>
              <w:t> </w:t>
            </w:r>
          </w:p>
        </w:tc>
      </w:tr>
      <w:tr>
        <w:trPr/>
        <w:tc>
          <w:tcPr>
            <w:tcW w:w="3685"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38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71" w:type="dxa"/>
            <w:tcBorders/>
            <w:shd w:fill="auto" w:val="clear"/>
            <w:vAlign w:val="bottom"/>
          </w:tcPr>
          <w:p>
            <w:pPr>
              <w:pStyle w:val="TableContents"/>
              <w:spacing w:before="0" w:after="0"/>
              <w:ind w:left="0" w:right="0" w:hanging="0"/>
              <w:jc w:val="center"/>
              <w:rPr/>
            </w:pPr>
            <w:r>
              <w:rPr/>
              <w:t> </w:t>
            </w:r>
          </w:p>
        </w:tc>
        <w:tc>
          <w:tcPr>
            <w:tcW w:w="14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7" w:type="dxa"/>
            <w:tcBorders/>
            <w:shd w:fill="auto" w:val="clear"/>
            <w:vAlign w:val="bottom"/>
          </w:tcPr>
          <w:p>
            <w:pPr>
              <w:pStyle w:val="TableContents"/>
              <w:spacing w:before="0" w:after="0"/>
              <w:ind w:left="0" w:right="0" w:hanging="0"/>
              <w:jc w:val="center"/>
              <w:rPr/>
            </w:pPr>
            <w:r>
              <w:rPr/>
              <w:t> </w:t>
            </w:r>
          </w:p>
        </w:tc>
        <w:tc>
          <w:tcPr>
            <w:tcW w:w="149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15" w:type="dxa"/>
            <w:tcBorders/>
            <w:shd w:fill="auto" w:val="clear"/>
            <w:vAlign w:val="bottom"/>
          </w:tcPr>
          <w:p>
            <w:pPr>
              <w:pStyle w:val="TableContents"/>
              <w:spacing w:before="0" w:after="0"/>
              <w:ind w:left="0" w:right="0" w:hanging="0"/>
              <w:jc w:val="center"/>
              <w:rPr/>
            </w:pPr>
            <w:r>
              <w:rPr/>
              <w:t> </w:t>
            </w:r>
          </w:p>
        </w:tc>
      </w:tr>
      <w:tr>
        <w:trPr/>
        <w:tc>
          <w:tcPr>
            <w:tcW w:w="3685"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38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71" w:type="dxa"/>
            <w:tcBorders/>
            <w:shd w:fill="auto" w:val="clear"/>
            <w:vAlign w:val="bottom"/>
          </w:tcPr>
          <w:p>
            <w:pPr>
              <w:pStyle w:val="TableContents"/>
              <w:spacing w:before="0" w:after="0"/>
              <w:ind w:left="0" w:right="0" w:hanging="0"/>
              <w:jc w:val="center"/>
              <w:rPr/>
            </w:pPr>
            <w:r>
              <w:rPr/>
              <w:t> </w:t>
            </w:r>
          </w:p>
        </w:tc>
        <w:tc>
          <w:tcPr>
            <w:tcW w:w="14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07" w:type="dxa"/>
            <w:tcBorders/>
            <w:shd w:fill="auto" w:val="clear"/>
            <w:vAlign w:val="bottom"/>
          </w:tcPr>
          <w:p>
            <w:pPr>
              <w:pStyle w:val="TableContents"/>
              <w:spacing w:before="0" w:after="0"/>
              <w:ind w:left="0" w:right="0" w:hanging="0"/>
              <w:jc w:val="center"/>
              <w:rPr/>
            </w:pPr>
            <w:r>
              <w:rPr/>
              <w:t> </w:t>
            </w:r>
          </w:p>
        </w:tc>
        <w:tc>
          <w:tcPr>
            <w:tcW w:w="149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5" w:type="dxa"/>
            <w:tcBorders/>
            <w:shd w:fill="auto" w:val="clear"/>
            <w:vAlign w:val="bottom"/>
          </w:tcPr>
          <w:p>
            <w:pPr>
              <w:pStyle w:val="TableContents"/>
              <w:spacing w:before="0" w:after="0"/>
              <w:ind w:left="0" w:right="0" w:hanging="0"/>
              <w:jc w:val="center"/>
              <w:rPr/>
            </w:pPr>
            <w:r>
              <w:rPr/>
              <w:t> </w:t>
            </w:r>
          </w:p>
        </w:tc>
      </w:tr>
      <w:tr>
        <w:trPr/>
        <w:tc>
          <w:tcPr>
            <w:tcW w:w="3685"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2010</w:t>
            </w:r>
          </w:p>
        </w:tc>
        <w:tc>
          <w:tcPr>
            <w:tcW w:w="171" w:type="dxa"/>
            <w:tcBorders/>
            <w:shd w:fill="auto" w:val="clear"/>
            <w:vAlign w:val="bottom"/>
          </w:tcPr>
          <w:p>
            <w:pPr>
              <w:pStyle w:val="TableContents"/>
              <w:spacing w:before="0" w:after="0"/>
              <w:ind w:left="0" w:right="0" w:hanging="0"/>
              <w:jc w:val="center"/>
              <w:rPr/>
            </w:pPr>
            <w:r>
              <w:rPr/>
              <w:t> </w:t>
            </w:r>
          </w:p>
        </w:tc>
        <w:tc>
          <w:tcPr>
            <w:tcW w:w="14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2010</w:t>
            </w:r>
          </w:p>
        </w:tc>
        <w:tc>
          <w:tcPr>
            <w:tcW w:w="207" w:type="dxa"/>
            <w:tcBorders/>
            <w:shd w:fill="auto" w:val="clear"/>
            <w:vAlign w:val="bottom"/>
          </w:tcPr>
          <w:p>
            <w:pPr>
              <w:pStyle w:val="TableContents"/>
              <w:spacing w:before="0" w:after="0"/>
              <w:ind w:left="0" w:right="0" w:hanging="0"/>
              <w:jc w:val="center"/>
              <w:rPr/>
            </w:pPr>
            <w:r>
              <w:rPr/>
              <w:t> </w:t>
            </w:r>
          </w:p>
        </w:tc>
        <w:tc>
          <w:tcPr>
            <w:tcW w:w="14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2010</w:t>
            </w:r>
          </w:p>
        </w:tc>
        <w:tc>
          <w:tcPr>
            <w:tcW w:w="215" w:type="dxa"/>
            <w:tcBorders/>
            <w:shd w:fill="auto" w:val="clear"/>
            <w:vAlign w:val="bottom"/>
          </w:tcPr>
          <w:p>
            <w:pPr>
              <w:pStyle w:val="TableContents"/>
              <w:spacing w:before="0" w:after="0"/>
              <w:ind w:left="0" w:right="0" w:hanging="0"/>
              <w:jc w:val="center"/>
              <w:rPr/>
            </w:pPr>
            <w:r>
              <w:rPr/>
              <w:t> </w:t>
            </w:r>
          </w:p>
        </w:tc>
      </w:tr>
      <w:tr>
        <w:trPr/>
        <w:tc>
          <w:tcPr>
            <w:tcW w:w="36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Average Daily Volumes (MBbl/d)</w:t>
            </w:r>
          </w:p>
        </w:tc>
        <w:tc>
          <w:tcPr>
            <w:tcW w:w="171"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1442"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497"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r>
      <w:tr>
        <w:trPr/>
        <w:tc>
          <w:tcPr>
            <w:tcW w:w="36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171" w:type="dxa"/>
            <w:tcBorders/>
            <w:shd w:fill="auto" w:val="clear"/>
            <w:vAlign w:val="bottom"/>
          </w:tcPr>
          <w:p>
            <w:pPr>
              <w:pStyle w:val="TableContents"/>
              <w:spacing w:before="0" w:after="0"/>
              <w:ind w:left="0" w:right="0" w:hanging="0"/>
              <w:rPr/>
            </w:pPr>
            <w:r>
              <w:rPr/>
              <w:t> </w:t>
            </w:r>
          </w:p>
        </w:tc>
        <w:tc>
          <w:tcPr>
            <w:tcW w:w="13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615</w:t>
            </w:r>
          </w:p>
        </w:tc>
        <w:tc>
          <w:tcPr>
            <w:tcW w:w="171" w:type="dxa"/>
            <w:tcBorders/>
            <w:shd w:fill="auto" w:val="clear"/>
            <w:vAlign w:val="bottom"/>
          </w:tcPr>
          <w:p>
            <w:pPr>
              <w:pStyle w:val="TableContents"/>
              <w:spacing w:before="0" w:after="0"/>
              <w:ind w:left="0" w:right="0" w:hanging="0"/>
              <w:rPr/>
            </w:pPr>
            <w:r>
              <w:rPr/>
              <w:t> </w:t>
            </w:r>
          </w:p>
        </w:tc>
        <w:tc>
          <w:tcPr>
            <w:tcW w:w="14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635</w:t>
            </w:r>
          </w:p>
        </w:tc>
        <w:tc>
          <w:tcPr>
            <w:tcW w:w="207" w:type="dxa"/>
            <w:tcBorders/>
            <w:shd w:fill="auto" w:val="clear"/>
            <w:vAlign w:val="bottom"/>
          </w:tcPr>
          <w:p>
            <w:pPr>
              <w:pStyle w:val="TableContents"/>
              <w:spacing w:before="0" w:after="0"/>
              <w:ind w:left="0" w:right="0" w:hanging="0"/>
              <w:rPr/>
            </w:pPr>
            <w:r>
              <w:rPr/>
              <w:t> </w:t>
            </w:r>
          </w:p>
        </w:tc>
        <w:tc>
          <w:tcPr>
            <w:tcW w:w="14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w:t>
            </w:r>
          </w:p>
        </w:tc>
        <w:tc>
          <w:tcPr>
            <w:tcW w:w="215" w:type="dxa"/>
            <w:tcBorders/>
            <w:shd w:fill="auto" w:val="clear"/>
            <w:vAlign w:val="bottom"/>
          </w:tcPr>
          <w:p>
            <w:pPr>
              <w:pStyle w:val="TableContents"/>
              <w:spacing w:before="0" w:after="0"/>
              <w:ind w:left="0" w:right="0" w:hanging="0"/>
              <w:rPr/>
            </w:pPr>
            <w:r>
              <w:rPr/>
              <w:t> </w:t>
            </w:r>
          </w:p>
        </w:tc>
      </w:tr>
      <w:tr>
        <w:trPr/>
        <w:tc>
          <w:tcPr>
            <w:tcW w:w="36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171"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71" w:type="dxa"/>
            <w:tcBorders/>
            <w:shd w:fill="CCEEFF" w:val="clear"/>
            <w:vAlign w:val="bottom"/>
          </w:tcPr>
          <w:p>
            <w:pPr>
              <w:pStyle w:val="TableContents"/>
              <w:spacing w:before="0" w:after="0"/>
              <w:ind w:left="0" w:right="0" w:hanging="0"/>
              <w:rPr/>
            </w:pPr>
            <w:r>
              <w:rPr/>
              <w:t> </w:t>
            </w:r>
          </w:p>
        </w:tc>
        <w:tc>
          <w:tcPr>
            <w:tcW w:w="14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07" w:type="dxa"/>
            <w:tcBorders/>
            <w:shd w:fill="CCEEFF" w:val="clear"/>
            <w:vAlign w:val="bottom"/>
          </w:tcPr>
          <w:p>
            <w:pPr>
              <w:pStyle w:val="TableContents"/>
              <w:spacing w:before="0" w:after="0"/>
              <w:ind w:left="0" w:right="0" w:hanging="0"/>
              <w:rPr/>
            </w:pPr>
            <w:r>
              <w:rPr/>
              <w:t> </w:t>
            </w:r>
          </w:p>
        </w:tc>
        <w:tc>
          <w:tcPr>
            <w:tcW w:w="14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15" w:type="dxa"/>
            <w:tcBorders/>
            <w:shd w:fill="CCEEFF" w:val="clear"/>
            <w:vAlign w:val="bottom"/>
          </w:tcPr>
          <w:p>
            <w:pPr>
              <w:pStyle w:val="TableContents"/>
              <w:spacing w:before="0" w:after="0"/>
              <w:ind w:left="0" w:right="0" w:hanging="0"/>
              <w:rPr/>
            </w:pPr>
            <w:r>
              <w:rPr/>
              <w:t> </w:t>
            </w:r>
          </w:p>
        </w:tc>
      </w:tr>
      <w:tr>
        <w:trPr/>
        <w:tc>
          <w:tcPr>
            <w:tcW w:w="36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 Sales</w:t>
            </w:r>
          </w:p>
        </w:tc>
        <w:tc>
          <w:tcPr>
            <w:tcW w:w="171" w:type="dxa"/>
            <w:tcBorders/>
            <w:shd w:fill="auto" w:val="clear"/>
            <w:vAlign w:val="bottom"/>
          </w:tcPr>
          <w:p>
            <w:pPr>
              <w:pStyle w:val="TableContents"/>
              <w:spacing w:before="0" w:after="0"/>
              <w:ind w:left="0" w:right="0" w:hanging="0"/>
              <w:rPr/>
            </w:pPr>
            <w:r>
              <w:rPr/>
              <w:t> </w:t>
            </w:r>
          </w:p>
        </w:tc>
        <w:tc>
          <w:tcPr>
            <w:tcW w:w="13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71" w:type="dxa"/>
            <w:tcBorders/>
            <w:shd w:fill="auto" w:val="clear"/>
            <w:vAlign w:val="bottom"/>
          </w:tcPr>
          <w:p>
            <w:pPr>
              <w:pStyle w:val="TableContents"/>
              <w:spacing w:before="0" w:after="0"/>
              <w:ind w:left="0" w:right="0" w:hanging="0"/>
              <w:rPr/>
            </w:pPr>
            <w:r>
              <w:rPr/>
              <w:t> </w:t>
            </w:r>
          </w:p>
        </w:tc>
        <w:tc>
          <w:tcPr>
            <w:tcW w:w="14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07" w:type="dxa"/>
            <w:tcBorders/>
            <w:shd w:fill="auto" w:val="clear"/>
            <w:vAlign w:val="bottom"/>
          </w:tcPr>
          <w:p>
            <w:pPr>
              <w:pStyle w:val="TableContents"/>
              <w:spacing w:before="0" w:after="0"/>
              <w:ind w:left="0" w:right="0" w:hanging="0"/>
              <w:rPr/>
            </w:pPr>
            <w:r>
              <w:rPr/>
              <w:t> </w:t>
            </w:r>
          </w:p>
        </w:tc>
        <w:tc>
          <w:tcPr>
            <w:tcW w:w="14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15" w:type="dxa"/>
            <w:tcBorders/>
            <w:shd w:fill="auto" w:val="clear"/>
            <w:vAlign w:val="bottom"/>
          </w:tcPr>
          <w:p>
            <w:pPr>
              <w:pStyle w:val="TableContents"/>
              <w:spacing w:before="0" w:after="0"/>
              <w:ind w:left="0" w:right="0" w:hanging="0"/>
              <w:rPr/>
            </w:pPr>
            <w:r>
              <w:rPr/>
              <w:t> </w:t>
            </w:r>
          </w:p>
        </w:tc>
      </w:tr>
      <w:tr>
        <w:trPr/>
        <w:tc>
          <w:tcPr>
            <w:tcW w:w="36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foreign crude oil imported</w:t>
            </w:r>
          </w:p>
        </w:tc>
        <w:tc>
          <w:tcPr>
            <w:tcW w:w="171" w:type="dxa"/>
            <w:tcBorders/>
            <w:shd w:fill="CCEEFF" w:val="clear"/>
            <w:vAlign w:val="bottom"/>
          </w:tcPr>
          <w:p>
            <w:pPr>
              <w:pStyle w:val="TableContents"/>
              <w:spacing w:before="0" w:after="0"/>
              <w:ind w:left="0" w:right="0" w:hanging="0"/>
              <w:rPr/>
            </w:pPr>
            <w:r>
              <w:rPr/>
              <w:t> </w:t>
            </w:r>
          </w:p>
        </w:tc>
        <w:tc>
          <w:tcPr>
            <w:tcW w:w="138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71" w:type="dxa"/>
            <w:tcBorders/>
            <w:shd w:fill="CCEEFF" w:val="clear"/>
            <w:vAlign w:val="bottom"/>
          </w:tcPr>
          <w:p>
            <w:pPr>
              <w:pStyle w:val="TableContents"/>
              <w:spacing w:before="0" w:after="0"/>
              <w:ind w:left="0" w:right="0" w:hanging="0"/>
              <w:rPr/>
            </w:pPr>
            <w:r>
              <w:rPr/>
              <w:t> </w:t>
            </w:r>
          </w:p>
        </w:tc>
        <w:tc>
          <w:tcPr>
            <w:tcW w:w="14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07" w:type="dxa"/>
            <w:tcBorders/>
            <w:shd w:fill="CCEEFF" w:val="clear"/>
            <w:vAlign w:val="bottom"/>
          </w:tcPr>
          <w:p>
            <w:pPr>
              <w:pStyle w:val="TableContents"/>
              <w:spacing w:before="0" w:after="0"/>
              <w:ind w:left="0" w:right="0" w:hanging="0"/>
              <w:rPr/>
            </w:pPr>
            <w:r>
              <w:rPr/>
              <w:t> </w:t>
            </w:r>
          </w:p>
        </w:tc>
        <w:tc>
          <w:tcPr>
            <w:tcW w:w="14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5" w:type="dxa"/>
            <w:tcBorders/>
            <w:shd w:fill="CCEEFF" w:val="clear"/>
            <w:vAlign w:val="bottom"/>
          </w:tcPr>
          <w:p>
            <w:pPr>
              <w:pStyle w:val="TableContents"/>
              <w:spacing w:before="0" w:after="0"/>
              <w:ind w:left="0" w:right="0" w:hanging="0"/>
              <w:rPr/>
            </w:pPr>
            <w:r>
              <w:rPr/>
              <w:t> </w:t>
            </w:r>
          </w:p>
        </w:tc>
      </w:tr>
      <w:tr>
        <w:trPr/>
        <w:tc>
          <w:tcPr>
            <w:tcW w:w="3685"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rPr/>
            </w:pPr>
            <w:r>
              <w:rPr/>
              <w:t> </w:t>
            </w:r>
          </w:p>
        </w:tc>
        <w:tc>
          <w:tcPr>
            <w:tcW w:w="138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824</w:t>
            </w:r>
          </w:p>
        </w:tc>
        <w:tc>
          <w:tcPr>
            <w:tcW w:w="171" w:type="dxa"/>
            <w:tcBorders/>
            <w:shd w:fill="auto" w:val="clear"/>
            <w:vAlign w:val="bottom"/>
          </w:tcPr>
          <w:p>
            <w:pPr>
              <w:pStyle w:val="TableContents"/>
              <w:spacing w:before="0" w:after="0"/>
              <w:ind w:left="0" w:right="0" w:hanging="0"/>
              <w:rPr/>
            </w:pPr>
            <w:r>
              <w:rPr/>
              <w:t> </w:t>
            </w:r>
          </w:p>
        </w:tc>
        <w:tc>
          <w:tcPr>
            <w:tcW w:w="144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885</w:t>
            </w:r>
          </w:p>
        </w:tc>
        <w:tc>
          <w:tcPr>
            <w:tcW w:w="207" w:type="dxa"/>
            <w:tcBorders/>
            <w:shd w:fill="auto" w:val="clear"/>
            <w:vAlign w:val="bottom"/>
          </w:tcPr>
          <w:p>
            <w:pPr>
              <w:pStyle w:val="TableContents"/>
              <w:spacing w:before="0" w:after="0"/>
              <w:ind w:left="0" w:right="0" w:hanging="0"/>
              <w:rPr/>
            </w:pPr>
            <w:r>
              <w:rPr/>
              <w:t> </w:t>
            </w:r>
          </w:p>
        </w:tc>
        <w:tc>
          <w:tcPr>
            <w:tcW w:w="149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840</w:t>
            </w:r>
          </w:p>
        </w:tc>
        <w:tc>
          <w:tcPr>
            <w:tcW w:w="215" w:type="dxa"/>
            <w:tcBorders/>
            <w:shd w:fill="auto" w:val="clear"/>
            <w:vAlign w:val="bottom"/>
          </w:tcPr>
          <w:p>
            <w:pPr>
              <w:pStyle w:val="TableContents"/>
              <w:spacing w:before="0" w:after="0"/>
              <w:ind w:left="0" w:right="0" w:hanging="0"/>
              <w:rPr/>
            </w:pPr>
            <w:r>
              <w:rPr/>
              <w:t> </w:t>
            </w:r>
          </w:p>
        </w:tc>
      </w:tr>
      <w:tr>
        <w:trPr/>
        <w:tc>
          <w:tcPr>
            <w:tcW w:w="3685"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1442"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497"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r>
      <w:tr>
        <w:trPr/>
        <w:tc>
          <w:tcPr>
            <w:tcW w:w="36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71" w:type="dxa"/>
            <w:tcBorders/>
            <w:shd w:fill="auto" w:val="clear"/>
            <w:vAlign w:val="bottom"/>
          </w:tcPr>
          <w:p>
            <w:pPr>
              <w:pStyle w:val="TableContents"/>
              <w:spacing w:before="0" w:after="0"/>
              <w:ind w:left="0" w:right="0" w:hanging="0"/>
              <w:rPr/>
            </w:pPr>
            <w:r>
              <w:rPr/>
              <w:t> </w:t>
            </w:r>
          </w:p>
        </w:tc>
        <w:tc>
          <w:tcPr>
            <w:tcW w:w="1388"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1442"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49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r>
      <w:tr>
        <w:trPr/>
        <w:tc>
          <w:tcPr>
            <w:tcW w:w="36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171" w:type="dxa"/>
            <w:tcBorders/>
            <w:shd w:fill="CCEEFF" w:val="clear"/>
            <w:vAlign w:val="bottom"/>
          </w:tcPr>
          <w:p>
            <w:pPr>
              <w:pStyle w:val="TableContents"/>
              <w:spacing w:before="0" w:after="0"/>
              <w:ind w:left="0" w:right="0" w:hanging="0"/>
              <w:rPr/>
            </w:pPr>
            <w:r>
              <w:rPr/>
              <w:t> </w:t>
            </w:r>
          </w:p>
        </w:tc>
        <w:tc>
          <w:tcPr>
            <w:tcW w:w="2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0.75</w:t>
            </w:r>
          </w:p>
        </w:tc>
        <w:tc>
          <w:tcPr>
            <w:tcW w:w="171"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0.94</w:t>
            </w:r>
          </w:p>
        </w:tc>
        <w:tc>
          <w:tcPr>
            <w:tcW w:w="207"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21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368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We forecast depreciation and amortization based on our existing depreciable assets, forecasted capital expenditures and projected in-service dates. Depreciation may vary during any one period due to gains and losses on intermittent sales of assets, asset retirement obligations, asset impairments or foreign exchange rates. This guidance reflects the anticipated reduction in depreciation expense due to the extension of depreciable lives of several of our large storage facilities and pipeline systems based on an ongoing internal review.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i/>
          <w:sz w:val="17"/>
        </w:rPr>
        <w:t>Acquisitions and Other Capital Expenditures.</w:t>
      </w:r>
      <w:r>
        <w:rPr>
          <w:rFonts w:ascii="Times New Roman" w:hAnsi="Times New Roman"/>
        </w:rPr>
        <w:t xml:space="preserve"> </w:t>
      </w:r>
      <w:r>
        <w:rPr>
          <w:rFonts w:ascii="Times New Roman" w:hAnsi="Times New Roman"/>
          <w:sz w:val="17"/>
        </w:rPr>
        <w:t>Although acquisitions constitute a key element of our growth strategy, the forecasted results and associated estimates do not include any forecasts for acquisitions to which we may commit after the date hereof. We forecast capital expenditures during calendar 2010 to be approximately $380 million for expansion projects with an additional $85 to $90 million for maintenance capital projects. During the first nine months of 2010, we spent $255 million and $62 million, respectively, for expansion and maintenance projects. Following are some of the more notable projects and forecasted expenditures for the year ending December 31, 2010: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9" w:name="PB_6_012433_2794"/>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6211"/>
        <w:gridCol w:w="249"/>
        <w:gridCol w:w="203"/>
        <w:gridCol w:w="1387"/>
        <w:gridCol w:w="114"/>
      </w:tblGrid>
      <w:tr>
        <w:trPr/>
        <w:tc>
          <w:tcPr>
            <w:tcW w:w="6211" w:type="dxa"/>
            <w:tcBorders/>
            <w:shd w:fill="auto" w:val="clear"/>
            <w:vAlign w:val="bottom"/>
          </w:tcPr>
          <w:p>
            <w:pPr>
              <w:pStyle w:val="TableContents"/>
              <w:spacing w:before="0" w:after="0"/>
              <w:ind w:left="0" w:right="0" w:hanging="0"/>
              <w:rPr/>
            </w:pPr>
            <w:r>
              <w:rPr/>
              <w:t> </w:t>
            </w:r>
          </w:p>
        </w:tc>
        <w:tc>
          <w:tcPr>
            <w:tcW w:w="249" w:type="dxa"/>
            <w:tcBorders/>
            <w:shd w:fill="auto" w:val="clear"/>
            <w:vAlign w:val="bottom"/>
          </w:tcPr>
          <w:p>
            <w:pPr>
              <w:pStyle w:val="TableContents"/>
              <w:spacing w:before="0" w:after="0"/>
              <w:ind w:left="0" w:right="0" w:hanging="0"/>
              <w:jc w:val="center"/>
              <w:rPr/>
            </w:pPr>
            <w:r>
              <w:rPr/>
              <w:t> </w:t>
            </w:r>
          </w:p>
        </w:tc>
        <w:tc>
          <w:tcPr>
            <w:tcW w:w="15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Calendar 2010</w:t>
            </w:r>
          </w:p>
        </w:tc>
        <w:tc>
          <w:tcPr>
            <w:tcW w:w="114" w:type="dxa"/>
            <w:tcBorders/>
            <w:shd w:fill="auto" w:val="clear"/>
            <w:vAlign w:val="bottom"/>
          </w:tcPr>
          <w:p>
            <w:pPr>
              <w:pStyle w:val="TableContents"/>
              <w:spacing w:before="0" w:after="0"/>
              <w:ind w:left="0" w:right="0" w:hanging="0"/>
              <w:jc w:val="center"/>
              <w:rPr/>
            </w:pPr>
            <w:r>
              <w:rPr/>
              <w:t> </w:t>
            </w:r>
          </w:p>
        </w:tc>
      </w:tr>
      <w:tr>
        <w:trPr/>
        <w:tc>
          <w:tcPr>
            <w:tcW w:w="6211" w:type="dxa"/>
            <w:tcBorders/>
            <w:shd w:fill="auto" w:val="clear"/>
            <w:vAlign w:val="bottom"/>
          </w:tcPr>
          <w:p>
            <w:pPr>
              <w:pStyle w:val="TableContents"/>
              <w:spacing w:before="0" w:after="0"/>
              <w:ind w:left="0" w:right="0" w:hanging="0"/>
              <w:rPr/>
            </w:pPr>
            <w:r>
              <w:rPr/>
              <w:t> </w:t>
            </w:r>
          </w:p>
        </w:tc>
        <w:tc>
          <w:tcPr>
            <w:tcW w:w="249" w:type="dxa"/>
            <w:tcBorders/>
            <w:shd w:fill="auto" w:val="clear"/>
            <w:vAlign w:val="bottom"/>
          </w:tcPr>
          <w:p>
            <w:pPr>
              <w:pStyle w:val="TableContents"/>
              <w:spacing w:before="0" w:after="0"/>
              <w:ind w:left="0" w:right="0" w:hanging="0"/>
              <w:jc w:val="center"/>
              <w:rPr/>
            </w:pPr>
            <w:r>
              <w:rPr/>
              <w:t> </w:t>
            </w:r>
          </w:p>
        </w:tc>
        <w:tc>
          <w:tcPr>
            <w:tcW w:w="159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14" w:type="dxa"/>
            <w:tcBorders/>
            <w:shd w:fill="auto" w:val="clear"/>
            <w:vAlign w:val="bottom"/>
          </w:tcPr>
          <w:p>
            <w:pPr>
              <w:pStyle w:val="TableContents"/>
              <w:spacing w:before="0" w:after="0"/>
              <w:ind w:left="0" w:right="0" w:hanging="0"/>
              <w:jc w:val="center"/>
              <w:rPr/>
            </w:pPr>
            <w:r>
              <w:rPr/>
              <w:t> </w:t>
            </w:r>
          </w:p>
        </w:tc>
      </w:tr>
      <w:tr>
        <w:trPr/>
        <w:tc>
          <w:tcPr>
            <w:tcW w:w="6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249" w:type="dxa"/>
            <w:tcBorders/>
            <w:shd w:fill="CCEEFF" w:val="clear"/>
            <w:vAlign w:val="bottom"/>
          </w:tcPr>
          <w:p>
            <w:pPr>
              <w:pStyle w:val="TableContents"/>
              <w:spacing w:before="0" w:after="0"/>
              <w:ind w:left="0" w:right="0" w:hanging="0"/>
              <w:rPr/>
            </w:pPr>
            <w:r>
              <w:rPr/>
              <w:t> </w:t>
            </w:r>
          </w:p>
        </w:tc>
        <w:tc>
          <w:tcPr>
            <w:tcW w:w="1590"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6211"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PAA Natural Gas Storage</w:t>
            </w:r>
          </w:p>
        </w:tc>
        <w:tc>
          <w:tcPr>
            <w:tcW w:w="249"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14" w:type="dxa"/>
            <w:tcBorders/>
            <w:shd w:fill="auto" w:val="clear"/>
            <w:vAlign w:val="bottom"/>
          </w:tcPr>
          <w:p>
            <w:pPr>
              <w:pStyle w:val="TableContents"/>
              <w:spacing w:before="0" w:after="0"/>
              <w:ind w:left="0" w:right="0" w:hanging="0"/>
              <w:rPr/>
            </w:pPr>
            <w:r>
              <w:rPr/>
              <w:t> </w:t>
            </w:r>
          </w:p>
        </w:tc>
      </w:tr>
      <w:tr>
        <w:trPr/>
        <w:tc>
          <w:tcPr>
            <w:tcW w:w="6211"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Cushing - Phases VII - XI</w:t>
            </w:r>
          </w:p>
        </w:tc>
        <w:tc>
          <w:tcPr>
            <w:tcW w:w="249" w:type="dxa"/>
            <w:tcBorders/>
            <w:shd w:fill="CCEEFF" w:val="clear"/>
            <w:vAlign w:val="bottom"/>
          </w:tcPr>
          <w:p>
            <w:pPr>
              <w:pStyle w:val="TableContents"/>
              <w:spacing w:before="0" w:after="0"/>
              <w:ind w:left="0" w:right="0" w:hanging="0"/>
              <w:rPr/>
            </w:pPr>
            <w:r>
              <w:rPr/>
              <w:t> </w:t>
            </w:r>
          </w:p>
        </w:tc>
        <w:tc>
          <w:tcPr>
            <w:tcW w:w="15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14" w:type="dxa"/>
            <w:tcBorders/>
            <w:shd w:fill="CCEEFF" w:val="clear"/>
            <w:vAlign w:val="bottom"/>
          </w:tcPr>
          <w:p>
            <w:pPr>
              <w:pStyle w:val="TableContents"/>
              <w:spacing w:before="0" w:after="0"/>
              <w:ind w:left="0" w:right="0" w:hanging="0"/>
              <w:rPr/>
            </w:pPr>
            <w:r>
              <w:rPr/>
              <w:t> </w:t>
            </w:r>
          </w:p>
        </w:tc>
      </w:tr>
      <w:tr>
        <w:trPr/>
        <w:tc>
          <w:tcPr>
            <w:tcW w:w="6211"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St. James - Phase III</w:t>
            </w:r>
          </w:p>
        </w:tc>
        <w:tc>
          <w:tcPr>
            <w:tcW w:w="249" w:type="dxa"/>
            <w:tcBorders/>
            <w:shd w:fill="auto" w:val="clear"/>
            <w:vAlign w:val="bottom"/>
          </w:tcPr>
          <w:p>
            <w:pPr>
              <w:pStyle w:val="TableContents"/>
              <w:spacing w:before="0" w:after="0"/>
              <w:ind w:left="0" w:right="0" w:hanging="0"/>
              <w:rPr/>
            </w:pPr>
            <w:r>
              <w:rPr/>
              <w:t> </w:t>
            </w:r>
          </w:p>
        </w:tc>
        <w:tc>
          <w:tcPr>
            <w:tcW w:w="15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4" w:type="dxa"/>
            <w:tcBorders/>
            <w:shd w:fill="auto" w:val="clear"/>
            <w:vAlign w:val="bottom"/>
          </w:tcPr>
          <w:p>
            <w:pPr>
              <w:pStyle w:val="TableContents"/>
              <w:spacing w:before="0" w:after="0"/>
              <w:ind w:left="0" w:right="0" w:hanging="0"/>
              <w:rPr/>
            </w:pPr>
            <w:r>
              <w:rPr/>
              <w:t> </w:t>
            </w:r>
          </w:p>
        </w:tc>
      </w:tr>
      <w:tr>
        <w:trPr/>
        <w:tc>
          <w:tcPr>
            <w:tcW w:w="6211"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Patoka Phase III</w:t>
            </w:r>
          </w:p>
        </w:tc>
        <w:tc>
          <w:tcPr>
            <w:tcW w:w="249" w:type="dxa"/>
            <w:tcBorders/>
            <w:shd w:fill="CCEEFF" w:val="clear"/>
            <w:vAlign w:val="bottom"/>
          </w:tcPr>
          <w:p>
            <w:pPr>
              <w:pStyle w:val="TableContents"/>
              <w:spacing w:before="0" w:after="0"/>
              <w:ind w:left="0" w:right="0" w:hanging="0"/>
              <w:rPr/>
            </w:pPr>
            <w:r>
              <w:rPr/>
              <w:t> </w:t>
            </w:r>
          </w:p>
        </w:tc>
        <w:tc>
          <w:tcPr>
            <w:tcW w:w="15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4" w:type="dxa"/>
            <w:tcBorders/>
            <w:shd w:fill="CCEEFF" w:val="clear"/>
            <w:vAlign w:val="bottom"/>
          </w:tcPr>
          <w:p>
            <w:pPr>
              <w:pStyle w:val="TableContents"/>
              <w:spacing w:before="0" w:after="0"/>
              <w:ind w:left="0" w:right="0" w:hanging="0"/>
              <w:rPr/>
            </w:pPr>
            <w:r>
              <w:rPr/>
              <w:t> </w:t>
            </w:r>
          </w:p>
        </w:tc>
      </w:tr>
      <w:tr>
        <w:trPr/>
        <w:tc>
          <w:tcPr>
            <w:tcW w:w="6211"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West Texas gathering lines</w:t>
            </w:r>
          </w:p>
        </w:tc>
        <w:tc>
          <w:tcPr>
            <w:tcW w:w="249" w:type="dxa"/>
            <w:tcBorders/>
            <w:shd w:fill="auto" w:val="clear"/>
            <w:vAlign w:val="bottom"/>
          </w:tcPr>
          <w:p>
            <w:pPr>
              <w:pStyle w:val="TableContents"/>
              <w:spacing w:before="0" w:after="0"/>
              <w:ind w:left="0" w:right="0" w:hanging="0"/>
              <w:rPr/>
            </w:pPr>
            <w:r>
              <w:rPr/>
              <w:t> </w:t>
            </w:r>
          </w:p>
        </w:tc>
        <w:tc>
          <w:tcPr>
            <w:tcW w:w="15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4" w:type="dxa"/>
            <w:tcBorders/>
            <w:shd w:fill="auto" w:val="clear"/>
            <w:vAlign w:val="bottom"/>
          </w:tcPr>
          <w:p>
            <w:pPr>
              <w:pStyle w:val="TableContents"/>
              <w:spacing w:before="0" w:after="0"/>
              <w:ind w:left="0" w:right="0" w:hanging="0"/>
              <w:rPr/>
            </w:pPr>
            <w:r>
              <w:rPr/>
              <w:t> </w:t>
            </w:r>
          </w:p>
        </w:tc>
      </w:tr>
      <w:tr>
        <w:trPr/>
        <w:tc>
          <w:tcPr>
            <w:tcW w:w="6211"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Edmonton land purchase</w:t>
            </w:r>
          </w:p>
        </w:tc>
        <w:tc>
          <w:tcPr>
            <w:tcW w:w="249" w:type="dxa"/>
            <w:tcBorders/>
            <w:shd w:fill="CCEEFF" w:val="clear"/>
            <w:vAlign w:val="bottom"/>
          </w:tcPr>
          <w:p>
            <w:pPr>
              <w:pStyle w:val="TableContents"/>
              <w:spacing w:before="0" w:after="0"/>
              <w:ind w:left="0" w:right="0" w:hanging="0"/>
              <w:rPr/>
            </w:pPr>
            <w:r>
              <w:rPr/>
              <w:t> </w:t>
            </w:r>
          </w:p>
        </w:tc>
        <w:tc>
          <w:tcPr>
            <w:tcW w:w="15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4" w:type="dxa"/>
            <w:tcBorders/>
            <w:shd w:fill="CCEEFF" w:val="clear"/>
            <w:vAlign w:val="bottom"/>
          </w:tcPr>
          <w:p>
            <w:pPr>
              <w:pStyle w:val="TableContents"/>
              <w:spacing w:before="0" w:after="0"/>
              <w:ind w:left="0" w:right="0" w:hanging="0"/>
              <w:rPr/>
            </w:pPr>
            <w:r>
              <w:rPr/>
              <w:t> </w:t>
            </w:r>
          </w:p>
        </w:tc>
      </w:tr>
      <w:tr>
        <w:trPr/>
        <w:tc>
          <w:tcPr>
            <w:tcW w:w="6211"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Wichita Falls tanks</w:t>
            </w:r>
          </w:p>
        </w:tc>
        <w:tc>
          <w:tcPr>
            <w:tcW w:w="249" w:type="dxa"/>
            <w:tcBorders/>
            <w:shd w:fill="auto" w:val="clear"/>
            <w:vAlign w:val="bottom"/>
          </w:tcPr>
          <w:p>
            <w:pPr>
              <w:pStyle w:val="TableContents"/>
              <w:spacing w:before="0" w:after="0"/>
              <w:ind w:left="0" w:right="0" w:hanging="0"/>
              <w:rPr/>
            </w:pPr>
            <w:r>
              <w:rPr/>
              <w:t> </w:t>
            </w:r>
          </w:p>
        </w:tc>
        <w:tc>
          <w:tcPr>
            <w:tcW w:w="15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4" w:type="dxa"/>
            <w:tcBorders/>
            <w:shd w:fill="auto" w:val="clear"/>
            <w:vAlign w:val="bottom"/>
          </w:tcPr>
          <w:p>
            <w:pPr>
              <w:pStyle w:val="TableContents"/>
              <w:spacing w:before="0" w:after="0"/>
              <w:ind w:left="0" w:right="0" w:hanging="0"/>
              <w:rPr/>
            </w:pPr>
            <w:r>
              <w:rPr/>
              <w:t> </w:t>
            </w:r>
          </w:p>
        </w:tc>
      </w:tr>
      <w:tr>
        <w:trPr/>
        <w:tc>
          <w:tcPr>
            <w:tcW w:w="6211"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 xml:space="preserve">Other projects </w:t>
            </w:r>
            <w:r>
              <w:rPr>
                <w:sz w:val="11"/>
              </w:rPr>
              <w:t>(1)</w:t>
            </w:r>
          </w:p>
        </w:tc>
        <w:tc>
          <w:tcPr>
            <w:tcW w:w="249" w:type="dxa"/>
            <w:tcBorders/>
            <w:shd w:fill="CCEEFF" w:val="clear"/>
            <w:vAlign w:val="bottom"/>
          </w:tcPr>
          <w:p>
            <w:pPr>
              <w:pStyle w:val="TableContents"/>
              <w:spacing w:before="0" w:after="0"/>
              <w:ind w:left="0" w:right="0" w:hanging="0"/>
              <w:rPr/>
            </w:pPr>
            <w:r>
              <w:rPr/>
              <w:t> </w:t>
            </w:r>
          </w:p>
        </w:tc>
        <w:tc>
          <w:tcPr>
            <w:tcW w:w="15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14" w:type="dxa"/>
            <w:tcBorders/>
            <w:shd w:fill="CCEEFF" w:val="clear"/>
            <w:vAlign w:val="bottom"/>
          </w:tcPr>
          <w:p>
            <w:pPr>
              <w:pStyle w:val="TableContents"/>
              <w:spacing w:before="0" w:after="0"/>
              <w:ind w:left="0" w:right="0" w:hanging="0"/>
              <w:rPr/>
            </w:pPr>
            <w:r>
              <w:rPr/>
              <w:t> </w:t>
            </w:r>
          </w:p>
        </w:tc>
      </w:tr>
      <w:tr>
        <w:trPr/>
        <w:tc>
          <w:tcPr>
            <w:tcW w:w="6211" w:type="dxa"/>
            <w:tcBorders/>
            <w:shd w:fill="auto" w:val="clear"/>
            <w:vAlign w:val="bottom"/>
          </w:tcPr>
          <w:p>
            <w:pPr>
              <w:pStyle w:val="TableContents"/>
              <w:spacing w:before="0" w:after="0"/>
              <w:ind w:left="0" w:right="0" w:hanging="0"/>
              <w:rPr/>
            </w:pPr>
            <w:r>
              <w:rPr/>
              <w:t> </w:t>
            </w:r>
          </w:p>
        </w:tc>
        <w:tc>
          <w:tcPr>
            <w:tcW w:w="249" w:type="dxa"/>
            <w:tcBorders/>
            <w:shd w:fill="auto" w:val="clear"/>
            <w:vAlign w:val="bottom"/>
          </w:tcPr>
          <w:p>
            <w:pPr>
              <w:pStyle w:val="TableContents"/>
              <w:spacing w:before="0" w:after="0"/>
              <w:ind w:left="0" w:right="0" w:hanging="0"/>
              <w:rPr/>
            </w:pPr>
            <w:r>
              <w:rPr/>
              <w:t> </w:t>
            </w:r>
          </w:p>
        </w:tc>
        <w:tc>
          <w:tcPr>
            <w:tcW w:w="15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114" w:type="dxa"/>
            <w:tcBorders/>
            <w:shd w:fill="auto" w:val="clear"/>
            <w:vAlign w:val="bottom"/>
          </w:tcPr>
          <w:p>
            <w:pPr>
              <w:pStyle w:val="TableContents"/>
              <w:spacing w:before="0" w:after="0"/>
              <w:ind w:left="0" w:right="0" w:hanging="0"/>
              <w:rPr/>
            </w:pPr>
            <w:r>
              <w:rPr/>
              <w:t> </w:t>
            </w:r>
          </w:p>
        </w:tc>
      </w:tr>
      <w:tr>
        <w:trPr/>
        <w:tc>
          <w:tcPr>
            <w:tcW w:w="6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49" w:type="dxa"/>
            <w:tcBorders/>
            <w:shd w:fill="CCEEFF" w:val="clear"/>
            <w:vAlign w:val="bottom"/>
          </w:tcPr>
          <w:p>
            <w:pPr>
              <w:pStyle w:val="TableContents"/>
              <w:spacing w:before="0" w:after="0"/>
              <w:ind w:left="0" w:right="0" w:hanging="0"/>
              <w:rPr/>
            </w:pPr>
            <w:r>
              <w:rPr/>
              <w:t> </w:t>
            </w:r>
          </w:p>
        </w:tc>
        <w:tc>
          <w:tcPr>
            <w:tcW w:w="15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85 -   90</w:t>
            </w:r>
          </w:p>
        </w:tc>
        <w:tc>
          <w:tcPr>
            <w:tcW w:w="114" w:type="dxa"/>
            <w:tcBorders/>
            <w:shd w:fill="CCEEFF" w:val="clear"/>
            <w:vAlign w:val="bottom"/>
          </w:tcPr>
          <w:p>
            <w:pPr>
              <w:pStyle w:val="TableContents"/>
              <w:spacing w:before="0" w:after="0"/>
              <w:ind w:left="0" w:right="0" w:hanging="0"/>
              <w:rPr/>
            </w:pPr>
            <w:r>
              <w:rPr/>
              <w:t> </w:t>
            </w:r>
          </w:p>
        </w:tc>
      </w:tr>
      <w:tr>
        <w:trPr/>
        <w:tc>
          <w:tcPr>
            <w:tcW w:w="6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Capital Expenditures (excluding acquisitions)</w:t>
            </w:r>
          </w:p>
        </w:tc>
        <w:tc>
          <w:tcPr>
            <w:tcW w:w="249" w:type="dxa"/>
            <w:tcBorders/>
            <w:shd w:fill="auto" w:val="clear"/>
            <w:vAlign w:val="bottom"/>
          </w:tcPr>
          <w:p>
            <w:pPr>
              <w:pStyle w:val="TableContents"/>
              <w:spacing w:before="0" w:after="0"/>
              <w:ind w:left="0" w:right="0" w:hanging="0"/>
              <w:rPr/>
            </w:pPr>
            <w:r>
              <w:rPr/>
              <w:t> </w:t>
            </w:r>
          </w:p>
        </w:tc>
        <w:tc>
          <w:tcPr>
            <w:tcW w:w="20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465 - 470</w:t>
            </w:r>
          </w:p>
        </w:tc>
        <w:tc>
          <w:tcPr>
            <w:tcW w:w="11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Primarily pipeline connections, upgrades and truck stations, new tank construction and refurbishing, and carry-over of projects started in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i/>
          <w:sz w:val="17"/>
        </w:rPr>
        <w:t>Capital Structure.</w:t>
      </w:r>
      <w:r>
        <w:rPr>
          <w:rFonts w:ascii="Times New Roman" w:hAnsi="Times New Roman"/>
        </w:rPr>
        <w:t xml:space="preserve"> </w:t>
      </w:r>
      <w:r>
        <w:rPr>
          <w:rFonts w:ascii="Times New Roman" w:hAnsi="Times New Roman"/>
          <w:sz w:val="17"/>
        </w:rPr>
        <w:t>This guidance is based on our capital structure as of September 30,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i/>
          <w:sz w:val="17"/>
        </w:rPr>
        <w:t>Interest Expense.</w:t>
      </w:r>
      <w:r>
        <w:rPr>
          <w:rFonts w:ascii="Times New Roman" w:hAnsi="Times New Roman"/>
        </w:rPr>
        <w:t xml:space="preserve"> </w:t>
      </w:r>
      <w:r>
        <w:rPr>
          <w:rFonts w:ascii="Times New Roman" w:hAnsi="Times New Roman"/>
          <w:sz w:val="17"/>
        </w:rPr>
        <w:t>Debt balances are projected based on estimated cash flows, estimated distribution rates, estimated capital expenditures for maintenance and expansion projects, expected timing of collections and payments, and forecasted levels of inventory and other working capital sources and uses. Interest rate assumptions for variable-rate debt are based on the current forward LIBOR curve.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interest expense are commitment fees, amortization of long-term debt discounts or premiums, deferred amounts associated with terminated interest-rate hedges and interest on short-term debt for non-contango inventory (primarily hedged LPG inventory and New York Mercantile Exchange and IntercontinentalExchange margin deposits). Interest expense is net of amounts capitalized for major expansion capital projects and does not include interest on borrowings for inventory stored in a contango market. We treat interest on contango-related borrowings as carrying costs of crude oil and include it in purchases and related costs.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i/>
          <w:sz w:val="17"/>
        </w:rPr>
        <w:t>Net Income per Unit.</w:t>
      </w:r>
      <w:r>
        <w:rPr>
          <w:rFonts w:ascii="Times New Roman" w:hAnsi="Times New Roman"/>
        </w:rPr>
        <w:t xml:space="preserve"> </w:t>
      </w:r>
      <w:r>
        <w:rPr>
          <w:rFonts w:ascii="Times New Roman" w:hAnsi="Times New Roman"/>
          <w:sz w:val="17"/>
        </w:rPr>
        <w:t>Basic net income per limited partner unit is calculated by dividing net income allocated to limited partners by the basic weighted average units outstanding during the period.</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3485"/>
        <w:gridCol w:w="192"/>
        <w:gridCol w:w="143"/>
        <w:gridCol w:w="851"/>
        <w:gridCol w:w="200"/>
        <w:gridCol w:w="137"/>
        <w:gridCol w:w="833"/>
        <w:gridCol w:w="205"/>
        <w:gridCol w:w="137"/>
        <w:gridCol w:w="835"/>
        <w:gridCol w:w="200"/>
        <w:gridCol w:w="136"/>
        <w:gridCol w:w="833"/>
        <w:gridCol w:w="205"/>
        <w:gridCol w:w="137"/>
        <w:gridCol w:w="835"/>
        <w:gridCol w:w="126"/>
      </w:tblGrid>
      <w:tr>
        <w:trPr/>
        <w:tc>
          <w:tcPr>
            <w:tcW w:w="3485"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9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200" w:type="dxa"/>
            <w:tcBorders/>
            <w:shd w:fill="auto" w:val="clear"/>
            <w:vAlign w:val="bottom"/>
          </w:tcPr>
          <w:p>
            <w:pPr>
              <w:pStyle w:val="TableContents"/>
              <w:spacing w:before="0" w:after="0"/>
              <w:ind w:left="0" w:right="0" w:hanging="0"/>
              <w:jc w:val="center"/>
              <w:rPr/>
            </w:pPr>
            <w:r>
              <w:rPr/>
              <w:t> </w:t>
            </w:r>
          </w:p>
        </w:tc>
        <w:tc>
          <w:tcPr>
            <w:tcW w:w="4493"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26" w:type="dxa"/>
            <w:tcBorders/>
            <w:shd w:fill="auto" w:val="clear"/>
            <w:vAlign w:val="bottom"/>
          </w:tcPr>
          <w:p>
            <w:pPr>
              <w:pStyle w:val="TableContents"/>
              <w:spacing w:before="0" w:after="0"/>
              <w:ind w:left="0" w:right="0" w:hanging="0"/>
              <w:jc w:val="center"/>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99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9 Months</w:t>
            </w:r>
          </w:p>
        </w:tc>
        <w:tc>
          <w:tcPr>
            <w:tcW w:w="200" w:type="dxa"/>
            <w:tcBorders/>
            <w:shd w:fill="auto" w:val="clear"/>
            <w:vAlign w:val="bottom"/>
          </w:tcPr>
          <w:p>
            <w:pPr>
              <w:pStyle w:val="TableContents"/>
              <w:spacing w:before="0" w:after="0"/>
              <w:ind w:left="0" w:right="0" w:hanging="0"/>
              <w:jc w:val="center"/>
              <w:rPr/>
            </w:pPr>
            <w:r>
              <w:rPr/>
              <w:t> </w:t>
            </w:r>
          </w:p>
        </w:tc>
        <w:tc>
          <w:tcPr>
            <w:tcW w:w="214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00" w:type="dxa"/>
            <w:tcBorders/>
            <w:shd w:fill="auto" w:val="clear"/>
            <w:vAlign w:val="bottom"/>
          </w:tcPr>
          <w:p>
            <w:pPr>
              <w:pStyle w:val="TableContents"/>
              <w:spacing w:before="0" w:after="0"/>
              <w:ind w:left="0" w:right="0" w:hanging="0"/>
              <w:jc w:val="center"/>
              <w:rPr/>
            </w:pPr>
            <w:r>
              <w:rPr/>
              <w:t> </w:t>
            </w:r>
          </w:p>
        </w:tc>
        <w:tc>
          <w:tcPr>
            <w:tcW w:w="214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26" w:type="dxa"/>
            <w:tcBorders/>
            <w:shd w:fill="auto" w:val="clear"/>
            <w:vAlign w:val="bottom"/>
          </w:tcPr>
          <w:p>
            <w:pPr>
              <w:pStyle w:val="TableContents"/>
              <w:spacing w:before="0" w:after="0"/>
              <w:ind w:left="0" w:right="0" w:hanging="0"/>
              <w:jc w:val="center"/>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99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00" w:type="dxa"/>
            <w:tcBorders/>
            <w:shd w:fill="auto" w:val="clear"/>
            <w:vAlign w:val="bottom"/>
          </w:tcPr>
          <w:p>
            <w:pPr>
              <w:pStyle w:val="TableContents"/>
              <w:spacing w:before="0" w:after="0"/>
              <w:ind w:left="0" w:right="0" w:hanging="0"/>
              <w:jc w:val="center"/>
              <w:rPr/>
            </w:pPr>
            <w:r>
              <w:rPr/>
              <w:t> </w:t>
            </w:r>
          </w:p>
        </w:tc>
        <w:tc>
          <w:tcPr>
            <w:tcW w:w="214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200" w:type="dxa"/>
            <w:tcBorders/>
            <w:shd w:fill="auto" w:val="clear"/>
            <w:vAlign w:val="bottom"/>
          </w:tcPr>
          <w:p>
            <w:pPr>
              <w:pStyle w:val="TableContents"/>
              <w:spacing w:before="0" w:after="0"/>
              <w:ind w:left="0" w:right="0" w:hanging="0"/>
              <w:jc w:val="center"/>
              <w:rPr/>
            </w:pPr>
            <w:r>
              <w:rPr/>
              <w:t> </w:t>
            </w:r>
          </w:p>
        </w:tc>
        <w:tc>
          <w:tcPr>
            <w:tcW w:w="214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126" w:type="dxa"/>
            <w:tcBorders/>
            <w:shd w:fill="auto" w:val="clear"/>
            <w:vAlign w:val="bottom"/>
          </w:tcPr>
          <w:p>
            <w:pPr>
              <w:pStyle w:val="TableContents"/>
              <w:spacing w:before="0" w:after="0"/>
              <w:ind w:left="0" w:right="0" w:hanging="0"/>
              <w:jc w:val="center"/>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9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9/30/2010</w:t>
            </w:r>
          </w:p>
        </w:tc>
        <w:tc>
          <w:tcPr>
            <w:tcW w:w="200" w:type="dxa"/>
            <w:tcBorders/>
            <w:shd w:fill="auto" w:val="clear"/>
            <w:vAlign w:val="bottom"/>
          </w:tcPr>
          <w:p>
            <w:pPr>
              <w:pStyle w:val="TableContents"/>
              <w:spacing w:before="0" w:after="0"/>
              <w:ind w:left="0" w:right="0" w:hanging="0"/>
              <w:jc w:val="center"/>
              <w:rPr/>
            </w:pPr>
            <w:r>
              <w:rPr/>
              <w:t> </w:t>
            </w:r>
          </w:p>
        </w:tc>
        <w:tc>
          <w:tcPr>
            <w:tcW w:w="9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05" w:type="dxa"/>
            <w:tcBorders/>
            <w:shd w:fill="auto" w:val="clear"/>
            <w:vAlign w:val="bottom"/>
          </w:tcPr>
          <w:p>
            <w:pPr>
              <w:pStyle w:val="TableContents"/>
              <w:spacing w:before="0" w:after="0"/>
              <w:ind w:left="0" w:right="0" w:hanging="0"/>
              <w:jc w:val="center"/>
              <w:rPr/>
            </w:pPr>
            <w:r>
              <w:rPr/>
              <w:t> </w:t>
            </w:r>
          </w:p>
        </w:tc>
        <w:tc>
          <w:tcPr>
            <w:tcW w:w="97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00" w:type="dxa"/>
            <w:tcBorders/>
            <w:shd w:fill="auto" w:val="clear"/>
            <w:vAlign w:val="bottom"/>
          </w:tcPr>
          <w:p>
            <w:pPr>
              <w:pStyle w:val="TableContents"/>
              <w:spacing w:before="0" w:after="0"/>
              <w:ind w:left="0" w:right="0" w:hanging="0"/>
              <w:jc w:val="center"/>
              <w:rPr/>
            </w:pPr>
            <w:r>
              <w:rPr/>
              <w:t> </w:t>
            </w:r>
          </w:p>
        </w:tc>
        <w:tc>
          <w:tcPr>
            <w:tcW w:w="9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7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26" w:type="dxa"/>
            <w:tcBorders/>
            <w:shd w:fill="auto" w:val="clear"/>
            <w:vAlign w:val="bottom"/>
          </w:tcPr>
          <w:p>
            <w:pPr>
              <w:pStyle w:val="TableContents"/>
              <w:spacing w:before="0" w:after="0"/>
              <w:ind w:left="0" w:right="0" w:hanging="0"/>
              <w:jc w:val="center"/>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5687" w:type="dxa"/>
            <w:gridSpan w:val="1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except per unit amounts)</w:t>
            </w:r>
          </w:p>
        </w:tc>
        <w:tc>
          <w:tcPr>
            <w:tcW w:w="126" w:type="dxa"/>
            <w:tcBorders/>
            <w:shd w:fill="auto" w:val="clear"/>
            <w:vAlign w:val="bottom"/>
          </w:tcPr>
          <w:p>
            <w:pPr>
              <w:pStyle w:val="TableContents"/>
              <w:spacing w:before="0" w:after="0"/>
              <w:ind w:left="0" w:right="0" w:hanging="0"/>
              <w:jc w:val="center"/>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192"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970"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9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969"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972"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92"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20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05"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00"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05"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126"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paid </w:t>
            </w:r>
            <w:r>
              <w:rPr>
                <w:sz w:val="11"/>
              </w:rPr>
              <w:t>(1)</w:t>
            </w:r>
          </w:p>
        </w:tc>
        <w:tc>
          <w:tcPr>
            <w:tcW w:w="192" w:type="dxa"/>
            <w:tcBorders/>
            <w:shd w:fill="CCEEFF" w:val="clear"/>
            <w:vAlign w:val="bottom"/>
          </w:tcPr>
          <w:p>
            <w:pPr>
              <w:pStyle w:val="TableContents"/>
              <w:spacing w:before="0" w:after="0"/>
              <w:ind w:left="0" w:right="0" w:hanging="0"/>
              <w:rPr/>
            </w:pPr>
            <w:r>
              <w:rPr/>
              <w:t> </w:t>
            </w:r>
          </w:p>
        </w:tc>
        <w:tc>
          <w:tcPr>
            <w:tcW w:w="9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192"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00" w:type="dxa"/>
            <w:tcBorders/>
            <w:shd w:fill="auto" w:val="clear"/>
            <w:vAlign w:val="bottom"/>
          </w:tcPr>
          <w:p>
            <w:pPr>
              <w:pStyle w:val="TableContents"/>
              <w:spacing w:before="0" w:after="0"/>
              <w:ind w:left="0" w:right="0" w:hanging="0"/>
              <w:rPr/>
            </w:pPr>
            <w:r>
              <w:rPr/>
              <w:t> </w:t>
            </w:r>
          </w:p>
        </w:tc>
        <w:tc>
          <w:tcPr>
            <w:tcW w:w="9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5" w:type="dxa"/>
            <w:tcBorders/>
            <w:shd w:fill="auto" w:val="clear"/>
            <w:vAlign w:val="bottom"/>
          </w:tcPr>
          <w:p>
            <w:pPr>
              <w:pStyle w:val="TableContents"/>
              <w:spacing w:before="0" w:after="0"/>
              <w:ind w:left="0" w:right="0" w:hanging="0"/>
              <w:rPr/>
            </w:pPr>
            <w:r>
              <w:rPr/>
              <w:t> </w:t>
            </w:r>
          </w:p>
        </w:tc>
        <w:tc>
          <w:tcPr>
            <w:tcW w:w="9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00" w:type="dxa"/>
            <w:tcBorders/>
            <w:shd w:fill="auto" w:val="clear"/>
            <w:vAlign w:val="bottom"/>
          </w:tcPr>
          <w:p>
            <w:pPr>
              <w:pStyle w:val="TableContents"/>
              <w:spacing w:before="0" w:after="0"/>
              <w:ind w:left="0" w:right="0" w:hanging="0"/>
              <w:rPr/>
            </w:pPr>
            <w:r>
              <w:rPr/>
              <w:t> </w:t>
            </w:r>
          </w:p>
        </w:tc>
        <w:tc>
          <w:tcPr>
            <w:tcW w:w="9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205" w:type="dxa"/>
            <w:tcBorders/>
            <w:shd w:fill="auto" w:val="clear"/>
            <w:vAlign w:val="bottom"/>
          </w:tcPr>
          <w:p>
            <w:pPr>
              <w:pStyle w:val="TableContents"/>
              <w:spacing w:before="0" w:after="0"/>
              <w:ind w:left="0" w:right="0" w:hanging="0"/>
              <w:rPr/>
            </w:pPr>
            <w:r>
              <w:rPr/>
              <w:t> </w:t>
            </w:r>
          </w:p>
        </w:tc>
        <w:tc>
          <w:tcPr>
            <w:tcW w:w="9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w:t>
            </w:r>
          </w:p>
        </w:tc>
        <w:tc>
          <w:tcPr>
            <w:tcW w:w="126"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192" w:type="dxa"/>
            <w:tcBorders/>
            <w:shd w:fill="CCEEFF" w:val="clear"/>
            <w:vAlign w:val="bottom"/>
          </w:tcPr>
          <w:p>
            <w:pPr>
              <w:pStyle w:val="TableContents"/>
              <w:spacing w:before="0" w:after="0"/>
              <w:ind w:left="0" w:right="0" w:hanging="0"/>
              <w:rPr/>
            </w:pPr>
            <w:r>
              <w:rPr/>
              <w:t> </w:t>
            </w:r>
          </w:p>
        </w:tc>
        <w:tc>
          <w:tcPr>
            <w:tcW w:w="9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192"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00" w:type="dxa"/>
            <w:tcBorders/>
            <w:shd w:fill="auto" w:val="clear"/>
            <w:vAlign w:val="bottom"/>
          </w:tcPr>
          <w:p>
            <w:pPr>
              <w:pStyle w:val="TableContents"/>
              <w:spacing w:before="0" w:after="0"/>
              <w:ind w:left="0" w:right="0" w:hanging="0"/>
              <w:rPr/>
            </w:pPr>
            <w:r>
              <w:rPr/>
              <w:t> </w:t>
            </w:r>
          </w:p>
        </w:tc>
        <w:tc>
          <w:tcPr>
            <w:tcW w:w="9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05" w:type="dxa"/>
            <w:tcBorders/>
            <w:shd w:fill="auto" w:val="clear"/>
            <w:vAlign w:val="bottom"/>
          </w:tcPr>
          <w:p>
            <w:pPr>
              <w:pStyle w:val="TableContents"/>
              <w:spacing w:before="0" w:after="0"/>
              <w:ind w:left="0" w:right="0" w:hanging="0"/>
              <w:rPr/>
            </w:pPr>
            <w:r>
              <w:rPr/>
              <w:t> </w:t>
            </w:r>
          </w:p>
        </w:tc>
        <w:tc>
          <w:tcPr>
            <w:tcW w:w="9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00" w:type="dxa"/>
            <w:tcBorders/>
            <w:shd w:fill="auto" w:val="clear"/>
            <w:vAlign w:val="bottom"/>
          </w:tcPr>
          <w:p>
            <w:pPr>
              <w:pStyle w:val="TableContents"/>
              <w:spacing w:before="0" w:after="0"/>
              <w:ind w:left="0" w:right="0" w:hanging="0"/>
              <w:rPr/>
            </w:pPr>
            <w:r>
              <w:rPr/>
              <w:t> </w:t>
            </w:r>
          </w:p>
        </w:tc>
        <w:tc>
          <w:tcPr>
            <w:tcW w:w="9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05" w:type="dxa"/>
            <w:tcBorders/>
            <w:shd w:fill="auto" w:val="clear"/>
            <w:vAlign w:val="bottom"/>
          </w:tcPr>
          <w:p>
            <w:pPr>
              <w:pStyle w:val="TableContents"/>
              <w:spacing w:before="0" w:after="0"/>
              <w:ind w:left="0" w:right="0" w:hanging="0"/>
              <w:rPr/>
            </w:pPr>
            <w:r>
              <w:rPr/>
              <w:t> </w:t>
            </w:r>
          </w:p>
        </w:tc>
        <w:tc>
          <w:tcPr>
            <w:tcW w:w="9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126"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pPr>
            <w:r>
              <w:rPr>
                <w:rFonts w:ascii="Times New Roman" w:hAnsi="Times New Roman"/>
                <w:sz w:val="17"/>
              </w:rPr>
              <w:t xml:space="preserve">Adjustment in accordance with application of the two-class method for MLPs </w:t>
            </w:r>
            <w:r>
              <w:rPr>
                <w:sz w:val="11"/>
              </w:rPr>
              <w:t>(1)</w:t>
            </w:r>
          </w:p>
        </w:tc>
        <w:tc>
          <w:tcPr>
            <w:tcW w:w="192"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192" w:type="dxa"/>
            <w:tcBorders/>
            <w:shd w:fill="auto" w:val="clear"/>
            <w:vAlign w:val="bottom"/>
          </w:tcPr>
          <w:p>
            <w:pPr>
              <w:pStyle w:val="TableContents"/>
              <w:spacing w:before="0" w:after="0"/>
              <w:ind w:left="0" w:right="0" w:hanging="0"/>
              <w:rPr/>
            </w:pPr>
            <w:r>
              <w:rPr/>
              <w:t> </w:t>
            </w:r>
          </w:p>
        </w:tc>
        <w:tc>
          <w:tcPr>
            <w:tcW w:w="143"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00" w:type="dxa"/>
            <w:tcBorders/>
            <w:shd w:fill="auto" w:val="clear"/>
            <w:vAlign w:val="bottom"/>
          </w:tcPr>
          <w:p>
            <w:pPr>
              <w:pStyle w:val="TableContents"/>
              <w:spacing w:before="0" w:after="0"/>
              <w:ind w:left="0" w:right="0" w:hanging="0"/>
              <w:rPr/>
            </w:pPr>
            <w:r>
              <w:rPr/>
              <w:t> </w:t>
            </w:r>
          </w:p>
        </w:tc>
        <w:tc>
          <w:tcPr>
            <w:tcW w:w="137"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5" w:type="dxa"/>
            <w:tcBorders/>
            <w:shd w:fill="auto" w:val="clear"/>
            <w:vAlign w:val="bottom"/>
          </w:tcPr>
          <w:p>
            <w:pPr>
              <w:pStyle w:val="TableContents"/>
              <w:spacing w:before="0" w:after="0"/>
              <w:ind w:left="0" w:right="0" w:hanging="0"/>
              <w:rPr/>
            </w:pPr>
            <w:r>
              <w:rPr/>
              <w:t> </w:t>
            </w:r>
          </w:p>
        </w:tc>
        <w:tc>
          <w:tcPr>
            <w:tcW w:w="137"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00" w:type="dxa"/>
            <w:tcBorders/>
            <w:shd w:fill="auto" w:val="clear"/>
            <w:vAlign w:val="bottom"/>
          </w:tcPr>
          <w:p>
            <w:pPr>
              <w:pStyle w:val="TableContents"/>
              <w:spacing w:before="0" w:after="0"/>
              <w:ind w:left="0" w:right="0" w:hanging="0"/>
              <w:rPr/>
            </w:pPr>
            <w:r>
              <w:rPr/>
              <w:t> </w:t>
            </w:r>
          </w:p>
        </w:tc>
        <w:tc>
          <w:tcPr>
            <w:tcW w:w="136"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333</w:t>
            </w:r>
          </w:p>
        </w:tc>
        <w:tc>
          <w:tcPr>
            <w:tcW w:w="205" w:type="dxa"/>
            <w:tcBorders/>
            <w:shd w:fill="auto" w:val="clear"/>
            <w:vAlign w:val="bottom"/>
          </w:tcPr>
          <w:p>
            <w:pPr>
              <w:pStyle w:val="TableContents"/>
              <w:spacing w:before="0" w:after="0"/>
              <w:ind w:left="0" w:right="0" w:hanging="0"/>
              <w:rPr/>
            </w:pPr>
            <w:r>
              <w:rPr/>
              <w:t> </w:t>
            </w:r>
          </w:p>
        </w:tc>
        <w:tc>
          <w:tcPr>
            <w:tcW w:w="137"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126"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994"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970"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972"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969"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972"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192"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970"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9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969"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972"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w:t>
            </w:r>
          </w:p>
        </w:tc>
        <w:tc>
          <w:tcPr>
            <w:tcW w:w="192"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00" w:type="dxa"/>
            <w:tcBorders/>
            <w:shd w:fill="CCEEFF" w:val="clear"/>
            <w:vAlign w:val="bottom"/>
          </w:tcPr>
          <w:p>
            <w:pPr>
              <w:pStyle w:val="TableContents"/>
              <w:spacing w:before="0" w:after="0"/>
              <w:ind w:left="0" w:right="0" w:hanging="0"/>
              <w:rPr/>
            </w:pPr>
            <w:r>
              <w:rPr/>
              <w:t> </w:t>
            </w:r>
          </w:p>
        </w:tc>
        <w:tc>
          <w:tcPr>
            <w:tcW w:w="9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05" w:type="dxa"/>
            <w:tcBorders/>
            <w:shd w:fill="CCEEFF" w:val="clear"/>
            <w:vAlign w:val="bottom"/>
          </w:tcPr>
          <w:p>
            <w:pPr>
              <w:pStyle w:val="TableContents"/>
              <w:spacing w:before="0" w:after="0"/>
              <w:ind w:left="0" w:right="0" w:hanging="0"/>
              <w:rPr/>
            </w:pPr>
            <w:r>
              <w:rPr/>
              <w:t> </w:t>
            </w:r>
          </w:p>
        </w:tc>
        <w:tc>
          <w:tcPr>
            <w:tcW w:w="9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00" w:type="dxa"/>
            <w:tcBorders/>
            <w:shd w:fill="CCEEFF" w:val="clear"/>
            <w:vAlign w:val="bottom"/>
          </w:tcPr>
          <w:p>
            <w:pPr>
              <w:pStyle w:val="TableContents"/>
              <w:spacing w:before="0" w:after="0"/>
              <w:ind w:left="0" w:right="0" w:hanging="0"/>
              <w:rPr/>
            </w:pPr>
            <w:r>
              <w:rPr/>
              <w:t> </w:t>
            </w:r>
          </w:p>
        </w:tc>
        <w:tc>
          <w:tcPr>
            <w:tcW w:w="9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05" w:type="dxa"/>
            <w:tcBorders/>
            <w:shd w:fill="CCEEFF" w:val="clear"/>
            <w:vAlign w:val="bottom"/>
          </w:tcPr>
          <w:p>
            <w:pPr>
              <w:pStyle w:val="TableContents"/>
              <w:spacing w:before="0" w:after="0"/>
              <w:ind w:left="0" w:right="0" w:hanging="0"/>
              <w:rPr/>
            </w:pPr>
            <w:r>
              <w:rPr/>
              <w:t> </w:t>
            </w:r>
          </w:p>
        </w:tc>
        <w:tc>
          <w:tcPr>
            <w:tcW w:w="9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26"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192"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970"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9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969"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972"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LTIP units</w:t>
            </w:r>
          </w:p>
        </w:tc>
        <w:tc>
          <w:tcPr>
            <w:tcW w:w="192" w:type="dxa"/>
            <w:tcBorders/>
            <w:shd w:fill="CCEEFF" w:val="clear"/>
            <w:vAlign w:val="bottom"/>
          </w:tcPr>
          <w:p>
            <w:pPr>
              <w:pStyle w:val="TableContents"/>
              <w:spacing w:before="0" w:after="0"/>
              <w:ind w:left="0" w:right="0" w:hanging="0"/>
              <w:rPr/>
            </w:pPr>
            <w:r>
              <w:rPr/>
              <w:t> </w:t>
            </w:r>
          </w:p>
        </w:tc>
        <w:tc>
          <w:tcPr>
            <w:tcW w:w="9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0" w:type="dxa"/>
            <w:tcBorders/>
            <w:shd w:fill="CCEEFF" w:val="clear"/>
            <w:vAlign w:val="bottom"/>
          </w:tcPr>
          <w:p>
            <w:pPr>
              <w:pStyle w:val="TableContents"/>
              <w:spacing w:before="0" w:after="0"/>
              <w:ind w:left="0" w:right="0" w:hanging="0"/>
              <w:rPr/>
            </w:pPr>
            <w:r>
              <w:rPr/>
              <w:t> </w:t>
            </w:r>
          </w:p>
        </w:tc>
        <w:tc>
          <w:tcPr>
            <w:tcW w:w="9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5" w:type="dxa"/>
            <w:tcBorders/>
            <w:shd w:fill="CCEEFF" w:val="clear"/>
            <w:vAlign w:val="bottom"/>
          </w:tcPr>
          <w:p>
            <w:pPr>
              <w:pStyle w:val="TableContents"/>
              <w:spacing w:before="0" w:after="0"/>
              <w:ind w:left="0" w:right="0" w:hanging="0"/>
              <w:rPr/>
            </w:pPr>
            <w:r>
              <w:rPr/>
              <w:t> </w:t>
            </w:r>
          </w:p>
        </w:tc>
        <w:tc>
          <w:tcPr>
            <w:tcW w:w="9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0" w:type="dxa"/>
            <w:tcBorders/>
            <w:shd w:fill="CCEEFF" w:val="clear"/>
            <w:vAlign w:val="bottom"/>
          </w:tcPr>
          <w:p>
            <w:pPr>
              <w:pStyle w:val="TableContents"/>
              <w:spacing w:before="0" w:after="0"/>
              <w:ind w:left="0" w:right="0" w:hanging="0"/>
              <w:rPr/>
            </w:pPr>
            <w:r>
              <w:rPr/>
              <w:t> </w:t>
            </w:r>
          </w:p>
        </w:tc>
        <w:tc>
          <w:tcPr>
            <w:tcW w:w="9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5" w:type="dxa"/>
            <w:tcBorders/>
            <w:shd w:fill="CCEEFF" w:val="clear"/>
            <w:vAlign w:val="bottom"/>
          </w:tcPr>
          <w:p>
            <w:pPr>
              <w:pStyle w:val="TableContents"/>
              <w:spacing w:before="0" w:after="0"/>
              <w:ind w:left="0" w:right="0" w:hanging="0"/>
              <w:rPr/>
            </w:pPr>
            <w:r>
              <w:rPr/>
              <w:t> </w:t>
            </w:r>
          </w:p>
        </w:tc>
        <w:tc>
          <w:tcPr>
            <w:tcW w:w="9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6"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w:t>
            </w:r>
          </w:p>
        </w:tc>
        <w:tc>
          <w:tcPr>
            <w:tcW w:w="192" w:type="dxa"/>
            <w:tcBorders/>
            <w:shd w:fill="auto" w:val="clear"/>
            <w:vAlign w:val="bottom"/>
          </w:tcPr>
          <w:p>
            <w:pPr>
              <w:pStyle w:val="TableContents"/>
              <w:spacing w:before="0" w:after="0"/>
              <w:ind w:left="0" w:right="0" w:hanging="0"/>
              <w:rPr/>
            </w:pPr>
            <w:r>
              <w:rPr/>
              <w:t> </w:t>
            </w:r>
          </w:p>
        </w:tc>
        <w:tc>
          <w:tcPr>
            <w:tcW w:w="99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00" w:type="dxa"/>
            <w:tcBorders/>
            <w:shd w:fill="auto" w:val="clear"/>
            <w:vAlign w:val="bottom"/>
          </w:tcPr>
          <w:p>
            <w:pPr>
              <w:pStyle w:val="TableContents"/>
              <w:spacing w:before="0" w:after="0"/>
              <w:ind w:left="0" w:right="0" w:hanging="0"/>
              <w:rPr/>
            </w:pPr>
            <w:r>
              <w:rPr/>
              <w:t> </w:t>
            </w:r>
          </w:p>
        </w:tc>
        <w:tc>
          <w:tcPr>
            <w:tcW w:w="97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05" w:type="dxa"/>
            <w:tcBorders/>
            <w:shd w:fill="auto" w:val="clear"/>
            <w:vAlign w:val="bottom"/>
          </w:tcPr>
          <w:p>
            <w:pPr>
              <w:pStyle w:val="TableContents"/>
              <w:spacing w:before="0" w:after="0"/>
              <w:ind w:left="0" w:right="0" w:hanging="0"/>
              <w:rPr/>
            </w:pPr>
            <w:r>
              <w:rPr/>
              <w:t> </w:t>
            </w:r>
          </w:p>
        </w:tc>
        <w:tc>
          <w:tcPr>
            <w:tcW w:w="97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00" w:type="dxa"/>
            <w:tcBorders/>
            <w:shd w:fill="auto" w:val="clear"/>
            <w:vAlign w:val="bottom"/>
          </w:tcPr>
          <w:p>
            <w:pPr>
              <w:pStyle w:val="TableContents"/>
              <w:spacing w:before="0" w:after="0"/>
              <w:ind w:left="0" w:right="0" w:hanging="0"/>
              <w:rPr/>
            </w:pPr>
            <w:r>
              <w:rPr/>
              <w:t> </w:t>
            </w:r>
          </w:p>
        </w:tc>
        <w:tc>
          <w:tcPr>
            <w:tcW w:w="96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05" w:type="dxa"/>
            <w:tcBorders/>
            <w:shd w:fill="auto" w:val="clear"/>
            <w:vAlign w:val="bottom"/>
          </w:tcPr>
          <w:p>
            <w:pPr>
              <w:pStyle w:val="TableContents"/>
              <w:spacing w:before="0" w:after="0"/>
              <w:ind w:left="0" w:right="0" w:hanging="0"/>
              <w:rPr/>
            </w:pPr>
            <w:r>
              <w:rPr/>
              <w:t> </w:t>
            </w:r>
          </w:p>
        </w:tc>
        <w:tc>
          <w:tcPr>
            <w:tcW w:w="97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26"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970"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9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969"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972"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192"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00"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0.71</w:t>
            </w:r>
          </w:p>
        </w:tc>
        <w:tc>
          <w:tcPr>
            <w:tcW w:w="205"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200" w:type="dxa"/>
            <w:tcBorders/>
            <w:shd w:fill="auto" w:val="clear"/>
            <w:vAlign w:val="bottom"/>
          </w:tcPr>
          <w:p>
            <w:pPr>
              <w:pStyle w:val="TableContents"/>
              <w:spacing w:before="0" w:after="0"/>
              <w:ind w:left="0" w:right="0" w:hanging="0"/>
              <w:rPr/>
            </w:pPr>
            <w:r>
              <w:rPr/>
              <w:t> </w:t>
            </w:r>
          </w:p>
        </w:tc>
        <w:tc>
          <w:tcPr>
            <w:tcW w:w="1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205"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126"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192"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20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0.70</w:t>
            </w:r>
          </w:p>
        </w:tc>
        <w:tc>
          <w:tcPr>
            <w:tcW w:w="205"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200"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205"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12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0" w:name="PB_7_012433_8299"/>
      <w:bookmarkEnd w:id="1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to our general partner based on the distribution paid during the current quarter (including the incentive distribution interest in excess of the 2% general partner interest). However, FASB guidance requires that the distribution pertaining to the current periods net income, which is to be paid in the subsequent quarter, be utilized within the earnings per unit calculation. After adjusting for this distribution, the remaining undistributed earnings or excess distribution over earnings, if any, are allocated to the general partner and limited partners in accordance with the contractual terms of the partnership agreement for earnings per unit calculation purposes. We reflect the impact of the difference in (i) the distribution utilized and (ii) the calculation of the excess 2% general partner interest as the Adjustment in accordance with application of the two-class method for MLPs.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conjunction with the Pacific, Rainbow and PNGS acquisitions, our general partner reduced the amounts due it as incentive distributions by an aggregate amount of $83 million. Approximately $72.5 million of this reduction was realized as of September 30, 2010. Incentive distributions will be reduced by $3.25 million for the balance of 2010 and $7.25 million in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relative amount of the incentive distribution varies directionally with the number of units outstanding and the level of the distribution on the units. Based on the current number of units outstanding, each $0.05 per unit annual increase or decrease in the distribution relative to forecasted amounts decreases or increases net income available for limited partners by approximately $7.0 million ($0.05 per unit) on an annualized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i/>
          <w:sz w:val="17"/>
        </w:rPr>
        <w:t>Equity Compensation Plans</w:t>
      </w:r>
      <w:r>
        <w:rPr>
          <w:rFonts w:ascii="Times New Roman" w:hAnsi="Times New Roman"/>
          <w:sz w:val="17"/>
        </w:rPr>
        <w:t>. The majority of grants outstanding under our equity compensation plans (LTIP and Class B units) contain vesting criteria that are based on a combination of performance benchmarks and service period. The grants will vest in various percentages, typically on the later to occur of specified vesting dates and the dates on which minimum distribution levels are reached. Among the various grants outstanding as of November 3, 2010, estimated vesting dates range from December 2010 to May 2019 and annualized distribution levels range from $3.50 to $4.50. For some awards, a percentage of any units remaining unvested as of a date certain will vest on such date and all others will be forfeited.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October 12, 2010, we declared an annualized distribution of $3.80 payable on November 12, 2010 to our unitholders of record as of November 2, 2010. We have made the assessment that a $3.90 distribution level is probable of occurring and accordingly, for grants that vest at annualized distribution levels of $3.90 or less, guidance includes an accrual over the applicable service period at an assumed market price of $63.00 per unit as well as the fair value associated with awards that will vest on a date certain. The actual amount of equity compensation expense amortization in any given period will be directly influenced by (i) our unit price at the end of each reporting period, (ii) our unit price on the vesting date, (iii) the amount of the amortization in the early years, (iv) the probability assessment of achieving future distribution rates, and (v) new equity compensation award grants. For example, a $3.00 change in the unit price assumption at December 31, 2010 would change the fourth-quarter equity compensation expense by approximately $4 million. Therefore, actual net income could differ materially from our projections. Similarly, if an assessment was made that a $4.00 distribution level was probable, fourth-quarter equity compensation expense would increase by approximately $30 million (approximately $28 million for the cumulative effect of prior service periods and approximately $2 million for the current service period amortization).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i/>
          <w:sz w:val="17"/>
        </w:rPr>
        <w:t>Reconciliation of Net Income to EBIT and EBITDA.</w:t>
      </w:r>
      <w:r>
        <w:rPr>
          <w:rFonts w:ascii="Times New Roman" w:hAnsi="Times New Roman"/>
        </w:rPr>
        <w:t xml:space="preserve"> </w:t>
      </w:r>
      <w:r>
        <w:rPr>
          <w:rFonts w:ascii="Times New Roman" w:hAnsi="Times New Roman"/>
          <w:sz w:val="17"/>
        </w:rPr>
        <w:t>The following table reconciles net income to EBIT and EBITDA, for the three-month and twelve-month guidance periods ending December 31, 2010.</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3293"/>
        <w:gridCol w:w="231"/>
        <w:gridCol w:w="145"/>
        <w:gridCol w:w="804"/>
        <w:gridCol w:w="241"/>
        <w:gridCol w:w="145"/>
        <w:gridCol w:w="806"/>
        <w:gridCol w:w="231"/>
        <w:gridCol w:w="126"/>
        <w:gridCol w:w="829"/>
        <w:gridCol w:w="242"/>
        <w:gridCol w:w="126"/>
        <w:gridCol w:w="829"/>
        <w:gridCol w:w="116"/>
      </w:tblGrid>
      <w:tr>
        <w:trPr/>
        <w:tc>
          <w:tcPr>
            <w:tcW w:w="3293"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jc w:val="center"/>
              <w:rPr/>
            </w:pPr>
            <w:r>
              <w:rPr/>
              <w:t> </w:t>
            </w:r>
          </w:p>
        </w:tc>
        <w:tc>
          <w:tcPr>
            <w:tcW w:w="214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31" w:type="dxa"/>
            <w:tcBorders/>
            <w:shd w:fill="auto" w:val="clear"/>
            <w:vAlign w:val="bottom"/>
          </w:tcPr>
          <w:p>
            <w:pPr>
              <w:pStyle w:val="TableContents"/>
              <w:spacing w:before="0" w:after="0"/>
              <w:ind w:left="0" w:right="0" w:hanging="0"/>
              <w:jc w:val="center"/>
              <w:rPr/>
            </w:pPr>
            <w:r>
              <w:rPr/>
              <w:t> </w:t>
            </w:r>
          </w:p>
        </w:tc>
        <w:tc>
          <w:tcPr>
            <w:tcW w:w="215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16" w:type="dxa"/>
            <w:tcBorders/>
            <w:shd w:fill="auto" w:val="clear"/>
            <w:vAlign w:val="bottom"/>
          </w:tcPr>
          <w:p>
            <w:pPr>
              <w:pStyle w:val="TableContents"/>
              <w:spacing w:before="0" w:after="0"/>
              <w:ind w:left="0" w:right="0" w:hanging="0"/>
              <w:jc w:val="center"/>
              <w:rPr/>
            </w:pPr>
            <w:r>
              <w:rPr/>
              <w:t> </w:t>
            </w:r>
          </w:p>
        </w:tc>
      </w:tr>
      <w:tr>
        <w:trPr/>
        <w:tc>
          <w:tcPr>
            <w:tcW w:w="3293"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jc w:val="center"/>
              <w:rPr/>
            </w:pPr>
            <w:r>
              <w:rPr/>
              <w:t> </w:t>
            </w:r>
          </w:p>
        </w:tc>
        <w:tc>
          <w:tcPr>
            <w:tcW w:w="214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231" w:type="dxa"/>
            <w:tcBorders/>
            <w:shd w:fill="auto" w:val="clear"/>
            <w:vAlign w:val="bottom"/>
          </w:tcPr>
          <w:p>
            <w:pPr>
              <w:pStyle w:val="TableContents"/>
              <w:spacing w:before="0" w:after="0"/>
              <w:ind w:left="0" w:right="0" w:hanging="0"/>
              <w:jc w:val="center"/>
              <w:rPr/>
            </w:pPr>
            <w:r>
              <w:rPr/>
              <w:t> </w:t>
            </w:r>
          </w:p>
        </w:tc>
        <w:tc>
          <w:tcPr>
            <w:tcW w:w="215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116" w:type="dxa"/>
            <w:tcBorders/>
            <w:shd w:fill="auto" w:val="clear"/>
            <w:vAlign w:val="bottom"/>
          </w:tcPr>
          <w:p>
            <w:pPr>
              <w:pStyle w:val="TableContents"/>
              <w:spacing w:before="0" w:after="0"/>
              <w:ind w:left="0" w:right="0" w:hanging="0"/>
              <w:jc w:val="center"/>
              <w:rPr/>
            </w:pPr>
            <w:r>
              <w:rPr/>
              <w:t> </w:t>
            </w:r>
          </w:p>
        </w:tc>
      </w:tr>
      <w:tr>
        <w:trPr/>
        <w:tc>
          <w:tcPr>
            <w:tcW w:w="3293"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jc w:val="center"/>
              <w:rPr/>
            </w:pPr>
            <w:r>
              <w:rPr/>
              <w:t> </w:t>
            </w:r>
          </w:p>
        </w:tc>
        <w:tc>
          <w:tcPr>
            <w:tcW w:w="9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41" w:type="dxa"/>
            <w:tcBorders/>
            <w:shd w:fill="auto" w:val="clear"/>
            <w:vAlign w:val="bottom"/>
          </w:tcPr>
          <w:p>
            <w:pPr>
              <w:pStyle w:val="TableContents"/>
              <w:spacing w:before="0" w:after="0"/>
              <w:ind w:left="0" w:right="0" w:hanging="0"/>
              <w:jc w:val="center"/>
              <w:rPr/>
            </w:pPr>
            <w:r>
              <w:rPr/>
              <w:t> </w:t>
            </w:r>
          </w:p>
        </w:tc>
        <w:tc>
          <w:tcPr>
            <w:tcW w:w="95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31" w:type="dxa"/>
            <w:tcBorders/>
            <w:shd w:fill="auto" w:val="clear"/>
            <w:vAlign w:val="bottom"/>
          </w:tcPr>
          <w:p>
            <w:pPr>
              <w:pStyle w:val="TableContents"/>
              <w:spacing w:before="0" w:after="0"/>
              <w:ind w:left="0" w:right="0" w:hanging="0"/>
              <w:jc w:val="center"/>
              <w:rPr/>
            </w:pPr>
            <w:r>
              <w:rPr/>
              <w:t> </w:t>
            </w:r>
          </w:p>
        </w:tc>
        <w:tc>
          <w:tcPr>
            <w:tcW w:w="9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4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5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16" w:type="dxa"/>
            <w:tcBorders/>
            <w:shd w:fill="auto" w:val="clear"/>
            <w:vAlign w:val="bottom"/>
          </w:tcPr>
          <w:p>
            <w:pPr>
              <w:pStyle w:val="TableContents"/>
              <w:spacing w:before="0" w:after="0"/>
              <w:ind w:left="0" w:right="0" w:hanging="0"/>
              <w:jc w:val="center"/>
              <w:rPr/>
            </w:pPr>
            <w:r>
              <w:rPr/>
              <w:t> </w:t>
            </w:r>
          </w:p>
        </w:tc>
      </w:tr>
      <w:tr>
        <w:trPr/>
        <w:tc>
          <w:tcPr>
            <w:tcW w:w="3293"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jc w:val="center"/>
              <w:rPr/>
            </w:pPr>
            <w:r>
              <w:rPr/>
              <w:t> </w:t>
            </w:r>
          </w:p>
        </w:tc>
        <w:tc>
          <w:tcPr>
            <w:tcW w:w="4524" w:type="dxa"/>
            <w:gridSpan w:val="11"/>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except per unit amounts)</w:t>
            </w:r>
          </w:p>
        </w:tc>
        <w:tc>
          <w:tcPr>
            <w:tcW w:w="116" w:type="dxa"/>
            <w:tcBorders/>
            <w:shd w:fill="auto" w:val="clear"/>
            <w:vAlign w:val="bottom"/>
          </w:tcPr>
          <w:p>
            <w:pPr>
              <w:pStyle w:val="TableContents"/>
              <w:spacing w:before="0" w:after="0"/>
              <w:ind w:left="0" w:right="0" w:hanging="0"/>
              <w:jc w:val="center"/>
              <w:rPr/>
            </w:pPr>
            <w:r>
              <w:rPr/>
              <w:t> </w:t>
            </w:r>
          </w:p>
        </w:tc>
      </w:tr>
      <w:tr>
        <w:trPr/>
        <w:tc>
          <w:tcPr>
            <w:tcW w:w="32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to EBITDA</w:t>
            </w:r>
          </w:p>
        </w:tc>
        <w:tc>
          <w:tcPr>
            <w:tcW w:w="231" w:type="dxa"/>
            <w:tcBorders/>
            <w:shd w:fill="CCEEFF" w:val="clear"/>
            <w:vAlign w:val="bottom"/>
          </w:tcPr>
          <w:p>
            <w:pPr>
              <w:pStyle w:val="TableContents"/>
              <w:spacing w:before="0" w:after="0"/>
              <w:ind w:left="0" w:right="0" w:hanging="0"/>
              <w:rPr/>
            </w:pPr>
            <w:r>
              <w:rPr/>
              <w:t> </w:t>
            </w:r>
          </w:p>
        </w:tc>
        <w:tc>
          <w:tcPr>
            <w:tcW w:w="949" w:type="dxa"/>
            <w:gridSpan w:val="2"/>
            <w:tcBorders/>
            <w:shd w:fill="CCEEFF" w:val="clear"/>
            <w:vAlign w:val="bottom"/>
          </w:tcPr>
          <w:p>
            <w:pPr>
              <w:pStyle w:val="TableContents"/>
              <w:spacing w:before="0" w:after="0"/>
              <w:ind w:left="0" w:right="0" w:hanging="0"/>
              <w:jc w:val="right"/>
              <w:rPr/>
            </w:pPr>
            <w:r>
              <w:rPr/>
              <w:t> </w:t>
            </w:r>
          </w:p>
        </w:tc>
        <w:tc>
          <w:tcPr>
            <w:tcW w:w="241" w:type="dxa"/>
            <w:tcBorders/>
            <w:shd w:fill="CCEEFF" w:val="clear"/>
            <w:vAlign w:val="bottom"/>
          </w:tcPr>
          <w:p>
            <w:pPr>
              <w:pStyle w:val="TableContents"/>
              <w:spacing w:before="0" w:after="0"/>
              <w:ind w:left="0" w:right="0" w:hanging="0"/>
              <w:rPr/>
            </w:pPr>
            <w:r>
              <w:rPr/>
              <w:t> </w:t>
            </w:r>
          </w:p>
        </w:tc>
        <w:tc>
          <w:tcPr>
            <w:tcW w:w="951" w:type="dxa"/>
            <w:gridSpan w:val="2"/>
            <w:tcBorders/>
            <w:shd w:fill="CCEEFF" w:val="clear"/>
            <w:vAlign w:val="bottom"/>
          </w:tcPr>
          <w:p>
            <w:pPr>
              <w:pStyle w:val="TableContents"/>
              <w:spacing w:before="0" w:after="0"/>
              <w:ind w:left="0" w:right="0" w:hanging="0"/>
              <w:jc w:val="right"/>
              <w:rPr/>
            </w:pPr>
            <w:r>
              <w:rPr/>
              <w:t> </w:t>
            </w:r>
          </w:p>
        </w:tc>
        <w:tc>
          <w:tcPr>
            <w:tcW w:w="231" w:type="dxa"/>
            <w:tcBorders/>
            <w:shd w:fill="CCEEFF" w:val="clear"/>
            <w:vAlign w:val="bottom"/>
          </w:tcPr>
          <w:p>
            <w:pPr>
              <w:pStyle w:val="TableContents"/>
              <w:spacing w:before="0" w:after="0"/>
              <w:ind w:left="0" w:right="0" w:hanging="0"/>
              <w:rPr/>
            </w:pPr>
            <w:r>
              <w:rPr/>
              <w:t> </w:t>
            </w:r>
          </w:p>
        </w:tc>
        <w:tc>
          <w:tcPr>
            <w:tcW w:w="955" w:type="dxa"/>
            <w:gridSpan w:val="2"/>
            <w:tcBorders/>
            <w:shd w:fill="CCEEFF" w:val="clear"/>
            <w:vAlign w:val="bottom"/>
          </w:tcPr>
          <w:p>
            <w:pPr>
              <w:pStyle w:val="TableContents"/>
              <w:spacing w:before="0" w:after="0"/>
              <w:ind w:left="0" w:right="0" w:hanging="0"/>
              <w:jc w:val="right"/>
              <w:rPr/>
            </w:pPr>
            <w:r>
              <w:rPr/>
              <w:t> </w:t>
            </w:r>
          </w:p>
        </w:tc>
        <w:tc>
          <w:tcPr>
            <w:tcW w:w="242" w:type="dxa"/>
            <w:tcBorders/>
            <w:shd w:fill="CCEEFF" w:val="clear"/>
            <w:vAlign w:val="bottom"/>
          </w:tcPr>
          <w:p>
            <w:pPr>
              <w:pStyle w:val="TableContents"/>
              <w:spacing w:before="0" w:after="0"/>
              <w:ind w:left="0" w:right="0" w:hanging="0"/>
              <w:rPr/>
            </w:pPr>
            <w:r>
              <w:rPr/>
              <w:t> </w:t>
            </w:r>
          </w:p>
        </w:tc>
        <w:tc>
          <w:tcPr>
            <w:tcW w:w="955"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32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31"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41"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31"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513</w:t>
            </w:r>
          </w:p>
        </w:tc>
        <w:tc>
          <w:tcPr>
            <w:tcW w:w="242"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543</w:t>
            </w:r>
          </w:p>
        </w:tc>
        <w:tc>
          <w:tcPr>
            <w:tcW w:w="116" w:type="dxa"/>
            <w:tcBorders/>
            <w:shd w:fill="auto" w:val="clear"/>
            <w:vAlign w:val="bottom"/>
          </w:tcPr>
          <w:p>
            <w:pPr>
              <w:pStyle w:val="TableContents"/>
              <w:spacing w:before="0" w:after="0"/>
              <w:ind w:left="0" w:right="0" w:hanging="0"/>
              <w:rPr/>
            </w:pPr>
            <w:r>
              <w:rPr/>
              <w:t> </w:t>
            </w:r>
          </w:p>
        </w:tc>
      </w:tr>
      <w:tr>
        <w:trPr/>
        <w:tc>
          <w:tcPr>
            <w:tcW w:w="32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31" w:type="dxa"/>
            <w:tcBorders/>
            <w:shd w:fill="CCEEFF" w:val="clear"/>
            <w:vAlign w:val="bottom"/>
          </w:tcPr>
          <w:p>
            <w:pPr>
              <w:pStyle w:val="TableContents"/>
              <w:spacing w:before="0" w:after="0"/>
              <w:ind w:left="0" w:right="0" w:hanging="0"/>
              <w:rPr/>
            </w:pPr>
            <w:r>
              <w:rPr/>
              <w:t> </w:t>
            </w:r>
          </w:p>
        </w:tc>
        <w:tc>
          <w:tcPr>
            <w:tcW w:w="9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41" w:type="dxa"/>
            <w:tcBorders/>
            <w:shd w:fill="CCEEFF" w:val="clear"/>
            <w:vAlign w:val="bottom"/>
          </w:tcPr>
          <w:p>
            <w:pPr>
              <w:pStyle w:val="TableContents"/>
              <w:spacing w:before="0" w:after="0"/>
              <w:ind w:left="0" w:right="0" w:hanging="0"/>
              <w:rPr/>
            </w:pPr>
            <w:r>
              <w:rPr/>
              <w:t> </w:t>
            </w:r>
          </w:p>
        </w:tc>
        <w:tc>
          <w:tcPr>
            <w:tcW w:w="9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31" w:type="dxa"/>
            <w:tcBorders/>
            <w:shd w:fill="CCEEFF" w:val="clear"/>
            <w:vAlign w:val="bottom"/>
          </w:tcPr>
          <w:p>
            <w:pPr>
              <w:pStyle w:val="TableContents"/>
              <w:spacing w:before="0" w:after="0"/>
              <w:ind w:left="0" w:right="0" w:hanging="0"/>
              <w:rPr/>
            </w:pPr>
            <w:r>
              <w:rPr/>
              <w:t> </w:t>
            </w:r>
          </w:p>
        </w:tc>
        <w:tc>
          <w:tcPr>
            <w:tcW w:w="9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42" w:type="dxa"/>
            <w:tcBorders/>
            <w:shd w:fill="CCEEFF" w:val="clear"/>
            <w:vAlign w:val="bottom"/>
          </w:tcPr>
          <w:p>
            <w:pPr>
              <w:pStyle w:val="TableContents"/>
              <w:spacing w:before="0" w:after="0"/>
              <w:ind w:left="0" w:right="0" w:hanging="0"/>
              <w:rPr/>
            </w:pPr>
            <w:r>
              <w:rPr/>
              <w:t> </w:t>
            </w:r>
          </w:p>
        </w:tc>
        <w:tc>
          <w:tcPr>
            <w:tcW w:w="9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116" w:type="dxa"/>
            <w:tcBorders/>
            <w:shd w:fill="CCEEFF" w:val="clear"/>
            <w:vAlign w:val="bottom"/>
          </w:tcPr>
          <w:p>
            <w:pPr>
              <w:pStyle w:val="TableContents"/>
              <w:spacing w:before="0" w:after="0"/>
              <w:ind w:left="0" w:right="0" w:hanging="0"/>
              <w:rPr/>
            </w:pPr>
            <w:r>
              <w:rPr/>
              <w:t> </w:t>
            </w:r>
          </w:p>
        </w:tc>
      </w:tr>
      <w:tr>
        <w:trPr/>
        <w:tc>
          <w:tcPr>
            <w:tcW w:w="32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31" w:type="dxa"/>
            <w:tcBorders/>
            <w:shd w:fill="auto" w:val="clear"/>
            <w:vAlign w:val="bottom"/>
          </w:tcPr>
          <w:p>
            <w:pPr>
              <w:pStyle w:val="TableContents"/>
              <w:spacing w:before="0" w:after="0"/>
              <w:ind w:left="0" w:right="0" w:hanging="0"/>
              <w:rPr/>
            </w:pPr>
            <w:r>
              <w:rPr/>
              <w:t> </w:t>
            </w:r>
          </w:p>
        </w:tc>
        <w:tc>
          <w:tcPr>
            <w:tcW w:w="9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1" w:type="dxa"/>
            <w:tcBorders/>
            <w:shd w:fill="auto" w:val="clear"/>
            <w:vAlign w:val="bottom"/>
          </w:tcPr>
          <w:p>
            <w:pPr>
              <w:pStyle w:val="TableContents"/>
              <w:spacing w:before="0" w:after="0"/>
              <w:ind w:left="0" w:right="0" w:hanging="0"/>
              <w:rPr/>
            </w:pPr>
            <w:r>
              <w:rPr/>
              <w:t> </w:t>
            </w:r>
          </w:p>
        </w:tc>
        <w:tc>
          <w:tcPr>
            <w:tcW w:w="9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1" w:type="dxa"/>
            <w:tcBorders/>
            <w:shd w:fill="auto" w:val="clear"/>
            <w:vAlign w:val="bottom"/>
          </w:tcPr>
          <w:p>
            <w:pPr>
              <w:pStyle w:val="TableContents"/>
              <w:spacing w:before="0" w:after="0"/>
              <w:ind w:left="0" w:right="0" w:hanging="0"/>
              <w:rPr/>
            </w:pPr>
            <w:r>
              <w:rPr/>
              <w:t> </w:t>
            </w:r>
          </w:p>
        </w:tc>
        <w:tc>
          <w:tcPr>
            <w:tcW w:w="9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231" w:type="dxa"/>
            <w:tcBorders/>
            <w:shd w:fill="CCEEFF" w:val="clear"/>
            <w:vAlign w:val="bottom"/>
          </w:tcPr>
          <w:p>
            <w:pPr>
              <w:pStyle w:val="TableContents"/>
              <w:spacing w:before="0" w:after="0"/>
              <w:ind w:left="0" w:right="0" w:hanging="0"/>
              <w:rPr/>
            </w:pPr>
            <w:r>
              <w:rPr/>
              <w:t> </w:t>
            </w:r>
          </w:p>
        </w:tc>
        <w:tc>
          <w:tcPr>
            <w:tcW w:w="9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41" w:type="dxa"/>
            <w:tcBorders/>
            <w:shd w:fill="CCEEFF" w:val="clear"/>
            <w:vAlign w:val="bottom"/>
          </w:tcPr>
          <w:p>
            <w:pPr>
              <w:pStyle w:val="TableContents"/>
              <w:spacing w:before="0" w:after="0"/>
              <w:ind w:left="0" w:right="0" w:hanging="0"/>
              <w:rPr/>
            </w:pPr>
            <w:r>
              <w:rPr/>
              <w:t> </w:t>
            </w:r>
          </w:p>
        </w:tc>
        <w:tc>
          <w:tcPr>
            <w:tcW w:w="9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31" w:type="dxa"/>
            <w:tcBorders/>
            <w:shd w:fill="CCEEFF" w:val="clear"/>
            <w:vAlign w:val="bottom"/>
          </w:tcPr>
          <w:p>
            <w:pPr>
              <w:pStyle w:val="TableContents"/>
              <w:spacing w:before="0" w:after="0"/>
              <w:ind w:left="0" w:right="0" w:hanging="0"/>
              <w:rPr/>
            </w:pPr>
            <w:r>
              <w:rPr/>
              <w:t> </w:t>
            </w:r>
          </w:p>
        </w:tc>
        <w:tc>
          <w:tcPr>
            <w:tcW w:w="9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757</w:t>
            </w:r>
          </w:p>
        </w:tc>
        <w:tc>
          <w:tcPr>
            <w:tcW w:w="242" w:type="dxa"/>
            <w:tcBorders/>
            <w:shd w:fill="CCEEFF" w:val="clear"/>
            <w:vAlign w:val="bottom"/>
          </w:tcPr>
          <w:p>
            <w:pPr>
              <w:pStyle w:val="TableContents"/>
              <w:spacing w:before="0" w:after="0"/>
              <w:ind w:left="0" w:right="0" w:hanging="0"/>
              <w:rPr/>
            </w:pPr>
            <w:r>
              <w:rPr/>
              <w:t> </w:t>
            </w:r>
          </w:p>
        </w:tc>
        <w:tc>
          <w:tcPr>
            <w:tcW w:w="9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116" w:type="dxa"/>
            <w:tcBorders/>
            <w:shd w:fill="CCEEFF" w:val="clear"/>
            <w:vAlign w:val="bottom"/>
          </w:tcPr>
          <w:p>
            <w:pPr>
              <w:pStyle w:val="TableContents"/>
              <w:spacing w:before="0" w:after="0"/>
              <w:ind w:left="0" w:right="0" w:hanging="0"/>
              <w:rPr/>
            </w:pPr>
            <w:r>
              <w:rPr/>
              <w:t> </w:t>
            </w:r>
          </w:p>
        </w:tc>
      </w:tr>
      <w:tr>
        <w:trPr/>
        <w:tc>
          <w:tcPr>
            <w:tcW w:w="32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31" w:type="dxa"/>
            <w:tcBorders/>
            <w:shd w:fill="auto" w:val="clear"/>
            <w:vAlign w:val="bottom"/>
          </w:tcPr>
          <w:p>
            <w:pPr>
              <w:pStyle w:val="TableContents"/>
              <w:spacing w:before="0" w:after="0"/>
              <w:ind w:left="0" w:right="0" w:hanging="0"/>
              <w:rPr/>
            </w:pPr>
            <w:r>
              <w:rPr/>
              <w:t> </w:t>
            </w:r>
          </w:p>
        </w:tc>
        <w:tc>
          <w:tcPr>
            <w:tcW w:w="9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41" w:type="dxa"/>
            <w:tcBorders/>
            <w:shd w:fill="auto" w:val="clear"/>
            <w:vAlign w:val="bottom"/>
          </w:tcPr>
          <w:p>
            <w:pPr>
              <w:pStyle w:val="TableContents"/>
              <w:spacing w:before="0" w:after="0"/>
              <w:ind w:left="0" w:right="0" w:hanging="0"/>
              <w:rPr/>
            </w:pPr>
            <w:r>
              <w:rPr/>
              <w:t> </w:t>
            </w:r>
          </w:p>
        </w:tc>
        <w:tc>
          <w:tcPr>
            <w:tcW w:w="9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31" w:type="dxa"/>
            <w:tcBorders/>
            <w:shd w:fill="auto" w:val="clear"/>
            <w:vAlign w:val="bottom"/>
          </w:tcPr>
          <w:p>
            <w:pPr>
              <w:pStyle w:val="TableContents"/>
              <w:spacing w:before="0" w:after="0"/>
              <w:ind w:left="0" w:right="0" w:hanging="0"/>
              <w:rPr/>
            </w:pPr>
            <w:r>
              <w:rPr/>
              <w:t> </w:t>
            </w:r>
          </w:p>
        </w:tc>
        <w:tc>
          <w:tcPr>
            <w:tcW w:w="9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242" w:type="dxa"/>
            <w:tcBorders/>
            <w:shd w:fill="auto" w:val="clear"/>
            <w:vAlign w:val="bottom"/>
          </w:tcPr>
          <w:p>
            <w:pPr>
              <w:pStyle w:val="TableContents"/>
              <w:spacing w:before="0" w:after="0"/>
              <w:ind w:left="0" w:right="0" w:hanging="0"/>
              <w:rPr/>
            </w:pPr>
            <w:r>
              <w:rPr/>
              <w:t> </w:t>
            </w:r>
          </w:p>
        </w:tc>
        <w:tc>
          <w:tcPr>
            <w:tcW w:w="9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16" w:type="dxa"/>
            <w:tcBorders/>
            <w:shd w:fill="auto" w:val="clear"/>
            <w:vAlign w:val="bottom"/>
          </w:tcPr>
          <w:p>
            <w:pPr>
              <w:pStyle w:val="TableContents"/>
              <w:spacing w:before="0" w:after="0"/>
              <w:ind w:left="0" w:right="0" w:hanging="0"/>
              <w:rPr/>
            </w:pPr>
            <w:r>
              <w:rPr/>
              <w:t> </w:t>
            </w:r>
          </w:p>
        </w:tc>
      </w:tr>
      <w:tr>
        <w:trPr/>
        <w:tc>
          <w:tcPr>
            <w:tcW w:w="32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31"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241"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31"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1,006</w:t>
            </w:r>
          </w:p>
        </w:tc>
        <w:tc>
          <w:tcPr>
            <w:tcW w:w="242"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1,031</w:t>
            </w:r>
          </w:p>
        </w:tc>
        <w:tc>
          <w:tcPr>
            <w:tcW w:w="11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11" w:name="PB_8_012434_8247"/>
      <w:bookmarkEnd w:id="1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Preliminary 2011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preliminary adjusted EBITDA guidance for 2011 is based on (i) continued operating and financial performance of our existing assets in line with recent performance trends, (ii) achievement of targeted performance levels for recent acquisitions and (iii) contributions from expansion capital projects in line with our expectations. The following table summarizes the range of selected key financial data of our preliminary guidance for calendar year 2011.</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Preliminary Calendar 2011 Guidance (in millions)</w:t>
      </w:r>
    </w:p>
    <w:p>
      <w:pPr>
        <w:pStyle w:val="TextBody"/>
        <w:spacing w:before="0" w:after="0"/>
        <w:ind w:left="0" w:right="0" w:hanging="0"/>
        <w:rPr/>
      </w:pPr>
      <w:r>
        <w:rPr/>
        <w:t> </w:t>
      </w:r>
    </w:p>
    <w:tbl>
      <w:tblPr>
        <w:tblW w:w="3650" w:type="pct"/>
        <w:jc w:val="left"/>
        <w:tblInd w:w="0" w:type="dxa"/>
        <w:tblCellMar>
          <w:top w:w="0" w:type="dxa"/>
          <w:left w:w="0" w:type="dxa"/>
          <w:bottom w:w="0" w:type="dxa"/>
          <w:right w:w="0" w:type="dxa"/>
        </w:tblCellMar>
      </w:tblPr>
      <w:tblGrid>
        <w:gridCol w:w="4688"/>
        <w:gridCol w:w="226"/>
        <w:gridCol w:w="112"/>
        <w:gridCol w:w="985"/>
        <w:gridCol w:w="235"/>
        <w:gridCol w:w="112"/>
        <w:gridCol w:w="985"/>
        <w:gridCol w:w="106"/>
      </w:tblGrid>
      <w:tr>
        <w:trPr/>
        <w:tc>
          <w:tcPr>
            <w:tcW w:w="4688" w:type="dxa"/>
            <w:tcBorders/>
            <w:shd w:fill="auto" w:val="clear"/>
            <w:vAlign w:val="bottom"/>
          </w:tcPr>
          <w:p>
            <w:pPr>
              <w:pStyle w:val="TableContents"/>
              <w:spacing w:before="0" w:after="0"/>
              <w:ind w:left="0" w:right="0" w:hanging="0"/>
              <w:rPr/>
            </w:pPr>
            <w:r>
              <w:rPr/>
              <w:t> </w:t>
            </w:r>
          </w:p>
        </w:tc>
        <w:tc>
          <w:tcPr>
            <w:tcW w:w="226" w:type="dxa"/>
            <w:tcBorders/>
            <w:shd w:fill="auto" w:val="clear"/>
            <w:vAlign w:val="bottom"/>
          </w:tcPr>
          <w:p>
            <w:pPr>
              <w:pStyle w:val="TableContents"/>
              <w:spacing w:before="0" w:after="0"/>
              <w:ind w:left="0" w:right="0" w:hanging="0"/>
              <w:jc w:val="center"/>
              <w:rPr/>
            </w:pPr>
            <w:r>
              <w:rPr/>
              <w:t> </w:t>
            </w:r>
          </w:p>
        </w:tc>
        <w:tc>
          <w:tcPr>
            <w:tcW w:w="10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35" w:type="dxa"/>
            <w:tcBorders/>
            <w:shd w:fill="auto" w:val="clear"/>
            <w:vAlign w:val="bottom"/>
          </w:tcPr>
          <w:p>
            <w:pPr>
              <w:pStyle w:val="TableContents"/>
              <w:spacing w:before="0" w:after="0"/>
              <w:ind w:left="0" w:right="0" w:hanging="0"/>
              <w:jc w:val="center"/>
              <w:rPr/>
            </w:pPr>
            <w:r>
              <w:rPr/>
              <w:t> </w:t>
            </w:r>
          </w:p>
        </w:tc>
        <w:tc>
          <w:tcPr>
            <w:tcW w:w="10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06" w:type="dxa"/>
            <w:tcBorders/>
            <w:shd w:fill="auto" w:val="clear"/>
            <w:vAlign w:val="bottom"/>
          </w:tcPr>
          <w:p>
            <w:pPr>
              <w:pStyle w:val="TableContents"/>
              <w:spacing w:before="0" w:after="0"/>
              <w:ind w:left="0" w:right="0" w:hanging="0"/>
              <w:jc w:val="center"/>
              <w:rPr/>
            </w:pPr>
            <w:r>
              <w:rPr/>
              <w:t> </w:t>
            </w:r>
          </w:p>
        </w:tc>
      </w:tr>
      <w:tr>
        <w:trPr/>
        <w:tc>
          <w:tcPr>
            <w:tcW w:w="46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26"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1,120</w:t>
            </w:r>
          </w:p>
        </w:tc>
        <w:tc>
          <w:tcPr>
            <w:tcW w:w="235"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1,170</w:t>
            </w:r>
          </w:p>
        </w:tc>
        <w:tc>
          <w:tcPr>
            <w:tcW w:w="106" w:type="dxa"/>
            <w:tcBorders/>
            <w:shd w:fill="CCEEFF" w:val="clear"/>
            <w:vAlign w:val="bottom"/>
          </w:tcPr>
          <w:p>
            <w:pPr>
              <w:pStyle w:val="TableContents"/>
              <w:spacing w:before="0" w:after="0"/>
              <w:ind w:left="0" w:right="0" w:hanging="0"/>
              <w:rPr/>
            </w:pPr>
            <w:r>
              <w:rPr/>
              <w:t> </w:t>
            </w:r>
          </w:p>
        </w:tc>
      </w:tr>
      <w:tr>
        <w:trPr/>
        <w:tc>
          <w:tcPr>
            <w:tcW w:w="46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26" w:type="dxa"/>
            <w:tcBorders/>
            <w:shd w:fill="auto" w:val="clear"/>
            <w:vAlign w:val="bottom"/>
          </w:tcPr>
          <w:p>
            <w:pPr>
              <w:pStyle w:val="TableContents"/>
              <w:spacing w:before="0" w:after="0"/>
              <w:ind w:left="0" w:right="0" w:hanging="0"/>
              <w:rPr/>
            </w:pPr>
            <w:r>
              <w:rPr/>
              <w:t> </w:t>
            </w:r>
          </w:p>
        </w:tc>
        <w:tc>
          <w:tcPr>
            <w:tcW w:w="10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26" w:type="dxa"/>
            <w:tcBorders/>
            <w:shd w:fill="CCEEFF" w:val="clear"/>
            <w:vAlign w:val="bottom"/>
          </w:tcPr>
          <w:p>
            <w:pPr>
              <w:pStyle w:val="TableContents"/>
              <w:spacing w:before="0" w:after="0"/>
              <w:ind w:left="0" w:right="0" w:hanging="0"/>
              <w:rPr/>
            </w:pPr>
            <w:r>
              <w:rPr/>
              <w:t> </w:t>
            </w:r>
          </w:p>
        </w:tc>
        <w:tc>
          <w:tcPr>
            <w:tcW w:w="10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taxes</w:t>
            </w:r>
          </w:p>
        </w:tc>
        <w:tc>
          <w:tcPr>
            <w:tcW w:w="226" w:type="dxa"/>
            <w:tcBorders/>
            <w:shd w:fill="auto" w:val="clear"/>
            <w:vAlign w:val="bottom"/>
          </w:tcPr>
          <w:p>
            <w:pPr>
              <w:pStyle w:val="TableContents"/>
              <w:spacing w:before="0" w:after="0"/>
              <w:ind w:left="0" w:right="0" w:hanging="0"/>
              <w:rPr/>
            </w:pPr>
            <w:r>
              <w:rPr/>
              <w:t> </w:t>
            </w:r>
          </w:p>
        </w:tc>
        <w:tc>
          <w:tcPr>
            <w:tcW w:w="10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w:t>
            </w:r>
          </w:p>
        </w:tc>
        <w:tc>
          <w:tcPr>
            <w:tcW w:w="226"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590</w:t>
            </w:r>
          </w:p>
        </w:tc>
        <w:tc>
          <w:tcPr>
            <w:tcW w:w="235"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665</w:t>
            </w:r>
          </w:p>
        </w:tc>
        <w:tc>
          <w:tcPr>
            <w:tcW w:w="106" w:type="dxa"/>
            <w:tcBorders/>
            <w:shd w:fill="CCEEFF" w:val="clear"/>
            <w:vAlign w:val="bottom"/>
          </w:tcPr>
          <w:p>
            <w:pPr>
              <w:pStyle w:val="TableContents"/>
              <w:spacing w:before="0" w:after="0"/>
              <w:ind w:left="0" w:right="0" w:hanging="0"/>
              <w:rPr/>
            </w:pPr>
            <w:r>
              <w:rPr/>
              <w:t> </w:t>
            </w:r>
          </w:p>
        </w:tc>
      </w:tr>
      <w:tr>
        <w:trPr/>
        <w:tc>
          <w:tcPr>
            <w:tcW w:w="46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226"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35"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06" w:type="dxa"/>
            <w:tcBorders/>
            <w:shd w:fill="auto" w:val="clear"/>
            <w:vAlign w:val="bottom"/>
          </w:tcPr>
          <w:p>
            <w:pPr>
              <w:pStyle w:val="TableContents"/>
              <w:spacing w:before="0" w:after="0"/>
              <w:ind w:left="0" w:right="0" w:hanging="0"/>
              <w:rPr/>
            </w:pPr>
            <w:r>
              <w:rPr/>
              <w:t> </w:t>
            </w:r>
          </w:p>
        </w:tc>
      </w:tr>
      <w:tr>
        <w:trPr/>
        <w:tc>
          <w:tcPr>
            <w:tcW w:w="46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w:t>
            </w:r>
          </w:p>
        </w:tc>
        <w:tc>
          <w:tcPr>
            <w:tcW w:w="226"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35"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0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Our preliminary guidance for interest expense is based on our capital structure as of September 30, 2010, approved capital projects for 2010, and the assumption that 2011 capital projects will range between $500 million and $600 million.  Our preliminary guidance for depreciation and amortization is based on projected depreciation from our present asset base, and assumes continued development of our portfolio of projects.  Our preliminary guidance for maintenance capital expenditures is based on our estimated average level of recurring expenditures of approximately $85 million.  Our preliminary guidance for income taxes includes the estimated impact of the change in Canadian tax laws regarding Specified Flow Through Investments (SIFT), which becomes effective in 2011, and the resulting combination of our Canadian entities.   Adjusted net income and adjusted EBITDA exclude selected items impacting comparability such as LTIPs. It is impractical to forecast selected items impacting comparability to arrive at net income and EBITDA and therefore adjusted net income and adjusted EBITDA are presented to provide information with respect to both the performance and fundamental business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 and Associated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abrupt or severe declines or interruptions in outer continental shelf production located offshore California and transported on our pipeline systems;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12" w:name="PB_9_012434_5893"/>
      <w:bookmarkEnd w:id="1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power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and fluctuations in tariffs or volumes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future developments and circumstances at the time distributions are declared;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refined products and liquefied petroleum gas and other natural gas related petroleum products.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3" w:name="PB_10_012434_9862"/>
      <w:bookmarkEnd w:id="1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bookmarkStart w:id="14" w:name="Signatures_010545"/>
      <w:bookmarkEnd w:id="14"/>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618"/>
        <w:gridCol w:w="927"/>
        <w:gridCol w:w="3506"/>
      </w:tblGrid>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 P., its sole member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3, 2010</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Charles Kingswell-Smith</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506"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Charles Kingswell-Smith</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9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506"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Vice President and Treasurer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5" w:name="PB_11_012434_9111"/>
      <w:bookmarkEnd w:id="15"/>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6" w:name="a10-20268_1ex99d1.htm"/>
      <w:bookmarkStart w:id="17" w:name="ksa1020268_1ex99d1"/>
      <w:bookmarkEnd w:id="16"/>
      <w:bookmarkEnd w:id="17"/>
      <w:r>
        <w:rPr>
          <w:rFonts w:ascii="Times New Roman" w:hAnsi="Times New Roman"/>
          <w:b/>
          <w:sz w:val="17"/>
        </w:rPr>
        <w:t>Exhibit 99.1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drawing>
                <wp:inline distT="0" distB="0" distL="0" distR="0">
                  <wp:extent cx="24574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57450" cy="762000"/>
                          </a:xfrm>
                          <a:prstGeom prst="rect">
                            <a:avLst/>
                          </a:prstGeom>
                        </pic:spPr>
                      </pic:pic>
                    </a:graphicData>
                  </a:graphic>
                </wp:inline>
              </w:drawing>
            </w:r>
          </w:p>
        </w:tc>
        <w:tc>
          <w:tcPr>
            <w:tcW w:w="5103" w:type="dxa"/>
            <w:tcBorders/>
            <w:shd w:fill="auto" w:val="clear"/>
            <w:vAlign w:val="bottom"/>
          </w:tcPr>
          <w:p>
            <w:pPr>
              <w:pStyle w:val="TableContents"/>
              <w:spacing w:before="0" w:after="0"/>
              <w:ind w:left="0" w:right="0" w:hanging="0"/>
              <w:jc w:val="right"/>
              <w:rPr/>
            </w:pPr>
            <w:r>
              <w:rPr/>
              <w:drawing>
                <wp:inline distT="0" distB="0" distL="0" distR="0">
                  <wp:extent cx="2762250" cy="866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62250" cy="866775"/>
                          </a:xfrm>
                          <a:prstGeom prst="rect">
                            <a:avLst/>
                          </a:prstGeom>
                        </pic:spPr>
                      </pic:pic>
                    </a:graphicData>
                  </a:graphic>
                </wp:inline>
              </w:drawing>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261"/>
        <w:gridCol w:w="209"/>
        <w:gridCol w:w="3474"/>
        <w:gridCol w:w="209"/>
        <w:gridCol w:w="5052"/>
      </w:tblGrid>
      <w:tr>
        <w:trPr/>
        <w:tc>
          <w:tcPr>
            <w:tcW w:w="1261" w:type="dxa"/>
            <w:tcBorders/>
            <w:shd w:fill="auto" w:val="clear"/>
          </w:tcPr>
          <w:p>
            <w:pPr>
              <w:pStyle w:val="TableContents"/>
              <w:spacing w:before="0" w:after="0"/>
              <w:ind w:left="0" w:right="0" w:hanging="0"/>
              <w:rPr/>
            </w:pPr>
            <w:r>
              <w:rPr>
                <w:rFonts w:ascii="Times New Roman" w:hAnsi="Times New Roman"/>
                <w:b/>
                <w:sz w:val="17"/>
                <w:u w:val="single"/>
              </w:rPr>
              <w:t>Contacts</w:t>
            </w:r>
            <w:r>
              <w:rPr>
                <w:b/>
                <w:sz w:val="17"/>
              </w:rPr>
              <w:t>:</w:t>
            </w:r>
          </w:p>
        </w:tc>
        <w:tc>
          <w:tcPr>
            <w:tcW w:w="209" w:type="dxa"/>
            <w:tcBorders/>
            <w:shd w:fill="auto" w:val="clear"/>
            <w:vAlign w:val="bottom"/>
          </w:tcPr>
          <w:p>
            <w:pPr>
              <w:pStyle w:val="TableContents"/>
              <w:spacing w:before="0" w:after="0"/>
              <w:ind w:left="0" w:right="0" w:hanging="0"/>
              <w:rPr/>
            </w:pPr>
            <w:r>
              <w:rPr/>
              <w:t> </w:t>
            </w:r>
          </w:p>
        </w:tc>
        <w:tc>
          <w:tcPr>
            <w:tcW w:w="347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Roy I. Lamoreaux</w:t>
            </w:r>
          </w:p>
        </w:tc>
        <w:tc>
          <w:tcPr>
            <w:tcW w:w="209" w:type="dxa"/>
            <w:tcBorders/>
            <w:shd w:fill="auto" w:val="clear"/>
            <w:vAlign w:val="bottom"/>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Al Swanson</w:t>
            </w:r>
          </w:p>
        </w:tc>
      </w:tr>
      <w:tr>
        <w:trPr/>
        <w:tc>
          <w:tcPr>
            <w:tcW w:w="1261" w:type="dxa"/>
            <w:tcBorders/>
            <w:shd w:fill="auto" w:val="clear"/>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347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Director, Investor Relations</w:t>
            </w:r>
          </w:p>
        </w:tc>
        <w:tc>
          <w:tcPr>
            <w:tcW w:w="209" w:type="dxa"/>
            <w:tcBorders/>
            <w:shd w:fill="auto" w:val="clear"/>
            <w:vAlign w:val="bottom"/>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Senior Vice President, CFO</w:t>
            </w:r>
          </w:p>
        </w:tc>
      </w:tr>
      <w:tr>
        <w:trPr/>
        <w:tc>
          <w:tcPr>
            <w:tcW w:w="1261" w:type="dxa"/>
            <w:tcBorders/>
            <w:shd w:fill="auto" w:val="clear"/>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347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713/646-4222  800/564-3036</w:t>
            </w:r>
          </w:p>
        </w:tc>
        <w:tc>
          <w:tcPr>
            <w:tcW w:w="209" w:type="dxa"/>
            <w:tcBorders/>
            <w:shd w:fill="auto" w:val="clear"/>
            <w:vAlign w:val="bottom"/>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713/646-4455  800/564-3036</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Reports</w:t>
      </w:r>
    </w:p>
    <w:p>
      <w:pPr>
        <w:pStyle w:val="TextBody"/>
        <w:spacing w:before="0" w:after="0"/>
        <w:ind w:left="0" w:right="0" w:hanging="0"/>
        <w:jc w:val="center"/>
        <w:rPr>
          <w:rFonts w:ascii="Times New Roman" w:hAnsi="Times New Roman"/>
          <w:b/>
          <w:sz w:val="17"/>
        </w:rPr>
      </w:pPr>
      <w:r>
        <w:rPr>
          <w:rFonts w:ascii="Times New Roman" w:hAnsi="Times New Roman"/>
          <w:b/>
          <w:sz w:val="17"/>
        </w:rPr>
        <w:t>Third-Quarter 2010 Results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November 3, 2010) Plains All American Pipeline, L.P. (NYSE: PAA) today reported net income attributable to Plains of $81 million, or $0.28 per diluted limited partner unit, for the third quarter 2010 as compared to net income attributable to Plains for the third quarter 2009 of $122 million, or $0.65 per diluted limited partner unit. The Partnership reported earnings before interest, taxes, depreciation and amortization (EBITDA) of $205 million for the third quarter 2010, compared with reported EBITDA of $242 million for the third quarter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reported results include the impact of items that affect comparability between reporting periods. These items are excluded from adjusted results, as further described in the table below. Accordingly, the Partnerships third-quarter 2010 adjusted net income attributable to Plains, adjusted net income per diluted limited partner unit and adjusted EBITDA were $140 million, $0.70 and $264 million, respectively, as compared to third-quarter 2009 adjusted net income attributable to Plains, adjusted net income per diluted limited partner unit and adjusted EBITDA of $114 million, $0.59 and $234 million, respectively. (See the section of this release entitled Non-GAAP Financial Measures and the attached tables for discussion of EBITDA and other non-GAAP financial measures, and reconciliations of such measures to the comparable GAAP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pleased with the Partnerships third-quarter results as Plains All American delivered operating and financial performance near the high end of our guidance range, said Greg L. Armstrong, Chairman and CEO of Plains All American.   We also achieved our distribution growth goal for 2010 as PAA declared a quarterly distribution of $0.95 per unit, equivalent to an annualized distribution rate of $3.80 per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not without challenges, as we look forward we believe the Partnership is well positioned to continue to deliver meaningful long-term growth to our unitholders.  We recently announced several organic growth projects and currently estimate that our 2011 expansion capital program will range from $500 million to $600 million, an approximate 45% increase over our 2010 capital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items that the Partnership believes impact comparability of financial results between reporting periods (amounts in millions, except per unit amounts):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bookmarkStart w:id="18" w:name="PB_2_044008_5335"/>
      <w:bookmarkEnd w:id="18"/>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94"/>
        <w:gridCol w:w="211"/>
        <w:gridCol w:w="133"/>
        <w:gridCol w:w="910"/>
        <w:gridCol w:w="221"/>
        <w:gridCol w:w="133"/>
        <w:gridCol w:w="892"/>
        <w:gridCol w:w="217"/>
        <w:gridCol w:w="130"/>
        <w:gridCol w:w="903"/>
        <w:gridCol w:w="219"/>
        <w:gridCol w:w="130"/>
        <w:gridCol w:w="885"/>
        <w:gridCol w:w="127"/>
      </w:tblGrid>
      <w:tr>
        <w:trPr/>
        <w:tc>
          <w:tcPr>
            <w:tcW w:w="509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28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26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7" w:type="dxa"/>
            <w:tcBorders/>
            <w:shd w:fill="auto" w:val="clear"/>
            <w:vAlign w:val="bottom"/>
          </w:tcPr>
          <w:p>
            <w:pPr>
              <w:pStyle w:val="TableContents"/>
              <w:spacing w:before="0" w:after="0"/>
              <w:ind w:left="0" w:right="0" w:hanging="0"/>
              <w:jc w:val="center"/>
              <w:rPr/>
            </w:pPr>
            <w:r>
              <w:rPr/>
              <w:t> </w:t>
            </w:r>
          </w:p>
        </w:tc>
      </w:tr>
      <w:tr>
        <w:trPr/>
        <w:tc>
          <w:tcPr>
            <w:tcW w:w="509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28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7" w:type="dxa"/>
            <w:tcBorders/>
            <w:shd w:fill="auto" w:val="clear"/>
            <w:vAlign w:val="bottom"/>
          </w:tcPr>
          <w:p>
            <w:pPr>
              <w:pStyle w:val="TableContents"/>
              <w:spacing w:before="0" w:after="0"/>
              <w:ind w:left="0" w:right="0" w:hanging="0"/>
              <w:jc w:val="center"/>
              <w:rPr/>
            </w:pPr>
            <w:r>
              <w:rPr/>
              <w:t> </w:t>
            </w:r>
          </w:p>
        </w:tc>
        <w:tc>
          <w:tcPr>
            <w:tcW w:w="226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7" w:type="dxa"/>
            <w:tcBorders/>
            <w:shd w:fill="auto" w:val="clear"/>
            <w:vAlign w:val="bottom"/>
          </w:tcPr>
          <w:p>
            <w:pPr>
              <w:pStyle w:val="TableContents"/>
              <w:spacing w:before="0" w:after="0"/>
              <w:ind w:left="0" w:right="0" w:hanging="0"/>
              <w:jc w:val="center"/>
              <w:rPr/>
            </w:pPr>
            <w:r>
              <w:rPr/>
              <w:t> </w:t>
            </w:r>
          </w:p>
        </w:tc>
      </w:tr>
      <w:tr>
        <w:trPr/>
        <w:tc>
          <w:tcPr>
            <w:tcW w:w="509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0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1" w:type="dxa"/>
            <w:tcBorders/>
            <w:shd w:fill="auto" w:val="clear"/>
            <w:vAlign w:val="bottom"/>
          </w:tcPr>
          <w:p>
            <w:pPr>
              <w:pStyle w:val="TableContents"/>
              <w:spacing w:before="0" w:after="0"/>
              <w:ind w:left="0" w:right="0" w:hanging="0"/>
              <w:jc w:val="center"/>
              <w:rPr/>
            </w:pPr>
            <w:r>
              <w:rPr/>
              <w:t> </w:t>
            </w:r>
          </w:p>
        </w:tc>
        <w:tc>
          <w:tcPr>
            <w:tcW w:w="102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shd w:fill="auto" w:val="clear"/>
            <w:vAlign w:val="bottom"/>
          </w:tcPr>
          <w:p>
            <w:pPr>
              <w:pStyle w:val="TableContents"/>
              <w:spacing w:before="0" w:after="0"/>
              <w:ind w:left="0" w:right="0" w:hanging="0"/>
              <w:jc w:val="center"/>
              <w:rPr/>
            </w:pPr>
            <w:r>
              <w:rPr/>
              <w:t> </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7" w:type="dxa"/>
            <w:tcBorders/>
            <w:shd w:fill="auto" w:val="clear"/>
            <w:vAlign w:val="bottom"/>
          </w:tcPr>
          <w:p>
            <w:pPr>
              <w:pStyle w:val="TableContents"/>
              <w:spacing w:before="0" w:after="0"/>
              <w:ind w:left="0" w:right="0" w:hanging="0"/>
              <w:jc w:val="center"/>
              <w:rPr/>
            </w:pPr>
            <w:r>
              <w:rPr/>
              <w:t> </w:t>
            </w:r>
          </w:p>
        </w:tc>
      </w:tr>
      <w:tr>
        <w:trPr/>
        <w:tc>
          <w:tcPr>
            <w:tcW w:w="509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 - Income / (Loss):</w:t>
            </w:r>
          </w:p>
        </w:tc>
        <w:tc>
          <w:tcPr>
            <w:tcW w:w="211" w:type="dxa"/>
            <w:tcBorders/>
            <w:shd w:fill="CCEEFF" w:val="clear"/>
            <w:vAlign w:val="bottom"/>
          </w:tcPr>
          <w:p>
            <w:pPr>
              <w:pStyle w:val="TableContents"/>
              <w:spacing w:before="0" w:after="0"/>
              <w:ind w:left="0" w:right="0" w:hanging="0"/>
              <w:rPr/>
            </w:pPr>
            <w:r>
              <w:rPr/>
              <w:t> </w:t>
            </w:r>
          </w:p>
        </w:tc>
        <w:tc>
          <w:tcPr>
            <w:tcW w:w="1043"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25"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5094" w:type="dxa"/>
            <w:tcBorders/>
            <w:shd w:fill="auto" w:val="clear"/>
          </w:tcPr>
          <w:p>
            <w:pPr>
              <w:pStyle w:val="TableContents"/>
              <w:spacing w:before="0" w:after="0"/>
              <w:ind w:left="0" w:right="0" w:hanging="0"/>
              <w:rPr/>
            </w:pPr>
            <w:r>
              <w:rPr>
                <w:rFonts w:ascii="Times New Roman" w:hAnsi="Times New Roman"/>
                <w:sz w:val="17"/>
              </w:rPr>
              <w:t xml:space="preserve">Equity compensation charge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94" w:type="dxa"/>
            <w:tcBorders/>
            <w:shd w:fill="CCEEFF" w:val="clear"/>
          </w:tcPr>
          <w:p>
            <w:pPr>
              <w:pStyle w:val="TableContents"/>
              <w:spacing w:before="0" w:after="0"/>
              <w:ind w:left="0" w:right="0" w:hanging="0"/>
              <w:rPr/>
            </w:pPr>
            <w:r>
              <w:rPr>
                <w:rFonts w:ascii="Times New Roman" w:hAnsi="Times New Roman"/>
                <w:sz w:val="17"/>
              </w:rPr>
              <w:t xml:space="preserve">Inventory valuation adjustments net of gains/(losses) from related derivative activities </w:t>
            </w:r>
            <w:r>
              <w:rPr>
                <w:sz w:val="11"/>
              </w:rPr>
              <w:t>(2)</w:t>
            </w:r>
          </w:p>
        </w:tc>
        <w:tc>
          <w:tcPr>
            <w:tcW w:w="211" w:type="dxa"/>
            <w:tcBorders/>
            <w:shd w:fill="CCEEFF" w:val="clear"/>
            <w:vAlign w:val="bottom"/>
          </w:tcPr>
          <w:p>
            <w:pPr>
              <w:pStyle w:val="TableContents"/>
              <w:spacing w:before="0" w:after="0"/>
              <w:ind w:left="0" w:right="0" w:hanging="0"/>
              <w:rPr/>
            </w:pPr>
            <w:r>
              <w:rPr/>
              <w:t> </w:t>
            </w:r>
          </w:p>
        </w:tc>
        <w:tc>
          <w:tcPr>
            <w:tcW w:w="10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10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7" w:type="dxa"/>
            <w:tcBorders/>
            <w:shd w:fill="CCEEFF" w:val="clear"/>
            <w:vAlign w:val="bottom"/>
          </w:tcPr>
          <w:p>
            <w:pPr>
              <w:pStyle w:val="TableContents"/>
              <w:spacing w:before="0" w:after="0"/>
              <w:ind w:left="0" w:right="0" w:hanging="0"/>
              <w:rPr/>
            </w:pPr>
            <w:r>
              <w:rPr/>
              <w:t> </w:t>
            </w:r>
          </w:p>
        </w:tc>
      </w:tr>
      <w:tr>
        <w:trPr/>
        <w:tc>
          <w:tcPr>
            <w:tcW w:w="5094" w:type="dxa"/>
            <w:tcBorders/>
            <w:shd w:fill="auto" w:val="clear"/>
          </w:tcPr>
          <w:p>
            <w:pPr>
              <w:pStyle w:val="TableContents"/>
              <w:spacing w:before="0" w:after="0"/>
              <w:ind w:left="0" w:right="0" w:hanging="0"/>
              <w:rPr/>
            </w:pPr>
            <w:r>
              <w:rPr>
                <w:rFonts w:ascii="Times New Roman" w:hAnsi="Times New Roman"/>
                <w:sz w:val="17"/>
              </w:rPr>
              <w:t xml:space="preserve">Gains/(losses) from other derivative activities </w:t>
            </w:r>
            <w:r>
              <w:rPr>
                <w:sz w:val="11"/>
              </w:rPr>
              <w:t>(2)</w:t>
            </w:r>
            <w:r>
              <w:rPr/>
              <w:t> </w:t>
            </w:r>
            <w:r>
              <w:rPr>
                <w:sz w:val="11"/>
              </w:rPr>
              <w:t>(3)</w:t>
            </w:r>
          </w:p>
        </w:tc>
        <w:tc>
          <w:tcPr>
            <w:tcW w:w="211" w:type="dxa"/>
            <w:tcBorders/>
            <w:shd w:fill="auto" w:val="clear"/>
            <w:vAlign w:val="bottom"/>
          </w:tcPr>
          <w:p>
            <w:pPr>
              <w:pStyle w:val="TableContents"/>
              <w:spacing w:before="0" w:after="0"/>
              <w:ind w:left="0" w:right="0" w:hanging="0"/>
              <w:rPr/>
            </w:pPr>
            <w:r>
              <w:rPr/>
              <w:t> </w:t>
            </w:r>
          </w:p>
        </w:tc>
        <w:tc>
          <w:tcPr>
            <w:tcW w:w="10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7"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27" w:type="dxa"/>
            <w:tcBorders/>
            <w:shd w:fill="auto" w:val="clear"/>
            <w:vAlign w:val="bottom"/>
          </w:tcPr>
          <w:p>
            <w:pPr>
              <w:pStyle w:val="TableContents"/>
              <w:spacing w:before="0" w:after="0"/>
              <w:ind w:left="0" w:right="0" w:hanging="0"/>
              <w:rPr/>
            </w:pPr>
            <w:r>
              <w:rPr/>
              <w:t> </w:t>
            </w:r>
          </w:p>
        </w:tc>
      </w:tr>
      <w:tr>
        <w:trPr/>
        <w:tc>
          <w:tcPr>
            <w:tcW w:w="509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loss on early repayment of senior notes</w:t>
            </w:r>
          </w:p>
        </w:tc>
        <w:tc>
          <w:tcPr>
            <w:tcW w:w="211" w:type="dxa"/>
            <w:tcBorders/>
            <w:shd w:fill="CCEEFF" w:val="clear"/>
            <w:vAlign w:val="bottom"/>
          </w:tcPr>
          <w:p>
            <w:pPr>
              <w:pStyle w:val="TableContents"/>
              <w:spacing w:before="0" w:after="0"/>
              <w:ind w:left="0" w:right="0" w:hanging="0"/>
              <w:rPr/>
            </w:pPr>
            <w:r>
              <w:rPr/>
              <w:t> </w:t>
            </w:r>
          </w:p>
        </w:tc>
        <w:tc>
          <w:tcPr>
            <w:tcW w:w="10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r>
      <w:tr>
        <w:trPr/>
        <w:tc>
          <w:tcPr>
            <w:tcW w:w="509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PNGS contingent consideration fair value adjustment</w:t>
            </w:r>
          </w:p>
        </w:tc>
        <w:tc>
          <w:tcPr>
            <w:tcW w:w="211" w:type="dxa"/>
            <w:tcBorders/>
            <w:shd w:fill="auto" w:val="clear"/>
            <w:vAlign w:val="bottom"/>
          </w:tcPr>
          <w:p>
            <w:pPr>
              <w:pStyle w:val="TableContents"/>
              <w:spacing w:before="0" w:after="0"/>
              <w:ind w:left="0" w:right="0" w:hanging="0"/>
              <w:rPr/>
            </w:pPr>
            <w:r>
              <w:rPr/>
              <w:t> </w:t>
            </w:r>
          </w:p>
        </w:tc>
        <w:tc>
          <w:tcPr>
            <w:tcW w:w="10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auto" w:val="clear"/>
            <w:vAlign w:val="bottom"/>
          </w:tcPr>
          <w:p>
            <w:pPr>
              <w:pStyle w:val="TableContents"/>
              <w:spacing w:before="0" w:after="0"/>
              <w:ind w:left="0" w:right="0" w:hanging="0"/>
              <w:rPr/>
            </w:pPr>
            <w:r>
              <w:rPr/>
              <w:t> </w:t>
            </w:r>
          </w:p>
        </w:tc>
      </w:tr>
      <w:tr>
        <w:trPr/>
        <w:tc>
          <w:tcPr>
            <w:tcW w:w="509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gain on purchase of remaining 50% interest in PNGS</w:t>
            </w:r>
          </w:p>
        </w:tc>
        <w:tc>
          <w:tcPr>
            <w:tcW w:w="211" w:type="dxa"/>
            <w:tcBorders/>
            <w:shd w:fill="CCEEFF" w:val="clear"/>
            <w:vAlign w:val="bottom"/>
          </w:tcPr>
          <w:p>
            <w:pPr>
              <w:pStyle w:val="TableContents"/>
              <w:spacing w:before="0" w:after="0"/>
              <w:ind w:left="0" w:right="0" w:hanging="0"/>
              <w:rPr/>
            </w:pPr>
            <w:r>
              <w:rPr/>
              <w:t> </w:t>
            </w:r>
          </w:p>
        </w:tc>
        <w:tc>
          <w:tcPr>
            <w:tcW w:w="10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10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7"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7" w:type="dxa"/>
            <w:tcBorders/>
            <w:shd w:fill="CCEEFF" w:val="clear"/>
            <w:vAlign w:val="bottom"/>
          </w:tcPr>
          <w:p>
            <w:pPr>
              <w:pStyle w:val="TableContents"/>
              <w:spacing w:before="0" w:after="0"/>
              <w:ind w:left="0" w:right="0" w:hanging="0"/>
              <w:rPr/>
            </w:pPr>
            <w:r>
              <w:rPr/>
              <w:t> </w:t>
            </w:r>
          </w:p>
        </w:tc>
      </w:tr>
      <w:tr>
        <w:trPr/>
        <w:tc>
          <w:tcPr>
            <w:tcW w:w="509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gain on foreign currency revaluation</w:t>
            </w:r>
          </w:p>
        </w:tc>
        <w:tc>
          <w:tcPr>
            <w:tcW w:w="211" w:type="dxa"/>
            <w:tcBorders/>
            <w:shd w:fill="auto" w:val="clear"/>
            <w:vAlign w:val="bottom"/>
          </w:tcPr>
          <w:p>
            <w:pPr>
              <w:pStyle w:val="TableContents"/>
              <w:spacing w:before="0" w:after="0"/>
              <w:ind w:left="0" w:right="0" w:hanging="0"/>
              <w:rPr/>
            </w:pPr>
            <w:r>
              <w:rPr/>
              <w:t> </w:t>
            </w:r>
          </w:p>
        </w:tc>
        <w:tc>
          <w:tcPr>
            <w:tcW w:w="104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0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auto" w:val="clear"/>
            <w:vAlign w:val="bottom"/>
          </w:tcPr>
          <w:p>
            <w:pPr>
              <w:pStyle w:val="TableContents"/>
              <w:spacing w:before="0" w:after="0"/>
              <w:ind w:left="0" w:right="0" w:hanging="0"/>
              <w:rPr/>
            </w:pPr>
            <w:r>
              <w:rPr/>
              <w:t> </w:t>
            </w:r>
          </w:p>
        </w:tc>
        <w:tc>
          <w:tcPr>
            <w:tcW w:w="10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7" w:type="dxa"/>
            <w:tcBorders/>
            <w:shd w:fill="auto" w:val="clear"/>
            <w:vAlign w:val="bottom"/>
          </w:tcPr>
          <w:p>
            <w:pPr>
              <w:pStyle w:val="TableContents"/>
              <w:spacing w:before="0" w:after="0"/>
              <w:ind w:left="0" w:right="0" w:hanging="0"/>
              <w:rPr/>
            </w:pPr>
            <w:r>
              <w:rPr/>
              <w:t> </w:t>
            </w:r>
          </w:p>
        </w:tc>
      </w:tr>
      <w:tr>
        <w:trPr/>
        <w:tc>
          <w:tcPr>
            <w:tcW w:w="509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1" w:type="dxa"/>
            <w:tcBorders/>
            <w:shd w:fill="CCEEFF" w:val="clear"/>
            <w:vAlign w:val="bottom"/>
          </w:tcPr>
          <w:p>
            <w:pPr>
              <w:pStyle w:val="TableContents"/>
              <w:spacing w:before="0" w:after="0"/>
              <w:ind w:left="0" w:right="0" w:hanging="0"/>
              <w:rPr/>
            </w:pPr>
            <w:r>
              <w:rPr/>
              <w:t> </w:t>
            </w:r>
          </w:p>
        </w:tc>
        <w:tc>
          <w:tcPr>
            <w:tcW w:w="10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27" w:type="dxa"/>
            <w:tcBorders/>
            <w:shd w:fill="CCEEFF" w:val="clear"/>
            <w:vAlign w:val="bottom"/>
          </w:tcPr>
          <w:p>
            <w:pPr>
              <w:pStyle w:val="TableContents"/>
              <w:spacing w:before="0" w:after="0"/>
              <w:ind w:left="0" w:right="0" w:hanging="0"/>
              <w:rPr/>
            </w:pPr>
            <w:r>
              <w:rPr/>
              <w:t> </w:t>
            </w:r>
          </w:p>
        </w:tc>
      </w:tr>
      <w:tr>
        <w:trPr/>
        <w:tc>
          <w:tcPr>
            <w:tcW w:w="509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Less: GP 2% portion of selected items impacting comparability</w:t>
            </w:r>
          </w:p>
        </w:tc>
        <w:tc>
          <w:tcPr>
            <w:tcW w:w="211" w:type="dxa"/>
            <w:tcBorders/>
            <w:shd w:fill="auto" w:val="clear"/>
            <w:vAlign w:val="bottom"/>
          </w:tcPr>
          <w:p>
            <w:pPr>
              <w:pStyle w:val="TableContents"/>
              <w:spacing w:before="0" w:after="0"/>
              <w:ind w:left="0" w:right="0" w:hanging="0"/>
              <w:rPr/>
            </w:pPr>
            <w:r>
              <w:rPr/>
              <w:t> </w:t>
            </w:r>
          </w:p>
        </w:tc>
        <w:tc>
          <w:tcPr>
            <w:tcW w:w="104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auto" w:val="clear"/>
            <w:vAlign w:val="bottom"/>
          </w:tcPr>
          <w:p>
            <w:pPr>
              <w:pStyle w:val="TableContents"/>
              <w:spacing w:before="0" w:after="0"/>
              <w:ind w:left="0" w:right="0" w:hanging="0"/>
              <w:rPr/>
            </w:pPr>
            <w:r>
              <w:rPr/>
              <w:t> </w:t>
            </w:r>
          </w:p>
        </w:tc>
        <w:tc>
          <w:tcPr>
            <w:tcW w:w="10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9" w:type="dxa"/>
            <w:tcBorders/>
            <w:shd w:fill="auto" w:val="clear"/>
            <w:vAlign w:val="bottom"/>
          </w:tcPr>
          <w:p>
            <w:pPr>
              <w:pStyle w:val="TableContents"/>
              <w:spacing w:before="0" w:after="0"/>
              <w:ind w:left="0" w:right="0" w:hanging="0"/>
              <w:rPr/>
            </w:pPr>
            <w:r>
              <w:rPr/>
              <w:t> </w:t>
            </w:r>
          </w:p>
        </w:tc>
        <w:tc>
          <w:tcPr>
            <w:tcW w:w="10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9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 98% portion of selected items impacting comparability</w:t>
            </w:r>
          </w:p>
        </w:tc>
        <w:tc>
          <w:tcPr>
            <w:tcW w:w="211"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27" w:type="dxa"/>
            <w:tcBorders/>
            <w:shd w:fill="CCEEFF" w:val="clear"/>
            <w:vAlign w:val="bottom"/>
          </w:tcPr>
          <w:p>
            <w:pPr>
              <w:pStyle w:val="TableContents"/>
              <w:spacing w:before="0" w:after="0"/>
              <w:ind w:left="0" w:right="0" w:hanging="0"/>
              <w:rPr/>
            </w:pPr>
            <w:r>
              <w:rPr/>
              <w:t> </w:t>
            </w:r>
          </w:p>
        </w:tc>
      </w:tr>
      <w:tr>
        <w:trPr/>
        <w:tc>
          <w:tcPr>
            <w:tcW w:w="509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43"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25"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15"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509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Impact to basic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(0.42</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0.06</w:t>
            </w:r>
          </w:p>
        </w:tc>
        <w:tc>
          <w:tcPr>
            <w:tcW w:w="217"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(0.32</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0.49</w:t>
            </w:r>
          </w:p>
        </w:tc>
        <w:tc>
          <w:tcPr>
            <w:tcW w:w="127" w:type="dxa"/>
            <w:tcBorders/>
            <w:shd w:fill="CCEEFF" w:val="clear"/>
            <w:vAlign w:val="bottom"/>
          </w:tcPr>
          <w:p>
            <w:pPr>
              <w:pStyle w:val="TableContents"/>
              <w:spacing w:before="0" w:after="0"/>
              <w:ind w:left="0" w:right="0" w:hanging="0"/>
              <w:rPr/>
            </w:pPr>
            <w:r>
              <w:rPr/>
              <w:t> </w:t>
            </w:r>
          </w:p>
        </w:tc>
      </w:tr>
      <w:tr>
        <w:trPr/>
        <w:tc>
          <w:tcPr>
            <w:tcW w:w="509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Impact to diluted net income per limited partner unit</w:t>
            </w:r>
          </w:p>
        </w:tc>
        <w:tc>
          <w:tcPr>
            <w:tcW w:w="211"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(0.42</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0.06</w:t>
            </w:r>
          </w:p>
        </w:tc>
        <w:tc>
          <w:tcPr>
            <w:tcW w:w="217"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(0.32</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0.49</w:t>
            </w:r>
          </w:p>
        </w:tc>
        <w:tc>
          <w:tcPr>
            <w:tcW w:w="12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equity compensation charges for the three and nine months ended September 30, 2010 and 2009 exclude the portion of the equity compensation expense represented by grants under the LTIP Plans that, pursuant to the terms of the grant, will be settled in cash only and have no impact on diluted units.  The portion of the equity compensation expense attributable to the cash portion of the LTIP Plans is approximately $7 million and $4 million for the three month periods ended September 30, 2010 and 2009, respectively, and approximately $16 million and $11 million for the nine months ended September 30, 2010 and 2009, respectively.</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 xml:space="preserve">Gains and losses from derivative activities related to revalued inventory are included in the line item Inventory valuation adjustments net of gains/(losses) from related derivative activities; gains and losses from derivative activities not related to revalued inventory are included in the line item Gains/(losses) from other derivative activities.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Gains and losses from other derivative activities for the three-month periods ended September 30, 2010 and 2009 include gains of approximately $1 million and losses of approximately $1 million, respectively, related to interest rate derivatives, which are included in other income, net and interest expense, but do not impact segment profit.  Gains and losses from other derivative activities for the nine month periods ended September 30, 2010 and 2009 include gains of approximately $4 million and losses of approximately $1 million, respectively, related to interest rate derivatives, which are included in other income, net and interest expense, but do not impact segment profit.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bookmarkStart w:id="19" w:name="PB_3_045035_5796"/>
      <w:bookmarkEnd w:id="19"/>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present certain selected financial information by segment for the third quarter (amounts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36"/>
        <w:gridCol w:w="168"/>
        <w:gridCol w:w="261"/>
        <w:gridCol w:w="956"/>
        <w:gridCol w:w="183"/>
        <w:gridCol w:w="182"/>
        <w:gridCol w:w="747"/>
        <w:gridCol w:w="183"/>
        <w:gridCol w:w="151"/>
        <w:gridCol w:w="778"/>
        <w:gridCol w:w="183"/>
        <w:gridCol w:w="261"/>
        <w:gridCol w:w="956"/>
        <w:gridCol w:w="183"/>
        <w:gridCol w:w="217"/>
        <w:gridCol w:w="712"/>
        <w:gridCol w:w="183"/>
        <w:gridCol w:w="150"/>
        <w:gridCol w:w="778"/>
        <w:gridCol w:w="137"/>
      </w:tblGrid>
      <w:tr>
        <w:trPr/>
        <w:tc>
          <w:tcPr>
            <w:tcW w:w="2836"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3441"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83" w:type="dxa"/>
            <w:tcBorders/>
            <w:shd w:fill="auto" w:val="clear"/>
            <w:vAlign w:val="bottom"/>
          </w:tcPr>
          <w:p>
            <w:pPr>
              <w:pStyle w:val="TableContents"/>
              <w:spacing w:before="0" w:after="0"/>
              <w:ind w:left="0" w:right="0" w:hanging="0"/>
              <w:jc w:val="center"/>
              <w:rPr/>
            </w:pPr>
            <w:r>
              <w:rPr/>
              <w:t> </w:t>
            </w:r>
          </w:p>
        </w:tc>
        <w:tc>
          <w:tcPr>
            <w:tcW w:w="3440"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7" w:type="dxa"/>
            <w:tcBorders/>
            <w:shd w:fill="auto" w:val="clear"/>
            <w:vAlign w:val="bottom"/>
          </w:tcPr>
          <w:p>
            <w:pPr>
              <w:pStyle w:val="TableContents"/>
              <w:spacing w:before="0" w:after="0"/>
              <w:ind w:left="0" w:right="0" w:hanging="0"/>
              <w:jc w:val="center"/>
              <w:rPr/>
            </w:pPr>
            <w:r>
              <w:rPr/>
              <w:t> </w:t>
            </w:r>
          </w:p>
        </w:tc>
      </w:tr>
      <w:tr>
        <w:trPr/>
        <w:tc>
          <w:tcPr>
            <w:tcW w:w="2836"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3441"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2010</w:t>
            </w:r>
          </w:p>
        </w:tc>
        <w:tc>
          <w:tcPr>
            <w:tcW w:w="183" w:type="dxa"/>
            <w:tcBorders/>
            <w:shd w:fill="auto" w:val="clear"/>
            <w:vAlign w:val="bottom"/>
          </w:tcPr>
          <w:p>
            <w:pPr>
              <w:pStyle w:val="TableContents"/>
              <w:spacing w:before="0" w:after="0"/>
              <w:ind w:left="0" w:right="0" w:hanging="0"/>
              <w:jc w:val="center"/>
              <w:rPr/>
            </w:pPr>
            <w:r>
              <w:rPr/>
              <w:t> </w:t>
            </w:r>
          </w:p>
        </w:tc>
        <w:tc>
          <w:tcPr>
            <w:tcW w:w="344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2009</w:t>
            </w:r>
          </w:p>
        </w:tc>
        <w:tc>
          <w:tcPr>
            <w:tcW w:w="137" w:type="dxa"/>
            <w:tcBorders/>
            <w:shd w:fill="auto" w:val="clear"/>
            <w:vAlign w:val="bottom"/>
          </w:tcPr>
          <w:p>
            <w:pPr>
              <w:pStyle w:val="TableContents"/>
              <w:spacing w:before="0" w:after="0"/>
              <w:ind w:left="0" w:right="0" w:hanging="0"/>
              <w:jc w:val="center"/>
              <w:rPr/>
            </w:pPr>
            <w:r>
              <w:rPr/>
              <w:t> </w:t>
            </w:r>
          </w:p>
        </w:tc>
      </w:tr>
      <w:tr>
        <w:trPr/>
        <w:tc>
          <w:tcPr>
            <w:tcW w:w="2836"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217"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929"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92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w:t>
            </w:r>
          </w:p>
        </w:tc>
        <w:tc>
          <w:tcPr>
            <w:tcW w:w="183" w:type="dxa"/>
            <w:tcBorders/>
            <w:shd w:fill="auto" w:val="clear"/>
            <w:vAlign w:val="bottom"/>
          </w:tcPr>
          <w:p>
            <w:pPr>
              <w:pStyle w:val="TableContents"/>
              <w:spacing w:before="0" w:after="0"/>
              <w:ind w:left="0" w:right="0" w:hanging="0"/>
              <w:jc w:val="center"/>
              <w:rPr/>
            </w:pPr>
            <w:r>
              <w:rPr/>
              <w:t> </w:t>
            </w:r>
          </w:p>
        </w:tc>
        <w:tc>
          <w:tcPr>
            <w:tcW w:w="1217"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929"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92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w:t>
            </w:r>
          </w:p>
        </w:tc>
        <w:tc>
          <w:tcPr>
            <w:tcW w:w="137" w:type="dxa"/>
            <w:tcBorders/>
            <w:shd w:fill="auto" w:val="clear"/>
            <w:vAlign w:val="bottom"/>
          </w:tcPr>
          <w:p>
            <w:pPr>
              <w:pStyle w:val="TableContents"/>
              <w:spacing w:before="0" w:after="0"/>
              <w:ind w:left="0" w:right="0" w:hanging="0"/>
              <w:jc w:val="center"/>
              <w:rPr/>
            </w:pPr>
            <w:r>
              <w:rPr/>
              <w:t> </w:t>
            </w:r>
          </w:p>
        </w:tc>
      </w:tr>
      <w:tr>
        <w:trPr/>
        <w:tc>
          <w:tcPr>
            <w:tcW w:w="2836"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2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3" w:type="dxa"/>
            <w:tcBorders/>
            <w:shd w:fill="auto" w:val="clear"/>
            <w:vAlign w:val="bottom"/>
          </w:tcPr>
          <w:p>
            <w:pPr>
              <w:pStyle w:val="TableContents"/>
              <w:spacing w:before="0" w:after="0"/>
              <w:ind w:left="0" w:right="0" w:hanging="0"/>
              <w:jc w:val="center"/>
              <w:rPr/>
            </w:pPr>
            <w:r>
              <w:rPr/>
              <w:t> </w:t>
            </w:r>
          </w:p>
        </w:tc>
        <w:tc>
          <w:tcPr>
            <w:tcW w:w="92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3" w:type="dxa"/>
            <w:tcBorders/>
            <w:shd w:fill="auto" w:val="clear"/>
            <w:vAlign w:val="bottom"/>
          </w:tcPr>
          <w:p>
            <w:pPr>
              <w:pStyle w:val="TableContents"/>
              <w:spacing w:before="0" w:after="0"/>
              <w:ind w:left="0" w:right="0" w:hanging="0"/>
              <w:jc w:val="center"/>
              <w:rPr/>
            </w:pPr>
            <w:r>
              <w:rPr/>
              <w:t> </w:t>
            </w:r>
          </w:p>
        </w:tc>
        <w:tc>
          <w:tcPr>
            <w:tcW w:w="92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83" w:type="dxa"/>
            <w:tcBorders/>
            <w:shd w:fill="auto" w:val="clear"/>
            <w:vAlign w:val="bottom"/>
          </w:tcPr>
          <w:p>
            <w:pPr>
              <w:pStyle w:val="TableContents"/>
              <w:spacing w:before="0" w:after="0"/>
              <w:ind w:left="0" w:right="0" w:hanging="0"/>
              <w:jc w:val="center"/>
              <w:rPr/>
            </w:pPr>
            <w:r>
              <w:rPr/>
              <w:t> </w:t>
            </w:r>
          </w:p>
        </w:tc>
        <w:tc>
          <w:tcPr>
            <w:tcW w:w="12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3" w:type="dxa"/>
            <w:tcBorders/>
            <w:shd w:fill="auto" w:val="clear"/>
            <w:vAlign w:val="bottom"/>
          </w:tcPr>
          <w:p>
            <w:pPr>
              <w:pStyle w:val="TableContents"/>
              <w:spacing w:before="0" w:after="0"/>
              <w:ind w:left="0" w:right="0" w:hanging="0"/>
              <w:jc w:val="center"/>
              <w:rPr/>
            </w:pPr>
            <w:r>
              <w:rPr/>
              <w:t> </w:t>
            </w:r>
          </w:p>
        </w:tc>
        <w:tc>
          <w:tcPr>
            <w:tcW w:w="92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3" w:type="dxa"/>
            <w:tcBorders/>
            <w:shd w:fill="auto" w:val="clear"/>
            <w:vAlign w:val="bottom"/>
          </w:tcPr>
          <w:p>
            <w:pPr>
              <w:pStyle w:val="TableContents"/>
              <w:spacing w:before="0" w:after="0"/>
              <w:ind w:left="0" w:right="0" w:hanging="0"/>
              <w:jc w:val="center"/>
              <w:rPr/>
            </w:pPr>
            <w:r>
              <w:rPr/>
              <w:t> </w:t>
            </w:r>
          </w:p>
        </w:tc>
        <w:tc>
          <w:tcPr>
            <w:tcW w:w="92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7" w:type="dxa"/>
            <w:tcBorders/>
            <w:shd w:fill="auto" w:val="clear"/>
            <w:vAlign w:val="bottom"/>
          </w:tcPr>
          <w:p>
            <w:pPr>
              <w:pStyle w:val="TableContents"/>
              <w:spacing w:before="0" w:after="0"/>
              <w:ind w:left="0" w:right="0" w:hanging="0"/>
              <w:jc w:val="center"/>
              <w:rPr/>
            </w:pPr>
            <w:r>
              <w:rPr/>
              <w:t> </w:t>
            </w:r>
          </w:p>
        </w:tc>
      </w:tr>
      <w:tr>
        <w:trPr/>
        <w:tc>
          <w:tcPr>
            <w:tcW w:w="2836" w:type="dxa"/>
            <w:tcBorders/>
            <w:shd w:fill="CCEEFF" w:val="clear"/>
          </w:tcPr>
          <w:p>
            <w:pPr>
              <w:pStyle w:val="TableContents"/>
              <w:spacing w:before="0" w:after="0"/>
              <w:ind w:left="0" w:right="0" w:hanging="0"/>
              <w:rPr/>
            </w:pPr>
            <w:r>
              <w:rPr>
                <w:rFonts w:ascii="Times New Roman" w:hAnsi="Times New Roman"/>
                <w:sz w:val="17"/>
              </w:rPr>
              <w:t xml:space="preserve">Revenues </w:t>
            </w:r>
            <w:r>
              <w:rPr>
                <w:sz w:val="11"/>
              </w:rPr>
              <w:t>(1)</w:t>
            </w:r>
          </w:p>
        </w:tc>
        <w:tc>
          <w:tcPr>
            <w:tcW w:w="168"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183"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83"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6,179</w:t>
            </w:r>
          </w:p>
        </w:tc>
        <w:tc>
          <w:tcPr>
            <w:tcW w:w="183"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83" w:type="dxa"/>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83"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4,645</w:t>
            </w:r>
          </w:p>
        </w:tc>
        <w:tc>
          <w:tcPr>
            <w:tcW w:w="137" w:type="dxa"/>
            <w:tcBorders/>
            <w:shd w:fill="CCEEFF" w:val="clear"/>
            <w:vAlign w:val="bottom"/>
          </w:tcPr>
          <w:p>
            <w:pPr>
              <w:pStyle w:val="TableContents"/>
              <w:spacing w:before="0" w:after="0"/>
              <w:ind w:left="0" w:right="0" w:hanging="0"/>
              <w:rPr/>
            </w:pPr>
            <w:r>
              <w:rPr/>
              <w:t> </w:t>
            </w:r>
          </w:p>
        </w:tc>
      </w:tr>
      <w:tr>
        <w:trPr/>
        <w:tc>
          <w:tcPr>
            <w:tcW w:w="2836" w:type="dxa"/>
            <w:tcBorders/>
            <w:shd w:fill="auto" w:val="clear"/>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68" w:type="dxa"/>
            <w:tcBorders/>
            <w:shd w:fill="auto" w:val="clear"/>
            <w:vAlign w:val="bottom"/>
          </w:tcPr>
          <w:p>
            <w:pPr>
              <w:pStyle w:val="TableContents"/>
              <w:spacing w:before="0" w:after="0"/>
              <w:ind w:left="0" w:right="0" w:hanging="0"/>
              <w:rPr/>
            </w:pPr>
            <w:r>
              <w:rPr/>
              <w:t> </w:t>
            </w:r>
          </w:p>
        </w:tc>
        <w:tc>
          <w:tcPr>
            <w:tcW w:w="12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(6,104</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(4,534</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6" w:type="dxa"/>
            <w:tcBorders/>
            <w:shd w:fill="CCEEFF" w:val="clear"/>
          </w:tcPr>
          <w:p>
            <w:pPr>
              <w:pStyle w:val="TableContents"/>
              <w:spacing w:before="0" w:after="0"/>
              <w:ind w:left="0" w:right="0" w:hanging="0"/>
              <w:rPr/>
            </w:pPr>
            <w:r>
              <w:rPr>
                <w:rFonts w:ascii="Times New Roman" w:hAnsi="Times New Roman"/>
                <w:sz w:val="17"/>
              </w:rPr>
              <w:t xml:space="preserve">Field operating costs (excluding equity compensation charge) </w:t>
            </w:r>
            <w:r>
              <w:rPr>
                <w:sz w:val="11"/>
              </w:rPr>
              <w:t>(1)</w:t>
            </w:r>
          </w:p>
        </w:tc>
        <w:tc>
          <w:tcPr>
            <w:tcW w:w="168" w:type="dxa"/>
            <w:tcBorders/>
            <w:shd w:fill="CCEEFF" w:val="clear"/>
            <w:vAlign w:val="bottom"/>
          </w:tcPr>
          <w:p>
            <w:pPr>
              <w:pStyle w:val="TableContents"/>
              <w:spacing w:before="0" w:after="0"/>
              <w:ind w:left="0" w:right="0" w:hanging="0"/>
              <w:rPr/>
            </w:pPr>
            <w:r>
              <w:rPr/>
              <w:t> </w:t>
            </w:r>
          </w:p>
        </w:tc>
        <w:tc>
          <w:tcPr>
            <w:tcW w:w="12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charge - operations</w:t>
            </w:r>
          </w:p>
        </w:tc>
        <w:tc>
          <w:tcPr>
            <w:tcW w:w="168" w:type="dxa"/>
            <w:tcBorders/>
            <w:shd w:fill="auto" w:val="clear"/>
            <w:vAlign w:val="bottom"/>
          </w:tcPr>
          <w:p>
            <w:pPr>
              <w:pStyle w:val="TableContents"/>
              <w:spacing w:before="0" w:after="0"/>
              <w:ind w:left="0" w:right="0" w:hanging="0"/>
              <w:rPr/>
            </w:pPr>
            <w:r>
              <w:rPr/>
              <w:t> </w:t>
            </w:r>
          </w:p>
        </w:tc>
        <w:tc>
          <w:tcPr>
            <w:tcW w:w="12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7" w:type="dxa"/>
            <w:tcBorders/>
            <w:shd w:fill="auto" w:val="clear"/>
            <w:vAlign w:val="bottom"/>
          </w:tcPr>
          <w:p>
            <w:pPr>
              <w:pStyle w:val="TableContents"/>
              <w:spacing w:before="0" w:after="0"/>
              <w:ind w:left="0" w:right="0" w:hanging="0"/>
              <w:rPr/>
            </w:pPr>
            <w:r>
              <w:rPr/>
              <w:t> </w:t>
            </w:r>
          </w:p>
        </w:tc>
      </w:tr>
      <w:tr>
        <w:trPr/>
        <w:tc>
          <w:tcPr>
            <w:tcW w:w="2836" w:type="dxa"/>
            <w:tcBorders/>
            <w:shd w:fill="CCEEFF" w:val="clear"/>
          </w:tcPr>
          <w:p>
            <w:pPr>
              <w:pStyle w:val="TableContents"/>
              <w:spacing w:before="0" w:after="0"/>
              <w:ind w:left="0" w:right="0" w:hanging="0"/>
              <w:rPr/>
            </w:pPr>
            <w:r>
              <w:rPr>
                <w:rFonts w:ascii="Times New Roman" w:hAnsi="Times New Roman"/>
                <w:sz w:val="17"/>
              </w:rPr>
              <w:t xml:space="preserve">Segment G&amp;A expenses (excluding equity compensation charge) </w:t>
            </w:r>
            <w:r>
              <w:rPr>
                <w:sz w:val="11"/>
              </w:rPr>
              <w:t>(2)</w:t>
            </w:r>
          </w:p>
        </w:tc>
        <w:tc>
          <w:tcPr>
            <w:tcW w:w="168" w:type="dxa"/>
            <w:tcBorders/>
            <w:shd w:fill="CCEEFF" w:val="clear"/>
            <w:vAlign w:val="bottom"/>
          </w:tcPr>
          <w:p>
            <w:pPr>
              <w:pStyle w:val="TableContents"/>
              <w:spacing w:before="0" w:after="0"/>
              <w:ind w:left="0" w:right="0" w:hanging="0"/>
              <w:rPr/>
            </w:pPr>
            <w:r>
              <w:rPr/>
              <w:t> </w:t>
            </w:r>
          </w:p>
        </w:tc>
        <w:tc>
          <w:tcPr>
            <w:tcW w:w="12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charge - general and administrative</w:t>
            </w:r>
          </w:p>
        </w:tc>
        <w:tc>
          <w:tcPr>
            <w:tcW w:w="168" w:type="dxa"/>
            <w:tcBorders/>
            <w:shd w:fill="auto" w:val="clear"/>
            <w:vAlign w:val="bottom"/>
          </w:tcPr>
          <w:p>
            <w:pPr>
              <w:pStyle w:val="TableContents"/>
              <w:spacing w:before="0" w:after="0"/>
              <w:ind w:left="0" w:right="0" w:hanging="0"/>
              <w:rPr/>
            </w:pPr>
            <w:r>
              <w:rPr/>
              <w:t> </w:t>
            </w:r>
          </w:p>
        </w:tc>
        <w:tc>
          <w:tcPr>
            <w:tcW w:w="12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8" w:type="dxa"/>
            <w:tcBorders/>
            <w:shd w:fill="CCEEFF" w:val="clear"/>
            <w:vAlign w:val="bottom"/>
          </w:tcPr>
          <w:p>
            <w:pPr>
              <w:pStyle w:val="TableContents"/>
              <w:spacing w:before="0" w:after="0"/>
              <w:ind w:left="0" w:right="0" w:hanging="0"/>
              <w:rPr/>
            </w:pPr>
            <w:r>
              <w:rPr/>
              <w:t> </w:t>
            </w:r>
          </w:p>
        </w:tc>
        <w:tc>
          <w:tcPr>
            <w:tcW w:w="12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CCEEFF" w:val="clear"/>
            <w:vAlign w:val="bottom"/>
          </w:tcPr>
          <w:p>
            <w:pPr>
              <w:pStyle w:val="TableContents"/>
              <w:spacing w:before="0" w:after="0"/>
              <w:ind w:left="0" w:right="0" w:hanging="0"/>
              <w:rPr/>
            </w:pPr>
            <w:r>
              <w:rPr/>
              <w:t> </w:t>
            </w:r>
          </w:p>
        </w:tc>
        <w:tc>
          <w:tcPr>
            <w:tcW w:w="92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92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12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CCEEFF" w:val="clear"/>
            <w:vAlign w:val="bottom"/>
          </w:tcPr>
          <w:p>
            <w:pPr>
              <w:pStyle w:val="TableContents"/>
              <w:spacing w:before="0" w:after="0"/>
              <w:ind w:left="0" w:right="0" w:hanging="0"/>
              <w:rPr/>
            </w:pPr>
            <w:r>
              <w:rPr/>
              <w:t> </w:t>
            </w:r>
          </w:p>
        </w:tc>
        <w:tc>
          <w:tcPr>
            <w:tcW w:w="92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CCEEFF" w:val="clear"/>
            <w:vAlign w:val="bottom"/>
          </w:tcPr>
          <w:p>
            <w:pPr>
              <w:pStyle w:val="TableContents"/>
              <w:spacing w:before="0" w:after="0"/>
              <w:ind w:left="0" w:right="0" w:hanging="0"/>
              <w:rPr/>
            </w:pPr>
            <w:r>
              <w:rPr/>
              <w:t> </w:t>
            </w:r>
          </w:p>
        </w:tc>
        <w:tc>
          <w:tcPr>
            <w:tcW w:w="92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7" w:type="dxa"/>
            <w:tcBorders/>
            <w:shd w:fill="CCEEFF" w:val="clear"/>
            <w:vAlign w:val="bottom"/>
          </w:tcPr>
          <w:p>
            <w:pPr>
              <w:pStyle w:val="TableContents"/>
              <w:spacing w:before="0" w:after="0"/>
              <w:ind w:left="0" w:right="0" w:hanging="0"/>
              <w:rPr/>
            </w:pPr>
            <w:r>
              <w:rPr/>
              <w:t> </w:t>
            </w:r>
          </w:p>
        </w:tc>
      </w:tr>
      <w:tr>
        <w:trPr/>
        <w:tc>
          <w:tcPr>
            <w:tcW w:w="28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68" w:type="dxa"/>
            <w:tcBorders/>
            <w:shd w:fill="auto" w:val="clear"/>
            <w:vAlign w:val="bottom"/>
          </w:tcPr>
          <w:p>
            <w:pPr>
              <w:pStyle w:val="TableContents"/>
              <w:spacing w:before="0" w:after="0"/>
              <w:ind w:left="0" w:right="0" w:hanging="0"/>
              <w:rPr/>
            </w:pPr>
            <w:r>
              <w:rPr/>
              <w:t> </w:t>
            </w:r>
          </w:p>
        </w:tc>
        <w:tc>
          <w:tcPr>
            <w:tcW w:w="26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83" w:type="dxa"/>
            <w:tcBorders/>
            <w:shd w:fill="auto" w:val="clear"/>
            <w:vAlign w:val="bottom"/>
          </w:tcPr>
          <w:p>
            <w:pPr>
              <w:pStyle w:val="TableContents"/>
              <w:spacing w:before="0" w:after="0"/>
              <w:ind w:left="0" w:right="0" w:hanging="0"/>
              <w:rPr/>
            </w:pPr>
            <w:r>
              <w:rPr/>
              <w:t> </w:t>
            </w:r>
          </w:p>
        </w:tc>
        <w:tc>
          <w:tcPr>
            <w:tcW w:w="18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83" w:type="dxa"/>
            <w:tcBorders/>
            <w:shd w:fill="auto" w:val="clear"/>
            <w:vAlign w:val="bottom"/>
          </w:tcPr>
          <w:p>
            <w:pPr>
              <w:pStyle w:val="TableContents"/>
              <w:spacing w:before="0" w:after="0"/>
              <w:ind w:left="0" w:right="0" w:hanging="0"/>
              <w:rPr/>
            </w:pPr>
            <w:r>
              <w:rPr/>
              <w:t> </w:t>
            </w:r>
          </w:p>
        </w:tc>
        <w:tc>
          <w:tcPr>
            <w:tcW w:w="15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auto" w:val="clear"/>
            <w:vAlign w:val="bottom"/>
          </w:tcPr>
          <w:p>
            <w:pPr>
              <w:pStyle w:val="TableContents"/>
              <w:spacing w:before="0" w:after="0"/>
              <w:ind w:left="0" w:right="0" w:hanging="0"/>
              <w:rPr/>
            </w:pPr>
            <w:r>
              <w:rPr/>
              <w:t> </w:t>
            </w:r>
          </w:p>
        </w:tc>
        <w:tc>
          <w:tcPr>
            <w:tcW w:w="26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83" w:type="dxa"/>
            <w:tcBorders/>
            <w:shd w:fill="auto" w:val="clear"/>
            <w:vAlign w:val="bottom"/>
          </w:tcPr>
          <w:p>
            <w:pPr>
              <w:pStyle w:val="TableContents"/>
              <w:spacing w:before="0" w:after="0"/>
              <w:ind w:left="0" w:right="0" w:hanging="0"/>
              <w:rPr/>
            </w:pPr>
            <w:r>
              <w:rPr/>
              <w:t> </w:t>
            </w:r>
          </w:p>
        </w:tc>
        <w:tc>
          <w:tcPr>
            <w:tcW w:w="21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83" w:type="dxa"/>
            <w:tcBorders/>
            <w:shd w:fill="auto" w:val="clear"/>
            <w:vAlign w:val="bottom"/>
          </w:tcPr>
          <w:p>
            <w:pPr>
              <w:pStyle w:val="TableContents"/>
              <w:spacing w:before="0" w:after="0"/>
              <w:ind w:left="0" w:right="0" w:hanging="0"/>
              <w:rPr/>
            </w:pPr>
            <w:r>
              <w:rPr/>
              <w:t> </w:t>
            </w:r>
          </w:p>
        </w:tc>
        <w:tc>
          <w:tcPr>
            <w:tcW w:w="15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37" w:type="dxa"/>
            <w:tcBorders/>
            <w:shd w:fill="auto" w:val="clear"/>
            <w:vAlign w:val="bottom"/>
          </w:tcPr>
          <w:p>
            <w:pPr>
              <w:pStyle w:val="TableContents"/>
              <w:spacing w:before="0" w:after="0"/>
              <w:ind w:left="0" w:right="0" w:hanging="0"/>
              <w:rPr/>
            </w:pPr>
            <w:r>
              <w:rPr/>
              <w:t> </w:t>
            </w:r>
          </w:p>
        </w:tc>
      </w:tr>
      <w:tr>
        <w:trPr/>
        <w:tc>
          <w:tcPr>
            <w:tcW w:w="2836"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pPr>
            <w:r>
              <w:rPr/>
              <w:t> </w:t>
            </w:r>
          </w:p>
        </w:tc>
        <w:tc>
          <w:tcPr>
            <w:tcW w:w="1217"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217"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28"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28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segment profit:</w:t>
            </w:r>
          </w:p>
        </w:tc>
        <w:tc>
          <w:tcPr>
            <w:tcW w:w="168" w:type="dxa"/>
            <w:tcBorders/>
            <w:shd w:fill="auto" w:val="clear"/>
            <w:vAlign w:val="bottom"/>
          </w:tcPr>
          <w:p>
            <w:pPr>
              <w:pStyle w:val="TableContents"/>
              <w:spacing w:before="0" w:after="0"/>
              <w:ind w:left="0" w:right="0" w:hanging="0"/>
              <w:rPr/>
            </w:pPr>
            <w:r>
              <w:rPr/>
              <w:t> </w:t>
            </w:r>
          </w:p>
        </w:tc>
        <w:tc>
          <w:tcPr>
            <w:tcW w:w="1217"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217"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928" w:type="dxa"/>
            <w:gridSpan w:val="2"/>
            <w:tcBorders/>
            <w:shd w:fill="auto" w:val="clear"/>
            <w:vAlign w:val="bottom"/>
          </w:tcPr>
          <w:p>
            <w:pPr>
              <w:pStyle w:val="TableContents"/>
              <w:spacing w:before="0" w:after="0"/>
              <w:ind w:left="0" w:right="0" w:hanging="0"/>
              <w:jc w:val="right"/>
              <w:rPr/>
            </w:pPr>
            <w:r>
              <w:rPr/>
              <w:t> </w:t>
            </w:r>
          </w:p>
        </w:tc>
        <w:tc>
          <w:tcPr>
            <w:tcW w:w="137" w:type="dxa"/>
            <w:tcBorders/>
            <w:shd w:fill="auto" w:val="clear"/>
            <w:vAlign w:val="bottom"/>
          </w:tcPr>
          <w:p>
            <w:pPr>
              <w:pStyle w:val="TableContents"/>
              <w:spacing w:before="0" w:after="0"/>
              <w:ind w:left="0" w:right="0" w:hanging="0"/>
              <w:rPr/>
            </w:pPr>
            <w:r>
              <w:rPr/>
              <w:t> </w:t>
            </w:r>
          </w:p>
        </w:tc>
      </w:tr>
      <w:tr>
        <w:trPr/>
        <w:tc>
          <w:tcPr>
            <w:tcW w:w="2836" w:type="dxa"/>
            <w:tcBorders/>
            <w:shd w:fill="CCEEFF" w:val="clear"/>
          </w:tcPr>
          <w:p>
            <w:pPr>
              <w:pStyle w:val="TableContents"/>
              <w:spacing w:before="0" w:after="0"/>
              <w:ind w:left="0" w:right="0" w:hanging="0"/>
              <w:rPr/>
            </w:pPr>
            <w:r>
              <w:rPr>
                <w:rFonts w:ascii="Times New Roman" w:hAnsi="Times New Roman"/>
                <w:sz w:val="17"/>
              </w:rPr>
              <w:t xml:space="preserve">Equity compensation charge </w:t>
            </w:r>
            <w:r>
              <w:rPr>
                <w:sz w:val="11"/>
              </w:rPr>
              <w:t>(3)</w:t>
            </w:r>
          </w:p>
        </w:tc>
        <w:tc>
          <w:tcPr>
            <w:tcW w:w="168" w:type="dxa"/>
            <w:tcBorders/>
            <w:shd w:fill="CCEEFF" w:val="clear"/>
            <w:vAlign w:val="bottom"/>
          </w:tcPr>
          <w:p>
            <w:pPr>
              <w:pStyle w:val="TableContents"/>
              <w:spacing w:before="0" w:after="0"/>
              <w:ind w:left="0" w:right="0" w:hanging="0"/>
              <w:rPr/>
            </w:pPr>
            <w:r>
              <w:rPr/>
              <w:t> </w:t>
            </w:r>
          </w:p>
        </w:tc>
        <w:tc>
          <w:tcPr>
            <w:tcW w:w="12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3"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CCEEFF" w:val="clear"/>
            <w:vAlign w:val="bottom"/>
          </w:tcPr>
          <w:p>
            <w:pPr>
              <w:pStyle w:val="TableContents"/>
              <w:spacing w:before="0" w:after="0"/>
              <w:ind w:left="0" w:right="0" w:hanging="0"/>
              <w:rPr/>
            </w:pPr>
            <w:r>
              <w:rPr/>
              <w:t> </w:t>
            </w:r>
          </w:p>
        </w:tc>
        <w:tc>
          <w:tcPr>
            <w:tcW w:w="12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3"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CCEEFF" w:val="clear"/>
            <w:vAlign w:val="bottom"/>
          </w:tcPr>
          <w:p>
            <w:pPr>
              <w:pStyle w:val="TableContents"/>
              <w:spacing w:before="0" w:after="0"/>
              <w:ind w:left="0" w:right="0" w:hanging="0"/>
              <w:rPr/>
            </w:pPr>
            <w:r>
              <w:rPr/>
              <w:t> </w:t>
            </w:r>
          </w:p>
        </w:tc>
        <w:tc>
          <w:tcPr>
            <w:tcW w:w="9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7" w:type="dxa"/>
            <w:tcBorders/>
            <w:shd w:fill="CCEEFF" w:val="clear"/>
            <w:vAlign w:val="bottom"/>
          </w:tcPr>
          <w:p>
            <w:pPr>
              <w:pStyle w:val="TableContents"/>
              <w:spacing w:before="0" w:after="0"/>
              <w:ind w:left="0" w:right="0" w:hanging="0"/>
              <w:rPr/>
            </w:pPr>
            <w:r>
              <w:rPr/>
              <w:t> </w:t>
            </w:r>
          </w:p>
        </w:tc>
      </w:tr>
      <w:tr>
        <w:trPr/>
        <w:tc>
          <w:tcPr>
            <w:tcW w:w="2836" w:type="dxa"/>
            <w:tcBorders/>
            <w:shd w:fill="auto" w:val="clear"/>
          </w:tcPr>
          <w:p>
            <w:pPr>
              <w:pStyle w:val="TableContents"/>
              <w:spacing w:before="0" w:after="0"/>
              <w:ind w:left="0" w:right="0" w:hanging="0"/>
              <w:rPr/>
            </w:pPr>
            <w:r>
              <w:rPr>
                <w:rFonts w:ascii="Times New Roman" w:hAnsi="Times New Roman"/>
                <w:sz w:val="17"/>
              </w:rPr>
              <w:t xml:space="preserve">(Gains)/losses from other derivative activities </w:t>
            </w:r>
            <w:r>
              <w:rPr>
                <w:sz w:val="11"/>
              </w:rPr>
              <w:t>(4) (5)</w:t>
            </w:r>
          </w:p>
        </w:tc>
        <w:tc>
          <w:tcPr>
            <w:tcW w:w="168" w:type="dxa"/>
            <w:tcBorders/>
            <w:shd w:fill="auto" w:val="clear"/>
            <w:vAlign w:val="bottom"/>
          </w:tcPr>
          <w:p>
            <w:pPr>
              <w:pStyle w:val="TableContents"/>
              <w:spacing w:before="0" w:after="0"/>
              <w:ind w:left="0" w:right="0" w:hanging="0"/>
              <w:rPr/>
            </w:pPr>
            <w:r>
              <w:rPr/>
              <w:t> </w:t>
            </w:r>
          </w:p>
        </w:tc>
        <w:tc>
          <w:tcPr>
            <w:tcW w:w="12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83" w:type="dxa"/>
            <w:tcBorders/>
            <w:shd w:fill="auto" w:val="clear"/>
            <w:vAlign w:val="bottom"/>
          </w:tcPr>
          <w:p>
            <w:pPr>
              <w:pStyle w:val="TableContents"/>
              <w:spacing w:before="0" w:after="0"/>
              <w:ind w:left="0" w:right="0" w:hanging="0"/>
              <w:rPr/>
            </w:pPr>
            <w:r>
              <w:rPr/>
              <w:t> </w:t>
            </w:r>
          </w:p>
        </w:tc>
        <w:tc>
          <w:tcPr>
            <w:tcW w:w="12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168" w:type="dxa"/>
            <w:tcBorders/>
            <w:shd w:fill="CCEEFF" w:val="clear"/>
            <w:vAlign w:val="bottom"/>
          </w:tcPr>
          <w:p>
            <w:pPr>
              <w:pStyle w:val="TableContents"/>
              <w:spacing w:before="0" w:after="0"/>
              <w:ind w:left="0" w:right="0" w:hanging="0"/>
              <w:rPr/>
            </w:pPr>
            <w:r>
              <w:rPr/>
              <w:t> </w:t>
            </w:r>
          </w:p>
        </w:tc>
        <w:tc>
          <w:tcPr>
            <w:tcW w:w="1217"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3" w:type="dxa"/>
            <w:tcBorders/>
            <w:shd w:fill="CCEEFF" w:val="clear"/>
            <w:vAlign w:val="bottom"/>
          </w:tcPr>
          <w:p>
            <w:pPr>
              <w:pStyle w:val="TableContents"/>
              <w:spacing w:before="0" w:after="0"/>
              <w:ind w:left="0" w:right="0" w:hanging="0"/>
              <w:rPr/>
            </w:pPr>
            <w:r>
              <w:rPr/>
              <w:t> </w:t>
            </w:r>
          </w:p>
        </w:tc>
        <w:tc>
          <w:tcPr>
            <w:tcW w:w="929"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CCEEFF" w:val="clear"/>
            <w:vAlign w:val="bottom"/>
          </w:tcPr>
          <w:p>
            <w:pPr>
              <w:pStyle w:val="TableContents"/>
              <w:spacing w:before="0" w:after="0"/>
              <w:ind w:left="0" w:right="0" w:hanging="0"/>
              <w:rPr/>
            </w:pPr>
            <w:r>
              <w:rPr/>
              <w:t> </w:t>
            </w:r>
          </w:p>
        </w:tc>
        <w:tc>
          <w:tcPr>
            <w:tcW w:w="929"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83" w:type="dxa"/>
            <w:tcBorders/>
            <w:shd w:fill="CCEEFF" w:val="clear"/>
            <w:vAlign w:val="bottom"/>
          </w:tcPr>
          <w:p>
            <w:pPr>
              <w:pStyle w:val="TableContents"/>
              <w:spacing w:before="0" w:after="0"/>
              <w:ind w:left="0" w:right="0" w:hanging="0"/>
              <w:rPr/>
            </w:pPr>
            <w:r>
              <w:rPr/>
              <w:t> </w:t>
            </w:r>
          </w:p>
        </w:tc>
        <w:tc>
          <w:tcPr>
            <w:tcW w:w="1217"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3" w:type="dxa"/>
            <w:tcBorders/>
            <w:shd w:fill="CCEEFF" w:val="clear"/>
            <w:vAlign w:val="bottom"/>
          </w:tcPr>
          <w:p>
            <w:pPr>
              <w:pStyle w:val="TableContents"/>
              <w:spacing w:before="0" w:after="0"/>
              <w:ind w:left="0" w:right="0" w:hanging="0"/>
              <w:rPr/>
            </w:pPr>
            <w:r>
              <w:rPr/>
              <w:t> </w:t>
            </w:r>
          </w:p>
        </w:tc>
        <w:tc>
          <w:tcPr>
            <w:tcW w:w="929"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CCEEFF" w:val="clear"/>
            <w:vAlign w:val="bottom"/>
          </w:tcPr>
          <w:p>
            <w:pPr>
              <w:pStyle w:val="TableContents"/>
              <w:spacing w:before="0" w:after="0"/>
              <w:ind w:left="0" w:right="0" w:hanging="0"/>
              <w:rPr/>
            </w:pPr>
            <w:r>
              <w:rPr/>
              <w:t> </w:t>
            </w:r>
          </w:p>
        </w:tc>
        <w:tc>
          <w:tcPr>
            <w:tcW w:w="928"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68"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83"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83"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83"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83" w:type="dxa"/>
            <w:tcBorders/>
            <w:shd w:fill="auto" w:val="clear"/>
            <w:vAlign w:val="bottom"/>
          </w:tcPr>
          <w:p>
            <w:pPr>
              <w:pStyle w:val="TableContents"/>
              <w:spacing w:before="0" w:after="0"/>
              <w:ind w:left="0" w:right="0" w:hanging="0"/>
              <w:rPr/>
            </w:pPr>
            <w:r>
              <w:rPr/>
              <w:t> </w:t>
            </w:r>
          </w:p>
        </w:tc>
        <w:tc>
          <w:tcPr>
            <w:tcW w:w="2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83" w:type="dxa"/>
            <w:tcBorders/>
            <w:shd w:fill="auto" w:val="clear"/>
            <w:vAlign w:val="bottom"/>
          </w:tcPr>
          <w:p>
            <w:pPr>
              <w:pStyle w:val="TableContents"/>
              <w:spacing w:before="0" w:after="0"/>
              <w:ind w:left="0" w:right="0" w:hanging="0"/>
              <w:rPr/>
            </w:pPr>
            <w:r>
              <w:rPr/>
              <w:t> </w:t>
            </w:r>
          </w:p>
        </w:tc>
        <w:tc>
          <w:tcPr>
            <w:tcW w:w="15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37" w:type="dxa"/>
            <w:tcBorders/>
            <w:shd w:fill="auto" w:val="clear"/>
            <w:vAlign w:val="bottom"/>
          </w:tcPr>
          <w:p>
            <w:pPr>
              <w:pStyle w:val="TableContents"/>
              <w:spacing w:before="0" w:after="0"/>
              <w:ind w:left="0" w:right="0" w:hanging="0"/>
              <w:rPr/>
            </w:pPr>
            <w:r>
              <w:rPr/>
              <w:t> </w:t>
            </w:r>
          </w:p>
        </w:tc>
      </w:tr>
      <w:tr>
        <w:trPr/>
        <w:tc>
          <w:tcPr>
            <w:tcW w:w="2836"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pPr>
            <w:r>
              <w:rPr/>
              <w:t> </w:t>
            </w:r>
          </w:p>
        </w:tc>
        <w:tc>
          <w:tcPr>
            <w:tcW w:w="1217"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217"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28"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28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8"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83"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3"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3" w:type="dxa"/>
            <w:tcBorders/>
            <w:shd w:fill="auto" w:val="clear"/>
            <w:vAlign w:val="bottom"/>
          </w:tcPr>
          <w:p>
            <w:pPr>
              <w:pStyle w:val="TableContents"/>
              <w:spacing w:before="0" w:after="0"/>
              <w:ind w:left="0" w:right="0" w:hanging="0"/>
              <w:rPr/>
            </w:pPr>
            <w:r>
              <w:rPr/>
              <w:t> </w:t>
            </w:r>
          </w:p>
        </w:tc>
        <w:tc>
          <w:tcPr>
            <w:tcW w:w="2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auto" w:val="clear"/>
            <w:vAlign w:val="bottom"/>
          </w:tcPr>
          <w:p>
            <w:pPr>
              <w:pStyle w:val="TableContents"/>
              <w:spacing w:before="0" w:after="0"/>
              <w:ind w:left="0" w:right="0" w:hanging="0"/>
              <w:rPr/>
            </w:pPr>
            <w:r>
              <w:rPr/>
              <w:t> </w:t>
            </w:r>
          </w:p>
        </w:tc>
        <w:tc>
          <w:tcPr>
            <w:tcW w:w="15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00"/>
        <w:gridCol w:w="165"/>
        <w:gridCol w:w="262"/>
        <w:gridCol w:w="953"/>
        <w:gridCol w:w="181"/>
        <w:gridCol w:w="182"/>
        <w:gridCol w:w="742"/>
        <w:gridCol w:w="181"/>
        <w:gridCol w:w="145"/>
        <w:gridCol w:w="818"/>
        <w:gridCol w:w="181"/>
        <w:gridCol w:w="262"/>
        <w:gridCol w:w="953"/>
        <w:gridCol w:w="181"/>
        <w:gridCol w:w="182"/>
        <w:gridCol w:w="742"/>
        <w:gridCol w:w="181"/>
        <w:gridCol w:w="145"/>
        <w:gridCol w:w="818"/>
        <w:gridCol w:w="131"/>
      </w:tblGrid>
      <w:tr>
        <w:trPr/>
        <w:tc>
          <w:tcPr>
            <w:tcW w:w="280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jc w:val="center"/>
              <w:rPr/>
            </w:pPr>
            <w:r>
              <w:rPr/>
              <w:t> </w:t>
            </w:r>
          </w:p>
        </w:tc>
        <w:tc>
          <w:tcPr>
            <w:tcW w:w="346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81" w:type="dxa"/>
            <w:tcBorders/>
            <w:shd w:fill="auto" w:val="clear"/>
            <w:vAlign w:val="bottom"/>
          </w:tcPr>
          <w:p>
            <w:pPr>
              <w:pStyle w:val="TableContents"/>
              <w:spacing w:before="0" w:after="0"/>
              <w:ind w:left="0" w:right="0" w:hanging="0"/>
              <w:jc w:val="center"/>
              <w:rPr/>
            </w:pPr>
            <w:r>
              <w:rPr/>
              <w:t> </w:t>
            </w:r>
          </w:p>
        </w:tc>
        <w:tc>
          <w:tcPr>
            <w:tcW w:w="346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1" w:type="dxa"/>
            <w:tcBorders/>
            <w:shd w:fill="auto" w:val="clear"/>
            <w:vAlign w:val="bottom"/>
          </w:tcPr>
          <w:p>
            <w:pPr>
              <w:pStyle w:val="TableContents"/>
              <w:spacing w:before="0" w:after="0"/>
              <w:ind w:left="0" w:right="0" w:hanging="0"/>
              <w:jc w:val="center"/>
              <w:rPr/>
            </w:pPr>
            <w:r>
              <w:rPr/>
              <w:t> </w:t>
            </w:r>
          </w:p>
        </w:tc>
      </w:tr>
      <w:tr>
        <w:trPr/>
        <w:tc>
          <w:tcPr>
            <w:tcW w:w="280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jc w:val="center"/>
              <w:rPr/>
            </w:pPr>
            <w:r>
              <w:rPr/>
              <w:t> </w:t>
            </w:r>
          </w:p>
        </w:tc>
        <w:tc>
          <w:tcPr>
            <w:tcW w:w="346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2010</w:t>
            </w:r>
          </w:p>
        </w:tc>
        <w:tc>
          <w:tcPr>
            <w:tcW w:w="181" w:type="dxa"/>
            <w:tcBorders/>
            <w:shd w:fill="auto" w:val="clear"/>
            <w:vAlign w:val="bottom"/>
          </w:tcPr>
          <w:p>
            <w:pPr>
              <w:pStyle w:val="TableContents"/>
              <w:spacing w:before="0" w:after="0"/>
              <w:ind w:left="0" w:right="0" w:hanging="0"/>
              <w:jc w:val="center"/>
              <w:rPr/>
            </w:pPr>
            <w:r>
              <w:rPr/>
              <w:t> </w:t>
            </w:r>
          </w:p>
        </w:tc>
        <w:tc>
          <w:tcPr>
            <w:tcW w:w="346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2009</w:t>
            </w:r>
          </w:p>
        </w:tc>
        <w:tc>
          <w:tcPr>
            <w:tcW w:w="131" w:type="dxa"/>
            <w:tcBorders/>
            <w:shd w:fill="auto" w:val="clear"/>
            <w:vAlign w:val="bottom"/>
          </w:tcPr>
          <w:p>
            <w:pPr>
              <w:pStyle w:val="TableContents"/>
              <w:spacing w:before="0" w:after="0"/>
              <w:ind w:left="0" w:right="0" w:hanging="0"/>
              <w:jc w:val="center"/>
              <w:rPr/>
            </w:pPr>
            <w:r>
              <w:rPr/>
              <w:t> </w:t>
            </w:r>
          </w:p>
        </w:tc>
      </w:tr>
      <w:tr>
        <w:trPr/>
        <w:tc>
          <w:tcPr>
            <w:tcW w:w="280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jc w:val="center"/>
              <w:rPr/>
            </w:pPr>
            <w:r>
              <w:rPr/>
              <w:t> </w:t>
            </w:r>
          </w:p>
        </w:tc>
        <w:tc>
          <w:tcPr>
            <w:tcW w:w="1215" w:type="dxa"/>
            <w:gridSpan w:val="2"/>
            <w:tcBorders/>
            <w:shd w:fill="auto" w:val="clear"/>
            <w:vAlign w:val="bottom"/>
          </w:tcPr>
          <w:p>
            <w:pPr>
              <w:pStyle w:val="TableContents"/>
              <w:spacing w:before="0" w:after="0"/>
              <w:ind w:left="0" w:right="0" w:hanging="0"/>
              <w:jc w:val="center"/>
              <w:rPr/>
            </w:pPr>
            <w:r>
              <w:rPr/>
              <w:t> </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2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6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w:t>
            </w:r>
          </w:p>
        </w:tc>
        <w:tc>
          <w:tcPr>
            <w:tcW w:w="181" w:type="dxa"/>
            <w:tcBorders/>
            <w:shd w:fill="auto" w:val="clear"/>
            <w:vAlign w:val="bottom"/>
          </w:tcPr>
          <w:p>
            <w:pPr>
              <w:pStyle w:val="TableContents"/>
              <w:spacing w:before="0" w:after="0"/>
              <w:ind w:left="0" w:right="0" w:hanging="0"/>
              <w:jc w:val="center"/>
              <w:rPr/>
            </w:pPr>
            <w:r>
              <w:rPr/>
              <w:t> </w:t>
            </w:r>
          </w:p>
        </w:tc>
        <w:tc>
          <w:tcPr>
            <w:tcW w:w="1215" w:type="dxa"/>
            <w:gridSpan w:val="2"/>
            <w:tcBorders/>
            <w:shd w:fill="auto" w:val="clear"/>
            <w:vAlign w:val="bottom"/>
          </w:tcPr>
          <w:p>
            <w:pPr>
              <w:pStyle w:val="TableContents"/>
              <w:spacing w:before="0" w:after="0"/>
              <w:ind w:left="0" w:right="0" w:hanging="0"/>
              <w:jc w:val="center"/>
              <w:rPr/>
            </w:pPr>
            <w:r>
              <w:rPr/>
              <w:t> </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2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6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w:t>
            </w:r>
          </w:p>
        </w:tc>
        <w:tc>
          <w:tcPr>
            <w:tcW w:w="131" w:type="dxa"/>
            <w:tcBorders/>
            <w:shd w:fill="auto" w:val="clear"/>
            <w:vAlign w:val="bottom"/>
          </w:tcPr>
          <w:p>
            <w:pPr>
              <w:pStyle w:val="TableContents"/>
              <w:spacing w:before="0" w:after="0"/>
              <w:ind w:left="0" w:right="0" w:hanging="0"/>
              <w:jc w:val="center"/>
              <w:rPr/>
            </w:pPr>
            <w:r>
              <w:rPr/>
              <w:t> </w:t>
            </w:r>
          </w:p>
        </w:tc>
      </w:tr>
      <w:tr>
        <w:trPr/>
        <w:tc>
          <w:tcPr>
            <w:tcW w:w="280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jc w:val="center"/>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1" w:type="dxa"/>
            <w:tcBorders/>
            <w:shd w:fill="auto" w:val="clear"/>
            <w:vAlign w:val="bottom"/>
          </w:tcPr>
          <w:p>
            <w:pPr>
              <w:pStyle w:val="TableContents"/>
              <w:spacing w:before="0" w:after="0"/>
              <w:ind w:left="0" w:right="0" w:hanging="0"/>
              <w:jc w:val="center"/>
              <w:rPr/>
            </w:pPr>
            <w:r>
              <w:rPr/>
              <w:t> </w:t>
            </w:r>
          </w:p>
        </w:tc>
        <w:tc>
          <w:tcPr>
            <w:tcW w:w="9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1" w:type="dxa"/>
            <w:tcBorders/>
            <w:shd w:fill="auto" w:val="clear"/>
            <w:vAlign w:val="bottom"/>
          </w:tcPr>
          <w:p>
            <w:pPr>
              <w:pStyle w:val="TableContents"/>
              <w:spacing w:before="0" w:after="0"/>
              <w:ind w:left="0" w:right="0" w:hanging="0"/>
              <w:jc w:val="center"/>
              <w:rPr/>
            </w:pPr>
            <w:r>
              <w:rPr/>
              <w:t> </w:t>
            </w:r>
          </w:p>
        </w:tc>
        <w:tc>
          <w:tcPr>
            <w:tcW w:w="9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81" w:type="dxa"/>
            <w:tcBorders/>
            <w:shd w:fill="auto" w:val="clear"/>
            <w:vAlign w:val="bottom"/>
          </w:tcPr>
          <w:p>
            <w:pPr>
              <w:pStyle w:val="TableContents"/>
              <w:spacing w:before="0" w:after="0"/>
              <w:ind w:left="0" w:right="0" w:hanging="0"/>
              <w:jc w:val="center"/>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1" w:type="dxa"/>
            <w:tcBorders/>
            <w:shd w:fill="auto" w:val="clear"/>
            <w:vAlign w:val="bottom"/>
          </w:tcPr>
          <w:p>
            <w:pPr>
              <w:pStyle w:val="TableContents"/>
              <w:spacing w:before="0" w:after="0"/>
              <w:ind w:left="0" w:right="0" w:hanging="0"/>
              <w:jc w:val="center"/>
              <w:rPr/>
            </w:pPr>
            <w:r>
              <w:rPr/>
              <w:t> </w:t>
            </w:r>
          </w:p>
        </w:tc>
        <w:tc>
          <w:tcPr>
            <w:tcW w:w="9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1" w:type="dxa"/>
            <w:tcBorders/>
            <w:shd w:fill="auto" w:val="clear"/>
            <w:vAlign w:val="bottom"/>
          </w:tcPr>
          <w:p>
            <w:pPr>
              <w:pStyle w:val="TableContents"/>
              <w:spacing w:before="0" w:after="0"/>
              <w:ind w:left="0" w:right="0" w:hanging="0"/>
              <w:jc w:val="center"/>
              <w:rPr/>
            </w:pPr>
            <w:r>
              <w:rPr/>
              <w:t> </w:t>
            </w:r>
          </w:p>
        </w:tc>
        <w:tc>
          <w:tcPr>
            <w:tcW w:w="9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1" w:type="dxa"/>
            <w:tcBorders/>
            <w:shd w:fill="auto" w:val="clear"/>
            <w:vAlign w:val="bottom"/>
          </w:tcPr>
          <w:p>
            <w:pPr>
              <w:pStyle w:val="TableContents"/>
              <w:spacing w:before="0" w:after="0"/>
              <w:ind w:left="0" w:right="0" w:hanging="0"/>
              <w:jc w:val="center"/>
              <w:rPr/>
            </w:pPr>
            <w:r>
              <w:rPr/>
              <w:t> </w:t>
            </w:r>
          </w:p>
        </w:tc>
      </w:tr>
      <w:tr>
        <w:trPr/>
        <w:tc>
          <w:tcPr>
            <w:tcW w:w="2800" w:type="dxa"/>
            <w:tcBorders/>
            <w:shd w:fill="CCEEFF" w:val="clear"/>
          </w:tcPr>
          <w:p>
            <w:pPr>
              <w:pStyle w:val="TableContents"/>
              <w:spacing w:before="0" w:after="0"/>
              <w:ind w:left="0" w:right="0" w:hanging="0"/>
              <w:rPr/>
            </w:pPr>
            <w:r>
              <w:rPr>
                <w:rFonts w:ascii="Times New Roman" w:hAnsi="Times New Roman"/>
                <w:sz w:val="17"/>
              </w:rPr>
              <w:t xml:space="preserve">Revenues </w:t>
            </w:r>
            <w:r>
              <w:rPr>
                <w:sz w:val="11"/>
              </w:rPr>
              <w:t>(1)</w:t>
            </w:r>
          </w:p>
        </w:tc>
        <w:tc>
          <w:tcPr>
            <w:tcW w:w="165"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81"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81"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17,993</w:t>
            </w:r>
          </w:p>
        </w:tc>
        <w:tc>
          <w:tcPr>
            <w:tcW w:w="181"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w:t>
            </w:r>
          </w:p>
        </w:tc>
        <w:tc>
          <w:tcPr>
            <w:tcW w:w="181"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181"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11,877</w:t>
            </w:r>
          </w:p>
        </w:tc>
        <w:tc>
          <w:tcPr>
            <w:tcW w:w="131" w:type="dxa"/>
            <w:tcBorders/>
            <w:shd w:fill="CCEEFF" w:val="clear"/>
            <w:vAlign w:val="bottom"/>
          </w:tcPr>
          <w:p>
            <w:pPr>
              <w:pStyle w:val="TableContents"/>
              <w:spacing w:before="0" w:after="0"/>
              <w:ind w:left="0" w:right="0" w:hanging="0"/>
              <w:rPr/>
            </w:pPr>
            <w:r>
              <w:rPr/>
              <w:t> </w:t>
            </w:r>
          </w:p>
        </w:tc>
      </w:tr>
      <w:tr>
        <w:trPr/>
        <w:tc>
          <w:tcPr>
            <w:tcW w:w="2800" w:type="dxa"/>
            <w:tcBorders/>
            <w:shd w:fill="auto" w:val="clear"/>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65"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(17,625</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(11,389</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0" w:type="dxa"/>
            <w:tcBorders/>
            <w:shd w:fill="CCEEFF" w:val="clear"/>
          </w:tcPr>
          <w:p>
            <w:pPr>
              <w:pStyle w:val="TableContents"/>
              <w:spacing w:before="0" w:after="0"/>
              <w:ind w:left="0" w:right="0" w:hanging="0"/>
              <w:rPr/>
            </w:pPr>
            <w:r>
              <w:rPr>
                <w:rFonts w:ascii="Times New Roman" w:hAnsi="Times New Roman"/>
                <w:sz w:val="17"/>
              </w:rPr>
              <w:t xml:space="preserve">Field operating costs (excluding equity compensation charge) </w:t>
            </w:r>
            <w:r>
              <w:rPr>
                <w:sz w:val="11"/>
              </w:rPr>
              <w:t>(1)</w:t>
            </w:r>
          </w:p>
        </w:tc>
        <w:tc>
          <w:tcPr>
            <w:tcW w:w="165"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charge - operations</w:t>
            </w:r>
          </w:p>
        </w:tc>
        <w:tc>
          <w:tcPr>
            <w:tcW w:w="165"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0" w:type="dxa"/>
            <w:tcBorders/>
            <w:shd w:fill="CCEEFF" w:val="clear"/>
          </w:tcPr>
          <w:p>
            <w:pPr>
              <w:pStyle w:val="TableContents"/>
              <w:spacing w:before="0" w:after="0"/>
              <w:ind w:left="0" w:right="0" w:hanging="0"/>
              <w:rPr/>
            </w:pPr>
            <w:r>
              <w:rPr>
                <w:rFonts w:ascii="Times New Roman" w:hAnsi="Times New Roman"/>
                <w:sz w:val="17"/>
              </w:rPr>
              <w:t xml:space="preserve">Segment G&amp;A expenses (excluding equity compensation charge) </w:t>
            </w:r>
            <w:r>
              <w:rPr>
                <w:sz w:val="11"/>
              </w:rPr>
              <w:t>(2)</w:t>
            </w:r>
          </w:p>
        </w:tc>
        <w:tc>
          <w:tcPr>
            <w:tcW w:w="165"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charge - general and administrative</w:t>
            </w:r>
          </w:p>
        </w:tc>
        <w:tc>
          <w:tcPr>
            <w:tcW w:w="165"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5" w:type="dxa"/>
            <w:tcBorders/>
            <w:shd w:fill="CCEEFF"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1" w:type="dxa"/>
            <w:tcBorders/>
            <w:shd w:fill="CCEEFF" w:val="clear"/>
            <w:vAlign w:val="bottom"/>
          </w:tcPr>
          <w:p>
            <w:pPr>
              <w:pStyle w:val="TableContents"/>
              <w:spacing w:before="0" w:after="0"/>
              <w:ind w:left="0" w:right="0" w:hanging="0"/>
              <w:rPr/>
            </w:pPr>
            <w:r>
              <w:rPr/>
              <w:t> </w:t>
            </w:r>
          </w:p>
        </w:tc>
        <w:tc>
          <w:tcPr>
            <w:tcW w:w="9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9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1" w:type="dxa"/>
            <w:tcBorders/>
            <w:shd w:fill="CCEEFF" w:val="clear"/>
            <w:vAlign w:val="bottom"/>
          </w:tcPr>
          <w:p>
            <w:pPr>
              <w:pStyle w:val="TableContents"/>
              <w:spacing w:before="0" w:after="0"/>
              <w:ind w:left="0" w:right="0" w:hanging="0"/>
              <w:rPr/>
            </w:pPr>
            <w:r>
              <w:rPr/>
              <w:t> </w:t>
            </w:r>
          </w:p>
        </w:tc>
        <w:tc>
          <w:tcPr>
            <w:tcW w:w="9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1" w:type="dxa"/>
            <w:tcBorders/>
            <w:shd w:fill="CCEEFF" w:val="clear"/>
            <w:vAlign w:val="bottom"/>
          </w:tcPr>
          <w:p>
            <w:pPr>
              <w:pStyle w:val="TableContents"/>
              <w:spacing w:before="0" w:after="0"/>
              <w:ind w:left="0" w:right="0" w:hanging="0"/>
              <w:rPr/>
            </w:pPr>
            <w:r>
              <w:rPr/>
              <w:t> </w:t>
            </w:r>
          </w:p>
        </w:tc>
        <w:tc>
          <w:tcPr>
            <w:tcW w:w="9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1" w:type="dxa"/>
            <w:tcBorders/>
            <w:shd w:fill="CCEEFF" w:val="clear"/>
            <w:vAlign w:val="bottom"/>
          </w:tcPr>
          <w:p>
            <w:pPr>
              <w:pStyle w:val="TableContents"/>
              <w:spacing w:before="0" w:after="0"/>
              <w:ind w:left="0" w:right="0" w:hanging="0"/>
              <w:rPr/>
            </w:pPr>
            <w:r>
              <w:rPr/>
              <w:t> </w:t>
            </w:r>
          </w:p>
        </w:tc>
      </w:tr>
      <w:tr>
        <w:trPr/>
        <w:tc>
          <w:tcPr>
            <w:tcW w:w="28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65" w:type="dxa"/>
            <w:tcBorders/>
            <w:shd w:fill="auto" w:val="clear"/>
            <w:vAlign w:val="bottom"/>
          </w:tcPr>
          <w:p>
            <w:pPr>
              <w:pStyle w:val="TableContents"/>
              <w:spacing w:before="0" w:after="0"/>
              <w:ind w:left="0" w:right="0" w:hanging="0"/>
              <w:rPr/>
            </w:pPr>
            <w:r>
              <w:rPr/>
              <w:t> </w:t>
            </w:r>
          </w:p>
        </w:tc>
        <w:tc>
          <w:tcPr>
            <w:tcW w:w="26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181" w:type="dxa"/>
            <w:tcBorders/>
            <w:shd w:fill="auto" w:val="clear"/>
            <w:vAlign w:val="bottom"/>
          </w:tcPr>
          <w:p>
            <w:pPr>
              <w:pStyle w:val="TableContents"/>
              <w:spacing w:before="0" w:after="0"/>
              <w:ind w:left="0" w:right="0" w:hanging="0"/>
              <w:rPr/>
            </w:pPr>
            <w:r>
              <w:rPr/>
              <w:t> </w:t>
            </w:r>
          </w:p>
        </w:tc>
        <w:tc>
          <w:tcPr>
            <w:tcW w:w="18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181" w:type="dxa"/>
            <w:tcBorders/>
            <w:shd w:fill="auto" w:val="clear"/>
            <w:vAlign w:val="bottom"/>
          </w:tcPr>
          <w:p>
            <w:pPr>
              <w:pStyle w:val="TableContents"/>
              <w:spacing w:before="0" w:after="0"/>
              <w:ind w:left="0" w:right="0" w:hanging="0"/>
              <w:rPr/>
            </w:pPr>
            <w:r>
              <w:rPr/>
              <w:t> </w:t>
            </w:r>
          </w:p>
        </w:tc>
        <w:tc>
          <w:tcPr>
            <w:tcW w:w="14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81" w:type="dxa"/>
            <w:tcBorders/>
            <w:shd w:fill="auto" w:val="clear"/>
            <w:vAlign w:val="bottom"/>
          </w:tcPr>
          <w:p>
            <w:pPr>
              <w:pStyle w:val="TableContents"/>
              <w:spacing w:before="0" w:after="0"/>
              <w:ind w:left="0" w:right="0" w:hanging="0"/>
              <w:rPr/>
            </w:pPr>
            <w:r>
              <w:rPr/>
              <w:t> </w:t>
            </w:r>
          </w:p>
        </w:tc>
        <w:tc>
          <w:tcPr>
            <w:tcW w:w="26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w:t>
            </w:r>
          </w:p>
        </w:tc>
        <w:tc>
          <w:tcPr>
            <w:tcW w:w="181" w:type="dxa"/>
            <w:tcBorders/>
            <w:shd w:fill="auto" w:val="clear"/>
            <w:vAlign w:val="bottom"/>
          </w:tcPr>
          <w:p>
            <w:pPr>
              <w:pStyle w:val="TableContents"/>
              <w:spacing w:before="0" w:after="0"/>
              <w:ind w:left="0" w:right="0" w:hanging="0"/>
              <w:rPr/>
            </w:pPr>
            <w:r>
              <w:rPr/>
              <w:t> </w:t>
            </w:r>
          </w:p>
        </w:tc>
        <w:tc>
          <w:tcPr>
            <w:tcW w:w="18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81" w:type="dxa"/>
            <w:tcBorders/>
            <w:shd w:fill="auto" w:val="clear"/>
            <w:vAlign w:val="bottom"/>
          </w:tcPr>
          <w:p>
            <w:pPr>
              <w:pStyle w:val="TableContents"/>
              <w:spacing w:before="0" w:after="0"/>
              <w:ind w:left="0" w:right="0" w:hanging="0"/>
              <w:rPr/>
            </w:pPr>
            <w:r>
              <w:rPr/>
              <w:t> </w:t>
            </w:r>
          </w:p>
        </w:tc>
        <w:tc>
          <w:tcPr>
            <w:tcW w:w="14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131" w:type="dxa"/>
            <w:tcBorders/>
            <w:shd w:fill="auto" w:val="clear"/>
            <w:vAlign w:val="bottom"/>
          </w:tcPr>
          <w:p>
            <w:pPr>
              <w:pStyle w:val="TableContents"/>
              <w:spacing w:before="0" w:after="0"/>
              <w:ind w:left="0" w:right="0" w:hanging="0"/>
              <w:rPr/>
            </w:pPr>
            <w:r>
              <w:rPr/>
              <w:t> </w:t>
            </w:r>
          </w:p>
        </w:tc>
      </w:tr>
      <w:tr>
        <w:trPr/>
        <w:tc>
          <w:tcPr>
            <w:tcW w:w="2800"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924"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963"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924"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963"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28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segment profit:</w:t>
            </w:r>
          </w:p>
        </w:tc>
        <w:tc>
          <w:tcPr>
            <w:tcW w:w="165"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924"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963"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924"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963"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2800" w:type="dxa"/>
            <w:tcBorders/>
            <w:shd w:fill="CCEEFF" w:val="clear"/>
          </w:tcPr>
          <w:p>
            <w:pPr>
              <w:pStyle w:val="TableContents"/>
              <w:spacing w:before="0" w:after="0"/>
              <w:ind w:left="0" w:right="0" w:hanging="0"/>
              <w:rPr/>
            </w:pPr>
            <w:r>
              <w:rPr>
                <w:rFonts w:ascii="Times New Roman" w:hAnsi="Times New Roman"/>
                <w:sz w:val="17"/>
              </w:rPr>
              <w:t xml:space="preserve">Equity compensation charge </w:t>
            </w:r>
            <w:r>
              <w:rPr>
                <w:sz w:val="11"/>
              </w:rPr>
              <w:t>(3)</w:t>
            </w:r>
          </w:p>
        </w:tc>
        <w:tc>
          <w:tcPr>
            <w:tcW w:w="165"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1" w:type="dxa"/>
            <w:tcBorders/>
            <w:shd w:fill="CCEEFF" w:val="clear"/>
            <w:vAlign w:val="bottom"/>
          </w:tcPr>
          <w:p>
            <w:pPr>
              <w:pStyle w:val="TableContents"/>
              <w:spacing w:before="0" w:after="0"/>
              <w:ind w:left="0" w:right="0" w:hanging="0"/>
              <w:rPr/>
            </w:pPr>
            <w:r>
              <w:rPr/>
              <w:t> </w:t>
            </w:r>
          </w:p>
        </w:tc>
        <w:tc>
          <w:tcPr>
            <w:tcW w:w="9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1" w:type="dxa"/>
            <w:tcBorders/>
            <w:shd w:fill="CCEEFF" w:val="clear"/>
            <w:vAlign w:val="bottom"/>
          </w:tcPr>
          <w:p>
            <w:pPr>
              <w:pStyle w:val="TableContents"/>
              <w:spacing w:before="0" w:after="0"/>
              <w:ind w:left="0" w:right="0" w:hanging="0"/>
              <w:rPr/>
            </w:pPr>
            <w:r>
              <w:rPr/>
              <w:t> </w:t>
            </w:r>
          </w:p>
        </w:tc>
        <w:tc>
          <w:tcPr>
            <w:tcW w:w="9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1"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1" w:type="dxa"/>
            <w:tcBorders/>
            <w:shd w:fill="CCEEFF" w:val="clear"/>
            <w:vAlign w:val="bottom"/>
          </w:tcPr>
          <w:p>
            <w:pPr>
              <w:pStyle w:val="TableContents"/>
              <w:spacing w:before="0" w:after="0"/>
              <w:ind w:left="0" w:right="0" w:hanging="0"/>
              <w:rPr/>
            </w:pPr>
            <w:r>
              <w:rPr/>
              <w:t> </w:t>
            </w:r>
          </w:p>
        </w:tc>
        <w:tc>
          <w:tcPr>
            <w:tcW w:w="9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1" w:type="dxa"/>
            <w:tcBorders/>
            <w:shd w:fill="CCEEFF" w:val="clear"/>
            <w:vAlign w:val="bottom"/>
          </w:tcPr>
          <w:p>
            <w:pPr>
              <w:pStyle w:val="TableContents"/>
              <w:spacing w:before="0" w:after="0"/>
              <w:ind w:left="0" w:right="0" w:hanging="0"/>
              <w:rPr/>
            </w:pPr>
            <w:r>
              <w:rPr/>
              <w:t> </w:t>
            </w:r>
          </w:p>
        </w:tc>
        <w:tc>
          <w:tcPr>
            <w:tcW w:w="9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1" w:type="dxa"/>
            <w:tcBorders/>
            <w:shd w:fill="CCEEFF" w:val="clear"/>
            <w:vAlign w:val="bottom"/>
          </w:tcPr>
          <w:p>
            <w:pPr>
              <w:pStyle w:val="TableContents"/>
              <w:spacing w:before="0" w:after="0"/>
              <w:ind w:left="0" w:right="0" w:hanging="0"/>
              <w:rPr/>
            </w:pPr>
            <w:r>
              <w:rPr/>
              <w:t> </w:t>
            </w:r>
          </w:p>
        </w:tc>
      </w:tr>
      <w:tr>
        <w:trPr/>
        <w:tc>
          <w:tcPr>
            <w:tcW w:w="2800" w:type="dxa"/>
            <w:tcBorders/>
            <w:shd w:fill="auto" w:val="clear"/>
          </w:tcPr>
          <w:p>
            <w:pPr>
              <w:pStyle w:val="TableContents"/>
              <w:spacing w:before="0" w:after="0"/>
              <w:ind w:left="0" w:right="0" w:hanging="0"/>
              <w:rPr/>
            </w:pPr>
            <w:r>
              <w:rPr>
                <w:rFonts w:ascii="Times New Roman" w:hAnsi="Times New Roman"/>
                <w:sz w:val="17"/>
              </w:rPr>
              <w:t xml:space="preserve">Inventory valuation adjustments net of (gains)/losses from related derivative activities </w:t>
            </w:r>
            <w:r>
              <w:rPr>
                <w:sz w:val="11"/>
              </w:rPr>
              <w:t>(4)</w:t>
            </w:r>
          </w:p>
        </w:tc>
        <w:tc>
          <w:tcPr>
            <w:tcW w:w="165"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9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9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9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9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0" w:type="dxa"/>
            <w:tcBorders/>
            <w:shd w:fill="CCEEFF" w:val="clear"/>
          </w:tcPr>
          <w:p>
            <w:pPr>
              <w:pStyle w:val="TableContents"/>
              <w:spacing w:before="0" w:after="0"/>
              <w:ind w:left="0" w:right="0" w:hanging="0"/>
              <w:rPr/>
            </w:pPr>
            <w:r>
              <w:rPr>
                <w:rFonts w:ascii="Times New Roman" w:hAnsi="Times New Roman"/>
                <w:sz w:val="17"/>
              </w:rPr>
              <w:t xml:space="preserve">(Gains)/losses from other derivative activities </w:t>
            </w:r>
            <w:r>
              <w:rPr>
                <w:sz w:val="11"/>
              </w:rPr>
              <w:t>(4) (5)</w:t>
            </w:r>
          </w:p>
        </w:tc>
        <w:tc>
          <w:tcPr>
            <w:tcW w:w="165"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9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9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1"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9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9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(gain)/loss on foreign currency revaluation</w:t>
            </w:r>
          </w:p>
        </w:tc>
        <w:tc>
          <w:tcPr>
            <w:tcW w:w="165" w:type="dxa"/>
            <w:tcBorders/>
            <w:shd w:fill="auto"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9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9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9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9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165" w:type="dxa"/>
            <w:tcBorders/>
            <w:shd w:fill="CCEEFF"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1" w:type="dxa"/>
            <w:tcBorders/>
            <w:shd w:fill="CCEEFF" w:val="clear"/>
            <w:vAlign w:val="bottom"/>
          </w:tcPr>
          <w:p>
            <w:pPr>
              <w:pStyle w:val="TableContents"/>
              <w:spacing w:before="0" w:after="0"/>
              <w:ind w:left="0" w:right="0" w:hanging="0"/>
              <w:rPr/>
            </w:pPr>
            <w:r>
              <w:rPr/>
              <w:t> </w:t>
            </w:r>
          </w:p>
        </w:tc>
        <w:tc>
          <w:tcPr>
            <w:tcW w:w="9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1" w:type="dxa"/>
            <w:tcBorders/>
            <w:shd w:fill="CCEEFF" w:val="clear"/>
            <w:vAlign w:val="bottom"/>
          </w:tcPr>
          <w:p>
            <w:pPr>
              <w:pStyle w:val="TableContents"/>
              <w:spacing w:before="0" w:after="0"/>
              <w:ind w:left="0" w:right="0" w:hanging="0"/>
              <w:rPr/>
            </w:pPr>
            <w:r>
              <w:rPr/>
              <w:t> </w:t>
            </w:r>
          </w:p>
        </w:tc>
        <w:tc>
          <w:tcPr>
            <w:tcW w:w="9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1" w:type="dxa"/>
            <w:tcBorders/>
            <w:shd w:fill="CCEEFF"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1" w:type="dxa"/>
            <w:tcBorders/>
            <w:shd w:fill="CCEEFF" w:val="clear"/>
            <w:vAlign w:val="bottom"/>
          </w:tcPr>
          <w:p>
            <w:pPr>
              <w:pStyle w:val="TableContents"/>
              <w:spacing w:before="0" w:after="0"/>
              <w:ind w:left="0" w:right="0" w:hanging="0"/>
              <w:rPr/>
            </w:pPr>
            <w:r>
              <w:rPr/>
              <w:t> </w:t>
            </w:r>
          </w:p>
        </w:tc>
        <w:tc>
          <w:tcPr>
            <w:tcW w:w="9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1" w:type="dxa"/>
            <w:tcBorders/>
            <w:shd w:fill="CCEEFF" w:val="clear"/>
            <w:vAlign w:val="bottom"/>
          </w:tcPr>
          <w:p>
            <w:pPr>
              <w:pStyle w:val="TableContents"/>
              <w:spacing w:before="0" w:after="0"/>
              <w:ind w:left="0" w:right="0" w:hanging="0"/>
              <w:rPr/>
            </w:pPr>
            <w:r>
              <w:rPr/>
              <w:t> </w:t>
            </w:r>
          </w:p>
        </w:tc>
        <w:tc>
          <w:tcPr>
            <w:tcW w:w="9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65"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411</w:t>
            </w:r>
          </w:p>
        </w:tc>
        <w:tc>
          <w:tcPr>
            <w:tcW w:w="181"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181"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181"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373</w:t>
            </w:r>
          </w:p>
        </w:tc>
        <w:tc>
          <w:tcPr>
            <w:tcW w:w="181"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81"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w:t>
            </w:r>
          </w:p>
        </w:tc>
        <w:tc>
          <w:tcPr>
            <w:tcW w:w="131" w:type="dxa"/>
            <w:tcBorders/>
            <w:shd w:fill="auto" w:val="clear"/>
            <w:vAlign w:val="bottom"/>
          </w:tcPr>
          <w:p>
            <w:pPr>
              <w:pStyle w:val="TableContents"/>
              <w:spacing w:before="0" w:after="0"/>
              <w:ind w:left="0" w:right="0" w:hanging="0"/>
              <w:rPr/>
            </w:pPr>
            <w:r>
              <w:rPr/>
              <w:t> </w:t>
            </w:r>
          </w:p>
        </w:tc>
      </w:tr>
      <w:tr>
        <w:trPr/>
        <w:tc>
          <w:tcPr>
            <w:tcW w:w="2800"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924"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963"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924"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963"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28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5"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81"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1"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1"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81"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1"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832"/>
        <w:gridCol w:w="208"/>
        <w:gridCol w:w="9165"/>
      </w:tblGrid>
      <w:tr>
        <w:trPr/>
        <w:tc>
          <w:tcPr>
            <w:tcW w:w="832"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08" w:type="dxa"/>
            <w:tcBorders/>
            <w:shd w:fill="auto" w:val="clear"/>
            <w:vAlign w:val="bottom"/>
          </w:tcPr>
          <w:p>
            <w:pPr>
              <w:pStyle w:val="TableContents"/>
              <w:spacing w:before="0" w:after="0"/>
              <w:ind w:left="0" w:right="0" w:hanging="0"/>
              <w:rPr/>
            </w:pPr>
            <w:r>
              <w:rPr/>
              <w:t> </w:t>
            </w:r>
          </w:p>
        </w:tc>
        <w:tc>
          <w:tcPr>
            <w:tcW w:w="9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intersegment amounts.</w:t>
            </w:r>
          </w:p>
        </w:tc>
      </w:tr>
      <w:tr>
        <w:trPr/>
        <w:tc>
          <w:tcPr>
            <w:tcW w:w="832"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08" w:type="dxa"/>
            <w:tcBorders/>
            <w:shd w:fill="auto" w:val="clear"/>
            <w:vAlign w:val="bottom"/>
          </w:tcPr>
          <w:p>
            <w:pPr>
              <w:pStyle w:val="TableContents"/>
              <w:spacing w:before="0" w:after="0"/>
              <w:ind w:left="0" w:right="0" w:hanging="0"/>
              <w:rPr/>
            </w:pPr>
            <w:r>
              <w:rPr/>
              <w:t> </w:t>
            </w:r>
          </w:p>
        </w:tc>
        <w:tc>
          <w:tcPr>
            <w:tcW w:w="9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tc>
      </w:tr>
      <w:tr>
        <w:trPr/>
        <w:tc>
          <w:tcPr>
            <w:tcW w:w="832"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208" w:type="dxa"/>
            <w:tcBorders/>
            <w:shd w:fill="auto" w:val="clear"/>
            <w:vAlign w:val="bottom"/>
          </w:tcPr>
          <w:p>
            <w:pPr>
              <w:pStyle w:val="TableContents"/>
              <w:spacing w:before="0" w:after="0"/>
              <w:ind w:left="0" w:right="0" w:hanging="0"/>
              <w:rPr/>
            </w:pPr>
            <w:r>
              <w:rPr/>
              <w:t> </w:t>
            </w:r>
          </w:p>
        </w:tc>
        <w:tc>
          <w:tcPr>
            <w:tcW w:w="9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equity compensation charges for the three and nine months ended September 30, 2010 and 2009 exclude the portion of the equity compensation expense represented by grants under the LTIP Plans that, pursuant to the terms of the grant, will be settled in cash only and have no impact on diluted units. The portion of the equity compensation expense attributable to the cash portion of the LTIP Plans is approximately $7 million and $4 million for the three month periods ended September 30, 2010 and 2009, respectively, and approximately $16 million and $11 million for the nine months ended September 30, 2010 and 2009, respectively.</w:t>
            </w:r>
          </w:p>
        </w:tc>
      </w:tr>
      <w:tr>
        <w:trPr/>
        <w:tc>
          <w:tcPr>
            <w:tcW w:w="832"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208" w:type="dxa"/>
            <w:tcBorders/>
            <w:shd w:fill="auto" w:val="clear"/>
            <w:vAlign w:val="bottom"/>
          </w:tcPr>
          <w:p>
            <w:pPr>
              <w:pStyle w:val="TableContents"/>
              <w:spacing w:before="0" w:after="0"/>
              <w:ind w:left="0" w:right="0" w:hanging="0"/>
              <w:rPr/>
            </w:pPr>
            <w:r>
              <w:rPr/>
              <w:t> </w:t>
            </w:r>
          </w:p>
        </w:tc>
        <w:tc>
          <w:tcPr>
            <w:tcW w:w="9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Gains and losses from derivative activities related to revalued inventory are included in the line item Inventory valuation adjustments net of (gains)/losses from related derivative activities; gains and losses from derivative activities not related to revalued inventory are included in the line item (Gains)/losses from other derivative activities.</w:t>
            </w:r>
          </w:p>
        </w:tc>
      </w:tr>
      <w:tr>
        <w:trPr/>
        <w:tc>
          <w:tcPr>
            <w:tcW w:w="832"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(5)</w:t>
            </w:r>
          </w:p>
        </w:tc>
        <w:tc>
          <w:tcPr>
            <w:tcW w:w="208" w:type="dxa"/>
            <w:tcBorders/>
            <w:shd w:fill="auto" w:val="clear"/>
            <w:vAlign w:val="bottom"/>
          </w:tcPr>
          <w:p>
            <w:pPr>
              <w:pStyle w:val="TableContents"/>
              <w:spacing w:before="0" w:after="0"/>
              <w:ind w:left="0" w:right="0" w:hanging="0"/>
              <w:rPr/>
            </w:pPr>
            <w:r>
              <w:rPr/>
              <w:t> </w:t>
            </w:r>
          </w:p>
        </w:tc>
        <w:tc>
          <w:tcPr>
            <w:tcW w:w="9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Gains and losses from other derivative activities for the three-month periods ended September 30, 2010 and 2009 include gains of approximately $1 million and losses of approximately $1 million, respectively, related to interest rate derivatives, which are included in other income, net and interest expense, but do not impact segment profit. Gains and losses from other derivative activities for the nine month periods ended September 30, 2010 and 2009 include gains of approximately $4 million and losses of approximately $1 million, respectively, related to interest rate derivatives, which are included in other income, net and interest expense, but do not impact segment profit.</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bookmarkStart w:id="20" w:name="PB_4_045129_2897"/>
      <w:bookmarkEnd w:id="2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Transportation segment for the third quarter of 2010 increased 5% over comparable 2009 results, benefitting from higher volumes, favorable foreign exchange rates and higher pipeline loss allowance revenue partially offset by higher operating and general and administrative expenses.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Facilities segment for the third quarter of 2010 increased 27% over comparable 2009 results primarily due to acquisition and organic growth.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Supply and Logistics segment for the third quarter of 2010 increased 30% over comparable 2009 results primarily due to the benefit of more favorable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basic weighted average units outstanding for the third quarter of 2010 totaled 136 million (137 million diluted) as compared to 130 million (131 million diluted) in last years third quarter. On September 30, 2010, the Partnership had approximately 136.4 million units outstanding, long-term debt of approximately $4.6 billion ($500 million of which supports hedged inventory) and an adjusted long-term debt-to-total capitalization ratio of 49%.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has declared a quarterly distribution of $0.9500 per unit ($3.80 per unit on an annualized basis) payable November 12, 2010 on its outstanding limited partner units. This distribution represents an increase of approximately 3.3% over the quarterly distribution paid in November 2009 and an increase of approximately 0.8% from the August 2010 distribution level.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The Partnership will hold a conference call at 11:00 AM Eastern on November 4</w:t>
      </w:r>
      <w:r>
        <w:rPr>
          <w:rFonts w:ascii="Times New Roman" w:hAnsi="Times New Roman"/>
          <w:sz w:val="11"/>
        </w:rPr>
        <w:t>th</w:t>
      </w:r>
      <w:r>
        <w:rPr>
          <w:rFonts w:ascii="Times New Roman" w:hAnsi="Times New Roman"/>
          <w:sz w:val="17"/>
        </w:rPr>
        <w:t>.  Prior to this conference call, the Partnership will furnish a current report on Form 8-K, which will include material in this press release, financial and operational guidance for the fourth quarter and preliminary 2011 guidance. A copy of the Form 8-K will be available on the Partnerships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this release, the Partnerships EBITDA disclosure is not presented in accordance with generally accepted accounting principles and is not intended to be used in lieu of GAAP presentations of net income or cash flows from operating activities. EBITDA is presented because we believe it provides additional information with respect to both the performance of our fundamental business activities as well as our ability to meet our future debt service, capital expenditures and working capital requirements. We also believe that debt holders commonly use EBITDA to analyze Partnership performance. In addition, we present selected items that impact the comparability of our operating results as additional information that may be helpful to your understanding of our financial results. We consider an understanding of these selected items impacting comparability to be material to our evaluation of our operating results and prospects.  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bookmarkStart w:id="21" w:name="PB_5_045236_3020"/>
      <w:bookmarkEnd w:id="21"/>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reconciliation of net income to EBITDA and EBITDA to cash flows from operating activities for the periods presented is included in the tables attached to this release. In addition, the Partnership maintains on its website (www.paalp.com) a reconciliation of all non-GAAP financial information, such as EBITDA, to the most comparable GAAP measures. To access the information, investors should click on the Investor Relations link on the Partnerships home page and then the Non-GAAP Reconciliations link on the Investor Relations page.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on planned internal growth projects; maintenance of our credit rating and ability to receive open credit from our suppliers and trade counterparties; continued creditworthiness of, and performance by, our counterparties, including financial institutions and trading companies with which we do business; the effectiveness of our risk management activities; environmental liabilities or events that are not covered by an indemnity, insurance or existing reserves; abrupt or severe declines or interruptions in outer continental shelf production located offshore California and transported on our pipeline systems; shortages or cost increases of power supplies, materials or labor; 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fluctuations in refinery capacity in areas supplied by our mainlines and other factors affecting demand for various grades of crude oil, refined products and natural gas and resulting changes in pricing conditions or transportation throughput requirements; the availability of, and our ability to consummate, acquisition or combination opportunities;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unanticipated changes in crude oil market structure and volatility (or lack thereof); the impact of current and future laws, rulings, governmental regulations, accounting standards and statements and related interpretations; the effects of competition; interruptions in service and fluctuations in tariffs or volumes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future developments and circumstances at the time distributions are declared;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refined products and liquefied petroleum gas and other natural gas related petroleum products discussed in the Partnerships filings with the Securities and Exchange Commission.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bookmarkStart w:id="22" w:name="PB_6_045401_7748"/>
      <w:bookmarkEnd w:id="22"/>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host a conference call at 11:00 AM (Eastern) on Thursday, November 4, 2010 to discuss the following items: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Partnerships third-quarter 2010 performance;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status of major expansion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Capitalization and liquidity;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Financial and operating guidance for the fourth quarter 2010 and preliminary 2011 guidance;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Partnerships outlook for the future.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Webcast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please go to the Partnerships website at www.paalp.com, choose Investor Relations, and then choose Conference Calls.  Following the live webcast, the call will be archived for a period of sixty (60) days on the Partnerships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you are unable to participate in the webcast, you may access the live conference call by dialing toll free 800-230-1092. International callers should dial 612-288-0329. No password is required. You may access the slide presentation accompanying the conference call a few minutes prior to the call under the Conference Call Summaries portion of the Conference Calls tab of the Investor Relations section of PAAs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Telephonic Replay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listen to a telephonic replay of the conference call, please dial 800-475-6701, or, for international callers, 320-365-3844, and replay access code 173756.  The replay will be available beginning Thursday, November 4, 2010, at approximately 12:00 PM (Central) and continue until 11:59 PM (Central) Saturday, December 4,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publicly-traded master limited partnership engaged in the transportation, storage, terminalling and marketing of crude oil, refined products and liquefied petroleum gas and other natural gas related petroleum products. Through its general partner interest and majority equity ownership position in PAA Natural Gas Storage, L.P. (NYSE:PNG), PAA is also engaged in the development and operation of natural gas storage facilities. PAA is headquartered in Houston, Texas.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bookmarkStart w:id="23" w:name="PB_7_045245_7748"/>
      <w:bookmarkEnd w:id="23"/>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CONSOLIDATED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785"/>
        <w:gridCol w:w="212"/>
        <w:gridCol w:w="119"/>
        <w:gridCol w:w="987"/>
        <w:gridCol w:w="216"/>
        <w:gridCol w:w="119"/>
        <w:gridCol w:w="988"/>
        <w:gridCol w:w="215"/>
        <w:gridCol w:w="118"/>
        <w:gridCol w:w="995"/>
        <w:gridCol w:w="215"/>
        <w:gridCol w:w="117"/>
        <w:gridCol w:w="995"/>
        <w:gridCol w:w="124"/>
      </w:tblGrid>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42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5" w:type="dxa"/>
            <w:tcBorders/>
            <w:shd w:fill="auto" w:val="clear"/>
            <w:vAlign w:val="bottom"/>
          </w:tcPr>
          <w:p>
            <w:pPr>
              <w:pStyle w:val="TableContents"/>
              <w:spacing w:before="0" w:after="0"/>
              <w:ind w:left="0" w:right="0" w:hanging="0"/>
              <w:jc w:val="center"/>
              <w:rPr/>
            </w:pPr>
            <w:r>
              <w:rPr/>
              <w:t> </w:t>
            </w:r>
          </w:p>
        </w:tc>
        <w:tc>
          <w:tcPr>
            <w:tcW w:w="244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4" w:type="dxa"/>
            <w:tcBorders/>
            <w:shd w:fill="auto" w:val="clear"/>
            <w:vAlign w:val="bottom"/>
          </w:tcPr>
          <w:p>
            <w:pPr>
              <w:pStyle w:val="TableContents"/>
              <w:spacing w:before="0" w:after="0"/>
              <w:ind w:left="0" w:right="0" w:hanging="0"/>
              <w:jc w:val="center"/>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42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5" w:type="dxa"/>
            <w:tcBorders/>
            <w:shd w:fill="auto" w:val="clear"/>
            <w:vAlign w:val="bottom"/>
          </w:tcPr>
          <w:p>
            <w:pPr>
              <w:pStyle w:val="TableContents"/>
              <w:spacing w:before="0" w:after="0"/>
              <w:ind w:left="0" w:right="0" w:hanging="0"/>
              <w:jc w:val="center"/>
              <w:rPr/>
            </w:pPr>
            <w:r>
              <w:rPr/>
              <w:t> </w:t>
            </w:r>
          </w:p>
        </w:tc>
        <w:tc>
          <w:tcPr>
            <w:tcW w:w="244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4" w:type="dxa"/>
            <w:tcBorders/>
            <w:shd w:fill="auto" w:val="clear"/>
            <w:vAlign w:val="bottom"/>
          </w:tcPr>
          <w:p>
            <w:pPr>
              <w:pStyle w:val="TableContents"/>
              <w:spacing w:before="0" w:after="0"/>
              <w:ind w:left="0" w:right="0" w:hanging="0"/>
              <w:jc w:val="center"/>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1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0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5" w:type="dxa"/>
            <w:tcBorders/>
            <w:shd w:fill="auto" w:val="clear"/>
            <w:vAlign w:val="bottom"/>
          </w:tcPr>
          <w:p>
            <w:pPr>
              <w:pStyle w:val="TableContents"/>
              <w:spacing w:before="0" w:after="0"/>
              <w:ind w:left="0" w:right="0" w:hanging="0"/>
              <w:jc w:val="center"/>
              <w:rPr/>
            </w:pPr>
            <w:r>
              <w:rPr/>
              <w:t> </w:t>
            </w:r>
          </w:p>
        </w:tc>
        <w:tc>
          <w:tcPr>
            <w:tcW w:w="11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1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4" w:type="dxa"/>
            <w:tcBorders/>
            <w:shd w:fill="auto" w:val="clear"/>
            <w:vAlign w:val="bottom"/>
          </w:tcPr>
          <w:p>
            <w:pPr>
              <w:pStyle w:val="TableContents"/>
              <w:spacing w:before="0" w:after="0"/>
              <w:ind w:left="0" w:right="0" w:hanging="0"/>
              <w:jc w:val="center"/>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2"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6,414</w:t>
            </w:r>
          </w:p>
        </w:tc>
        <w:tc>
          <w:tcPr>
            <w:tcW w:w="216"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4,857</w:t>
            </w:r>
          </w:p>
        </w:tc>
        <w:tc>
          <w:tcPr>
            <w:tcW w:w="215"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18,662</w:t>
            </w:r>
          </w:p>
        </w:tc>
        <w:tc>
          <w:tcPr>
            <w:tcW w:w="2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12,442</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5,971</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4,417</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17,233</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11,036</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6,264</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4,691</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18,109</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11,836</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553</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606</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(expense)/benefit</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215"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15"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5"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5"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215"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2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bookmarkStart w:id="24" w:name="PB_8_045245_141"/>
      <w:bookmarkEnd w:id="24"/>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OPERATING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689"/>
        <w:gridCol w:w="207"/>
        <w:gridCol w:w="1146"/>
        <w:gridCol w:w="207"/>
        <w:gridCol w:w="1146"/>
        <w:gridCol w:w="207"/>
        <w:gridCol w:w="1146"/>
        <w:gridCol w:w="207"/>
        <w:gridCol w:w="1146"/>
        <w:gridCol w:w="104"/>
      </w:tblGrid>
      <w:tr>
        <w:trPr/>
        <w:tc>
          <w:tcPr>
            <w:tcW w:w="468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499"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7" w:type="dxa"/>
            <w:tcBorders/>
            <w:shd w:fill="auto" w:val="clear"/>
            <w:vAlign w:val="bottom"/>
          </w:tcPr>
          <w:p>
            <w:pPr>
              <w:pStyle w:val="TableContents"/>
              <w:spacing w:before="0" w:after="0"/>
              <w:ind w:left="0" w:right="0" w:hanging="0"/>
              <w:jc w:val="center"/>
              <w:rPr/>
            </w:pPr>
            <w:r>
              <w:rPr/>
              <w:t> </w:t>
            </w:r>
          </w:p>
        </w:tc>
        <w:tc>
          <w:tcPr>
            <w:tcW w:w="2499"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04" w:type="dxa"/>
            <w:tcBorders/>
            <w:shd w:fill="auto" w:val="clear"/>
            <w:vAlign w:val="bottom"/>
          </w:tcPr>
          <w:p>
            <w:pPr>
              <w:pStyle w:val="TableContents"/>
              <w:spacing w:before="0" w:after="0"/>
              <w:ind w:left="0" w:right="0" w:hanging="0"/>
              <w:jc w:val="center"/>
              <w:rPr/>
            </w:pPr>
            <w:r>
              <w:rPr/>
              <w:t> </w:t>
            </w:r>
          </w:p>
        </w:tc>
      </w:tr>
      <w:tr>
        <w:trPr/>
        <w:tc>
          <w:tcPr>
            <w:tcW w:w="468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499"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7" w:type="dxa"/>
            <w:tcBorders/>
            <w:shd w:fill="auto" w:val="clear"/>
            <w:vAlign w:val="bottom"/>
          </w:tcPr>
          <w:p>
            <w:pPr>
              <w:pStyle w:val="TableContents"/>
              <w:spacing w:before="0" w:after="0"/>
              <w:ind w:left="0" w:right="0" w:hanging="0"/>
              <w:jc w:val="center"/>
              <w:rPr/>
            </w:pPr>
            <w:r>
              <w:rPr/>
              <w:t> </w:t>
            </w:r>
          </w:p>
        </w:tc>
        <w:tc>
          <w:tcPr>
            <w:tcW w:w="2499"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04" w:type="dxa"/>
            <w:tcBorders/>
            <w:shd w:fill="auto" w:val="clear"/>
            <w:vAlign w:val="bottom"/>
          </w:tcPr>
          <w:p>
            <w:pPr>
              <w:pStyle w:val="TableContents"/>
              <w:spacing w:before="0" w:after="0"/>
              <w:ind w:left="0" w:right="0" w:hanging="0"/>
              <w:jc w:val="center"/>
              <w:rPr/>
            </w:pPr>
            <w:r>
              <w:rPr/>
              <w:t> </w:t>
            </w:r>
          </w:p>
        </w:tc>
      </w:tr>
      <w:tr>
        <w:trPr/>
        <w:tc>
          <w:tcPr>
            <w:tcW w:w="468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14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7" w:type="dxa"/>
            <w:tcBorders/>
            <w:shd w:fill="auto" w:val="clear"/>
            <w:vAlign w:val="bottom"/>
          </w:tcPr>
          <w:p>
            <w:pPr>
              <w:pStyle w:val="TableContents"/>
              <w:spacing w:before="0" w:after="0"/>
              <w:ind w:left="0" w:right="0" w:hanging="0"/>
              <w:jc w:val="center"/>
              <w:rPr/>
            </w:pPr>
            <w:r>
              <w:rPr/>
              <w:t> </w:t>
            </w:r>
          </w:p>
        </w:tc>
        <w:tc>
          <w:tcPr>
            <w:tcW w:w="114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04" w:type="dxa"/>
            <w:tcBorders/>
            <w:shd w:fill="auto" w:val="clear"/>
            <w:vAlign w:val="bottom"/>
          </w:tcPr>
          <w:p>
            <w:pPr>
              <w:pStyle w:val="TableContents"/>
              <w:spacing w:before="0" w:after="0"/>
              <w:ind w:left="0" w:right="0" w:hanging="0"/>
              <w:jc w:val="center"/>
              <w:rPr/>
            </w:pPr>
            <w:r>
              <w:rPr/>
              <w:t> </w:t>
            </w:r>
          </w:p>
        </w:tc>
      </w:tr>
      <w:tr>
        <w:trPr/>
        <w:tc>
          <w:tcPr>
            <w:tcW w:w="468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468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Transportation activities (Average Daily Volumes, thousands of barrels):</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46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46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04" w:type="dxa"/>
            <w:tcBorders/>
            <w:shd w:fill="CCEEFF" w:val="clear"/>
            <w:vAlign w:val="bottom"/>
          </w:tcPr>
          <w:p>
            <w:pPr>
              <w:pStyle w:val="TableContents"/>
              <w:spacing w:before="0" w:after="0"/>
              <w:ind w:left="0" w:right="0" w:hanging="0"/>
              <w:rPr/>
            </w:pPr>
            <w:r>
              <w:rPr/>
              <w:t> </w:t>
            </w:r>
          </w:p>
        </w:tc>
      </w:tr>
      <w:tr>
        <w:trPr/>
        <w:tc>
          <w:tcPr>
            <w:tcW w:w="46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335</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389</w:t>
            </w:r>
          </w:p>
        </w:tc>
        <w:tc>
          <w:tcPr>
            <w:tcW w:w="104" w:type="dxa"/>
            <w:tcBorders/>
            <w:shd w:fill="auto" w:val="clear"/>
            <w:vAlign w:val="bottom"/>
          </w:tcPr>
          <w:p>
            <w:pPr>
              <w:pStyle w:val="TableContents"/>
              <w:spacing w:before="0" w:after="0"/>
              <w:ind w:left="0" w:right="0" w:hanging="0"/>
              <w:rPr/>
            </w:pPr>
            <w:r>
              <w:rPr/>
              <w:t> </w:t>
            </w:r>
          </w:p>
        </w:tc>
      </w:tr>
      <w:tr>
        <w:trPr/>
        <w:tc>
          <w:tcPr>
            <w:tcW w:w="46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104" w:type="dxa"/>
            <w:tcBorders/>
            <w:shd w:fill="CCEEFF" w:val="clear"/>
            <w:vAlign w:val="bottom"/>
          </w:tcPr>
          <w:p>
            <w:pPr>
              <w:pStyle w:val="TableContents"/>
              <w:spacing w:before="0" w:after="0"/>
              <w:ind w:left="0" w:right="0" w:hanging="0"/>
              <w:rPr/>
            </w:pPr>
            <w:r>
              <w:rPr/>
              <w:t> </w:t>
            </w:r>
          </w:p>
        </w:tc>
      </w:tr>
      <w:tr>
        <w:trPr/>
        <w:tc>
          <w:tcPr>
            <w:tcW w:w="46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04" w:type="dxa"/>
            <w:tcBorders/>
            <w:shd w:fill="auto" w:val="clear"/>
            <w:vAlign w:val="bottom"/>
          </w:tcPr>
          <w:p>
            <w:pPr>
              <w:pStyle w:val="TableContents"/>
              <w:spacing w:before="0" w:after="0"/>
              <w:ind w:left="0" w:right="0" w:hanging="0"/>
              <w:rPr/>
            </w:pPr>
            <w:r>
              <w:rPr/>
              <w:t> </w:t>
            </w:r>
          </w:p>
        </w:tc>
      </w:tr>
      <w:tr>
        <w:trPr/>
        <w:tc>
          <w:tcPr>
            <w:tcW w:w="4689" w:type="dxa"/>
            <w:tcBorders/>
            <w:shd w:fill="CCEEFF" w:val="clear"/>
          </w:tcPr>
          <w:p>
            <w:pPr>
              <w:pStyle w:val="TableContents"/>
              <w:spacing w:before="0" w:after="0"/>
              <w:ind w:left="0" w:right="0" w:hanging="0"/>
              <w:rPr/>
            </w:pPr>
            <w:r>
              <w:rPr>
                <w:rFonts w:ascii="Times New Roman" w:hAnsi="Times New Roman"/>
                <w:sz w:val="17"/>
              </w:rPr>
              <w:t xml:space="preserve">Salt Lake City Area Systems </w:t>
            </w:r>
            <w:r>
              <w:rPr>
                <w:sz w:val="11"/>
              </w:rPr>
              <w:t>(1)</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104" w:type="dxa"/>
            <w:tcBorders/>
            <w:shd w:fill="CCEEFF" w:val="clear"/>
            <w:vAlign w:val="bottom"/>
          </w:tcPr>
          <w:p>
            <w:pPr>
              <w:pStyle w:val="TableContents"/>
              <w:spacing w:before="0" w:after="0"/>
              <w:ind w:left="0" w:right="0" w:hanging="0"/>
              <w:rPr/>
            </w:pPr>
            <w:r>
              <w:rPr/>
              <w:t> </w:t>
            </w:r>
          </w:p>
        </w:tc>
      </w:tr>
      <w:tr>
        <w:trPr/>
        <w:tc>
          <w:tcPr>
            <w:tcW w:w="4689" w:type="dxa"/>
            <w:tcBorders/>
            <w:shd w:fill="auto" w:val="clear"/>
          </w:tcPr>
          <w:p>
            <w:pPr>
              <w:pStyle w:val="TableContents"/>
              <w:spacing w:before="0" w:after="0"/>
              <w:ind w:left="0" w:right="0" w:hanging="0"/>
              <w:rPr/>
            </w:pPr>
            <w:r>
              <w:rPr>
                <w:rFonts w:ascii="Times New Roman" w:hAnsi="Times New Roman"/>
                <w:sz w:val="17"/>
              </w:rPr>
              <w:t xml:space="preserve">West Texas/New Mexico Area Systems </w:t>
            </w:r>
            <w:r>
              <w:rPr>
                <w:sz w:val="11"/>
              </w:rPr>
              <w:t>(1)</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385</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379</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w:t>
            </w:r>
          </w:p>
        </w:tc>
        <w:tc>
          <w:tcPr>
            <w:tcW w:w="104" w:type="dxa"/>
            <w:tcBorders/>
            <w:shd w:fill="auto" w:val="clear"/>
            <w:vAlign w:val="bottom"/>
          </w:tcPr>
          <w:p>
            <w:pPr>
              <w:pStyle w:val="TableContents"/>
              <w:spacing w:before="0" w:after="0"/>
              <w:ind w:left="0" w:right="0" w:hanging="0"/>
              <w:rPr/>
            </w:pPr>
            <w:r>
              <w:rPr/>
              <w:t> </w:t>
            </w:r>
          </w:p>
        </w:tc>
      </w:tr>
      <w:tr>
        <w:trPr/>
        <w:tc>
          <w:tcPr>
            <w:tcW w:w="46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04" w:type="dxa"/>
            <w:tcBorders/>
            <w:shd w:fill="CCEEFF" w:val="clear"/>
            <w:vAlign w:val="bottom"/>
          </w:tcPr>
          <w:p>
            <w:pPr>
              <w:pStyle w:val="TableContents"/>
              <w:spacing w:before="0" w:after="0"/>
              <w:ind w:left="0" w:right="0" w:hanging="0"/>
              <w:rPr/>
            </w:pPr>
            <w:r>
              <w:rPr/>
              <w:t> </w:t>
            </w:r>
          </w:p>
        </w:tc>
      </w:tr>
      <w:tr>
        <w:trPr/>
        <w:tc>
          <w:tcPr>
            <w:tcW w:w="46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04" w:type="dxa"/>
            <w:tcBorders/>
            <w:shd w:fill="auto" w:val="clear"/>
            <w:vAlign w:val="bottom"/>
          </w:tcPr>
          <w:p>
            <w:pPr>
              <w:pStyle w:val="TableContents"/>
              <w:spacing w:before="0" w:after="0"/>
              <w:ind w:left="0" w:right="0" w:hanging="0"/>
              <w:rPr/>
            </w:pPr>
            <w:r>
              <w:rPr/>
              <w:t> </w:t>
            </w:r>
          </w:p>
        </w:tc>
      </w:tr>
      <w:tr>
        <w:trPr/>
        <w:tc>
          <w:tcPr>
            <w:tcW w:w="46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04" w:type="dxa"/>
            <w:tcBorders/>
            <w:shd w:fill="CCEEFF" w:val="clear"/>
            <w:vAlign w:val="bottom"/>
          </w:tcPr>
          <w:p>
            <w:pPr>
              <w:pStyle w:val="TableContents"/>
              <w:spacing w:before="0" w:after="0"/>
              <w:ind w:left="0" w:right="0" w:hanging="0"/>
              <w:rPr/>
            </w:pPr>
            <w:r>
              <w:rPr/>
              <w:t> </w:t>
            </w:r>
          </w:p>
        </w:tc>
      </w:tr>
      <w:tr>
        <w:trPr/>
        <w:tc>
          <w:tcPr>
            <w:tcW w:w="46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04" w:type="dxa"/>
            <w:tcBorders/>
            <w:shd w:fill="auto" w:val="clear"/>
            <w:vAlign w:val="bottom"/>
          </w:tcPr>
          <w:p>
            <w:pPr>
              <w:pStyle w:val="TableContents"/>
              <w:spacing w:before="0" w:after="0"/>
              <w:ind w:left="0" w:right="0" w:hanging="0"/>
              <w:rPr/>
            </w:pPr>
            <w:r>
              <w:rPr/>
              <w:t> </w:t>
            </w:r>
          </w:p>
        </w:tc>
      </w:tr>
      <w:tr>
        <w:trPr/>
        <w:tc>
          <w:tcPr>
            <w:tcW w:w="46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1,243</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1,219</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1,210</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1,207</w:t>
            </w:r>
          </w:p>
        </w:tc>
        <w:tc>
          <w:tcPr>
            <w:tcW w:w="104" w:type="dxa"/>
            <w:tcBorders/>
            <w:shd w:fill="CCEEFF" w:val="clear"/>
            <w:vAlign w:val="bottom"/>
          </w:tcPr>
          <w:p>
            <w:pPr>
              <w:pStyle w:val="TableContents"/>
              <w:spacing w:before="0" w:after="0"/>
              <w:ind w:left="0" w:right="0" w:hanging="0"/>
              <w:rPr/>
            </w:pPr>
            <w:r>
              <w:rPr/>
              <w:t> </w:t>
            </w:r>
          </w:p>
        </w:tc>
      </w:tr>
      <w:tr>
        <w:trPr/>
        <w:tc>
          <w:tcPr>
            <w:tcW w:w="46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2,973</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2,839</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2,889</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2,880</w:t>
            </w:r>
          </w:p>
        </w:tc>
        <w:tc>
          <w:tcPr>
            <w:tcW w:w="104" w:type="dxa"/>
            <w:tcBorders/>
            <w:shd w:fill="auto" w:val="clear"/>
            <w:vAlign w:val="bottom"/>
          </w:tcPr>
          <w:p>
            <w:pPr>
              <w:pStyle w:val="TableContents"/>
              <w:spacing w:before="0" w:after="0"/>
              <w:ind w:left="0" w:right="0" w:hanging="0"/>
              <w:rPr/>
            </w:pPr>
            <w:r>
              <w:rPr/>
              <w:t> </w:t>
            </w:r>
          </w:p>
        </w:tc>
      </w:tr>
      <w:tr>
        <w:trPr/>
        <w:tc>
          <w:tcPr>
            <w:tcW w:w="46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04" w:type="dxa"/>
            <w:tcBorders/>
            <w:shd w:fill="CCEEFF" w:val="clear"/>
            <w:vAlign w:val="bottom"/>
          </w:tcPr>
          <w:p>
            <w:pPr>
              <w:pStyle w:val="TableContents"/>
              <w:spacing w:before="0" w:after="0"/>
              <w:ind w:left="0" w:right="0" w:hanging="0"/>
              <w:rPr/>
            </w:pPr>
            <w:r>
              <w:rPr/>
              <w:t> </w:t>
            </w:r>
          </w:p>
        </w:tc>
      </w:tr>
      <w:tr>
        <w:trPr/>
        <w:tc>
          <w:tcPr>
            <w:tcW w:w="46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Transportation activities total</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3,072</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2,919</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2,983</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2,964</w:t>
            </w:r>
          </w:p>
        </w:tc>
        <w:tc>
          <w:tcPr>
            <w:tcW w:w="104" w:type="dxa"/>
            <w:tcBorders/>
            <w:shd w:fill="auto" w:val="clear"/>
            <w:vAlign w:val="bottom"/>
          </w:tcPr>
          <w:p>
            <w:pPr>
              <w:pStyle w:val="TableContents"/>
              <w:spacing w:before="0" w:after="0"/>
              <w:ind w:left="0" w:right="0" w:hanging="0"/>
              <w:rPr/>
            </w:pPr>
            <w:r>
              <w:rPr/>
              <w:t> </w:t>
            </w:r>
          </w:p>
        </w:tc>
      </w:tr>
      <w:tr>
        <w:trPr/>
        <w:tc>
          <w:tcPr>
            <w:tcW w:w="4689"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468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Facilities activities (Average Monthly Volumes):</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46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storage (average monthly capacity in millions of barrels)</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04" w:type="dxa"/>
            <w:tcBorders/>
            <w:shd w:fill="CCEEFF" w:val="clear"/>
            <w:vAlign w:val="bottom"/>
          </w:tcPr>
          <w:p>
            <w:pPr>
              <w:pStyle w:val="TableContents"/>
              <w:spacing w:before="0" w:after="0"/>
              <w:ind w:left="0" w:right="0" w:hanging="0"/>
              <w:rPr/>
            </w:pPr>
            <w:r>
              <w:rPr/>
              <w:t> </w:t>
            </w:r>
          </w:p>
        </w:tc>
      </w:tr>
      <w:tr>
        <w:trPr/>
        <w:tc>
          <w:tcPr>
            <w:tcW w:w="46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04" w:type="dxa"/>
            <w:tcBorders/>
            <w:shd w:fill="auto" w:val="clear"/>
            <w:vAlign w:val="bottom"/>
          </w:tcPr>
          <w:p>
            <w:pPr>
              <w:pStyle w:val="TableContents"/>
              <w:spacing w:before="0" w:after="0"/>
              <w:ind w:left="0" w:right="0" w:hanging="0"/>
              <w:rPr/>
            </w:pPr>
            <w:r>
              <w:rPr/>
              <w:t> </w:t>
            </w:r>
          </w:p>
        </w:tc>
      </w:tr>
      <w:tr>
        <w:trPr/>
        <w:tc>
          <w:tcPr>
            <w:tcW w:w="46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 processing (average throughput in thousands of barrels per day)</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04" w:type="dxa"/>
            <w:tcBorders/>
            <w:shd w:fill="CCEEFF" w:val="clear"/>
            <w:vAlign w:val="bottom"/>
          </w:tcPr>
          <w:p>
            <w:pPr>
              <w:pStyle w:val="TableContents"/>
              <w:spacing w:before="0" w:after="0"/>
              <w:ind w:left="0" w:right="0" w:hanging="0"/>
              <w:rPr/>
            </w:pPr>
            <w:r>
              <w:rPr/>
              <w:t> </w:t>
            </w:r>
          </w:p>
        </w:tc>
      </w:tr>
      <w:tr>
        <w:trPr/>
        <w:tc>
          <w:tcPr>
            <w:tcW w:w="4689" w:type="dxa"/>
            <w:tcBorders/>
            <w:shd w:fill="auto" w:val="clear"/>
          </w:tcPr>
          <w:p>
            <w:pPr>
              <w:pStyle w:val="TableContents"/>
              <w:spacing w:before="0" w:after="0"/>
              <w:ind w:left="0" w:right="0" w:hanging="0"/>
              <w:rPr/>
            </w:pPr>
            <w:r>
              <w:rPr>
                <w:rFonts w:ascii="Times New Roman" w:hAnsi="Times New Roman"/>
                <w:sz w:val="17"/>
              </w:rPr>
              <w:t xml:space="preserve">Facilities activities total (average monthly capacity in millions of barrels) </w:t>
            </w:r>
            <w:r>
              <w:rPr>
                <w:sz w:val="11"/>
              </w:rPr>
              <w:t>(2)</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04" w:type="dxa"/>
            <w:tcBorders/>
            <w:shd w:fill="auto" w:val="clear"/>
            <w:vAlign w:val="bottom"/>
          </w:tcPr>
          <w:p>
            <w:pPr>
              <w:pStyle w:val="TableContents"/>
              <w:spacing w:before="0" w:after="0"/>
              <w:ind w:left="0" w:right="0" w:hanging="0"/>
              <w:rPr/>
            </w:pPr>
            <w:r>
              <w:rPr/>
              <w:t> </w:t>
            </w:r>
          </w:p>
        </w:tc>
      </w:tr>
      <w:tr>
        <w:trPr/>
        <w:tc>
          <w:tcPr>
            <w:tcW w:w="4689"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468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Supply &amp; Logistics activities (Average Daily Volumes, thousands of barrels):</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46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622</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602</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615</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w:t>
            </w:r>
          </w:p>
        </w:tc>
        <w:tc>
          <w:tcPr>
            <w:tcW w:w="104" w:type="dxa"/>
            <w:tcBorders/>
            <w:shd w:fill="CCEEFF" w:val="clear"/>
            <w:vAlign w:val="bottom"/>
          </w:tcPr>
          <w:p>
            <w:pPr>
              <w:pStyle w:val="TableContents"/>
              <w:spacing w:before="0" w:after="0"/>
              <w:ind w:left="0" w:right="0" w:hanging="0"/>
              <w:rPr/>
            </w:pPr>
            <w:r>
              <w:rPr/>
              <w:t> </w:t>
            </w:r>
          </w:p>
        </w:tc>
      </w:tr>
      <w:tr>
        <w:trPr/>
        <w:tc>
          <w:tcPr>
            <w:tcW w:w="46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207"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04" w:type="dxa"/>
            <w:tcBorders/>
            <w:shd w:fill="auto" w:val="clear"/>
            <w:vAlign w:val="bottom"/>
          </w:tcPr>
          <w:p>
            <w:pPr>
              <w:pStyle w:val="TableContents"/>
              <w:spacing w:before="0" w:after="0"/>
              <w:ind w:left="0" w:right="0" w:hanging="0"/>
              <w:rPr/>
            </w:pPr>
            <w:r>
              <w:rPr/>
              <w:t> </w:t>
            </w:r>
          </w:p>
        </w:tc>
      </w:tr>
      <w:tr>
        <w:trPr/>
        <w:tc>
          <w:tcPr>
            <w:tcW w:w="46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Waterborne foreign crude oil imported</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07"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04" w:type="dxa"/>
            <w:tcBorders/>
            <w:shd w:fill="CCEEFF" w:val="clear"/>
            <w:vAlign w:val="bottom"/>
          </w:tcPr>
          <w:p>
            <w:pPr>
              <w:pStyle w:val="TableContents"/>
              <w:spacing w:before="0" w:after="0"/>
              <w:ind w:left="0" w:right="0" w:hanging="0"/>
              <w:rPr/>
            </w:pPr>
            <w:r>
              <w:rPr/>
              <w:t> </w:t>
            </w:r>
          </w:p>
        </w:tc>
      </w:tr>
      <w:tr>
        <w:trPr/>
        <w:tc>
          <w:tcPr>
            <w:tcW w:w="46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07" w:type="dxa"/>
            <w:tcBorders/>
            <w:shd w:fill="auto" w:val="clear"/>
            <w:vAlign w:val="bottom"/>
          </w:tcPr>
          <w:p>
            <w:pPr>
              <w:pStyle w:val="TableContents"/>
              <w:spacing w:before="0" w:after="0"/>
              <w:ind w:left="0" w:right="0" w:hanging="0"/>
              <w:rPr/>
            </w:pPr>
            <w:r>
              <w:rPr/>
              <w:t> </w:t>
            </w:r>
          </w:p>
        </w:tc>
        <w:tc>
          <w:tcPr>
            <w:tcW w:w="114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04" w:type="dxa"/>
            <w:tcBorders/>
            <w:shd w:fill="auto" w:val="clear"/>
            <w:vAlign w:val="bottom"/>
          </w:tcPr>
          <w:p>
            <w:pPr>
              <w:pStyle w:val="TableContents"/>
              <w:spacing w:before="0" w:after="0"/>
              <w:ind w:left="0" w:right="0" w:hanging="0"/>
              <w:rPr/>
            </w:pPr>
            <w:r>
              <w:rPr/>
              <w:t> </w:t>
            </w:r>
          </w:p>
        </w:tc>
      </w:tr>
      <w:tr>
        <w:trPr/>
        <w:tc>
          <w:tcPr>
            <w:tcW w:w="46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&amp; Logistics activities total</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834</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741</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824</w:t>
            </w:r>
          </w:p>
        </w:tc>
        <w:tc>
          <w:tcPr>
            <w:tcW w:w="207" w:type="dxa"/>
            <w:tcBorders/>
            <w:shd w:fill="CCEEFF" w:val="clear"/>
            <w:vAlign w:val="bottom"/>
          </w:tcPr>
          <w:p>
            <w:pPr>
              <w:pStyle w:val="TableContents"/>
              <w:spacing w:before="0" w:after="0"/>
              <w:ind w:left="0" w:right="0" w:hanging="0"/>
              <w:rPr/>
            </w:pPr>
            <w:r>
              <w:rPr/>
              <w:t> </w:t>
            </w:r>
          </w:p>
        </w:tc>
        <w:tc>
          <w:tcPr>
            <w:tcW w:w="11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795</w:t>
            </w:r>
          </w:p>
        </w:tc>
        <w:tc>
          <w:tcPr>
            <w:tcW w:w="10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aggregate of multiple systems in the respective areas.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Facilities total is calculated as the sum of: (i) crude oil, refined products and LPG storage capacity; (ii) natural gas storage capacity divided by 6 to account for the 6:1 mcf of gas to crude oil barrel ratio and further divided by 1,000 to convert to monthly volumes in millions; and (iii) LPG processing volumes multiplied by the number of days in the period and divided by the number of months in the period.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bookmarkStart w:id="25" w:name="PB_9_045245_7608"/>
      <w:bookmarkEnd w:id="25"/>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91"/>
        <w:gridCol w:w="210"/>
        <w:gridCol w:w="147"/>
        <w:gridCol w:w="1098"/>
        <w:gridCol w:w="210"/>
        <w:gridCol w:w="144"/>
        <w:gridCol w:w="1084"/>
        <w:gridCol w:w="121"/>
      </w:tblGrid>
      <w:tr>
        <w:trPr/>
        <w:tc>
          <w:tcPr>
            <w:tcW w:w="719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24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0" w:type="dxa"/>
            <w:tcBorders/>
            <w:shd w:fill="auto" w:val="clear"/>
            <w:vAlign w:val="bottom"/>
          </w:tcPr>
          <w:p>
            <w:pPr>
              <w:pStyle w:val="TableContents"/>
              <w:spacing w:before="0" w:after="0"/>
              <w:ind w:left="0" w:right="0" w:hanging="0"/>
              <w:jc w:val="center"/>
              <w:rPr/>
            </w:pPr>
            <w:r>
              <w:rPr/>
              <w:t> </w:t>
            </w:r>
          </w:p>
        </w:tc>
        <w:tc>
          <w:tcPr>
            <w:tcW w:w="122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1" w:type="dxa"/>
            <w:tcBorders/>
            <w:shd w:fill="auto" w:val="clear"/>
            <w:vAlign w:val="bottom"/>
          </w:tcPr>
          <w:p>
            <w:pPr>
              <w:pStyle w:val="TableContents"/>
              <w:spacing w:before="0" w:after="0"/>
              <w:ind w:left="0" w:right="0" w:hanging="0"/>
              <w:jc w:val="center"/>
              <w:rPr/>
            </w:pPr>
            <w:r>
              <w:rPr/>
              <w:t> </w:t>
            </w:r>
          </w:p>
        </w:tc>
      </w:tr>
      <w:tr>
        <w:trPr/>
        <w:tc>
          <w:tcPr>
            <w:tcW w:w="719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24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0" w:type="dxa"/>
            <w:tcBorders/>
            <w:shd w:fill="auto" w:val="clear"/>
            <w:vAlign w:val="bottom"/>
          </w:tcPr>
          <w:p>
            <w:pPr>
              <w:pStyle w:val="TableContents"/>
              <w:spacing w:before="0" w:after="0"/>
              <w:ind w:left="0" w:right="0" w:hanging="0"/>
              <w:jc w:val="center"/>
              <w:rPr/>
            </w:pPr>
            <w:r>
              <w:rPr/>
              <w:t> </w:t>
            </w:r>
          </w:p>
        </w:tc>
        <w:tc>
          <w:tcPr>
            <w:tcW w:w="122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1" w:type="dxa"/>
            <w:tcBorders/>
            <w:shd w:fill="auto" w:val="clear"/>
            <w:vAlign w:val="bottom"/>
          </w:tcPr>
          <w:p>
            <w:pPr>
              <w:pStyle w:val="TableContents"/>
              <w:spacing w:before="0" w:after="0"/>
              <w:ind w:left="0" w:right="0" w:hanging="0"/>
              <w:jc w:val="center"/>
              <w:rPr/>
            </w:pPr>
            <w:r>
              <w:rPr/>
              <w:t> </w:t>
            </w:r>
          </w:p>
        </w:tc>
      </w:tr>
      <w:tr>
        <w:trPr/>
        <w:tc>
          <w:tcPr>
            <w:tcW w:w="719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0"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7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assets</w:t>
            </w:r>
          </w:p>
        </w:tc>
        <w:tc>
          <w:tcPr>
            <w:tcW w:w="21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3,771</w:t>
            </w:r>
          </w:p>
        </w:tc>
        <w:tc>
          <w:tcPr>
            <w:tcW w:w="210"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3,658</w:t>
            </w:r>
          </w:p>
        </w:tc>
        <w:tc>
          <w:tcPr>
            <w:tcW w:w="121" w:type="dxa"/>
            <w:tcBorders/>
            <w:shd w:fill="auto" w:val="clear"/>
            <w:vAlign w:val="bottom"/>
          </w:tcPr>
          <w:p>
            <w:pPr>
              <w:pStyle w:val="TableContents"/>
              <w:spacing w:before="0" w:after="0"/>
              <w:ind w:left="0" w:right="0" w:hanging="0"/>
              <w:rPr/>
            </w:pPr>
            <w:r>
              <w:rPr/>
              <w:t> </w:t>
            </w:r>
          </w:p>
        </w:tc>
      </w:tr>
      <w:tr>
        <w:trPr/>
        <w:tc>
          <w:tcPr>
            <w:tcW w:w="7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0"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6,532</w:t>
            </w:r>
          </w:p>
        </w:tc>
        <w:tc>
          <w:tcPr>
            <w:tcW w:w="210"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6,340</w:t>
            </w:r>
          </w:p>
        </w:tc>
        <w:tc>
          <w:tcPr>
            <w:tcW w:w="121" w:type="dxa"/>
            <w:tcBorders/>
            <w:shd w:fill="CCEEFF" w:val="clear"/>
            <w:vAlign w:val="bottom"/>
          </w:tcPr>
          <w:p>
            <w:pPr>
              <w:pStyle w:val="TableContents"/>
              <w:spacing w:before="0" w:after="0"/>
              <w:ind w:left="0" w:right="0" w:hanging="0"/>
              <w:rPr/>
            </w:pPr>
            <w:r>
              <w:rPr/>
              <w:t> </w:t>
            </w:r>
          </w:p>
        </w:tc>
      </w:tr>
      <w:tr>
        <w:trPr/>
        <w:tc>
          <w:tcPr>
            <w:tcW w:w="7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10"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10"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501</w:t>
            </w:r>
          </w:p>
        </w:tc>
        <w:tc>
          <w:tcPr>
            <w:tcW w:w="121" w:type="dxa"/>
            <w:tcBorders/>
            <w:shd w:fill="auto" w:val="clear"/>
            <w:vAlign w:val="bottom"/>
          </w:tcPr>
          <w:p>
            <w:pPr>
              <w:pStyle w:val="TableContents"/>
              <w:spacing w:before="0" w:after="0"/>
              <w:ind w:left="0" w:right="0" w:hanging="0"/>
              <w:rPr/>
            </w:pPr>
            <w:r>
              <w:rPr/>
              <w:t> </w:t>
            </w:r>
          </w:p>
        </w:tc>
      </w:tr>
      <w:tr>
        <w:trPr/>
        <w:tc>
          <w:tcPr>
            <w:tcW w:w="7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0"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0"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21" w:type="dxa"/>
            <w:tcBorders/>
            <w:shd w:fill="CCEEFF" w:val="clear"/>
            <w:vAlign w:val="bottom"/>
          </w:tcPr>
          <w:p>
            <w:pPr>
              <w:pStyle w:val="TableContents"/>
              <w:spacing w:before="0" w:after="0"/>
              <w:ind w:left="0" w:right="0" w:hanging="0"/>
              <w:rPr/>
            </w:pPr>
            <w:r>
              <w:rPr/>
              <w:t> </w:t>
            </w:r>
          </w:p>
        </w:tc>
      </w:tr>
      <w:tr>
        <w:trPr/>
        <w:tc>
          <w:tcPr>
            <w:tcW w:w="7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10"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210"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21" w:type="dxa"/>
            <w:tcBorders/>
            <w:shd w:fill="auto" w:val="clear"/>
            <w:vAlign w:val="bottom"/>
          </w:tcPr>
          <w:p>
            <w:pPr>
              <w:pStyle w:val="TableContents"/>
              <w:spacing w:before="0" w:after="0"/>
              <w:ind w:left="0" w:right="0" w:hanging="0"/>
              <w:rPr/>
            </w:pPr>
            <w:r>
              <w:rPr/>
              <w:t> </w:t>
            </w:r>
          </w:p>
        </w:tc>
      </w:tr>
      <w:tr>
        <w:trPr/>
        <w:tc>
          <w:tcPr>
            <w:tcW w:w="7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0"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1,294</w:t>
            </w:r>
          </w:p>
        </w:tc>
        <w:tc>
          <w:tcPr>
            <w:tcW w:w="210"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1,287</w:t>
            </w:r>
          </w:p>
        </w:tc>
        <w:tc>
          <w:tcPr>
            <w:tcW w:w="121" w:type="dxa"/>
            <w:tcBorders/>
            <w:shd w:fill="CCEEFF" w:val="clear"/>
            <w:vAlign w:val="bottom"/>
          </w:tcPr>
          <w:p>
            <w:pPr>
              <w:pStyle w:val="TableContents"/>
              <w:spacing w:before="0" w:after="0"/>
              <w:ind w:left="0" w:right="0" w:hanging="0"/>
              <w:rPr/>
            </w:pPr>
            <w:r>
              <w:rPr/>
              <w:t> </w:t>
            </w:r>
          </w:p>
        </w:tc>
      </w:tr>
      <w:tr>
        <w:trPr/>
        <w:tc>
          <w:tcPr>
            <w:tcW w:w="7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long-term assets, net</w:t>
            </w:r>
          </w:p>
        </w:tc>
        <w:tc>
          <w:tcPr>
            <w:tcW w:w="210" w:type="dxa"/>
            <w:tcBorders/>
            <w:shd w:fill="auto"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210" w:type="dxa"/>
            <w:tcBorders/>
            <w:shd w:fill="auto" w:val="clear"/>
            <w:vAlign w:val="bottom"/>
          </w:tcPr>
          <w:p>
            <w:pPr>
              <w:pStyle w:val="TableContents"/>
              <w:spacing w:before="0" w:after="0"/>
              <w:ind w:left="0" w:right="0" w:hanging="0"/>
              <w:rPr/>
            </w:pPr>
            <w:r>
              <w:rPr/>
              <w:t> </w:t>
            </w:r>
          </w:p>
        </w:tc>
        <w:tc>
          <w:tcPr>
            <w:tcW w:w="122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121" w:type="dxa"/>
            <w:tcBorders/>
            <w:shd w:fill="auto" w:val="clear"/>
            <w:vAlign w:val="bottom"/>
          </w:tcPr>
          <w:p>
            <w:pPr>
              <w:pStyle w:val="TableContents"/>
              <w:spacing w:before="0" w:after="0"/>
              <w:ind w:left="0" w:right="0" w:hanging="0"/>
              <w:rPr/>
            </w:pPr>
            <w:r>
              <w:rPr/>
              <w:t> </w:t>
            </w:r>
          </w:p>
        </w:tc>
      </w:tr>
      <w:tr>
        <w:trPr/>
        <w:tc>
          <w:tcPr>
            <w:tcW w:w="7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12,737</w:t>
            </w:r>
          </w:p>
        </w:tc>
        <w:tc>
          <w:tcPr>
            <w:tcW w:w="210"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21" w:type="dxa"/>
            <w:tcBorders/>
            <w:shd w:fill="CCEEFF" w:val="clear"/>
            <w:vAlign w:val="bottom"/>
          </w:tcPr>
          <w:p>
            <w:pPr>
              <w:pStyle w:val="TableContents"/>
              <w:spacing w:before="0" w:after="0"/>
              <w:ind w:left="0" w:right="0" w:hanging="0"/>
              <w:rPr/>
            </w:pPr>
            <w:r>
              <w:rPr/>
              <w:t> </w:t>
            </w:r>
          </w:p>
        </w:tc>
      </w:tr>
      <w:tr>
        <w:trPr/>
        <w:tc>
          <w:tcPr>
            <w:tcW w:w="719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719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0"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7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3,567</w:t>
            </w:r>
          </w:p>
        </w:tc>
        <w:tc>
          <w:tcPr>
            <w:tcW w:w="210"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3,782</w:t>
            </w:r>
          </w:p>
        </w:tc>
        <w:tc>
          <w:tcPr>
            <w:tcW w:w="121" w:type="dxa"/>
            <w:tcBorders/>
            <w:shd w:fill="auto" w:val="clear"/>
            <w:vAlign w:val="bottom"/>
          </w:tcPr>
          <w:p>
            <w:pPr>
              <w:pStyle w:val="TableContents"/>
              <w:spacing w:before="0" w:after="0"/>
              <w:ind w:left="0" w:right="0" w:hanging="0"/>
              <w:rPr/>
            </w:pPr>
            <w:r>
              <w:rPr/>
              <w:t> </w:t>
            </w:r>
          </w:p>
        </w:tc>
      </w:tr>
      <w:tr>
        <w:trPr/>
        <w:tc>
          <w:tcPr>
            <w:tcW w:w="7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0"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10"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1" w:type="dxa"/>
            <w:tcBorders/>
            <w:shd w:fill="CCEEFF" w:val="clear"/>
            <w:vAlign w:val="bottom"/>
          </w:tcPr>
          <w:p>
            <w:pPr>
              <w:pStyle w:val="TableContents"/>
              <w:spacing w:before="0" w:after="0"/>
              <w:ind w:left="0" w:right="0" w:hanging="0"/>
              <w:rPr/>
            </w:pPr>
            <w:r>
              <w:rPr/>
              <w:t> </w:t>
            </w:r>
          </w:p>
        </w:tc>
      </w:tr>
      <w:tr>
        <w:trPr/>
        <w:tc>
          <w:tcPr>
            <w:tcW w:w="7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w:t>
            </w:r>
          </w:p>
        </w:tc>
        <w:tc>
          <w:tcPr>
            <w:tcW w:w="210"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4,362</w:t>
            </w:r>
          </w:p>
        </w:tc>
        <w:tc>
          <w:tcPr>
            <w:tcW w:w="210"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4,136</w:t>
            </w:r>
          </w:p>
        </w:tc>
        <w:tc>
          <w:tcPr>
            <w:tcW w:w="121" w:type="dxa"/>
            <w:tcBorders/>
            <w:shd w:fill="auto" w:val="clear"/>
            <w:vAlign w:val="bottom"/>
          </w:tcPr>
          <w:p>
            <w:pPr>
              <w:pStyle w:val="TableContents"/>
              <w:spacing w:before="0" w:after="0"/>
              <w:ind w:left="0" w:right="0" w:hanging="0"/>
              <w:rPr/>
            </w:pPr>
            <w:r>
              <w:rPr/>
              <w:t> </w:t>
            </w:r>
          </w:p>
        </w:tc>
      </w:tr>
      <w:tr>
        <w:trPr/>
        <w:tc>
          <w:tcPr>
            <w:tcW w:w="7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net deferred credits</w:t>
            </w:r>
          </w:p>
        </w:tc>
        <w:tc>
          <w:tcPr>
            <w:tcW w:w="210" w:type="dxa"/>
            <w:tcBorders/>
            <w:shd w:fill="CCEEFF"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210" w:type="dxa"/>
            <w:tcBorders/>
            <w:shd w:fill="CCEEFF" w:val="clear"/>
            <w:vAlign w:val="bottom"/>
          </w:tcPr>
          <w:p>
            <w:pPr>
              <w:pStyle w:val="TableContents"/>
              <w:spacing w:before="0" w:after="0"/>
              <w:ind w:left="0" w:right="0" w:hanging="0"/>
              <w:rPr/>
            </w:pPr>
            <w:r>
              <w:rPr/>
              <w:t> </w:t>
            </w:r>
          </w:p>
        </w:tc>
        <w:tc>
          <w:tcPr>
            <w:tcW w:w="122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21" w:type="dxa"/>
            <w:tcBorders/>
            <w:shd w:fill="CCEEFF" w:val="clear"/>
            <w:vAlign w:val="bottom"/>
          </w:tcPr>
          <w:p>
            <w:pPr>
              <w:pStyle w:val="TableContents"/>
              <w:spacing w:before="0" w:after="0"/>
              <w:ind w:left="0" w:right="0" w:hanging="0"/>
              <w:rPr/>
            </w:pPr>
            <w:r>
              <w:rPr/>
              <w:t> </w:t>
            </w:r>
          </w:p>
        </w:tc>
      </w:tr>
      <w:tr>
        <w:trPr/>
        <w:tc>
          <w:tcPr>
            <w:tcW w:w="7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0"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8,394</w:t>
            </w:r>
          </w:p>
        </w:tc>
        <w:tc>
          <w:tcPr>
            <w:tcW w:w="210"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8,199</w:t>
            </w:r>
          </w:p>
        </w:tc>
        <w:tc>
          <w:tcPr>
            <w:tcW w:w="121" w:type="dxa"/>
            <w:tcBorders/>
            <w:shd w:fill="auto" w:val="clear"/>
            <w:vAlign w:val="bottom"/>
          </w:tcPr>
          <w:p>
            <w:pPr>
              <w:pStyle w:val="TableContents"/>
              <w:spacing w:before="0" w:after="0"/>
              <w:ind w:left="0" w:right="0" w:hanging="0"/>
              <w:rPr/>
            </w:pPr>
            <w:r>
              <w:rPr/>
              <w:t> </w:t>
            </w:r>
          </w:p>
        </w:tc>
      </w:tr>
      <w:tr>
        <w:trPr/>
        <w:tc>
          <w:tcPr>
            <w:tcW w:w="7191"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7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interests</w:t>
            </w:r>
          </w:p>
        </w:tc>
        <w:tc>
          <w:tcPr>
            <w:tcW w:w="210"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4,111</w:t>
            </w:r>
          </w:p>
        </w:tc>
        <w:tc>
          <w:tcPr>
            <w:tcW w:w="210"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21" w:type="dxa"/>
            <w:tcBorders/>
            <w:shd w:fill="auto" w:val="clear"/>
            <w:vAlign w:val="bottom"/>
          </w:tcPr>
          <w:p>
            <w:pPr>
              <w:pStyle w:val="TableContents"/>
              <w:spacing w:before="0" w:after="0"/>
              <w:ind w:left="0" w:right="0" w:hanging="0"/>
              <w:rPr/>
            </w:pPr>
            <w:r>
              <w:rPr/>
              <w:t> </w:t>
            </w:r>
          </w:p>
        </w:tc>
      </w:tr>
      <w:tr>
        <w:trPr/>
        <w:tc>
          <w:tcPr>
            <w:tcW w:w="7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10" w:type="dxa"/>
            <w:tcBorders/>
            <w:shd w:fill="CCEEFF"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210" w:type="dxa"/>
            <w:tcBorders/>
            <w:shd w:fill="CCEEFF" w:val="clear"/>
            <w:vAlign w:val="bottom"/>
          </w:tcPr>
          <w:p>
            <w:pPr>
              <w:pStyle w:val="TableContents"/>
              <w:spacing w:before="0" w:after="0"/>
              <w:ind w:left="0" w:right="0" w:hanging="0"/>
              <w:rPr/>
            </w:pPr>
            <w:r>
              <w:rPr/>
              <w:t> </w:t>
            </w:r>
          </w:p>
        </w:tc>
        <w:tc>
          <w:tcPr>
            <w:tcW w:w="122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21" w:type="dxa"/>
            <w:tcBorders/>
            <w:shd w:fill="CCEEFF" w:val="clear"/>
            <w:vAlign w:val="bottom"/>
          </w:tcPr>
          <w:p>
            <w:pPr>
              <w:pStyle w:val="TableContents"/>
              <w:spacing w:before="0" w:after="0"/>
              <w:ind w:left="0" w:right="0" w:hanging="0"/>
              <w:rPr/>
            </w:pPr>
            <w:r>
              <w:rPr/>
              <w:t> </w:t>
            </w:r>
          </w:p>
        </w:tc>
      </w:tr>
      <w:tr>
        <w:trPr/>
        <w:tc>
          <w:tcPr>
            <w:tcW w:w="7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0" w:type="dxa"/>
            <w:tcBorders/>
            <w:shd w:fill="auto"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4,343</w:t>
            </w:r>
          </w:p>
        </w:tc>
        <w:tc>
          <w:tcPr>
            <w:tcW w:w="210" w:type="dxa"/>
            <w:tcBorders/>
            <w:shd w:fill="auto" w:val="clear"/>
            <w:vAlign w:val="bottom"/>
          </w:tcPr>
          <w:p>
            <w:pPr>
              <w:pStyle w:val="TableContents"/>
              <w:spacing w:before="0" w:after="0"/>
              <w:ind w:left="0" w:right="0" w:hanging="0"/>
              <w:rPr/>
            </w:pPr>
            <w:r>
              <w:rPr/>
              <w:t> </w:t>
            </w:r>
          </w:p>
        </w:tc>
        <w:tc>
          <w:tcPr>
            <w:tcW w:w="122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121" w:type="dxa"/>
            <w:tcBorders/>
            <w:shd w:fill="auto" w:val="clear"/>
            <w:vAlign w:val="bottom"/>
          </w:tcPr>
          <w:p>
            <w:pPr>
              <w:pStyle w:val="TableContents"/>
              <w:spacing w:before="0" w:after="0"/>
              <w:ind w:left="0" w:right="0" w:hanging="0"/>
              <w:rPr/>
            </w:pPr>
            <w:r>
              <w:rPr/>
              <w:t> </w:t>
            </w:r>
          </w:p>
        </w:tc>
      </w:tr>
      <w:tr>
        <w:trPr/>
        <w:tc>
          <w:tcPr>
            <w:tcW w:w="7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12,737</w:t>
            </w:r>
          </w:p>
        </w:tc>
        <w:tc>
          <w:tcPr>
            <w:tcW w:w="210"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2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bookmarkStart w:id="26" w:name="PB_10_045245_8146"/>
      <w:bookmarkEnd w:id="26"/>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CREDIT RATIOS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420"/>
        <w:gridCol w:w="202"/>
        <w:gridCol w:w="180"/>
        <w:gridCol w:w="1133"/>
        <w:gridCol w:w="258"/>
        <w:gridCol w:w="194"/>
        <w:gridCol w:w="1110"/>
        <w:gridCol w:w="214"/>
        <w:gridCol w:w="180"/>
        <w:gridCol w:w="1132"/>
        <w:gridCol w:w="182"/>
      </w:tblGrid>
      <w:tr>
        <w:trPr/>
        <w:tc>
          <w:tcPr>
            <w:tcW w:w="5420"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1313" w:type="dxa"/>
            <w:gridSpan w:val="2"/>
            <w:tcBorders/>
            <w:shd w:fill="auto" w:val="clear"/>
            <w:vAlign w:val="bottom"/>
          </w:tcPr>
          <w:p>
            <w:pPr>
              <w:pStyle w:val="TableContents"/>
              <w:spacing w:before="0" w:after="0"/>
              <w:ind w:left="0" w:right="0" w:hanging="0"/>
              <w:jc w:val="center"/>
              <w:rPr/>
            </w:pPr>
            <w:r>
              <w:rPr/>
              <w:t> </w:t>
            </w:r>
          </w:p>
        </w:tc>
        <w:tc>
          <w:tcPr>
            <w:tcW w:w="258" w:type="dxa"/>
            <w:tcBorders/>
            <w:shd w:fill="auto" w:val="clear"/>
            <w:vAlign w:val="bottom"/>
          </w:tcPr>
          <w:p>
            <w:pPr>
              <w:pStyle w:val="TableContents"/>
              <w:spacing w:before="0" w:after="0"/>
              <w:ind w:left="0" w:right="0" w:hanging="0"/>
              <w:jc w:val="center"/>
              <w:rPr/>
            </w:pPr>
            <w:r>
              <w:rPr/>
              <w:t> </w:t>
            </w:r>
          </w:p>
        </w:tc>
        <w:tc>
          <w:tcPr>
            <w:tcW w:w="1304" w:type="dxa"/>
            <w:gridSpan w:val="2"/>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31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82" w:type="dxa"/>
            <w:tcBorders/>
            <w:shd w:fill="auto" w:val="clear"/>
            <w:vAlign w:val="bottom"/>
          </w:tcPr>
          <w:p>
            <w:pPr>
              <w:pStyle w:val="TableContents"/>
              <w:spacing w:before="0" w:after="0"/>
              <w:ind w:left="0" w:right="0" w:hanging="0"/>
              <w:jc w:val="center"/>
              <w:rPr/>
            </w:pPr>
            <w:r>
              <w:rPr/>
              <w:t> </w:t>
            </w:r>
          </w:p>
        </w:tc>
      </w:tr>
      <w:tr>
        <w:trPr/>
        <w:tc>
          <w:tcPr>
            <w:tcW w:w="5420"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131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58" w:type="dxa"/>
            <w:tcBorders/>
            <w:shd w:fill="auto" w:val="clear"/>
            <w:vAlign w:val="bottom"/>
          </w:tcPr>
          <w:p>
            <w:pPr>
              <w:pStyle w:val="TableContents"/>
              <w:spacing w:before="0" w:after="0"/>
              <w:ind w:left="0" w:right="0" w:hanging="0"/>
              <w:jc w:val="center"/>
              <w:rPr/>
            </w:pPr>
            <w:r>
              <w:rPr/>
              <w:t> </w:t>
            </w:r>
          </w:p>
        </w:tc>
        <w:tc>
          <w:tcPr>
            <w:tcW w:w="1304" w:type="dxa"/>
            <w:gridSpan w:val="2"/>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31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2" w:type="dxa"/>
            <w:tcBorders/>
            <w:shd w:fill="auto" w:val="clear"/>
            <w:vAlign w:val="bottom"/>
          </w:tcPr>
          <w:p>
            <w:pPr>
              <w:pStyle w:val="TableContents"/>
              <w:spacing w:before="0" w:after="0"/>
              <w:ind w:left="0" w:right="0" w:hanging="0"/>
              <w:jc w:val="center"/>
              <w:rPr/>
            </w:pPr>
            <w:r>
              <w:rPr/>
              <w:t> </w:t>
            </w:r>
          </w:p>
        </w:tc>
      </w:tr>
      <w:tr>
        <w:trPr/>
        <w:tc>
          <w:tcPr>
            <w:tcW w:w="5420"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58" w:type="dxa"/>
            <w:tcBorders/>
            <w:shd w:fill="auto" w:val="clear"/>
            <w:vAlign w:val="bottom"/>
          </w:tcPr>
          <w:p>
            <w:pPr>
              <w:pStyle w:val="TableContents"/>
              <w:spacing w:before="0" w:after="0"/>
              <w:ind w:left="0" w:right="0" w:hanging="0"/>
              <w:jc w:val="center"/>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Adjustment </w:t>
            </w:r>
            <w:r>
              <w:rPr>
                <w:b/>
                <w:sz w:val="8"/>
              </w:rPr>
              <w:t>(1)</w:t>
            </w:r>
          </w:p>
        </w:tc>
        <w:tc>
          <w:tcPr>
            <w:tcW w:w="214" w:type="dxa"/>
            <w:tcBorders/>
            <w:shd w:fill="auto" w:val="clear"/>
            <w:vAlign w:val="bottom"/>
          </w:tcPr>
          <w:p>
            <w:pPr>
              <w:pStyle w:val="TableContents"/>
              <w:spacing w:before="0" w:after="0"/>
              <w:ind w:left="0" w:right="0" w:hanging="0"/>
              <w:jc w:val="center"/>
              <w:rPr/>
            </w:pPr>
            <w:r>
              <w:rPr/>
              <w:t> </w:t>
            </w:r>
          </w:p>
        </w:tc>
        <w:tc>
          <w:tcPr>
            <w:tcW w:w="13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Adjusted</w:t>
            </w:r>
          </w:p>
        </w:tc>
        <w:tc>
          <w:tcPr>
            <w:tcW w:w="182" w:type="dxa"/>
            <w:tcBorders/>
            <w:shd w:fill="auto" w:val="clear"/>
            <w:vAlign w:val="bottom"/>
          </w:tcPr>
          <w:p>
            <w:pPr>
              <w:pStyle w:val="TableContents"/>
              <w:spacing w:before="0" w:after="0"/>
              <w:ind w:left="0" w:right="0" w:hanging="0"/>
              <w:jc w:val="center"/>
              <w:rPr/>
            </w:pPr>
            <w:r>
              <w:rPr/>
              <w:t> </w:t>
            </w:r>
          </w:p>
        </w:tc>
      </w:tr>
      <w:tr>
        <w:trPr/>
        <w:tc>
          <w:tcPr>
            <w:tcW w:w="542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02"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895</w:t>
            </w:r>
          </w:p>
        </w:tc>
        <w:tc>
          <w:tcPr>
            <w:tcW w:w="258" w:type="dxa"/>
            <w:tcBorders/>
            <w:shd w:fill="CCEEFF" w:val="clear"/>
            <w:vAlign w:val="bottom"/>
          </w:tcPr>
          <w:p>
            <w:pPr>
              <w:pStyle w:val="TableContents"/>
              <w:spacing w:before="0" w:after="0"/>
              <w:ind w:left="0" w:right="0" w:hanging="0"/>
              <w:rPr/>
            </w:pPr>
            <w:r>
              <w:rPr/>
              <w:t> </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14"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1,395</w:t>
            </w:r>
          </w:p>
        </w:tc>
        <w:tc>
          <w:tcPr>
            <w:tcW w:w="182" w:type="dxa"/>
            <w:tcBorders/>
            <w:shd w:fill="CCEEFF" w:val="clear"/>
            <w:vAlign w:val="bottom"/>
          </w:tcPr>
          <w:p>
            <w:pPr>
              <w:pStyle w:val="TableContents"/>
              <w:spacing w:before="0" w:after="0"/>
              <w:ind w:left="0" w:right="0" w:hanging="0"/>
              <w:rPr/>
            </w:pPr>
            <w:r>
              <w:rPr/>
              <w:t> </w:t>
            </w:r>
          </w:p>
        </w:tc>
      </w:tr>
      <w:tr>
        <w:trPr/>
        <w:tc>
          <w:tcPr>
            <w:tcW w:w="54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02" w:type="dxa"/>
            <w:tcBorders/>
            <w:shd w:fill="auto" w:val="clear"/>
            <w:vAlign w:val="bottom"/>
          </w:tcPr>
          <w:p>
            <w:pPr>
              <w:pStyle w:val="TableContents"/>
              <w:spacing w:before="0" w:after="0"/>
              <w:ind w:left="0" w:right="0" w:hanging="0"/>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4,593</w:t>
            </w:r>
          </w:p>
        </w:tc>
        <w:tc>
          <w:tcPr>
            <w:tcW w:w="258"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4,093</w:t>
            </w:r>
          </w:p>
        </w:tc>
        <w:tc>
          <w:tcPr>
            <w:tcW w:w="182" w:type="dxa"/>
            <w:tcBorders/>
            <w:shd w:fill="auto" w:val="clear"/>
            <w:vAlign w:val="bottom"/>
          </w:tcPr>
          <w:p>
            <w:pPr>
              <w:pStyle w:val="TableContents"/>
              <w:spacing w:before="0" w:after="0"/>
              <w:ind w:left="0" w:right="0" w:hanging="0"/>
              <w:rPr/>
            </w:pPr>
            <w:r>
              <w:rPr/>
              <w:t> </w:t>
            </w:r>
          </w:p>
        </w:tc>
      </w:tr>
      <w:tr>
        <w:trPr/>
        <w:tc>
          <w:tcPr>
            <w:tcW w:w="542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02"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5,488</w:t>
            </w:r>
          </w:p>
        </w:tc>
        <w:tc>
          <w:tcPr>
            <w:tcW w:w="258" w:type="dxa"/>
            <w:tcBorders/>
            <w:shd w:fill="CCEEFF" w:val="clear"/>
            <w:vAlign w:val="bottom"/>
          </w:tcPr>
          <w:p>
            <w:pPr>
              <w:pStyle w:val="TableContents"/>
              <w:spacing w:before="0" w:after="0"/>
              <w:ind w:left="0" w:right="0" w:hanging="0"/>
              <w:rPr/>
            </w:pPr>
            <w:r>
              <w:rPr/>
              <w:t> </w:t>
            </w:r>
          </w:p>
        </w:tc>
        <w:tc>
          <w:tcPr>
            <w:tcW w:w="19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5,488</w:t>
            </w:r>
          </w:p>
        </w:tc>
        <w:tc>
          <w:tcPr>
            <w:tcW w:w="182" w:type="dxa"/>
            <w:tcBorders/>
            <w:shd w:fill="CCEEFF" w:val="clear"/>
            <w:vAlign w:val="bottom"/>
          </w:tcPr>
          <w:p>
            <w:pPr>
              <w:pStyle w:val="TableContents"/>
              <w:spacing w:before="0" w:after="0"/>
              <w:ind w:left="0" w:right="0" w:hanging="0"/>
              <w:rPr/>
            </w:pPr>
            <w:r>
              <w:rPr/>
              <w:t> </w:t>
            </w:r>
          </w:p>
        </w:tc>
      </w:tr>
      <w:tr>
        <w:trPr/>
        <w:tc>
          <w:tcPr>
            <w:tcW w:w="5420"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258"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12"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r>
      <w:tr>
        <w:trPr/>
        <w:tc>
          <w:tcPr>
            <w:tcW w:w="542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02"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4,593</w:t>
            </w:r>
          </w:p>
        </w:tc>
        <w:tc>
          <w:tcPr>
            <w:tcW w:w="258"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4,093</w:t>
            </w:r>
          </w:p>
        </w:tc>
        <w:tc>
          <w:tcPr>
            <w:tcW w:w="182" w:type="dxa"/>
            <w:tcBorders/>
            <w:shd w:fill="CCEEFF" w:val="clear"/>
            <w:vAlign w:val="bottom"/>
          </w:tcPr>
          <w:p>
            <w:pPr>
              <w:pStyle w:val="TableContents"/>
              <w:spacing w:before="0" w:after="0"/>
              <w:ind w:left="0" w:right="0" w:hanging="0"/>
              <w:rPr/>
            </w:pPr>
            <w:r>
              <w:rPr/>
              <w:t> </w:t>
            </w:r>
          </w:p>
        </w:tc>
      </w:tr>
      <w:tr>
        <w:trPr/>
        <w:tc>
          <w:tcPr>
            <w:tcW w:w="54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02" w:type="dxa"/>
            <w:tcBorders/>
            <w:shd w:fill="auto" w:val="clear"/>
            <w:vAlign w:val="bottom"/>
          </w:tcPr>
          <w:p>
            <w:pPr>
              <w:pStyle w:val="TableContents"/>
              <w:spacing w:before="0" w:after="0"/>
              <w:ind w:left="0" w:right="0" w:hanging="0"/>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4,343</w:t>
            </w:r>
          </w:p>
        </w:tc>
        <w:tc>
          <w:tcPr>
            <w:tcW w:w="258"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3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4,343</w:t>
            </w:r>
          </w:p>
        </w:tc>
        <w:tc>
          <w:tcPr>
            <w:tcW w:w="182" w:type="dxa"/>
            <w:tcBorders/>
            <w:shd w:fill="auto" w:val="clear"/>
            <w:vAlign w:val="bottom"/>
          </w:tcPr>
          <w:p>
            <w:pPr>
              <w:pStyle w:val="TableContents"/>
              <w:spacing w:before="0" w:after="0"/>
              <w:ind w:left="0" w:right="0" w:hanging="0"/>
              <w:rPr/>
            </w:pPr>
            <w:r>
              <w:rPr/>
              <w:t> </w:t>
            </w:r>
          </w:p>
        </w:tc>
      </w:tr>
      <w:tr>
        <w:trPr/>
        <w:tc>
          <w:tcPr>
            <w:tcW w:w="542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02"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8,936</w:t>
            </w:r>
          </w:p>
        </w:tc>
        <w:tc>
          <w:tcPr>
            <w:tcW w:w="258" w:type="dxa"/>
            <w:tcBorders/>
            <w:shd w:fill="CCEEFF" w:val="clear"/>
            <w:vAlign w:val="bottom"/>
          </w:tcPr>
          <w:p>
            <w:pPr>
              <w:pStyle w:val="TableContents"/>
              <w:spacing w:before="0" w:after="0"/>
              <w:ind w:left="0" w:right="0" w:hanging="0"/>
              <w:rPr/>
            </w:pPr>
            <w:r>
              <w:rPr/>
              <w:t> </w:t>
            </w:r>
          </w:p>
        </w:tc>
        <w:tc>
          <w:tcPr>
            <w:tcW w:w="19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8,436</w:t>
            </w:r>
          </w:p>
        </w:tc>
        <w:tc>
          <w:tcPr>
            <w:tcW w:w="182" w:type="dxa"/>
            <w:tcBorders/>
            <w:shd w:fill="CCEEFF" w:val="clear"/>
            <w:vAlign w:val="bottom"/>
          </w:tcPr>
          <w:p>
            <w:pPr>
              <w:pStyle w:val="TableContents"/>
              <w:spacing w:before="0" w:after="0"/>
              <w:ind w:left="0" w:right="0" w:hanging="0"/>
              <w:rPr/>
            </w:pPr>
            <w:r>
              <w:rPr/>
              <w:t> </w:t>
            </w:r>
          </w:p>
        </w:tc>
      </w:tr>
      <w:tr>
        <w:trPr/>
        <w:tc>
          <w:tcPr>
            <w:tcW w:w="5420"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258"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12"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r>
      <w:tr>
        <w:trPr/>
        <w:tc>
          <w:tcPr>
            <w:tcW w:w="542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02"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9,831</w:t>
            </w:r>
          </w:p>
        </w:tc>
        <w:tc>
          <w:tcPr>
            <w:tcW w:w="258" w:type="dxa"/>
            <w:tcBorders/>
            <w:shd w:fill="CCEEFF" w:val="clear"/>
            <w:vAlign w:val="bottom"/>
          </w:tcPr>
          <w:p>
            <w:pPr>
              <w:pStyle w:val="TableContents"/>
              <w:spacing w:before="0" w:after="0"/>
              <w:ind w:left="0" w:right="0" w:hanging="0"/>
              <w:rPr/>
            </w:pPr>
            <w:r>
              <w:rPr/>
              <w:t> </w:t>
            </w:r>
          </w:p>
        </w:tc>
        <w:tc>
          <w:tcPr>
            <w:tcW w:w="19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9,831</w:t>
            </w:r>
          </w:p>
        </w:tc>
        <w:tc>
          <w:tcPr>
            <w:tcW w:w="182" w:type="dxa"/>
            <w:tcBorders/>
            <w:shd w:fill="CCEEFF" w:val="clear"/>
            <w:vAlign w:val="bottom"/>
          </w:tcPr>
          <w:p>
            <w:pPr>
              <w:pStyle w:val="TableContents"/>
              <w:spacing w:before="0" w:after="0"/>
              <w:ind w:left="0" w:right="0" w:hanging="0"/>
              <w:rPr/>
            </w:pPr>
            <w:r>
              <w:rPr/>
              <w:t> </w:t>
            </w:r>
          </w:p>
        </w:tc>
      </w:tr>
      <w:tr>
        <w:trPr/>
        <w:tc>
          <w:tcPr>
            <w:tcW w:w="5420"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258"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12"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r>
      <w:tr>
        <w:trPr/>
        <w:tc>
          <w:tcPr>
            <w:tcW w:w="542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debt to total book capitalization</w:t>
            </w:r>
          </w:p>
        </w:tc>
        <w:tc>
          <w:tcPr>
            <w:tcW w:w="202"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20"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258"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12"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r>
      <w:tr>
        <w:trPr/>
        <w:tc>
          <w:tcPr>
            <w:tcW w:w="542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debt to total book capitalization including short-term debt</w:t>
            </w:r>
          </w:p>
        </w:tc>
        <w:tc>
          <w:tcPr>
            <w:tcW w:w="202"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adjustment represents the portion of the 4.25% senior notes due September 2012 that has been used to fund hedged inventory and would be classified as short-term debt if funded on our credit facilities.  These notes were issued in July 2009 and the proceeds are being used to supplement capital available from our hedged inventory facility.</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bookmarkStart w:id="27" w:name="PB_11_051806_7056"/>
      <w:bookmarkEnd w:id="27"/>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629"/>
        <w:gridCol w:w="211"/>
        <w:gridCol w:w="142"/>
        <w:gridCol w:w="1005"/>
        <w:gridCol w:w="225"/>
        <w:gridCol w:w="142"/>
        <w:gridCol w:w="1006"/>
        <w:gridCol w:w="218"/>
        <w:gridCol w:w="139"/>
        <w:gridCol w:w="996"/>
        <w:gridCol w:w="223"/>
        <w:gridCol w:w="139"/>
        <w:gridCol w:w="998"/>
        <w:gridCol w:w="132"/>
      </w:tblGrid>
      <w:tr>
        <w:trPr/>
        <w:tc>
          <w:tcPr>
            <w:tcW w:w="462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2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8" w:type="dxa"/>
            <w:tcBorders/>
            <w:shd w:fill="auto" w:val="clear"/>
            <w:vAlign w:val="bottom"/>
          </w:tcPr>
          <w:p>
            <w:pPr>
              <w:pStyle w:val="TableContents"/>
              <w:spacing w:before="0" w:after="0"/>
              <w:ind w:left="0" w:right="0" w:hanging="0"/>
              <w:jc w:val="center"/>
              <w:rPr/>
            </w:pPr>
            <w:r>
              <w:rPr/>
              <w:t> </w:t>
            </w:r>
          </w:p>
        </w:tc>
        <w:tc>
          <w:tcPr>
            <w:tcW w:w="249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2" w:type="dxa"/>
            <w:tcBorders/>
            <w:shd w:fill="auto" w:val="clear"/>
            <w:vAlign w:val="bottom"/>
          </w:tcPr>
          <w:p>
            <w:pPr>
              <w:pStyle w:val="TableContents"/>
              <w:spacing w:before="0" w:after="0"/>
              <w:ind w:left="0" w:right="0" w:hanging="0"/>
              <w:jc w:val="center"/>
              <w:rPr/>
            </w:pPr>
            <w:r>
              <w:rPr/>
              <w:t> </w:t>
            </w:r>
          </w:p>
        </w:tc>
      </w:tr>
      <w:tr>
        <w:trPr/>
        <w:tc>
          <w:tcPr>
            <w:tcW w:w="462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2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8" w:type="dxa"/>
            <w:tcBorders/>
            <w:shd w:fill="auto" w:val="clear"/>
            <w:vAlign w:val="bottom"/>
          </w:tcPr>
          <w:p>
            <w:pPr>
              <w:pStyle w:val="TableContents"/>
              <w:spacing w:before="0" w:after="0"/>
              <w:ind w:left="0" w:right="0" w:hanging="0"/>
              <w:jc w:val="center"/>
              <w:rPr/>
            </w:pPr>
            <w:r>
              <w:rPr/>
              <w:t> </w:t>
            </w:r>
          </w:p>
        </w:tc>
        <w:tc>
          <w:tcPr>
            <w:tcW w:w="249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2" w:type="dxa"/>
            <w:tcBorders/>
            <w:shd w:fill="auto" w:val="clear"/>
            <w:vAlign w:val="bottom"/>
          </w:tcPr>
          <w:p>
            <w:pPr>
              <w:pStyle w:val="TableContents"/>
              <w:spacing w:before="0" w:after="0"/>
              <w:ind w:left="0" w:right="0" w:hanging="0"/>
              <w:jc w:val="center"/>
              <w:rPr/>
            </w:pPr>
            <w:r>
              <w:rPr/>
              <w:t> </w:t>
            </w:r>
          </w:p>
        </w:tc>
      </w:tr>
      <w:tr>
        <w:trPr/>
        <w:tc>
          <w:tcPr>
            <w:tcW w:w="462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8" w:type="dxa"/>
            <w:tcBorders/>
            <w:shd w:fill="auto" w:val="clear"/>
            <w:vAlign w:val="bottom"/>
          </w:tcPr>
          <w:p>
            <w:pPr>
              <w:pStyle w:val="TableContents"/>
              <w:spacing w:before="0" w:after="0"/>
              <w:ind w:left="0" w:right="0" w:hanging="0"/>
              <w:jc w:val="center"/>
              <w:rPr/>
            </w:pPr>
            <w:r>
              <w:rPr/>
              <w:t> </w:t>
            </w:r>
          </w:p>
        </w:tc>
        <w:tc>
          <w:tcPr>
            <w:tcW w:w="11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3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2" w:type="dxa"/>
            <w:tcBorders/>
            <w:shd w:fill="auto" w:val="clear"/>
            <w:vAlign w:val="bottom"/>
          </w:tcPr>
          <w:p>
            <w:pPr>
              <w:pStyle w:val="TableContents"/>
              <w:spacing w:before="0" w:after="0"/>
              <w:ind w:left="0" w:right="0" w:hanging="0"/>
              <w:jc w:val="center"/>
              <w:rPr/>
            </w:pPr>
            <w:r>
              <w:rPr/>
              <w:t> </w:t>
            </w:r>
          </w:p>
        </w:tc>
      </w:tr>
      <w:tr>
        <w:trPr/>
        <w:tc>
          <w:tcPr>
            <w:tcW w:w="462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211" w:type="dxa"/>
            <w:tcBorders/>
            <w:shd w:fill="CCEEFF" w:val="clear"/>
            <w:vAlign w:val="bottom"/>
          </w:tcPr>
          <w:p>
            <w:pPr>
              <w:pStyle w:val="TableContents"/>
              <w:spacing w:before="0" w:after="0"/>
              <w:ind w:left="0" w:right="0" w:hanging="0"/>
              <w:rPr/>
            </w:pPr>
            <w:r>
              <w:rPr/>
              <w:t> </w:t>
            </w:r>
          </w:p>
        </w:tc>
        <w:tc>
          <w:tcPr>
            <w:tcW w:w="1147"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135"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46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25"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8"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223"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32" w:type="dxa"/>
            <w:tcBorders/>
            <w:shd w:fill="auto" w:val="clear"/>
            <w:vAlign w:val="bottom"/>
          </w:tcPr>
          <w:p>
            <w:pPr>
              <w:pStyle w:val="TableContents"/>
              <w:spacing w:before="0" w:after="0"/>
              <w:ind w:left="0" w:right="0" w:hanging="0"/>
              <w:rPr/>
            </w:pPr>
            <w:r>
              <w:rPr/>
              <w:t> </w:t>
            </w:r>
          </w:p>
        </w:tc>
      </w:tr>
      <w:tr>
        <w:trPr/>
        <w:tc>
          <w:tcPr>
            <w:tcW w:w="4629" w:type="dxa"/>
            <w:tcBorders/>
            <w:shd w:fill="CCEEFF" w:val="clear"/>
          </w:tcPr>
          <w:p>
            <w:pPr>
              <w:pStyle w:val="TableContents"/>
              <w:spacing w:before="0" w:after="0"/>
              <w:ind w:left="0" w:right="0" w:hanging="0"/>
              <w:rPr/>
            </w:pPr>
            <w:r>
              <w:rPr>
                <w:rFonts w:ascii="Times New Roman" w:hAnsi="Times New Roman"/>
                <w:sz w:val="17"/>
              </w:rPr>
              <w:t xml:space="preserve">Less: General partners incentive distribution paid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1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11" w:type="dxa"/>
            <w:tcBorders/>
            <w:shd w:fill="auto" w:val="clear"/>
            <w:vAlign w:val="bottom"/>
          </w:tcPr>
          <w:p>
            <w:pPr>
              <w:pStyle w:val="TableContents"/>
              <w:spacing w:before="0" w:after="0"/>
              <w:ind w:left="0" w:right="0" w:hanging="0"/>
              <w:rPr/>
            </w:pPr>
            <w:r>
              <w:rPr/>
              <w:t> </w:t>
            </w:r>
          </w:p>
        </w:tc>
        <w:tc>
          <w:tcPr>
            <w:tcW w:w="11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25"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18" w:type="dxa"/>
            <w:tcBorders/>
            <w:shd w:fill="auto" w:val="clear"/>
            <w:vAlign w:val="bottom"/>
          </w:tcPr>
          <w:p>
            <w:pPr>
              <w:pStyle w:val="TableContents"/>
              <w:spacing w:before="0" w:after="0"/>
              <w:ind w:left="0" w:right="0" w:hanging="0"/>
              <w:rPr/>
            </w:pPr>
            <w:r>
              <w:rPr/>
              <w:t> </w:t>
            </w:r>
          </w:p>
        </w:tc>
        <w:tc>
          <w:tcPr>
            <w:tcW w:w="11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23" w:type="dxa"/>
            <w:tcBorders/>
            <w:shd w:fill="auto" w:val="clear"/>
            <w:vAlign w:val="bottom"/>
          </w:tcPr>
          <w:p>
            <w:pPr>
              <w:pStyle w:val="TableContents"/>
              <w:spacing w:before="0" w:after="0"/>
              <w:ind w:left="0" w:right="0" w:hanging="0"/>
              <w:rPr/>
            </w:pPr>
            <w:r>
              <w:rPr/>
              <w:t> </w:t>
            </w:r>
          </w:p>
        </w:tc>
        <w:tc>
          <w:tcPr>
            <w:tcW w:w="11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w:t>
            </w:r>
          </w:p>
        </w:tc>
        <w:tc>
          <w:tcPr>
            <w:tcW w:w="132" w:type="dxa"/>
            <w:tcBorders/>
            <w:shd w:fill="auto" w:val="clear"/>
            <w:vAlign w:val="bottom"/>
          </w:tcPr>
          <w:p>
            <w:pPr>
              <w:pStyle w:val="TableContents"/>
              <w:spacing w:before="0" w:after="0"/>
              <w:ind w:left="0" w:right="0" w:hanging="0"/>
              <w:rPr/>
            </w:pPr>
            <w:r>
              <w:rPr/>
              <w:t> </w:t>
            </w:r>
          </w:p>
        </w:tc>
      </w:tr>
      <w:tr>
        <w:trPr/>
        <w:tc>
          <w:tcPr>
            <w:tcW w:w="4629" w:type="dxa"/>
            <w:tcBorders/>
            <w:shd w:fill="CCEEFF" w:val="clear"/>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1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1" w:type="dxa"/>
            <w:tcBorders/>
            <w:shd w:fill="auto" w:val="clear"/>
            <w:vAlign w:val="bottom"/>
          </w:tcPr>
          <w:p>
            <w:pPr>
              <w:pStyle w:val="TableContents"/>
              <w:spacing w:before="0" w:after="0"/>
              <w:ind w:left="0" w:right="0" w:hanging="0"/>
              <w:rPr/>
            </w:pPr>
            <w:r>
              <w:rPr/>
              <w:t> </w:t>
            </w:r>
          </w:p>
        </w:tc>
        <w:tc>
          <w:tcPr>
            <w:tcW w:w="11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5"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18" w:type="dxa"/>
            <w:tcBorders/>
            <w:shd w:fill="auto" w:val="clear"/>
            <w:vAlign w:val="bottom"/>
          </w:tcPr>
          <w:p>
            <w:pPr>
              <w:pStyle w:val="TableContents"/>
              <w:spacing w:before="0" w:after="0"/>
              <w:ind w:left="0" w:right="0" w:hanging="0"/>
              <w:rPr/>
            </w:pPr>
            <w:r>
              <w:rPr/>
              <w:t> </w:t>
            </w:r>
          </w:p>
        </w:tc>
        <w:tc>
          <w:tcPr>
            <w:tcW w:w="11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23" w:type="dxa"/>
            <w:tcBorders/>
            <w:shd w:fill="auto" w:val="clear"/>
            <w:vAlign w:val="bottom"/>
          </w:tcPr>
          <w:p>
            <w:pPr>
              <w:pStyle w:val="TableContents"/>
              <w:spacing w:before="0" w:after="0"/>
              <w:ind w:left="0" w:right="0" w:hanging="0"/>
              <w:rPr/>
            </w:pPr>
            <w:r>
              <w:rPr/>
              <w:t> </w:t>
            </w:r>
          </w:p>
        </w:tc>
        <w:tc>
          <w:tcPr>
            <w:tcW w:w="11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32" w:type="dxa"/>
            <w:tcBorders/>
            <w:shd w:fill="auto" w:val="clear"/>
            <w:vAlign w:val="bottom"/>
          </w:tcPr>
          <w:p>
            <w:pPr>
              <w:pStyle w:val="TableContents"/>
              <w:spacing w:before="0" w:after="0"/>
              <w:ind w:left="0" w:right="0" w:hanging="0"/>
              <w:rPr/>
            </w:pPr>
            <w:r>
              <w:rPr/>
              <w:t> </w:t>
            </w:r>
          </w:p>
        </w:tc>
      </w:tr>
      <w:tr>
        <w:trPr/>
        <w:tc>
          <w:tcPr>
            <w:tcW w:w="4629" w:type="dxa"/>
            <w:tcBorders/>
            <w:shd w:fill="CCEEFF" w:val="clear"/>
          </w:tcPr>
          <w:p>
            <w:pPr>
              <w:pStyle w:val="TableContents"/>
              <w:spacing w:before="0" w:after="0"/>
              <w:ind w:left="0" w:right="0" w:hanging="0"/>
              <w:rPr/>
            </w:pPr>
            <w:r>
              <w:rPr>
                <w:rFonts w:ascii="Times New Roman" w:hAnsi="Times New Roman"/>
                <w:sz w:val="17"/>
              </w:rPr>
              <w:t xml:space="preserve">Adjustment in accordance with application of the two-class method for MLPs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1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29" w:type="dxa"/>
            <w:tcBorders/>
            <w:shd w:fill="auto" w:val="clear"/>
          </w:tcPr>
          <w:p>
            <w:pPr>
              <w:pStyle w:val="TableContents"/>
              <w:spacing w:before="0" w:after="0"/>
              <w:ind w:left="0" w:right="0" w:hanging="0"/>
              <w:rPr/>
            </w:pPr>
            <w:r>
              <w:rPr>
                <w:rFonts w:ascii="Times New Roman" w:hAnsi="Times New Roman"/>
                <w:sz w:val="17"/>
              </w:rPr>
              <w:t xml:space="preserve">Net income available to limited partners in accordance with application of the two-class method for MLPs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25"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18"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23"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32" w:type="dxa"/>
            <w:tcBorders/>
            <w:shd w:fill="auto" w:val="clear"/>
            <w:vAlign w:val="bottom"/>
          </w:tcPr>
          <w:p>
            <w:pPr>
              <w:pStyle w:val="TableContents"/>
              <w:spacing w:before="0" w:after="0"/>
              <w:ind w:left="0" w:right="0" w:hanging="0"/>
              <w:rPr/>
            </w:pPr>
            <w:r>
              <w:rPr/>
              <w:t> </w:t>
            </w:r>
          </w:p>
        </w:tc>
      </w:tr>
      <w:tr>
        <w:trPr/>
        <w:tc>
          <w:tcPr>
            <w:tcW w:w="4629"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47"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135"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46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211" w:type="dxa"/>
            <w:tcBorders/>
            <w:shd w:fill="auto" w:val="clear"/>
            <w:vAlign w:val="bottom"/>
          </w:tcPr>
          <w:p>
            <w:pPr>
              <w:pStyle w:val="TableContents"/>
              <w:spacing w:before="0" w:after="0"/>
              <w:ind w:left="0" w:right="0" w:hanging="0"/>
              <w:rPr/>
            </w:pPr>
            <w:r>
              <w:rPr/>
              <w:t> </w:t>
            </w:r>
          </w:p>
        </w:tc>
        <w:tc>
          <w:tcPr>
            <w:tcW w:w="1147"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135"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137"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462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1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25"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8" w:type="dxa"/>
            <w:tcBorders/>
            <w:shd w:fill="CCEEFF" w:val="clear"/>
            <w:vAlign w:val="bottom"/>
          </w:tcPr>
          <w:p>
            <w:pPr>
              <w:pStyle w:val="TableContents"/>
              <w:spacing w:before="0" w:after="0"/>
              <w:ind w:left="0" w:right="0" w:hanging="0"/>
              <w:rPr/>
            </w:pPr>
            <w:r>
              <w:rPr/>
              <w:t> </w:t>
            </w:r>
          </w:p>
        </w:tc>
        <w:tc>
          <w:tcPr>
            <w:tcW w:w="11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23"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32" w:type="dxa"/>
            <w:tcBorders/>
            <w:shd w:fill="CCEEFF" w:val="clear"/>
            <w:vAlign w:val="bottom"/>
          </w:tcPr>
          <w:p>
            <w:pPr>
              <w:pStyle w:val="TableContents"/>
              <w:spacing w:before="0" w:after="0"/>
              <w:ind w:left="0" w:right="0" w:hanging="0"/>
              <w:rPr/>
            </w:pPr>
            <w:r>
              <w:rPr/>
              <w:t> </w:t>
            </w:r>
          </w:p>
        </w:tc>
      </w:tr>
      <w:tr>
        <w:trPr/>
        <w:tc>
          <w:tcPr>
            <w:tcW w:w="46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211" w:type="dxa"/>
            <w:tcBorders/>
            <w:shd w:fill="auto" w:val="clear"/>
            <w:vAlign w:val="bottom"/>
          </w:tcPr>
          <w:p>
            <w:pPr>
              <w:pStyle w:val="TableContents"/>
              <w:spacing w:before="0" w:after="0"/>
              <w:ind w:left="0" w:right="0" w:hanging="0"/>
              <w:rPr/>
            </w:pPr>
            <w:r>
              <w:rPr/>
              <w:t> </w:t>
            </w:r>
          </w:p>
        </w:tc>
        <w:tc>
          <w:tcPr>
            <w:tcW w:w="1147"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135"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137"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462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Weighted average LTIP units</w:t>
            </w:r>
          </w:p>
        </w:tc>
        <w:tc>
          <w:tcPr>
            <w:tcW w:w="211" w:type="dxa"/>
            <w:tcBorders/>
            <w:shd w:fill="CCEEFF" w:val="clear"/>
            <w:vAlign w:val="bottom"/>
          </w:tcPr>
          <w:p>
            <w:pPr>
              <w:pStyle w:val="TableContents"/>
              <w:spacing w:before="0" w:after="0"/>
              <w:ind w:left="0" w:right="0" w:hanging="0"/>
              <w:rPr/>
            </w:pPr>
            <w:r>
              <w:rPr/>
              <w:t> </w:t>
            </w:r>
          </w:p>
        </w:tc>
        <w:tc>
          <w:tcPr>
            <w:tcW w:w="11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CCEEFF" w:val="clear"/>
            <w:vAlign w:val="bottom"/>
          </w:tcPr>
          <w:p>
            <w:pPr>
              <w:pStyle w:val="TableContents"/>
              <w:spacing w:before="0" w:after="0"/>
              <w:ind w:left="0" w:right="0" w:hanging="0"/>
              <w:rPr/>
            </w:pPr>
            <w:r>
              <w:rPr/>
              <w:t> </w:t>
            </w:r>
          </w:p>
        </w:tc>
        <w:tc>
          <w:tcPr>
            <w:tcW w:w="11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CCEEFF" w:val="clear"/>
            <w:vAlign w:val="bottom"/>
          </w:tcPr>
          <w:p>
            <w:pPr>
              <w:pStyle w:val="TableContents"/>
              <w:spacing w:before="0" w:after="0"/>
              <w:ind w:left="0" w:right="0" w:hanging="0"/>
              <w:rPr/>
            </w:pPr>
            <w:r>
              <w:rPr/>
              <w:t> </w:t>
            </w:r>
          </w:p>
        </w:tc>
        <w:tc>
          <w:tcPr>
            <w:tcW w:w="11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CCEEFF" w:val="clear"/>
            <w:vAlign w:val="bottom"/>
          </w:tcPr>
          <w:p>
            <w:pPr>
              <w:pStyle w:val="TableContents"/>
              <w:spacing w:before="0" w:after="0"/>
              <w:ind w:left="0" w:right="0" w:hanging="0"/>
              <w:rPr/>
            </w:pPr>
            <w:r>
              <w:rPr/>
              <w:t> </w:t>
            </w:r>
          </w:p>
        </w:tc>
        <w:tc>
          <w:tcPr>
            <w:tcW w:w="113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2" w:type="dxa"/>
            <w:tcBorders/>
            <w:shd w:fill="CCEEFF" w:val="clear"/>
            <w:vAlign w:val="bottom"/>
          </w:tcPr>
          <w:p>
            <w:pPr>
              <w:pStyle w:val="TableContents"/>
              <w:spacing w:before="0" w:after="0"/>
              <w:ind w:left="0" w:right="0" w:hanging="0"/>
              <w:rPr/>
            </w:pPr>
            <w:r>
              <w:rPr/>
              <w:t> </w:t>
            </w:r>
          </w:p>
        </w:tc>
      </w:tr>
      <w:tr>
        <w:trPr/>
        <w:tc>
          <w:tcPr>
            <w:tcW w:w="46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1" w:type="dxa"/>
            <w:tcBorders/>
            <w:shd w:fill="auto" w:val="clear"/>
            <w:vAlign w:val="bottom"/>
          </w:tcPr>
          <w:p>
            <w:pPr>
              <w:pStyle w:val="TableContents"/>
              <w:spacing w:before="0" w:after="0"/>
              <w:ind w:left="0" w:right="0" w:hanging="0"/>
              <w:rPr/>
            </w:pPr>
            <w:r>
              <w:rPr/>
              <w:t> </w:t>
            </w:r>
          </w:p>
        </w:tc>
        <w:tc>
          <w:tcPr>
            <w:tcW w:w="114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25" w:type="dxa"/>
            <w:tcBorders/>
            <w:shd w:fill="auto" w:val="clear"/>
            <w:vAlign w:val="bottom"/>
          </w:tcPr>
          <w:p>
            <w:pPr>
              <w:pStyle w:val="TableContents"/>
              <w:spacing w:before="0" w:after="0"/>
              <w:ind w:left="0" w:right="0" w:hanging="0"/>
              <w:rPr/>
            </w:pPr>
            <w:r>
              <w:rPr/>
              <w:t> </w:t>
            </w:r>
          </w:p>
        </w:tc>
        <w:tc>
          <w:tcPr>
            <w:tcW w:w="114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8" w:type="dxa"/>
            <w:tcBorders/>
            <w:shd w:fill="auto" w:val="clear"/>
            <w:vAlign w:val="bottom"/>
          </w:tcPr>
          <w:p>
            <w:pPr>
              <w:pStyle w:val="TableContents"/>
              <w:spacing w:before="0" w:after="0"/>
              <w:ind w:left="0" w:right="0" w:hanging="0"/>
              <w:rPr/>
            </w:pPr>
            <w:r>
              <w:rPr/>
              <w:t> </w:t>
            </w:r>
          </w:p>
        </w:tc>
        <w:tc>
          <w:tcPr>
            <w:tcW w:w="113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23" w:type="dxa"/>
            <w:tcBorders/>
            <w:shd w:fill="auto" w:val="clear"/>
            <w:vAlign w:val="bottom"/>
          </w:tcPr>
          <w:p>
            <w:pPr>
              <w:pStyle w:val="TableContents"/>
              <w:spacing w:before="0" w:after="0"/>
              <w:ind w:left="0" w:right="0" w:hanging="0"/>
              <w:rPr/>
            </w:pPr>
            <w:r>
              <w:rPr/>
              <w:t> </w:t>
            </w:r>
          </w:p>
        </w:tc>
        <w:tc>
          <w:tcPr>
            <w:tcW w:w="113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32" w:type="dxa"/>
            <w:tcBorders/>
            <w:shd w:fill="auto" w:val="clear"/>
            <w:vAlign w:val="bottom"/>
          </w:tcPr>
          <w:p>
            <w:pPr>
              <w:pStyle w:val="TableContents"/>
              <w:spacing w:before="0" w:after="0"/>
              <w:ind w:left="0" w:right="0" w:hanging="0"/>
              <w:rPr/>
            </w:pPr>
            <w:r>
              <w:rPr/>
              <w:t> </w:t>
            </w:r>
          </w:p>
        </w:tc>
      </w:tr>
      <w:tr>
        <w:trPr/>
        <w:tc>
          <w:tcPr>
            <w:tcW w:w="4629"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47"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135"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46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1"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25"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218"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23"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132" w:type="dxa"/>
            <w:tcBorders/>
            <w:shd w:fill="auto" w:val="clear"/>
            <w:vAlign w:val="bottom"/>
          </w:tcPr>
          <w:p>
            <w:pPr>
              <w:pStyle w:val="TableContents"/>
              <w:spacing w:before="0" w:after="0"/>
              <w:ind w:left="0" w:right="0" w:hanging="0"/>
              <w:rPr/>
            </w:pPr>
            <w:r>
              <w:rPr/>
              <w:t> </w:t>
            </w:r>
          </w:p>
        </w:tc>
      </w:tr>
      <w:tr>
        <w:trPr/>
        <w:tc>
          <w:tcPr>
            <w:tcW w:w="4629"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47"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135"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46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1"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25"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218"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223"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13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available to limited partners based on the distribution paid during the current quarter (including the incentive distribution interest in excess of the 2% general partner interest).  However, FASB guidance requires that the distribution pertaining to the current periods net income, which is to be paid in the subsequent quarter, be utilized in the earnings per unit calculation.  After adjusting for this distribution, the remaining undistributed earnings or excess distributions over earnings, if any, are allocated to the general partner and limited partners in accordance with the contractual terms of the partnership agreement for earnings per unit calculation purposes.  We reflect the impact of the difference in (i) the distribution utilized and (ii) the calculation of the excess 2% general partner interest as the Adjustment in accordance with application of the two-class method for MLPs.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bookmarkStart w:id="28" w:name="PB_12_051816_5335"/>
      <w:bookmarkEnd w:id="28"/>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606"/>
        <w:gridCol w:w="207"/>
        <w:gridCol w:w="157"/>
        <w:gridCol w:w="996"/>
        <w:gridCol w:w="230"/>
        <w:gridCol w:w="157"/>
        <w:gridCol w:w="997"/>
        <w:gridCol w:w="216"/>
        <w:gridCol w:w="153"/>
        <w:gridCol w:w="986"/>
        <w:gridCol w:w="227"/>
        <w:gridCol w:w="153"/>
        <w:gridCol w:w="987"/>
        <w:gridCol w:w="133"/>
      </w:tblGrid>
      <w:tr>
        <w:trPr/>
        <w:tc>
          <w:tcPr>
            <w:tcW w:w="46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53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250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46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53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6" w:type="dxa"/>
            <w:tcBorders/>
            <w:shd w:fill="auto" w:val="clear"/>
            <w:vAlign w:val="bottom"/>
          </w:tcPr>
          <w:p>
            <w:pPr>
              <w:pStyle w:val="TableContents"/>
              <w:spacing w:before="0" w:after="0"/>
              <w:ind w:left="0" w:right="0" w:hanging="0"/>
              <w:jc w:val="center"/>
              <w:rPr/>
            </w:pPr>
            <w:r>
              <w:rPr/>
              <w:t> </w:t>
            </w:r>
          </w:p>
        </w:tc>
        <w:tc>
          <w:tcPr>
            <w:tcW w:w="250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3" w:type="dxa"/>
            <w:tcBorders/>
            <w:shd w:fill="auto" w:val="clear"/>
            <w:vAlign w:val="bottom"/>
          </w:tcPr>
          <w:p>
            <w:pPr>
              <w:pStyle w:val="TableContents"/>
              <w:spacing w:before="0" w:after="0"/>
              <w:ind w:left="0" w:right="0" w:hanging="0"/>
              <w:jc w:val="center"/>
              <w:rPr/>
            </w:pPr>
            <w:r>
              <w:rPr/>
              <w:t> </w:t>
            </w:r>
          </w:p>
        </w:tc>
      </w:tr>
      <w:tr>
        <w:trPr/>
        <w:tc>
          <w:tcPr>
            <w:tcW w:w="46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1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3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5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vAlign w:val="bottom"/>
          </w:tcPr>
          <w:p>
            <w:pPr>
              <w:pStyle w:val="TableContents"/>
              <w:spacing w:before="0" w:after="0"/>
              <w:ind w:left="0" w:right="0" w:hanging="0"/>
              <w:jc w:val="center"/>
              <w:rPr/>
            </w:pPr>
            <w:r>
              <w:rPr/>
              <w:t> </w:t>
            </w:r>
          </w:p>
        </w:tc>
        <w:tc>
          <w:tcPr>
            <w:tcW w:w="11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3" w:type="dxa"/>
            <w:tcBorders/>
            <w:shd w:fill="auto" w:val="clear"/>
            <w:vAlign w:val="bottom"/>
          </w:tcPr>
          <w:p>
            <w:pPr>
              <w:pStyle w:val="TableContents"/>
              <w:spacing w:before="0" w:after="0"/>
              <w:ind w:left="0" w:right="0" w:hanging="0"/>
              <w:jc w:val="center"/>
              <w:rPr/>
            </w:pPr>
            <w:r>
              <w:rPr/>
              <w:t> </w:t>
            </w:r>
          </w:p>
        </w:tc>
      </w:tr>
      <w:tr>
        <w:trPr/>
        <w:tc>
          <w:tcPr>
            <w:tcW w:w="460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to earnings before interest, taxes, depreciation and amortization (EBITDA) and excluding selected items impacting comparability (Adjusted EBITDA) reconciliations</w:t>
            </w:r>
          </w:p>
        </w:tc>
        <w:tc>
          <w:tcPr>
            <w:tcW w:w="207"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1140"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460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07"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30"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6"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227"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133" w:type="dxa"/>
            <w:tcBorders/>
            <w:shd w:fill="auto" w:val="clear"/>
            <w:vAlign w:val="bottom"/>
          </w:tcPr>
          <w:p>
            <w:pPr>
              <w:pStyle w:val="TableContents"/>
              <w:spacing w:before="0" w:after="0"/>
              <w:ind w:left="0" w:right="0" w:hanging="0"/>
              <w:rPr/>
            </w:pPr>
            <w:r>
              <w:rPr/>
              <w:t> </w:t>
            </w:r>
          </w:p>
        </w:tc>
      </w:tr>
      <w:tr>
        <w:trPr/>
        <w:tc>
          <w:tcPr>
            <w:tcW w:w="46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Add: Interest expense</w:t>
            </w:r>
          </w:p>
        </w:tc>
        <w:tc>
          <w:tcPr>
            <w:tcW w:w="207"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30"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6"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27" w:type="dxa"/>
            <w:tcBorders/>
            <w:shd w:fill="CCEEFF" w:val="clear"/>
            <w:vAlign w:val="bottom"/>
          </w:tcPr>
          <w:p>
            <w:pPr>
              <w:pStyle w:val="TableContents"/>
              <w:spacing w:before="0" w:after="0"/>
              <w:ind w:left="0" w:right="0" w:hanging="0"/>
              <w:rPr/>
            </w:pPr>
            <w:r>
              <w:rPr/>
              <w:t> </w:t>
            </w:r>
          </w:p>
        </w:tc>
        <w:tc>
          <w:tcPr>
            <w:tcW w:w="11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33" w:type="dxa"/>
            <w:tcBorders/>
            <w:shd w:fill="CCEEFF" w:val="clear"/>
            <w:vAlign w:val="bottom"/>
          </w:tcPr>
          <w:p>
            <w:pPr>
              <w:pStyle w:val="TableContents"/>
              <w:spacing w:before="0" w:after="0"/>
              <w:ind w:left="0" w:right="0" w:hanging="0"/>
              <w:rPr/>
            </w:pPr>
            <w:r>
              <w:rPr/>
              <w:t> </w:t>
            </w:r>
          </w:p>
        </w:tc>
      </w:tr>
      <w:tr>
        <w:trPr/>
        <w:tc>
          <w:tcPr>
            <w:tcW w:w="460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 Income tax expense/(benefit)</w:t>
            </w:r>
          </w:p>
        </w:tc>
        <w:tc>
          <w:tcPr>
            <w:tcW w:w="207"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auto" w:val="clear"/>
            <w:vAlign w:val="bottom"/>
          </w:tcPr>
          <w:p>
            <w:pPr>
              <w:pStyle w:val="TableContents"/>
              <w:spacing w:before="0" w:after="0"/>
              <w:ind w:left="0" w:right="0" w:hanging="0"/>
              <w:rPr/>
            </w:pPr>
            <w:r>
              <w:rPr/>
              <w:t> </w:t>
            </w:r>
          </w:p>
        </w:tc>
      </w:tr>
      <w:tr>
        <w:trPr/>
        <w:tc>
          <w:tcPr>
            <w:tcW w:w="46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Add: Depreciation and amortization</w:t>
            </w:r>
          </w:p>
        </w:tc>
        <w:tc>
          <w:tcPr>
            <w:tcW w:w="207" w:type="dxa"/>
            <w:tcBorders/>
            <w:shd w:fill="CCEEFF" w:val="clear"/>
            <w:vAlign w:val="bottom"/>
          </w:tcPr>
          <w:p>
            <w:pPr>
              <w:pStyle w:val="TableContents"/>
              <w:spacing w:before="0" w:after="0"/>
              <w:ind w:left="0" w:right="0" w:hanging="0"/>
              <w:rPr/>
            </w:pPr>
            <w:r>
              <w:rPr/>
              <w:t> </w:t>
            </w:r>
          </w:p>
        </w:tc>
        <w:tc>
          <w:tcPr>
            <w:tcW w:w="11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30" w:type="dxa"/>
            <w:tcBorders/>
            <w:shd w:fill="CCEEFF"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6" w:type="dxa"/>
            <w:tcBorders/>
            <w:shd w:fill="CCEEFF" w:val="clear"/>
            <w:vAlign w:val="bottom"/>
          </w:tcPr>
          <w:p>
            <w:pPr>
              <w:pStyle w:val="TableContents"/>
              <w:spacing w:before="0" w:after="0"/>
              <w:ind w:left="0" w:right="0" w:hanging="0"/>
              <w:rPr/>
            </w:pPr>
            <w:r>
              <w:rPr/>
              <w:t> </w:t>
            </w:r>
          </w:p>
        </w:tc>
        <w:tc>
          <w:tcPr>
            <w:tcW w:w="11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27" w:type="dxa"/>
            <w:tcBorders/>
            <w:shd w:fill="CCEEFF" w:val="clear"/>
            <w:vAlign w:val="bottom"/>
          </w:tcPr>
          <w:p>
            <w:pPr>
              <w:pStyle w:val="TableContents"/>
              <w:spacing w:before="0" w:after="0"/>
              <w:ind w:left="0" w:right="0" w:hanging="0"/>
              <w:rPr/>
            </w:pPr>
            <w:r>
              <w:rPr/>
              <w:t> </w:t>
            </w:r>
          </w:p>
        </w:tc>
        <w:tc>
          <w:tcPr>
            <w:tcW w:w="11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33" w:type="dxa"/>
            <w:tcBorders/>
            <w:shd w:fill="CCEEFF" w:val="clear"/>
            <w:vAlign w:val="bottom"/>
          </w:tcPr>
          <w:p>
            <w:pPr>
              <w:pStyle w:val="TableContents"/>
              <w:spacing w:before="0" w:after="0"/>
              <w:ind w:left="0" w:right="0" w:hanging="0"/>
              <w:rPr/>
            </w:pPr>
            <w:r>
              <w:rPr/>
              <w:t> </w:t>
            </w:r>
          </w:p>
        </w:tc>
      </w:tr>
      <w:tr>
        <w:trPr/>
        <w:tc>
          <w:tcPr>
            <w:tcW w:w="460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7"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230"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216"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227" w:type="dxa"/>
            <w:tcBorders/>
            <w:shd w:fill="auto" w:val="clear"/>
            <w:vAlign w:val="bottom"/>
          </w:tcPr>
          <w:p>
            <w:pPr>
              <w:pStyle w:val="TableContents"/>
              <w:spacing w:before="0" w:after="0"/>
              <w:ind w:left="0" w:right="0" w:hanging="0"/>
              <w:rPr/>
            </w:pPr>
            <w:r>
              <w:rPr/>
              <w:t> </w:t>
            </w:r>
          </w:p>
        </w:tc>
        <w:tc>
          <w:tcPr>
            <w:tcW w:w="11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809</w:t>
            </w:r>
          </w:p>
        </w:tc>
        <w:tc>
          <w:tcPr>
            <w:tcW w:w="133" w:type="dxa"/>
            <w:tcBorders/>
            <w:shd w:fill="auto" w:val="clear"/>
            <w:vAlign w:val="bottom"/>
          </w:tcPr>
          <w:p>
            <w:pPr>
              <w:pStyle w:val="TableContents"/>
              <w:spacing w:before="0" w:after="0"/>
              <w:ind w:left="0" w:right="0" w:hanging="0"/>
              <w:rPr/>
            </w:pPr>
            <w:r>
              <w:rPr/>
              <w:t> </w:t>
            </w:r>
          </w:p>
        </w:tc>
      </w:tr>
      <w:tr>
        <w:trPr/>
        <w:tc>
          <w:tcPr>
            <w:tcW w:w="46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07" w:type="dxa"/>
            <w:tcBorders/>
            <w:shd w:fill="CCEEFF" w:val="clear"/>
            <w:vAlign w:val="bottom"/>
          </w:tcPr>
          <w:p>
            <w:pPr>
              <w:pStyle w:val="TableContents"/>
              <w:spacing w:before="0" w:after="0"/>
              <w:ind w:left="0" w:right="0" w:hanging="0"/>
              <w:rPr/>
            </w:pPr>
            <w:r>
              <w:rPr/>
              <w:t> </w:t>
            </w:r>
          </w:p>
        </w:tc>
        <w:tc>
          <w:tcPr>
            <w:tcW w:w="11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30" w:type="dxa"/>
            <w:tcBorders/>
            <w:shd w:fill="CCEEFF"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27" w:type="dxa"/>
            <w:tcBorders/>
            <w:shd w:fill="CCEEFF" w:val="clear"/>
            <w:vAlign w:val="bottom"/>
          </w:tcPr>
          <w:p>
            <w:pPr>
              <w:pStyle w:val="TableContents"/>
              <w:spacing w:before="0" w:after="0"/>
              <w:ind w:left="0" w:right="0" w:hanging="0"/>
              <w:rPr/>
            </w:pPr>
            <w:r>
              <w:rPr/>
              <w:t> </w:t>
            </w:r>
          </w:p>
        </w:tc>
        <w:tc>
          <w:tcPr>
            <w:tcW w:w="11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0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7"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30"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216"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227"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746</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578"/>
        <w:gridCol w:w="208"/>
        <w:gridCol w:w="158"/>
        <w:gridCol w:w="1001"/>
        <w:gridCol w:w="231"/>
        <w:gridCol w:w="158"/>
        <w:gridCol w:w="1002"/>
        <w:gridCol w:w="217"/>
        <w:gridCol w:w="154"/>
        <w:gridCol w:w="990"/>
        <w:gridCol w:w="227"/>
        <w:gridCol w:w="154"/>
        <w:gridCol w:w="991"/>
        <w:gridCol w:w="136"/>
      </w:tblGrid>
      <w:tr>
        <w:trPr/>
        <w:tc>
          <w:tcPr>
            <w:tcW w:w="4578"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55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51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6" w:type="dxa"/>
            <w:tcBorders/>
            <w:shd w:fill="auto" w:val="clear"/>
            <w:vAlign w:val="bottom"/>
          </w:tcPr>
          <w:p>
            <w:pPr>
              <w:pStyle w:val="TableContents"/>
              <w:spacing w:before="0" w:after="0"/>
              <w:ind w:left="0" w:right="0" w:hanging="0"/>
              <w:jc w:val="center"/>
              <w:rPr/>
            </w:pPr>
            <w:r>
              <w:rPr/>
              <w:t> </w:t>
            </w:r>
          </w:p>
        </w:tc>
      </w:tr>
      <w:tr>
        <w:trPr/>
        <w:tc>
          <w:tcPr>
            <w:tcW w:w="4578"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55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7" w:type="dxa"/>
            <w:tcBorders/>
            <w:shd w:fill="auto" w:val="clear"/>
            <w:vAlign w:val="bottom"/>
          </w:tcPr>
          <w:p>
            <w:pPr>
              <w:pStyle w:val="TableContents"/>
              <w:spacing w:before="0" w:after="0"/>
              <w:ind w:left="0" w:right="0" w:hanging="0"/>
              <w:jc w:val="center"/>
              <w:rPr/>
            </w:pPr>
            <w:r>
              <w:rPr/>
              <w:t> </w:t>
            </w:r>
          </w:p>
        </w:tc>
        <w:tc>
          <w:tcPr>
            <w:tcW w:w="251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6" w:type="dxa"/>
            <w:tcBorders/>
            <w:shd w:fill="auto" w:val="clear"/>
            <w:vAlign w:val="bottom"/>
          </w:tcPr>
          <w:p>
            <w:pPr>
              <w:pStyle w:val="TableContents"/>
              <w:spacing w:before="0" w:after="0"/>
              <w:ind w:left="0" w:right="0" w:hanging="0"/>
              <w:jc w:val="center"/>
              <w:rPr/>
            </w:pPr>
            <w:r>
              <w:rPr/>
              <w:t> </w:t>
            </w:r>
          </w:p>
        </w:tc>
      </w:tr>
      <w:tr>
        <w:trPr/>
        <w:tc>
          <w:tcPr>
            <w:tcW w:w="4578"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1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3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6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shd w:fill="auto" w:val="clear"/>
            <w:vAlign w:val="bottom"/>
          </w:tcPr>
          <w:p>
            <w:pPr>
              <w:pStyle w:val="TableContents"/>
              <w:spacing w:before="0" w:after="0"/>
              <w:ind w:left="0" w:right="0" w:hanging="0"/>
              <w:jc w:val="center"/>
              <w:rPr/>
            </w:pPr>
            <w:r>
              <w:rPr/>
              <w:t> </w:t>
            </w:r>
          </w:p>
        </w:tc>
        <w:tc>
          <w:tcPr>
            <w:tcW w:w="11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6" w:type="dxa"/>
            <w:tcBorders/>
            <w:shd w:fill="auto" w:val="clear"/>
            <w:vAlign w:val="bottom"/>
          </w:tcPr>
          <w:p>
            <w:pPr>
              <w:pStyle w:val="TableContents"/>
              <w:spacing w:before="0" w:after="0"/>
              <w:ind w:left="0" w:right="0" w:hanging="0"/>
              <w:jc w:val="center"/>
              <w:rPr/>
            </w:pPr>
            <w:r>
              <w:rPr/>
              <w:t> </w:t>
            </w:r>
          </w:p>
        </w:tc>
      </w:tr>
      <w:tr>
        <w:trPr/>
        <w:tc>
          <w:tcPr>
            <w:tcW w:w="457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Adjusted EBITDA to Distributable Cash Flow (DCF)</w:t>
            </w:r>
          </w:p>
        </w:tc>
        <w:tc>
          <w:tcPr>
            <w:tcW w:w="208" w:type="dxa"/>
            <w:tcBorders/>
            <w:shd w:fill="CCEEFF" w:val="clear"/>
            <w:vAlign w:val="bottom"/>
          </w:tcPr>
          <w:p>
            <w:pPr>
              <w:pStyle w:val="TableContents"/>
              <w:spacing w:before="0" w:after="0"/>
              <w:ind w:left="0" w:right="0" w:hanging="0"/>
              <w:rPr/>
            </w:pPr>
            <w:r>
              <w:rPr/>
              <w:t> </w:t>
            </w:r>
          </w:p>
        </w:tc>
        <w:tc>
          <w:tcPr>
            <w:tcW w:w="1159" w:type="dxa"/>
            <w:gridSpan w:val="2"/>
            <w:tcBorders/>
            <w:shd w:fill="CCEEFF" w:val="clear"/>
            <w:vAlign w:val="bottom"/>
          </w:tcPr>
          <w:p>
            <w:pPr>
              <w:pStyle w:val="TableContents"/>
              <w:spacing w:before="0" w:after="0"/>
              <w:ind w:left="0" w:right="0" w:hanging="0"/>
              <w:jc w:val="right"/>
              <w:rPr/>
            </w:pPr>
            <w:r>
              <w:rPr/>
              <w:t> </w:t>
            </w:r>
          </w:p>
        </w:tc>
        <w:tc>
          <w:tcPr>
            <w:tcW w:w="231"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144"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1145" w:type="dxa"/>
            <w:gridSpan w:val="2"/>
            <w:tcBorders/>
            <w:shd w:fill="CCEEFF" w:val="clear"/>
            <w:vAlign w:val="bottom"/>
          </w:tcPr>
          <w:p>
            <w:pPr>
              <w:pStyle w:val="TableContents"/>
              <w:spacing w:before="0" w:after="0"/>
              <w:ind w:left="0" w:right="0" w:hanging="0"/>
              <w:jc w:val="right"/>
              <w:rPr/>
            </w:pPr>
            <w:r>
              <w:rPr/>
              <w:t> </w:t>
            </w:r>
          </w:p>
        </w:tc>
        <w:tc>
          <w:tcPr>
            <w:tcW w:w="136" w:type="dxa"/>
            <w:tcBorders/>
            <w:shd w:fill="CCEEFF" w:val="clear"/>
            <w:vAlign w:val="bottom"/>
          </w:tcPr>
          <w:p>
            <w:pPr>
              <w:pStyle w:val="TableContents"/>
              <w:spacing w:before="0" w:after="0"/>
              <w:ind w:left="0" w:right="0" w:hanging="0"/>
              <w:rPr/>
            </w:pPr>
            <w:r>
              <w:rPr/>
              <w:t> </w:t>
            </w:r>
          </w:p>
        </w:tc>
      </w:tr>
      <w:tr>
        <w:trPr/>
        <w:tc>
          <w:tcPr>
            <w:tcW w:w="45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8"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31"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217"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227"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746</w:t>
            </w:r>
          </w:p>
        </w:tc>
        <w:tc>
          <w:tcPr>
            <w:tcW w:w="136" w:type="dxa"/>
            <w:tcBorders/>
            <w:shd w:fill="auto" w:val="clear"/>
            <w:vAlign w:val="bottom"/>
          </w:tcPr>
          <w:p>
            <w:pPr>
              <w:pStyle w:val="TableContents"/>
              <w:spacing w:before="0" w:after="0"/>
              <w:ind w:left="0" w:right="0" w:hanging="0"/>
              <w:rPr/>
            </w:pPr>
            <w:r>
              <w:rPr/>
              <w:t> </w:t>
            </w:r>
          </w:p>
        </w:tc>
      </w:tr>
      <w:tr>
        <w:trPr/>
        <w:tc>
          <w:tcPr>
            <w:tcW w:w="45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8" w:type="dxa"/>
            <w:tcBorders/>
            <w:shd w:fill="CCEEFF" w:val="clear"/>
            <w:vAlign w:val="bottom"/>
          </w:tcPr>
          <w:p>
            <w:pPr>
              <w:pStyle w:val="TableContents"/>
              <w:spacing w:before="0" w:after="0"/>
              <w:ind w:left="0" w:right="0" w:hanging="0"/>
              <w:rPr/>
            </w:pPr>
            <w:r>
              <w:rPr/>
              <w:t> </w:t>
            </w:r>
          </w:p>
        </w:tc>
        <w:tc>
          <w:tcPr>
            <w:tcW w:w="11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8" w:type="dxa"/>
            <w:tcBorders/>
            <w:shd w:fill="auto" w:val="clear"/>
            <w:vAlign w:val="bottom"/>
          </w:tcPr>
          <w:p>
            <w:pPr>
              <w:pStyle w:val="TableContents"/>
              <w:spacing w:before="0" w:after="0"/>
              <w:ind w:left="0" w:right="0" w:hanging="0"/>
              <w:rPr/>
            </w:pPr>
            <w:r>
              <w:rPr/>
              <w:t> </w:t>
            </w:r>
          </w:p>
        </w:tc>
        <w:tc>
          <w:tcPr>
            <w:tcW w:w="11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(expense)/benefit</w:t>
            </w:r>
          </w:p>
        </w:tc>
        <w:tc>
          <w:tcPr>
            <w:tcW w:w="208" w:type="dxa"/>
            <w:tcBorders/>
            <w:shd w:fill="CCEEFF" w:val="clear"/>
            <w:vAlign w:val="bottom"/>
          </w:tcPr>
          <w:p>
            <w:pPr>
              <w:pStyle w:val="TableContents"/>
              <w:spacing w:before="0" w:after="0"/>
              <w:ind w:left="0" w:right="0" w:hanging="0"/>
              <w:rPr/>
            </w:pPr>
            <w:r>
              <w:rPr/>
              <w:t> </w:t>
            </w:r>
          </w:p>
        </w:tc>
        <w:tc>
          <w:tcPr>
            <w:tcW w:w="11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1"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pPr>
            <w:r>
              <w:rPr/>
              <w:t> </w:t>
            </w:r>
          </w:p>
        </w:tc>
        <w:tc>
          <w:tcPr>
            <w:tcW w:w="11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08" w:type="dxa"/>
            <w:tcBorders/>
            <w:shd w:fill="auto" w:val="clear"/>
            <w:vAlign w:val="bottom"/>
          </w:tcPr>
          <w:p>
            <w:pPr>
              <w:pStyle w:val="TableContents"/>
              <w:spacing w:before="0" w:after="0"/>
              <w:ind w:left="0" w:right="0" w:hanging="0"/>
              <w:rPr/>
            </w:pPr>
            <w:r>
              <w:rPr/>
              <w:t> </w:t>
            </w:r>
          </w:p>
        </w:tc>
        <w:tc>
          <w:tcPr>
            <w:tcW w:w="11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1"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7" w:type="dxa"/>
            <w:tcBorders/>
            <w:shd w:fill="auto" w:val="clear"/>
            <w:vAlign w:val="bottom"/>
          </w:tcPr>
          <w:p>
            <w:pPr>
              <w:pStyle w:val="TableContents"/>
              <w:spacing w:before="0" w:after="0"/>
              <w:ind w:left="0" w:right="0" w:hanging="0"/>
              <w:rPr/>
            </w:pPr>
            <w:r>
              <w:rPr/>
              <w:t> </w:t>
            </w:r>
          </w:p>
        </w:tc>
        <w:tc>
          <w:tcPr>
            <w:tcW w:w="11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78" w:type="dxa"/>
            <w:tcBorders/>
            <w:shd w:fill="CCEEFF" w:val="clear"/>
          </w:tcPr>
          <w:p>
            <w:pPr>
              <w:pStyle w:val="TableContents"/>
              <w:spacing w:before="0" w:after="0"/>
              <w:ind w:left="0" w:right="0" w:hanging="0"/>
              <w:rPr/>
            </w:pPr>
            <w:r>
              <w:rPr>
                <w:rFonts w:ascii="Times New Roman" w:hAnsi="Times New Roman"/>
                <w:sz w:val="17"/>
              </w:rPr>
              <w:t xml:space="preserve">Distribution to noncontrolling interests </w:t>
            </w:r>
            <w:r>
              <w:rPr>
                <w:sz w:val="11"/>
              </w:rPr>
              <w:t>(1)</w:t>
            </w:r>
          </w:p>
        </w:tc>
        <w:tc>
          <w:tcPr>
            <w:tcW w:w="208" w:type="dxa"/>
            <w:tcBorders/>
            <w:shd w:fill="CCEEFF" w:val="clear"/>
            <w:vAlign w:val="bottom"/>
          </w:tcPr>
          <w:p>
            <w:pPr>
              <w:pStyle w:val="TableContents"/>
              <w:spacing w:before="0" w:after="0"/>
              <w:ind w:left="0" w:right="0" w:hanging="0"/>
              <w:rPr/>
            </w:pPr>
            <w:r>
              <w:rPr/>
              <w:t> </w:t>
            </w:r>
          </w:p>
        </w:tc>
        <w:tc>
          <w:tcPr>
            <w:tcW w:w="11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DCF</w:t>
            </w:r>
          </w:p>
        </w:tc>
        <w:tc>
          <w:tcPr>
            <w:tcW w:w="208"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231"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17"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530</w:t>
            </w:r>
          </w:p>
        </w:tc>
        <w:tc>
          <w:tcPr>
            <w:tcW w:w="227"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512</w:t>
            </w:r>
          </w:p>
        </w:tc>
        <w:tc>
          <w:tcPr>
            <w:tcW w:w="13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distributions that are declared in the current quarter and are to be paid in the subsequent quarter.</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576"/>
        <w:gridCol w:w="209"/>
        <w:gridCol w:w="157"/>
        <w:gridCol w:w="1003"/>
        <w:gridCol w:w="231"/>
        <w:gridCol w:w="157"/>
        <w:gridCol w:w="1004"/>
        <w:gridCol w:w="217"/>
        <w:gridCol w:w="152"/>
        <w:gridCol w:w="992"/>
        <w:gridCol w:w="228"/>
        <w:gridCol w:w="152"/>
        <w:gridCol w:w="994"/>
        <w:gridCol w:w="133"/>
      </w:tblGrid>
      <w:tr>
        <w:trPr/>
        <w:tc>
          <w:tcPr>
            <w:tcW w:w="457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55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51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457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55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7" w:type="dxa"/>
            <w:tcBorders/>
            <w:shd w:fill="auto" w:val="clear"/>
            <w:vAlign w:val="bottom"/>
          </w:tcPr>
          <w:p>
            <w:pPr>
              <w:pStyle w:val="TableContents"/>
              <w:spacing w:before="0" w:after="0"/>
              <w:ind w:left="0" w:right="0" w:hanging="0"/>
              <w:jc w:val="center"/>
              <w:rPr/>
            </w:pPr>
            <w:r>
              <w:rPr/>
              <w:t> </w:t>
            </w:r>
          </w:p>
        </w:tc>
        <w:tc>
          <w:tcPr>
            <w:tcW w:w="251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3" w:type="dxa"/>
            <w:tcBorders/>
            <w:shd w:fill="auto" w:val="clear"/>
            <w:vAlign w:val="bottom"/>
          </w:tcPr>
          <w:p>
            <w:pPr>
              <w:pStyle w:val="TableContents"/>
              <w:spacing w:before="0" w:after="0"/>
              <w:ind w:left="0" w:right="0" w:hanging="0"/>
              <w:jc w:val="center"/>
              <w:rPr/>
            </w:pPr>
            <w:r>
              <w:rPr/>
              <w:t> </w:t>
            </w:r>
          </w:p>
        </w:tc>
      </w:tr>
      <w:tr>
        <w:trPr/>
        <w:tc>
          <w:tcPr>
            <w:tcW w:w="457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1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3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6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shd w:fill="auto" w:val="clear"/>
            <w:vAlign w:val="bottom"/>
          </w:tcPr>
          <w:p>
            <w:pPr>
              <w:pStyle w:val="TableContents"/>
              <w:spacing w:before="0" w:after="0"/>
              <w:ind w:left="0" w:right="0" w:hanging="0"/>
              <w:jc w:val="center"/>
              <w:rPr/>
            </w:pPr>
            <w:r>
              <w:rPr/>
              <w:t> </w:t>
            </w:r>
          </w:p>
        </w:tc>
        <w:tc>
          <w:tcPr>
            <w:tcW w:w="11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3" w:type="dxa"/>
            <w:tcBorders/>
            <w:shd w:fill="auto" w:val="clear"/>
            <w:vAlign w:val="bottom"/>
          </w:tcPr>
          <w:p>
            <w:pPr>
              <w:pStyle w:val="TableContents"/>
              <w:spacing w:before="0" w:after="0"/>
              <w:ind w:left="0" w:right="0" w:hanging="0"/>
              <w:jc w:val="center"/>
              <w:rPr/>
            </w:pPr>
            <w:r>
              <w:rPr/>
              <w:t> </w:t>
            </w:r>
          </w:p>
        </w:tc>
      </w:tr>
      <w:tr>
        <w:trPr/>
        <w:tc>
          <w:tcPr>
            <w:tcW w:w="457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209"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pPr>
            <w:r>
              <w:rPr/>
              <w:t> </w:t>
            </w:r>
          </w:p>
        </w:tc>
        <w:tc>
          <w:tcPr>
            <w:tcW w:w="231"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144"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1146"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45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9"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231"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217"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228"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809</w:t>
            </w:r>
          </w:p>
        </w:tc>
        <w:tc>
          <w:tcPr>
            <w:tcW w:w="133" w:type="dxa"/>
            <w:tcBorders/>
            <w:shd w:fill="auto" w:val="clear"/>
            <w:vAlign w:val="bottom"/>
          </w:tcPr>
          <w:p>
            <w:pPr>
              <w:pStyle w:val="TableContents"/>
              <w:spacing w:before="0" w:after="0"/>
              <w:ind w:left="0" w:right="0" w:hanging="0"/>
              <w:rPr/>
            </w:pPr>
            <w:r>
              <w:rPr/>
              <w:t> </w:t>
            </w:r>
          </w:p>
        </w:tc>
      </w:tr>
      <w:tr>
        <w:trPr/>
        <w:tc>
          <w:tcPr>
            <w:tcW w:w="45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(expense)/benefit</w:t>
            </w:r>
          </w:p>
        </w:tc>
        <w:tc>
          <w:tcPr>
            <w:tcW w:w="209"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1"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8" w:type="dxa"/>
            <w:tcBorders/>
            <w:shd w:fill="CCEEFF" w:val="clear"/>
            <w:vAlign w:val="bottom"/>
          </w:tcPr>
          <w:p>
            <w:pPr>
              <w:pStyle w:val="TableContents"/>
              <w:spacing w:before="0" w:after="0"/>
              <w:ind w:left="0" w:right="0" w:hanging="0"/>
              <w:rPr/>
            </w:pPr>
            <w:r>
              <w:rPr/>
              <w:t> </w:t>
            </w:r>
          </w:p>
        </w:tc>
        <w:tc>
          <w:tcPr>
            <w:tcW w:w="11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9"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209"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31"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209"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pPr>
            <w:r>
              <w:rPr/>
              <w:t> </w:t>
            </w:r>
          </w:p>
        </w:tc>
        <w:tc>
          <w:tcPr>
            <w:tcW w:w="231"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44"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1146"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45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charge</w:t>
            </w:r>
          </w:p>
        </w:tc>
        <w:tc>
          <w:tcPr>
            <w:tcW w:w="209" w:type="dxa"/>
            <w:tcBorders/>
            <w:shd w:fill="CCEEFF" w:val="clear"/>
            <w:vAlign w:val="bottom"/>
          </w:tcPr>
          <w:p>
            <w:pPr>
              <w:pStyle w:val="TableContents"/>
              <w:spacing w:before="0" w:after="0"/>
              <w:ind w:left="0" w:right="0" w:hanging="0"/>
              <w:rPr/>
            </w:pPr>
            <w:r>
              <w:rPr/>
              <w:t> </w:t>
            </w:r>
          </w:p>
        </w:tc>
        <w:tc>
          <w:tcPr>
            <w:tcW w:w="11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31" w:type="dxa"/>
            <w:tcBorders/>
            <w:shd w:fill="CCEEFF" w:val="clear"/>
            <w:vAlign w:val="bottom"/>
          </w:tcPr>
          <w:p>
            <w:pPr>
              <w:pStyle w:val="TableContents"/>
              <w:spacing w:before="0" w:after="0"/>
              <w:ind w:left="0" w:right="0" w:hanging="0"/>
              <w:rPr/>
            </w:pPr>
            <w:r>
              <w:rPr/>
              <w:t> </w:t>
            </w:r>
          </w:p>
        </w:tc>
        <w:tc>
          <w:tcPr>
            <w:tcW w:w="11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7" w:type="dxa"/>
            <w:tcBorders/>
            <w:shd w:fill="CCEEFF" w:val="clear"/>
            <w:vAlign w:val="bottom"/>
          </w:tcPr>
          <w:p>
            <w:pPr>
              <w:pStyle w:val="TableContents"/>
              <w:spacing w:before="0" w:after="0"/>
              <w:ind w:left="0" w:right="0" w:hanging="0"/>
              <w:rPr/>
            </w:pPr>
            <w:r>
              <w:rPr/>
              <w:t> </w:t>
            </w:r>
          </w:p>
        </w:tc>
        <w:tc>
          <w:tcPr>
            <w:tcW w:w="11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28" w:type="dxa"/>
            <w:tcBorders/>
            <w:shd w:fill="CCEEFF" w:val="clear"/>
            <w:vAlign w:val="bottom"/>
          </w:tcPr>
          <w:p>
            <w:pPr>
              <w:pStyle w:val="TableContents"/>
              <w:spacing w:before="0" w:after="0"/>
              <w:ind w:left="0" w:right="0" w:hanging="0"/>
              <w:rPr/>
            </w:pPr>
            <w:r>
              <w:rPr/>
              <w:t> </w:t>
            </w:r>
          </w:p>
        </w:tc>
        <w:tc>
          <w:tcPr>
            <w:tcW w:w="11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33" w:type="dxa"/>
            <w:tcBorders/>
            <w:shd w:fill="CCEEFF" w:val="clear"/>
            <w:vAlign w:val="bottom"/>
          </w:tcPr>
          <w:p>
            <w:pPr>
              <w:pStyle w:val="TableContents"/>
              <w:spacing w:before="0" w:after="0"/>
              <w:ind w:left="0" w:right="0" w:hanging="0"/>
              <w:rPr/>
            </w:pPr>
            <w:r>
              <w:rPr/>
              <w:t> </w:t>
            </w:r>
          </w:p>
        </w:tc>
      </w:tr>
      <w:tr>
        <w:trPr/>
        <w:tc>
          <w:tcPr>
            <w:tcW w:w="457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pPr>
            <w:r>
              <w:rPr/>
              <w:t> </w:t>
            </w:r>
          </w:p>
        </w:tc>
        <w:tc>
          <w:tcPr>
            <w:tcW w:w="231"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44"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1146"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45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09"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31"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7"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228"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w:t>
            </w:r>
          </w:p>
        </w:tc>
        <w:tc>
          <w:tcPr>
            <w:tcW w:w="13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13</w:t>
      </w:r>
      <w:bookmarkStart w:id="29" w:name="PB_13_051825_5796"/>
      <w:bookmarkEnd w:id="29"/>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FINANCIAL DATA RECONCILIATIONS</w:t>
      </w:r>
      <w:r>
        <w:rPr>
          <w:rFonts w:ascii="Times New Roman" w:hAnsi="Times New Roman"/>
        </w:rPr>
        <w:t xml:space="preserve"> </w:t>
      </w:r>
      <w:r>
        <w:rPr>
          <w:rFonts w:ascii="Times New Roman" w:hAnsi="Times New Roman"/>
          <w:sz w:val="17"/>
        </w:rPr>
        <w:t>(continued)</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627"/>
        <w:gridCol w:w="210"/>
        <w:gridCol w:w="145"/>
        <w:gridCol w:w="1008"/>
        <w:gridCol w:w="216"/>
        <w:gridCol w:w="145"/>
        <w:gridCol w:w="1009"/>
        <w:gridCol w:w="217"/>
        <w:gridCol w:w="143"/>
        <w:gridCol w:w="999"/>
        <w:gridCol w:w="215"/>
        <w:gridCol w:w="143"/>
        <w:gridCol w:w="999"/>
        <w:gridCol w:w="129"/>
      </w:tblGrid>
      <w:tr>
        <w:trPr/>
        <w:tc>
          <w:tcPr>
            <w:tcW w:w="4627"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2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49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9" w:type="dxa"/>
            <w:tcBorders/>
            <w:shd w:fill="auto" w:val="clear"/>
            <w:vAlign w:val="bottom"/>
          </w:tcPr>
          <w:p>
            <w:pPr>
              <w:pStyle w:val="TableContents"/>
              <w:spacing w:before="0" w:after="0"/>
              <w:ind w:left="0" w:right="0" w:hanging="0"/>
              <w:jc w:val="center"/>
              <w:rPr/>
            </w:pPr>
            <w:r>
              <w:rPr/>
              <w:t> </w:t>
            </w:r>
          </w:p>
        </w:tc>
      </w:tr>
      <w:tr>
        <w:trPr/>
        <w:tc>
          <w:tcPr>
            <w:tcW w:w="4627"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2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7" w:type="dxa"/>
            <w:tcBorders/>
            <w:shd w:fill="auto" w:val="clear"/>
            <w:vAlign w:val="bottom"/>
          </w:tcPr>
          <w:p>
            <w:pPr>
              <w:pStyle w:val="TableContents"/>
              <w:spacing w:before="0" w:after="0"/>
              <w:ind w:left="0" w:right="0" w:hanging="0"/>
              <w:jc w:val="center"/>
              <w:rPr/>
            </w:pPr>
            <w:r>
              <w:rPr/>
              <w:t> </w:t>
            </w:r>
          </w:p>
        </w:tc>
        <w:tc>
          <w:tcPr>
            <w:tcW w:w="249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9" w:type="dxa"/>
            <w:tcBorders/>
            <w:shd w:fill="auto" w:val="clear"/>
            <w:vAlign w:val="bottom"/>
          </w:tcPr>
          <w:p>
            <w:pPr>
              <w:pStyle w:val="TableContents"/>
              <w:spacing w:before="0" w:after="0"/>
              <w:ind w:left="0" w:right="0" w:hanging="0"/>
              <w:jc w:val="center"/>
              <w:rPr/>
            </w:pPr>
            <w:r>
              <w:rPr/>
              <w:t> </w:t>
            </w:r>
          </w:p>
        </w:tc>
      </w:tr>
      <w:tr>
        <w:trPr/>
        <w:tc>
          <w:tcPr>
            <w:tcW w:w="4627"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1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5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shd w:fill="auto" w:val="clear"/>
            <w:vAlign w:val="bottom"/>
          </w:tcPr>
          <w:p>
            <w:pPr>
              <w:pStyle w:val="TableContents"/>
              <w:spacing w:before="0" w:after="0"/>
              <w:ind w:left="0" w:right="0" w:hanging="0"/>
              <w:jc w:val="center"/>
              <w:rPr/>
            </w:pPr>
            <w:r>
              <w:rPr/>
              <w:t> </w:t>
            </w:r>
          </w:p>
        </w:tc>
        <w:tc>
          <w:tcPr>
            <w:tcW w:w="11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9" w:type="dxa"/>
            <w:tcBorders/>
            <w:shd w:fill="auto" w:val="clear"/>
            <w:vAlign w:val="bottom"/>
          </w:tcPr>
          <w:p>
            <w:pPr>
              <w:pStyle w:val="TableContents"/>
              <w:spacing w:before="0" w:after="0"/>
              <w:ind w:left="0" w:right="0" w:hanging="0"/>
              <w:jc w:val="center"/>
              <w:rPr/>
            </w:pPr>
            <w:r>
              <w:rPr/>
              <w:t> </w:t>
            </w:r>
          </w:p>
        </w:tc>
      </w:tr>
      <w:tr>
        <w:trPr/>
        <w:tc>
          <w:tcPr>
            <w:tcW w:w="4627"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and earnings per limited partner unit excluding selected items impacting comparability</w:t>
            </w:r>
          </w:p>
        </w:tc>
        <w:tc>
          <w:tcPr>
            <w:tcW w:w="210"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1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42"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4627"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4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6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0"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6"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7"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215"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29" w:type="dxa"/>
            <w:tcBorders/>
            <w:shd w:fill="CCEEFF" w:val="clear"/>
            <w:vAlign w:val="bottom"/>
          </w:tcPr>
          <w:p>
            <w:pPr>
              <w:pStyle w:val="TableContents"/>
              <w:spacing w:before="0" w:after="0"/>
              <w:ind w:left="0" w:right="0" w:hanging="0"/>
              <w:rPr/>
            </w:pPr>
            <w:r>
              <w:rPr/>
              <w:t> </w:t>
            </w:r>
          </w:p>
        </w:tc>
      </w:tr>
      <w:tr>
        <w:trPr/>
        <w:tc>
          <w:tcPr>
            <w:tcW w:w="46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0" w:type="dxa"/>
            <w:tcBorders/>
            <w:shd w:fill="auto" w:val="clear"/>
            <w:vAlign w:val="bottom"/>
          </w:tcPr>
          <w:p>
            <w:pPr>
              <w:pStyle w:val="TableContents"/>
              <w:spacing w:before="0" w:after="0"/>
              <w:ind w:left="0" w:right="0" w:hanging="0"/>
              <w:rPr/>
            </w:pPr>
            <w:r>
              <w:rPr/>
              <w:t> </w:t>
            </w:r>
          </w:p>
        </w:tc>
        <w:tc>
          <w:tcPr>
            <w:tcW w:w="11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6" w:type="dxa"/>
            <w:tcBorders/>
            <w:shd w:fill="auto"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5" w:type="dxa"/>
            <w:tcBorders/>
            <w:shd w:fill="auto" w:val="clear"/>
            <w:vAlign w:val="bottom"/>
          </w:tcPr>
          <w:p>
            <w:pPr>
              <w:pStyle w:val="TableContents"/>
              <w:spacing w:before="0" w:after="0"/>
              <w:ind w:left="0" w:right="0" w:hanging="0"/>
              <w:rPr/>
            </w:pPr>
            <w:r>
              <w:rPr/>
              <w:t> </w:t>
            </w:r>
          </w:p>
        </w:tc>
        <w:tc>
          <w:tcPr>
            <w:tcW w:w="11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0"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16"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7"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215"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406</w:t>
            </w:r>
          </w:p>
        </w:tc>
        <w:tc>
          <w:tcPr>
            <w:tcW w:w="129" w:type="dxa"/>
            <w:tcBorders/>
            <w:shd w:fill="CCEEFF" w:val="clear"/>
            <w:vAlign w:val="bottom"/>
          </w:tcPr>
          <w:p>
            <w:pPr>
              <w:pStyle w:val="TableContents"/>
              <w:spacing w:before="0" w:after="0"/>
              <w:ind w:left="0" w:right="0" w:hanging="0"/>
              <w:rPr/>
            </w:pPr>
            <w:r>
              <w:rPr/>
              <w:t> </w:t>
            </w:r>
          </w:p>
        </w:tc>
      </w:tr>
      <w:tr>
        <w:trPr/>
        <w:tc>
          <w:tcPr>
            <w:tcW w:w="4627"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4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6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0"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6"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17"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5"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29" w:type="dxa"/>
            <w:tcBorders/>
            <w:shd w:fill="CCEEFF" w:val="clear"/>
            <w:vAlign w:val="bottom"/>
          </w:tcPr>
          <w:p>
            <w:pPr>
              <w:pStyle w:val="TableContents"/>
              <w:spacing w:before="0" w:after="0"/>
              <w:ind w:left="0" w:right="0" w:hanging="0"/>
              <w:rPr/>
            </w:pPr>
            <w:r>
              <w:rPr/>
              <w:t> </w:t>
            </w:r>
          </w:p>
        </w:tc>
      </w:tr>
      <w:tr>
        <w:trPr/>
        <w:tc>
          <w:tcPr>
            <w:tcW w:w="46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Limited partners 98% of selected items impacting comparability</w:t>
            </w:r>
          </w:p>
        </w:tc>
        <w:tc>
          <w:tcPr>
            <w:tcW w:w="210" w:type="dxa"/>
            <w:tcBorders/>
            <w:shd w:fill="auto" w:val="clear"/>
            <w:vAlign w:val="bottom"/>
          </w:tcPr>
          <w:p>
            <w:pPr>
              <w:pStyle w:val="TableContents"/>
              <w:spacing w:before="0" w:after="0"/>
              <w:ind w:left="0" w:right="0" w:hanging="0"/>
              <w:rPr/>
            </w:pPr>
            <w:r>
              <w:rPr/>
              <w:t> </w:t>
            </w:r>
          </w:p>
        </w:tc>
        <w:tc>
          <w:tcPr>
            <w:tcW w:w="11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6" w:type="dxa"/>
            <w:tcBorders/>
            <w:shd w:fill="auto"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5" w:type="dxa"/>
            <w:tcBorders/>
            <w:shd w:fill="auto" w:val="clear"/>
            <w:vAlign w:val="bottom"/>
          </w:tcPr>
          <w:p>
            <w:pPr>
              <w:pStyle w:val="TableContents"/>
              <w:spacing w:before="0" w:after="0"/>
              <w:ind w:left="0" w:right="0" w:hanging="0"/>
              <w:rPr/>
            </w:pPr>
            <w:r>
              <w:rPr/>
              <w:t> </w:t>
            </w:r>
          </w:p>
        </w:tc>
        <w:tc>
          <w:tcPr>
            <w:tcW w:w="11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0"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16"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7"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w:t>
            </w:r>
          </w:p>
        </w:tc>
        <w:tc>
          <w:tcPr>
            <w:tcW w:w="215"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29" w:type="dxa"/>
            <w:tcBorders/>
            <w:shd w:fill="CCEEFF" w:val="clear"/>
            <w:vAlign w:val="bottom"/>
          </w:tcPr>
          <w:p>
            <w:pPr>
              <w:pStyle w:val="TableContents"/>
              <w:spacing w:before="0" w:after="0"/>
              <w:ind w:left="0" w:right="0" w:hanging="0"/>
              <w:rPr/>
            </w:pPr>
            <w:r>
              <w:rPr/>
              <w:t> </w:t>
            </w:r>
          </w:p>
        </w:tc>
      </w:tr>
      <w:tr>
        <w:trPr/>
        <w:tc>
          <w:tcPr>
            <w:tcW w:w="4627"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4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6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basic net income per limited partner unit</w:t>
            </w:r>
          </w:p>
        </w:tc>
        <w:tc>
          <w:tcPr>
            <w:tcW w:w="210"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0.70</w:t>
            </w:r>
          </w:p>
        </w:tc>
        <w:tc>
          <w:tcPr>
            <w:tcW w:w="216"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0.59</w:t>
            </w:r>
          </w:p>
        </w:tc>
        <w:tc>
          <w:tcPr>
            <w:tcW w:w="217"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215"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129" w:type="dxa"/>
            <w:tcBorders/>
            <w:shd w:fill="CCEEFF" w:val="clear"/>
            <w:vAlign w:val="bottom"/>
          </w:tcPr>
          <w:p>
            <w:pPr>
              <w:pStyle w:val="TableContents"/>
              <w:spacing w:before="0" w:after="0"/>
              <w:ind w:left="0" w:right="0" w:hanging="0"/>
              <w:rPr/>
            </w:pPr>
            <w:r>
              <w:rPr/>
              <w:t> </w:t>
            </w:r>
          </w:p>
        </w:tc>
      </w:tr>
      <w:tr>
        <w:trPr/>
        <w:tc>
          <w:tcPr>
            <w:tcW w:w="4627"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4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6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diluted net income per limited partner unit</w:t>
            </w:r>
          </w:p>
        </w:tc>
        <w:tc>
          <w:tcPr>
            <w:tcW w:w="210"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0.70</w:t>
            </w:r>
          </w:p>
        </w:tc>
        <w:tc>
          <w:tcPr>
            <w:tcW w:w="216"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0.59</w:t>
            </w:r>
          </w:p>
        </w:tc>
        <w:tc>
          <w:tcPr>
            <w:tcW w:w="217"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215"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29" w:type="dxa"/>
            <w:tcBorders/>
            <w:shd w:fill="CCEEFF" w:val="clear"/>
            <w:vAlign w:val="bottom"/>
          </w:tcPr>
          <w:p>
            <w:pPr>
              <w:pStyle w:val="TableContents"/>
              <w:spacing w:before="0" w:after="0"/>
              <w:ind w:left="0" w:right="0" w:hanging="0"/>
              <w:rPr/>
            </w:pPr>
            <w:r>
              <w:rPr/>
              <w:t> </w:t>
            </w:r>
          </w:p>
        </w:tc>
      </w:tr>
      <w:tr>
        <w:trPr/>
        <w:tc>
          <w:tcPr>
            <w:tcW w:w="4627"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4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6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210" w:type="dxa"/>
            <w:tcBorders/>
            <w:shd w:fill="CCEEFF" w:val="clear"/>
            <w:vAlign w:val="bottom"/>
          </w:tcPr>
          <w:p>
            <w:pPr>
              <w:pStyle w:val="TableContents"/>
              <w:spacing w:before="0" w:after="0"/>
              <w:ind w:left="0" w:right="0" w:hanging="0"/>
              <w:rPr/>
            </w:pPr>
            <w:r>
              <w:rPr/>
              <w:t> </w:t>
            </w:r>
          </w:p>
        </w:tc>
        <w:tc>
          <w:tcPr>
            <w:tcW w:w="115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6" w:type="dxa"/>
            <w:tcBorders/>
            <w:shd w:fill="CCEEFF" w:val="clear"/>
            <w:vAlign w:val="bottom"/>
          </w:tcPr>
          <w:p>
            <w:pPr>
              <w:pStyle w:val="TableContents"/>
              <w:spacing w:before="0" w:after="0"/>
              <w:ind w:left="0" w:right="0" w:hanging="0"/>
              <w:rPr/>
            </w:pPr>
            <w:r>
              <w:rPr/>
              <w:t> </w:t>
            </w:r>
          </w:p>
        </w:tc>
        <w:tc>
          <w:tcPr>
            <w:tcW w:w="115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7" w:type="dxa"/>
            <w:tcBorders/>
            <w:shd w:fill="CCEEFF" w:val="clear"/>
            <w:vAlign w:val="bottom"/>
          </w:tcPr>
          <w:p>
            <w:pPr>
              <w:pStyle w:val="TableContents"/>
              <w:spacing w:before="0" w:after="0"/>
              <w:ind w:left="0" w:right="0" w:hanging="0"/>
              <w:rPr/>
            </w:pPr>
            <w:r>
              <w:rPr/>
              <w:t> </w:t>
            </w:r>
          </w:p>
        </w:tc>
        <w:tc>
          <w:tcPr>
            <w:tcW w:w="114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5" w:type="dxa"/>
            <w:tcBorders/>
            <w:shd w:fill="CCEEFF" w:val="clear"/>
            <w:vAlign w:val="bottom"/>
          </w:tcPr>
          <w:p>
            <w:pPr>
              <w:pStyle w:val="TableContents"/>
              <w:spacing w:before="0" w:after="0"/>
              <w:ind w:left="0" w:right="0" w:hanging="0"/>
              <w:rPr/>
            </w:pPr>
            <w:r>
              <w:rPr/>
              <w:t> </w:t>
            </w:r>
          </w:p>
        </w:tc>
        <w:tc>
          <w:tcPr>
            <w:tcW w:w="114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29" w:type="dxa"/>
            <w:tcBorders/>
            <w:shd w:fill="CCEEFF" w:val="clear"/>
            <w:vAlign w:val="bottom"/>
          </w:tcPr>
          <w:p>
            <w:pPr>
              <w:pStyle w:val="TableContents"/>
              <w:spacing w:before="0" w:after="0"/>
              <w:ind w:left="0" w:right="0" w:hanging="0"/>
              <w:rPr/>
            </w:pPr>
            <w:r>
              <w:rPr/>
              <w:t> </w:t>
            </w:r>
          </w:p>
        </w:tc>
      </w:tr>
      <w:tr>
        <w:trPr/>
        <w:tc>
          <w:tcPr>
            <w:tcW w:w="4627"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4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6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210" w:type="dxa"/>
            <w:tcBorders/>
            <w:shd w:fill="CCEEFF" w:val="clear"/>
            <w:vAlign w:val="bottom"/>
          </w:tcPr>
          <w:p>
            <w:pPr>
              <w:pStyle w:val="TableContents"/>
              <w:spacing w:before="0" w:after="0"/>
              <w:ind w:left="0" w:right="0" w:hanging="0"/>
              <w:rPr/>
            </w:pPr>
            <w:r>
              <w:rPr/>
              <w:t> </w:t>
            </w:r>
          </w:p>
        </w:tc>
        <w:tc>
          <w:tcPr>
            <w:tcW w:w="115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6" w:type="dxa"/>
            <w:tcBorders/>
            <w:shd w:fill="CCEEFF" w:val="clear"/>
            <w:vAlign w:val="bottom"/>
          </w:tcPr>
          <w:p>
            <w:pPr>
              <w:pStyle w:val="TableContents"/>
              <w:spacing w:before="0" w:after="0"/>
              <w:ind w:left="0" w:right="0" w:hanging="0"/>
              <w:rPr/>
            </w:pPr>
            <w:r>
              <w:rPr/>
              <w:t> </w:t>
            </w:r>
          </w:p>
        </w:tc>
        <w:tc>
          <w:tcPr>
            <w:tcW w:w="115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7" w:type="dxa"/>
            <w:tcBorders/>
            <w:shd w:fill="CCEEFF" w:val="clear"/>
            <w:vAlign w:val="bottom"/>
          </w:tcPr>
          <w:p>
            <w:pPr>
              <w:pStyle w:val="TableContents"/>
              <w:spacing w:before="0" w:after="0"/>
              <w:ind w:left="0" w:right="0" w:hanging="0"/>
              <w:rPr/>
            </w:pPr>
            <w:r>
              <w:rPr/>
              <w:t> </w:t>
            </w:r>
          </w:p>
        </w:tc>
        <w:tc>
          <w:tcPr>
            <w:tcW w:w="114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5" w:type="dxa"/>
            <w:tcBorders/>
            <w:shd w:fill="CCEEFF" w:val="clear"/>
            <w:vAlign w:val="bottom"/>
          </w:tcPr>
          <w:p>
            <w:pPr>
              <w:pStyle w:val="TableContents"/>
              <w:spacing w:before="0" w:after="0"/>
              <w:ind w:left="0" w:right="0" w:hanging="0"/>
              <w:rPr/>
            </w:pPr>
            <w:r>
              <w:rPr/>
              <w:t> </w:t>
            </w:r>
          </w:p>
        </w:tc>
        <w:tc>
          <w:tcPr>
            <w:tcW w:w="114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2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Pages>
  <Words>10011</Words>
  <CharactersWithSpaces>63047</CharactersWithSpaces>
  <Paragraphs>4676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