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Pursuant to Rule 424(b)(3)</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Registration No. 333-136925</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Prospectus</w:t>
      </w:r>
    </w:p>
    <w:p>
      <w:pPr>
        <w:spacing w:after="0" w:line="315"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Plains All American Pipeline, L.P.</w:t>
      </w:r>
    </w:p>
    <w:p>
      <w:pPr>
        <w:spacing w:after="0" w:line="18"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PAA Finance Corp.</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Offer to Exchange up to</w:t>
      </w:r>
    </w:p>
    <w:p>
      <w:pPr>
        <w:spacing w:after="0" w:line="18"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$250,000,000 of 6.70% Senior Notes due 2036</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for</w:t>
      </w:r>
    </w:p>
    <w:p>
      <w:pPr>
        <w:spacing w:after="0" w:line="230"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$250,000,000 of 6.70% Senior Notes due 2036</w:t>
      </w:r>
    </w:p>
    <w:p>
      <w:pPr>
        <w:spacing w:after="0" w:line="18"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that have been Registered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154305</wp:posOffset>
            </wp:positionV>
            <wp:extent cx="3267710" cy="254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67710" cy="254000"/>
                    </a:xfrm>
                    <a:prstGeom prst="rect">
                      <a:avLst/>
                    </a:prstGeom>
                    <a:noFill/>
                  </pic:spPr>
                </pic:pic>
              </a:graphicData>
            </a:graphic>
          </wp:anchor>
        </w:drawing>
      </w:r>
    </w:p>
    <w:p>
      <w:pPr>
        <w:spacing w:after="0" w:line="300"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Terms of the Exchange Offer</w:t>
      </w:r>
    </w:p>
    <w:p>
      <w:pPr>
        <w:spacing w:after="0" w:line="361" w:lineRule="exact"/>
        <w:rPr>
          <w:sz w:val="20"/>
          <w:szCs w:val="20"/>
          <w:color w:val="auto"/>
        </w:rPr>
      </w:pPr>
    </w:p>
    <w:p>
      <w:pPr>
        <w:ind w:left="1180" w:right="320" w:hanging="97"/>
        <w:spacing w:after="0" w:line="289" w:lineRule="auto"/>
        <w:tabs>
          <w:tab w:leader="none" w:pos="1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offering to exchange up to $250,000,000 of our outstanding 6.70% Senior Notes due 2036 for new notes with substantially identical terms that have been registered under the Securities Act and are freely tradable.</w:t>
      </w:r>
    </w:p>
    <w:p>
      <w:pPr>
        <w:spacing w:after="0" w:line="53" w:lineRule="exact"/>
        <w:rPr>
          <w:rFonts w:ascii="Arial" w:cs="Arial" w:eastAsia="Arial" w:hAnsi="Arial"/>
          <w:sz w:val="17"/>
          <w:szCs w:val="17"/>
          <w:color w:val="auto"/>
        </w:rPr>
      </w:pPr>
    </w:p>
    <w:p>
      <w:pPr>
        <w:ind w:left="1180" w:right="20" w:hanging="97"/>
        <w:spacing w:after="0" w:line="289" w:lineRule="auto"/>
        <w:tabs>
          <w:tab w:leader="none" w:pos="1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will exchange for an equal principal amount of new notes all outstanding notes that you validly tender and do not validly withdraw before the exchange offer expires.</w:t>
      </w:r>
    </w:p>
    <w:p>
      <w:pPr>
        <w:spacing w:after="0" w:line="53" w:lineRule="exact"/>
        <w:rPr>
          <w:rFonts w:ascii="Arial" w:cs="Arial" w:eastAsia="Arial" w:hAnsi="Arial"/>
          <w:sz w:val="17"/>
          <w:szCs w:val="17"/>
          <w:color w:val="auto"/>
        </w:rPr>
      </w:pPr>
    </w:p>
    <w:p>
      <w:pPr>
        <w:ind w:left="1180" w:right="180" w:hanging="97"/>
        <w:spacing w:after="0" w:line="289" w:lineRule="auto"/>
        <w:tabs>
          <w:tab w:leader="none" w:pos="1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exchange offer expires at 5:00 p.m., New York City time, on December 13, 2006 unless extended. We do not currently intend to extend the exchange offer.</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Tenders of outstanding notes may be withdrawn at any time prior to the expiration of the exchange offer.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exchange of outstanding notes for new notes will not be a taxable event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306070</wp:posOffset>
            </wp:positionV>
            <wp:extent cx="3142615" cy="254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2615" cy="25400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Terms of the 6.70% Senior Notes Offered in the Exchange Offer</w:t>
      </w:r>
    </w:p>
    <w:p>
      <w:pPr>
        <w:spacing w:after="0" w:line="200" w:lineRule="exact"/>
        <w:rPr>
          <w:sz w:val="20"/>
          <w:szCs w:val="20"/>
          <w:color w:val="auto"/>
        </w:rPr>
      </w:pPr>
    </w:p>
    <w:p>
      <w:pPr>
        <w:spacing w:after="0" w:line="28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Maturity</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The notes will mature on May 15, 2036.</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Interest</w:t>
      </w:r>
    </w:p>
    <w:p>
      <w:pPr>
        <w:spacing w:after="0" w:line="138" w:lineRule="exact"/>
        <w:rPr>
          <w:sz w:val="20"/>
          <w:szCs w:val="20"/>
          <w:color w:val="auto"/>
        </w:rPr>
      </w:pPr>
    </w:p>
    <w:p>
      <w:pPr>
        <w:ind w:left="1180" w:hanging="97"/>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Interest on the notes is payable on May 15 and November 15 of each year, beginning November 15, 2006.</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Interest will accrue from May 12, 2006.</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Redemption</w:t>
      </w:r>
    </w:p>
    <w:p>
      <w:pPr>
        <w:spacing w:after="0" w:line="138" w:lineRule="exact"/>
        <w:rPr>
          <w:sz w:val="20"/>
          <w:szCs w:val="20"/>
          <w:color w:val="auto"/>
        </w:rPr>
      </w:pPr>
    </w:p>
    <w:p>
      <w:pPr>
        <w:ind w:left="1300" w:right="100" w:hanging="204"/>
        <w:spacing w:after="0" w:line="273"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redeem the notes, in whole or in part, at any time at a price equal to the greater of (1) 100% of the principal amount of the notes to be redeemed or (2) a make-whole amount described in this prospectus plus 25 basis points together with accrued interest, if any, to the redemption date.</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Ranking</w:t>
      </w:r>
    </w:p>
    <w:p>
      <w:pPr>
        <w:spacing w:after="0" w:line="138" w:lineRule="exact"/>
        <w:rPr>
          <w:sz w:val="20"/>
          <w:szCs w:val="20"/>
          <w:color w:val="auto"/>
        </w:rPr>
      </w:pPr>
    </w:p>
    <w:p>
      <w:pPr>
        <w:ind w:left="1300" w:right="200" w:hanging="204"/>
        <w:spacing w:after="0" w:line="289"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notes are unsecured. The notes rank equally in right of payment with all of our other existing and future senior unsecured debt and senior in right of payment to all of our future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200025</wp:posOffset>
            </wp:positionV>
            <wp:extent cx="567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75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Please read “Risk Factors” on page 4 for a discussion of factors you should consider before participating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177165</wp:posOffset>
            </wp:positionV>
            <wp:extent cx="5677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77535" cy="8255"/>
                    </a:xfrm>
                    <a:prstGeom prst="rect">
                      <a:avLst/>
                    </a:prstGeom>
                    <a:noFill/>
                  </pic:spPr>
                </pic:pic>
              </a:graphicData>
            </a:graphic>
          </wp:anchor>
        </w:drawing>
      </w:r>
    </w:p>
    <w:p>
      <w:pPr>
        <w:spacing w:after="0" w:line="371" w:lineRule="exact"/>
        <w:rPr>
          <w:sz w:val="20"/>
          <w:szCs w:val="20"/>
          <w:color w:val="auto"/>
        </w:rPr>
      </w:pPr>
    </w:p>
    <w:p>
      <w:pPr>
        <w:ind w:left="680" w:right="360" w:firstLine="397"/>
        <w:spacing w:after="0" w:line="277" w:lineRule="auto"/>
        <w:rPr>
          <w:sz w:val="20"/>
          <w:szCs w:val="20"/>
          <w:color w:val="auto"/>
        </w:rPr>
      </w:pPr>
      <w:r>
        <w:rPr>
          <w:rFonts w:ascii="Arial" w:cs="Arial" w:eastAsia="Arial" w:hAnsi="Arial"/>
          <w:sz w:val="17"/>
          <w:szCs w:val="17"/>
          <w:b w:val="1"/>
          <w:bCs w:val="1"/>
          <w:color w:val="auto"/>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123190</wp:posOffset>
            </wp:positionV>
            <wp:extent cx="5677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7535" cy="8255"/>
                    </a:xfrm>
                    <a:prstGeom prst="rect">
                      <a:avLst/>
                    </a:prstGeom>
                    <a:noFill/>
                  </pic:spPr>
                </pic:pic>
              </a:graphicData>
            </a:graphic>
          </wp:anchor>
        </w:drawing>
      </w:r>
    </w:p>
    <w:p>
      <w:pPr>
        <w:spacing w:after="0" w:line="23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The date of this prospectus is November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ind w:left="680" w:right="800" w:firstLine="397"/>
        <w:spacing w:after="0" w:line="283" w:lineRule="auto"/>
        <w:rPr>
          <w:sz w:val="20"/>
          <w:szCs w:val="20"/>
          <w:color w:val="auto"/>
        </w:rPr>
      </w:pPr>
      <w:r>
        <w:rPr>
          <w:rFonts w:ascii="Arial" w:cs="Arial" w:eastAsia="Arial" w:hAnsi="Arial"/>
          <w:sz w:val="16"/>
          <w:szCs w:val="16"/>
          <w:color w:val="auto"/>
        </w:rPr>
        <w:t>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w:t>
      </w:r>
    </w:p>
    <w:p>
      <w:pPr>
        <w:spacing w:after="0" w:line="75" w:lineRule="exact"/>
        <w:rPr>
          <w:sz w:val="20"/>
          <w:szCs w:val="20"/>
          <w:color w:val="auto"/>
        </w:rPr>
      </w:pPr>
    </w:p>
    <w:p>
      <w:pPr>
        <w:ind w:left="680" w:right="820" w:firstLine="397"/>
        <w:spacing w:after="0" w:line="263" w:lineRule="auto"/>
        <w:rPr>
          <w:sz w:val="20"/>
          <w:szCs w:val="20"/>
          <w:color w:val="auto"/>
        </w:rPr>
      </w:pPr>
      <w:r>
        <w:rPr>
          <w:rFonts w:ascii="Arial" w:cs="Arial" w:eastAsia="Arial" w:hAnsi="Arial"/>
          <w:sz w:val="17"/>
          <w:szCs w:val="17"/>
          <w:color w:val="auto"/>
        </w:rPr>
        <w:t>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140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0" w:type="dxa"/>
            <w:vAlign w:val="bottom"/>
          </w:tcPr>
          <w:p>
            <w:pPr>
              <w:jc w:val="right"/>
              <w:ind w:right="4733"/>
              <w:spacing w:after="0"/>
              <w:rPr>
                <w:sz w:val="20"/>
                <w:szCs w:val="20"/>
                <w:color w:val="auto"/>
              </w:rPr>
            </w:pPr>
            <w:r>
              <w:rPr>
                <w:rFonts w:ascii="Arial" w:cs="Arial" w:eastAsia="Arial" w:hAnsi="Arial"/>
                <w:sz w:val="17"/>
                <w:szCs w:val="17"/>
                <w:b w:val="1"/>
                <w:bCs w:val="1"/>
                <w:color w:val="auto"/>
              </w:rPr>
              <w:t>TABLE OF CONTENTS</w:t>
            </w:r>
          </w:p>
        </w:tc>
      </w:tr>
      <w:tr>
        <w:trPr>
          <w:trHeight w:val="407"/>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Prospectus Summary</w:t>
              </w:r>
            </w:hyperlink>
          </w:p>
        </w:tc>
        <w:tc>
          <w:tcPr>
            <w:tcW w:w="2240" w:type="dxa"/>
            <w:vAlign w:val="bottom"/>
            <w:gridSpan w:val="7"/>
          </w:tcPr>
          <w:p>
            <w:pPr>
              <w:spacing w:after="0"/>
              <w:rPr>
                <w:sz w:val="24"/>
                <w:szCs w:val="24"/>
                <w:color w:val="auto"/>
              </w:rPr>
            </w:pPr>
          </w:p>
        </w:tc>
        <w:tc>
          <w:tcPr>
            <w:tcW w:w="7000" w:type="dxa"/>
            <w:vAlign w:val="bottom"/>
          </w:tcPr>
          <w:p>
            <w:pPr>
              <w:jc w:val="right"/>
              <w:ind w:right="713"/>
              <w:spacing w:after="0"/>
              <w:rPr>
                <w:sz w:val="20"/>
                <w:szCs w:val="20"/>
                <w:color w:val="auto"/>
              </w:rPr>
            </w:pPr>
            <w:r>
              <w:rPr>
                <w:rFonts w:ascii="Arial" w:cs="Arial" w:eastAsia="Arial" w:hAnsi="Arial"/>
                <w:sz w:val="17"/>
                <w:szCs w:val="17"/>
                <w:color w:val="auto"/>
              </w:rPr>
              <w:t>1</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bottom w:val="single" w:sz="8" w:color="0000EE"/>
            </w:tcBorders>
            <w:gridSpan w:val="2"/>
          </w:tcPr>
          <w:p>
            <w:pPr>
              <w:spacing w:after="0" w:line="189" w:lineRule="exact"/>
              <w:rPr>
                <w:rFonts w:ascii="Arial" w:cs="Arial" w:eastAsia="Arial" w:hAnsi="Arial"/>
                <w:sz w:val="17"/>
                <w:szCs w:val="17"/>
                <w:color w:val="0000EE"/>
                <w:w w:val="90"/>
              </w:rPr>
            </w:pPr>
            <w:hyperlink w:anchor="page7">
              <w:r>
                <w:rPr>
                  <w:rFonts w:ascii="Arial" w:cs="Arial" w:eastAsia="Arial" w:hAnsi="Arial"/>
                  <w:sz w:val="17"/>
                  <w:szCs w:val="17"/>
                  <w:color w:val="0000EE"/>
                  <w:w w:val="90"/>
                </w:rPr>
                <w:t>Risk Factors</w:t>
              </w:r>
            </w:hyperlink>
          </w:p>
        </w:tc>
        <w:tc>
          <w:tcPr>
            <w:tcW w:w="2840" w:type="dxa"/>
            <w:vAlign w:val="bottom"/>
            <w:gridSpan w:val="13"/>
          </w:tcPr>
          <w:p>
            <w:pPr>
              <w:spacing w:after="0"/>
              <w:rPr>
                <w:sz w:val="16"/>
                <w:szCs w:val="16"/>
                <w:color w:val="auto"/>
              </w:rPr>
            </w:pPr>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4</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5"/>
          </w:tcPr>
          <w:p>
            <w:pPr>
              <w:spacing w:after="0" w:line="189" w:lineRule="exact"/>
              <w:rPr>
                <w:rFonts w:ascii="Arial" w:cs="Arial" w:eastAsia="Arial" w:hAnsi="Arial"/>
                <w:sz w:val="17"/>
                <w:szCs w:val="17"/>
                <w:color w:val="0000EE"/>
              </w:rPr>
            </w:pPr>
            <w:hyperlink w:anchor="page10">
              <w:r>
                <w:rPr>
                  <w:rFonts w:ascii="Arial" w:cs="Arial" w:eastAsia="Arial" w:hAnsi="Arial"/>
                  <w:sz w:val="17"/>
                  <w:szCs w:val="17"/>
                  <w:color w:val="0000EE"/>
                </w:rPr>
                <w:t>Exchange Offer</w:t>
              </w:r>
            </w:hyperlink>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7</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5"/>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Ratio of Earnings to Fixed Charges</w:t>
              </w:r>
            </w:hyperlink>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14</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89"/>
              </w:rPr>
            </w:pPr>
            <w:hyperlink w:anchor="page17">
              <w:r>
                <w:rPr>
                  <w:rFonts w:ascii="Arial" w:cs="Arial" w:eastAsia="Arial" w:hAnsi="Arial"/>
                  <w:sz w:val="17"/>
                  <w:szCs w:val="17"/>
                  <w:color w:val="0000EE"/>
                  <w:w w:val="89"/>
                </w:rPr>
                <w:t>Use of Proceeds</w:t>
              </w:r>
            </w:hyperlink>
          </w:p>
        </w:tc>
        <w:tc>
          <w:tcPr>
            <w:tcW w:w="1320" w:type="dxa"/>
            <w:vAlign w:val="bottom"/>
            <w:tcBorders>
              <w:top w:val="single" w:sz="8" w:color="0000EE"/>
            </w:tcBorders>
            <w:gridSpan w:val="7"/>
          </w:tcPr>
          <w:p>
            <w:pPr>
              <w:spacing w:after="0"/>
              <w:rPr>
                <w:sz w:val="16"/>
                <w:szCs w:val="16"/>
                <w:color w:val="auto"/>
              </w:rPr>
            </w:pPr>
          </w:p>
        </w:tc>
        <w:tc>
          <w:tcPr>
            <w:tcW w:w="1260" w:type="dxa"/>
            <w:vAlign w:val="bottom"/>
            <w:gridSpan w:val="3"/>
          </w:tcPr>
          <w:p>
            <w:pPr>
              <w:spacing w:after="0"/>
              <w:rPr>
                <w:sz w:val="16"/>
                <w:szCs w:val="16"/>
                <w:color w:val="auto"/>
              </w:rPr>
            </w:pPr>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14</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5"/>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Description of the Notes</w:t>
              </w:r>
            </w:hyperlink>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14</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5"/>
          </w:tcPr>
          <w:p>
            <w:pPr>
              <w:spacing w:after="0" w:line="189" w:lineRule="exact"/>
              <w:rPr>
                <w:rFonts w:ascii="Arial" w:cs="Arial" w:eastAsia="Arial" w:hAnsi="Arial"/>
                <w:sz w:val="17"/>
                <w:szCs w:val="17"/>
                <w:color w:val="0000EE"/>
                <w:w w:val="99"/>
              </w:rPr>
            </w:pPr>
            <w:hyperlink w:anchor="page29">
              <w:r>
                <w:rPr>
                  <w:rFonts w:ascii="Arial" w:cs="Arial" w:eastAsia="Arial" w:hAnsi="Arial"/>
                  <w:sz w:val="17"/>
                  <w:szCs w:val="17"/>
                  <w:color w:val="0000EE"/>
                  <w:w w:val="99"/>
                </w:rPr>
                <w:t>Material U.S. Federal Income Tax Consequences</w:t>
              </w:r>
            </w:hyperlink>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26</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29">
              <w:r>
                <w:rPr>
                  <w:rFonts w:ascii="Arial" w:cs="Arial" w:eastAsia="Arial" w:hAnsi="Arial"/>
                  <w:sz w:val="17"/>
                  <w:szCs w:val="17"/>
                  <w:color w:val="0000EE"/>
                </w:rPr>
                <w:t>Plan of Distribution</w:t>
              </w:r>
            </w:hyperlink>
          </w:p>
        </w:tc>
        <w:tc>
          <w:tcPr>
            <w:tcW w:w="300" w:type="dxa"/>
            <w:vAlign w:val="bottom"/>
          </w:tcPr>
          <w:p>
            <w:pPr>
              <w:spacing w:after="0"/>
              <w:rPr>
                <w:sz w:val="16"/>
                <w:szCs w:val="16"/>
                <w:color w:val="auto"/>
              </w:rPr>
            </w:pPr>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26</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top w:val="single" w:sz="8" w:color="0000EE"/>
            </w:tcBorders>
            <w:gridSpan w:val="6"/>
          </w:tcPr>
          <w:p>
            <w:pPr>
              <w:spacing w:after="0" w:line="189" w:lineRule="exact"/>
              <w:rPr>
                <w:rFonts w:ascii="Arial" w:cs="Arial" w:eastAsia="Arial" w:hAnsi="Arial"/>
                <w:sz w:val="17"/>
                <w:szCs w:val="17"/>
                <w:color w:val="0000EE"/>
              </w:rPr>
            </w:pPr>
            <w:hyperlink w:anchor="page31">
              <w:r>
                <w:rPr>
                  <w:rFonts w:ascii="Arial" w:cs="Arial" w:eastAsia="Arial" w:hAnsi="Arial"/>
                  <w:sz w:val="17"/>
                  <w:szCs w:val="17"/>
                  <w:color w:val="0000EE"/>
                </w:rPr>
                <w:t>Legal Matters</w:t>
              </w:r>
            </w:hyperlink>
          </w:p>
        </w:tc>
        <w:tc>
          <w:tcPr>
            <w:tcW w:w="2340" w:type="dxa"/>
            <w:vAlign w:val="bottom"/>
            <w:gridSpan w:val="9"/>
          </w:tcPr>
          <w:p>
            <w:pPr>
              <w:spacing w:after="0"/>
              <w:rPr>
                <w:sz w:val="16"/>
                <w:szCs w:val="16"/>
                <w:color w:val="auto"/>
              </w:rPr>
            </w:pPr>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28</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top w:val="single" w:sz="8" w:color="0000EE"/>
            </w:tcBorders>
            <w:gridSpan w:val="3"/>
          </w:tcPr>
          <w:p>
            <w:pPr>
              <w:spacing w:after="0" w:line="189" w:lineRule="exact"/>
              <w:rPr>
                <w:rFonts w:ascii="Arial" w:cs="Arial" w:eastAsia="Arial" w:hAnsi="Arial"/>
                <w:sz w:val="17"/>
                <w:szCs w:val="17"/>
                <w:color w:val="0000EE"/>
              </w:rPr>
            </w:pPr>
            <w:hyperlink w:anchor="page31">
              <w:r>
                <w:rPr>
                  <w:rFonts w:ascii="Arial" w:cs="Arial" w:eastAsia="Arial" w:hAnsi="Arial"/>
                  <w:sz w:val="17"/>
                  <w:szCs w:val="17"/>
                  <w:color w:val="0000EE"/>
                </w:rPr>
                <w:t>Experts</w:t>
              </w:r>
            </w:hyperlink>
          </w:p>
        </w:tc>
        <w:tc>
          <w:tcPr>
            <w:tcW w:w="2760" w:type="dxa"/>
            <w:vAlign w:val="bottom"/>
            <w:gridSpan w:val="12"/>
          </w:tcPr>
          <w:p>
            <w:pPr>
              <w:spacing w:after="0"/>
              <w:rPr>
                <w:sz w:val="16"/>
                <w:szCs w:val="16"/>
                <w:color w:val="auto"/>
              </w:rPr>
            </w:pPr>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28</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80" w:type="dxa"/>
            <w:vAlign w:val="bottom"/>
            <w:tcBorders>
              <w:bottom w:val="single" w:sz="8" w:color="0000EE"/>
            </w:tcBorders>
            <w:gridSpan w:val="13"/>
          </w:tcPr>
          <w:p>
            <w:pPr>
              <w:spacing w:after="0" w:line="189" w:lineRule="exact"/>
              <w:rPr>
                <w:rFonts w:ascii="Arial" w:cs="Arial" w:eastAsia="Arial" w:hAnsi="Arial"/>
                <w:sz w:val="17"/>
                <w:szCs w:val="17"/>
                <w:color w:val="0000EE"/>
                <w:w w:val="94"/>
              </w:rPr>
            </w:pPr>
            <w:hyperlink w:anchor="page31">
              <w:r>
                <w:rPr>
                  <w:rFonts w:ascii="Arial" w:cs="Arial" w:eastAsia="Arial" w:hAnsi="Arial"/>
                  <w:sz w:val="17"/>
                  <w:szCs w:val="17"/>
                  <w:color w:val="0000EE"/>
                  <w:w w:val="94"/>
                </w:rPr>
                <w:t>Where You Can Find More Information</w:t>
              </w:r>
            </w:hyperlink>
          </w:p>
        </w:tc>
        <w:tc>
          <w:tcPr>
            <w:tcW w:w="940" w:type="dxa"/>
            <w:vAlign w:val="bottom"/>
            <w:gridSpan w:val="2"/>
          </w:tcPr>
          <w:p>
            <w:pPr>
              <w:spacing w:after="0"/>
              <w:rPr>
                <w:sz w:val="16"/>
                <w:szCs w:val="16"/>
                <w:color w:val="auto"/>
              </w:rPr>
            </w:pPr>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28</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5"/>
          </w:tcPr>
          <w:p>
            <w:pPr>
              <w:spacing w:after="0" w:line="189" w:lineRule="exact"/>
              <w:rPr>
                <w:rFonts w:ascii="Arial" w:cs="Arial" w:eastAsia="Arial" w:hAnsi="Arial"/>
                <w:sz w:val="17"/>
                <w:szCs w:val="17"/>
                <w:color w:val="0000EE"/>
              </w:rPr>
            </w:pPr>
            <w:hyperlink w:anchor="page32">
              <w:r>
                <w:rPr>
                  <w:rFonts w:ascii="Arial" w:cs="Arial" w:eastAsia="Arial" w:hAnsi="Arial"/>
                  <w:sz w:val="17"/>
                  <w:szCs w:val="17"/>
                  <w:color w:val="0000EE"/>
                </w:rPr>
                <w:t>Forward-Looking Statements</w:t>
              </w:r>
            </w:hyperlink>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29</w:t>
            </w:r>
          </w:p>
        </w:tc>
      </w:tr>
      <w:tr>
        <w:trPr>
          <w:trHeight w:val="190"/>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Borders>
              <w:top w:val="single" w:sz="8" w:color="0000EE"/>
            </w:tcBorders>
            <w:gridSpan w:val="11"/>
          </w:tcPr>
          <w:p>
            <w:pPr>
              <w:spacing w:after="0" w:line="189" w:lineRule="exact"/>
              <w:rPr>
                <w:rFonts w:ascii="Arial" w:cs="Arial" w:eastAsia="Arial" w:hAnsi="Arial"/>
                <w:sz w:val="17"/>
                <w:szCs w:val="17"/>
                <w:color w:val="0000EE"/>
              </w:rPr>
            </w:pPr>
            <w:hyperlink w:anchor="page34">
              <w:r>
                <w:rPr>
                  <w:rFonts w:ascii="Arial" w:cs="Arial" w:eastAsia="Arial" w:hAnsi="Arial"/>
                  <w:sz w:val="17"/>
                  <w:szCs w:val="17"/>
                  <w:color w:val="0000EE"/>
                </w:rPr>
                <w:t>Letter of Transmittal</w:t>
              </w:r>
            </w:hyperlink>
          </w:p>
        </w:tc>
        <w:tc>
          <w:tcPr>
            <w:tcW w:w="1680" w:type="dxa"/>
            <w:vAlign w:val="bottom"/>
            <w:gridSpan w:val="4"/>
          </w:tcPr>
          <w:p>
            <w:pPr>
              <w:spacing w:after="0"/>
              <w:rPr>
                <w:sz w:val="16"/>
                <w:szCs w:val="16"/>
                <w:color w:val="auto"/>
              </w:rPr>
            </w:pPr>
          </w:p>
        </w:tc>
        <w:tc>
          <w:tcPr>
            <w:tcW w:w="7000" w:type="dxa"/>
            <w:vAlign w:val="bottom"/>
          </w:tcPr>
          <w:p>
            <w:pPr>
              <w:jc w:val="right"/>
              <w:ind w:right="713"/>
              <w:spacing w:after="0" w:line="189" w:lineRule="exact"/>
              <w:rPr>
                <w:sz w:val="20"/>
                <w:szCs w:val="20"/>
                <w:color w:val="auto"/>
              </w:rPr>
            </w:pPr>
            <w:r>
              <w:rPr>
                <w:rFonts w:ascii="Arial" w:cs="Arial" w:eastAsia="Arial" w:hAnsi="Arial"/>
                <w:sz w:val="17"/>
                <w:szCs w:val="17"/>
                <w:color w:val="auto"/>
              </w:rPr>
              <w:t>A-1</w:t>
            </w:r>
          </w:p>
        </w:tc>
      </w:tr>
      <w:tr>
        <w:trPr>
          <w:trHeight w:val="347"/>
        </w:trPr>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331"/>
        </w:trPr>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201295</wp:posOffset>
            </wp:positionV>
            <wp:extent cx="6597650" cy="7479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7650" cy="747966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PROSPECTUS SUMMARY</w:t>
      </w:r>
    </w:p>
    <w:p>
      <w:pPr>
        <w:spacing w:after="0" w:line="112" w:lineRule="exact"/>
        <w:rPr>
          <w:sz w:val="20"/>
          <w:szCs w:val="20"/>
          <w:color w:val="auto"/>
        </w:rPr>
      </w:pPr>
    </w:p>
    <w:p>
      <w:pPr>
        <w:ind w:left="920" w:right="40" w:firstLine="397"/>
        <w:spacing w:after="0" w:line="265" w:lineRule="auto"/>
        <w:rPr>
          <w:sz w:val="20"/>
          <w:szCs w:val="20"/>
          <w:color w:val="auto"/>
        </w:rPr>
      </w:pPr>
      <w:r>
        <w:rPr>
          <w:rFonts w:ascii="Arial" w:cs="Arial" w:eastAsia="Arial" w:hAnsi="Arial"/>
          <w:sz w:val="17"/>
          <w:szCs w:val="17"/>
          <w:color w:val="auto"/>
        </w:rPr>
        <w:t>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Plains All American Pipeline, L.P.</w:t>
      </w:r>
    </w:p>
    <w:p>
      <w:pPr>
        <w:spacing w:after="0" w:line="112" w:lineRule="exact"/>
        <w:rPr>
          <w:sz w:val="20"/>
          <w:szCs w:val="20"/>
          <w:color w:val="auto"/>
        </w:rPr>
      </w:pPr>
    </w:p>
    <w:p>
      <w:pPr>
        <w:ind w:left="920" w:firstLine="397"/>
        <w:spacing w:after="0" w:line="262" w:lineRule="auto"/>
        <w:rPr>
          <w:sz w:val="20"/>
          <w:szCs w:val="20"/>
          <w:color w:val="auto"/>
        </w:rPr>
      </w:pPr>
      <w:r>
        <w:rPr>
          <w:rFonts w:ascii="Arial" w:cs="Arial" w:eastAsia="Arial" w:hAnsi="Arial"/>
          <w:sz w:val="17"/>
          <w:szCs w:val="17"/>
          <w:color w:val="auto"/>
        </w:rPr>
        <w:t>We are a Delaware limited partnership formed in September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In addition, through our 50% equity ownership in PAA/Vulcan Gas Storage, LLC, we are engaged in the development and operation of natural gas storage facilities. On June 12, 2006, we announced that we had entered into a definitive agreement to acquire Pacific Energy Partners, L.P. On July 20, 2006, we announced an acquisition that represents our initial entry into the refined products transportation business.</w: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Our executive offices are located at 333 Clay Street, Suite 1600, Houston, Texas 77002 and our telephone number is (713) 646-4100.</w:t>
      </w:r>
    </w:p>
    <w:p>
      <w:pPr>
        <w:spacing w:after="0" w:line="243"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The Exchange Offer</w:t>
      </w:r>
    </w:p>
    <w:p>
      <w:pPr>
        <w:spacing w:after="0" w:line="99" w:lineRule="exact"/>
        <w:rPr>
          <w:sz w:val="20"/>
          <w:szCs w:val="20"/>
          <w:color w:val="auto"/>
        </w:rPr>
      </w:pPr>
    </w:p>
    <w:p>
      <w:pPr>
        <w:ind w:left="920" w:right="280" w:firstLine="397"/>
        <w:spacing w:after="0" w:line="273" w:lineRule="auto"/>
        <w:rPr>
          <w:sz w:val="20"/>
          <w:szCs w:val="20"/>
          <w:color w:val="auto"/>
        </w:rPr>
      </w:pPr>
      <w:r>
        <w:rPr>
          <w:rFonts w:ascii="Arial" w:cs="Arial" w:eastAsia="Arial" w:hAnsi="Arial"/>
          <w:sz w:val="17"/>
          <w:szCs w:val="17"/>
          <w:i w:val="1"/>
          <w:iCs w:val="1"/>
          <w:color w:val="auto"/>
        </w:rPr>
        <w:t>On May 12, 2006, we completed a private offering of the outstanding notes. We entered into a registration rights agreement with the initial purchaser in the private offering in which we agreed to deliver to you this prospectus and to use our reasonable best efforts to consummate the exchange offer within 240 days after the date we issued the outstanding notes.</w:t>
      </w:r>
    </w:p>
    <w:p>
      <w:pPr>
        <w:sectPr>
          <w:pgSz w:w="11900" w:h="16838" w:orient="portrait"/>
          <w:cols w:equalWidth="0" w:num="1">
            <w:col w:w="10840"/>
          </w:cols>
          <w:pgMar w:left="240" w:top="410" w:right="819" w:bottom="1440" w:gutter="0" w:footer="0" w:header="0"/>
        </w:sectPr>
      </w:pPr>
    </w:p>
    <w:p>
      <w:pPr>
        <w:spacing w:after="0" w:line="5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Exchange Offer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We are offering to exchange new notes for outstanding notes.</w:t>
      </w:r>
    </w:p>
    <w:p>
      <w:pPr>
        <w:spacing w:after="0" w:line="103" w:lineRule="exact"/>
        <w:rPr>
          <w:sz w:val="20"/>
          <w:szCs w:val="20"/>
          <w:color w:val="auto"/>
        </w:rPr>
      </w:pPr>
    </w:p>
    <w:p>
      <w:pPr>
        <w:sectPr>
          <w:pgSz w:w="11900" w:h="16838" w:orient="portrait"/>
          <w:cols w:equalWidth="0" w:num="2">
            <w:col w:w="3880" w:space="720"/>
            <w:col w:w="6240"/>
          </w:cols>
          <w:pgMar w:left="240" w:top="410" w:right="81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ind w:right="40"/>
        <w:spacing w:after="0" w:line="289" w:lineRule="auto"/>
        <w:rPr>
          <w:sz w:val="20"/>
          <w:szCs w:val="20"/>
          <w:color w:val="auto"/>
        </w:rPr>
      </w:pPr>
      <w:r>
        <w:rPr>
          <w:rFonts w:ascii="Arial" w:cs="Arial" w:eastAsia="Arial" w:hAnsi="Arial"/>
          <w:sz w:val="17"/>
          <w:szCs w:val="17"/>
          <w:color w:val="auto"/>
        </w:rPr>
        <w:t>The exchange offer will expire at 5:00 p.m. New York City time, on December 13, 2006, unless we decide to extend it.</w:t>
      </w:r>
    </w:p>
    <w:p>
      <w:pPr>
        <w:spacing w:after="0" w:line="14" w:lineRule="exact"/>
        <w:rPr>
          <w:sz w:val="20"/>
          <w:szCs w:val="20"/>
          <w:color w:val="auto"/>
        </w:rPr>
      </w:pPr>
    </w:p>
    <w:p>
      <w:pPr>
        <w:sectPr>
          <w:pgSz w:w="11900" w:h="16838" w:orient="portrait"/>
          <w:cols w:equalWidth="0" w:num="2">
            <w:col w:w="3880" w:space="720"/>
            <w:col w:w="6240"/>
          </w:cols>
          <w:pgMar w:left="240" w:top="410" w:right="81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Condition to the Exchange Offer</w:t>
      </w:r>
    </w:p>
    <w:p>
      <w:pPr>
        <w:spacing w:after="0" w:line="20" w:lineRule="exact"/>
        <w:rPr>
          <w:sz w:val="20"/>
          <w:szCs w:val="20"/>
          <w:color w:val="auto"/>
        </w:rPr>
      </w:pPr>
      <w:r>
        <w:rPr>
          <w:sz w:val="20"/>
          <w:szCs w:val="20"/>
          <w:color w:val="auto"/>
        </w:rPr>
        <w:br w:type="column"/>
      </w:r>
    </w:p>
    <w:p>
      <w:pPr>
        <w:ind w:right="60"/>
        <w:spacing w:after="0" w:line="265" w:lineRule="auto"/>
        <w:rPr>
          <w:sz w:val="20"/>
          <w:szCs w:val="20"/>
          <w:color w:val="auto"/>
        </w:rPr>
      </w:pPr>
      <w:r>
        <w:rPr>
          <w:rFonts w:ascii="Arial" w:cs="Arial" w:eastAsia="Arial" w:hAnsi="Arial"/>
          <w:sz w:val="17"/>
          <w:szCs w:val="17"/>
          <w:color w:val="auto"/>
        </w:rPr>
        <w:t>The registration rights agreement does not require us to accept outstanding notes for exchange if the exchange offer or the making of any exchange by a holder of the outstanding notes would violate any applicable law or interpretation of the staff of the SEC. A minimum aggregate principal amount of outstanding notes being tendered is not a condition to the exchange offer.</w:t>
      </w:r>
    </w:p>
    <w:p>
      <w:pPr>
        <w:spacing w:after="0" w:line="35" w:lineRule="exact"/>
        <w:rPr>
          <w:sz w:val="20"/>
          <w:szCs w:val="20"/>
          <w:color w:val="auto"/>
        </w:rPr>
      </w:pPr>
    </w:p>
    <w:p>
      <w:pPr>
        <w:sectPr>
          <w:pgSz w:w="11900" w:h="16838" w:orient="portrait"/>
          <w:cols w:equalWidth="0" w:num="2">
            <w:col w:w="3880" w:space="720"/>
            <w:col w:w="6240"/>
          </w:cols>
          <w:pgMar w:left="240" w:top="410" w:right="81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Procedures for Tendering Outstanding Notes</w:t>
      </w:r>
    </w:p>
    <w:p>
      <w:pPr>
        <w:spacing w:after="0" w:line="20" w:lineRule="exact"/>
        <w:rPr>
          <w:sz w:val="20"/>
          <w:szCs w:val="20"/>
          <w:color w:val="auto"/>
        </w:rPr>
      </w:pPr>
      <w:r>
        <w:rPr>
          <w:sz w:val="20"/>
          <w:szCs w:val="20"/>
          <w:color w:val="auto"/>
        </w:rPr>
        <w:br w:type="column"/>
      </w:r>
    </w:p>
    <w:p>
      <w:pPr>
        <w:ind w:right="120"/>
        <w:spacing w:after="0" w:line="263" w:lineRule="auto"/>
        <w:rPr>
          <w:sz w:val="20"/>
          <w:szCs w:val="20"/>
          <w:color w:val="auto"/>
        </w:rPr>
      </w:pPr>
      <w:r>
        <w:rPr>
          <w:rFonts w:ascii="Arial" w:cs="Arial" w:eastAsia="Arial" w:hAnsi="Arial"/>
          <w:sz w:val="17"/>
          <w:szCs w:val="17"/>
          <w:color w:val="auto"/>
        </w:rPr>
        <w:t>To participate in the exchange offer, you must follow the procedures established by The Depository Trust Company, which we call “DTC,” for tendering notes held in book-entry form. These procedures, which we call “ATOP,” require that (1) the exchange agent receive, prior to the expiration date of the exchange offer, a computer generated message known as an “agent’s message” that is transmitted through DTC’s automated tender offer program, and (2) DTC confirms that:</w:t>
      </w:r>
    </w:p>
    <w:p>
      <w:pPr>
        <w:spacing w:after="0" w:line="39" w:lineRule="exact"/>
        <w:rPr>
          <w:sz w:val="20"/>
          <w:szCs w:val="20"/>
          <w:color w:val="auto"/>
        </w:rPr>
      </w:pPr>
    </w:p>
    <w:p>
      <w:pPr>
        <w:sectPr>
          <w:pgSz w:w="11900" w:h="16838" w:orient="portrait"/>
          <w:cols w:equalWidth="0" w:num="2">
            <w:col w:w="4040" w:space="560"/>
            <w:col w:w="6240"/>
          </w:cols>
          <w:pgMar w:left="240" w:top="410" w:right="819" w:bottom="1440" w:gutter="0" w:footer="0" w:header="0"/>
          <w:type w:val="continuous"/>
        </w:sectPr>
      </w:pPr>
    </w:p>
    <w:p>
      <w:pPr>
        <w:ind w:left="4600"/>
        <w:spacing w:after="0"/>
        <w:rPr>
          <w:sz w:val="20"/>
          <w:szCs w:val="20"/>
          <w:color w:val="auto"/>
        </w:rPr>
      </w:pPr>
      <w:r>
        <w:rPr>
          <w:rFonts w:ascii="Arial" w:cs="Arial" w:eastAsia="Arial" w:hAnsi="Arial"/>
          <w:sz w:val="17"/>
          <w:szCs w:val="17"/>
          <w:color w:val="auto"/>
        </w:rPr>
        <w:t>• DTC has received your instructions to exchange your notes, and</w:t>
      </w:r>
    </w:p>
    <w:p>
      <w:pPr>
        <w:spacing w:after="0" w:line="80"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 you agree to be bound by the terms of the letter of transmittal.</w:t>
      </w:r>
    </w:p>
    <w:p>
      <w:pPr>
        <w:spacing w:after="0" w:line="80" w:lineRule="exact"/>
        <w:rPr>
          <w:sz w:val="20"/>
          <w:szCs w:val="20"/>
          <w:color w:val="auto"/>
        </w:rPr>
      </w:pPr>
    </w:p>
    <w:p>
      <w:pPr>
        <w:ind w:left="4600" w:right="60"/>
        <w:spacing w:after="0" w:line="273" w:lineRule="auto"/>
        <w:rPr>
          <w:sz w:val="20"/>
          <w:szCs w:val="20"/>
          <w:color w:val="auto"/>
        </w:rPr>
      </w:pPr>
      <w:r>
        <w:rPr>
          <w:rFonts w:ascii="Arial" w:cs="Arial" w:eastAsia="Arial" w:hAnsi="Arial"/>
          <w:sz w:val="17"/>
          <w:szCs w:val="17"/>
          <w:color w:val="auto"/>
        </w:rPr>
        <w:t>For more information on tendering your outstanding notes, please refer to the sections in this prospectus entitled “Exchange Offer — Terms of the Exchange Offer” and “— Procedures for Tendering.”</w:t>
      </w:r>
    </w:p>
    <w:p>
      <w:pPr>
        <w:sectPr>
          <w:pgSz w:w="11900" w:h="16838" w:orient="portrait"/>
          <w:cols w:equalWidth="0" w:num="1">
            <w:col w:w="10840"/>
          </w:cols>
          <w:pgMar w:left="240" w:top="410" w:right="819" w:bottom="1440" w:gutter="0" w:footer="0" w:header="0"/>
          <w:type w:val="continuous"/>
        </w:sectPr>
      </w:pPr>
    </w:p>
    <w:p>
      <w:pPr>
        <w:spacing w:after="0" w:line="2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ectPr>
          <w:pgSz w:w="11900" w:h="16838" w:orient="portrait"/>
          <w:cols w:equalWidth="0" w:num="2">
            <w:col w:w="3880" w:space="720"/>
            <w:col w:w="6240"/>
          </w:cols>
          <w:pgMar w:left="240" w:top="41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40"/>
          </w:cols>
          <w:pgMar w:left="240" w:top="410" w:right="819" w:bottom="1440" w:gutter="0" w:footer="0" w:header="0"/>
          <w:type w:val="continuous"/>
        </w:sectPr>
      </w:pPr>
    </w:p>
    <w:bookmarkStart w:id="4" w:name="page5"/>
    <w:bookmarkEnd w:id="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215900</wp:posOffset>
            </wp:positionV>
            <wp:extent cx="6597650" cy="7479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7650" cy="7479665"/>
                    </a:xfrm>
                    <a:prstGeom prst="rect">
                      <a:avLst/>
                    </a:prstGeom>
                    <a:noFill/>
                  </pic:spPr>
                </pic:pic>
              </a:graphicData>
            </a:graphic>
          </wp:anchor>
        </w:drawing>
      </w:r>
    </w:p>
    <w:p>
      <w:pPr>
        <w:sectPr>
          <w:pgSz w:w="11900" w:h="16838" w:orient="portrait"/>
          <w:cols w:equalWidth="0" w:num="1">
            <w:col w:w="10820"/>
          </w:cols>
          <w:pgMar w:left="240" w:top="410" w:right="8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Withdrawal of Tenders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You may withdraw your tender of outstanding notes at any time prior to the expiration date. To withdraw, you must submit a notice of withdrawal to the exchange agent using ATOP procedures before 5:00 p.m. New York City time on the expiration date of the exchange offer. Please read “Exchange Offer — Withdrawal of Tenders.”</w:t>
      </w:r>
    </w:p>
    <w:p>
      <w:pPr>
        <w:spacing w:after="0" w:line="55" w:lineRule="exact"/>
        <w:rPr>
          <w:sz w:val="20"/>
          <w:szCs w:val="20"/>
          <w:color w:val="auto"/>
        </w:rPr>
      </w:pPr>
    </w:p>
    <w:p>
      <w:pPr>
        <w:sectPr>
          <w:pgSz w:w="11900" w:h="16838" w:orient="portrait"/>
          <w:cols w:equalWidth="0" w:num="2">
            <w:col w:w="3880" w:space="720"/>
            <w:col w:w="6220"/>
          </w:cols>
          <w:pgMar w:left="240" w:top="410" w:right="8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Acceptance of Outstanding Notes and Delivery of</w:t>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New Notes</w:t>
      </w:r>
    </w:p>
    <w:p>
      <w:pPr>
        <w:spacing w:after="0" w:line="20" w:lineRule="exact"/>
        <w:rPr>
          <w:sz w:val="20"/>
          <w:szCs w:val="20"/>
          <w:color w:val="auto"/>
        </w:rPr>
      </w:pPr>
      <w:r>
        <w:rPr>
          <w:sz w:val="20"/>
          <w:szCs w:val="20"/>
          <w:color w:val="auto"/>
        </w:rPr>
        <w:br w:type="column"/>
      </w:r>
    </w:p>
    <w:p>
      <w:pPr>
        <w:ind w:right="120"/>
        <w:spacing w:after="0" w:line="262" w:lineRule="auto"/>
        <w:rPr>
          <w:sz w:val="20"/>
          <w:szCs w:val="20"/>
          <w:color w:val="auto"/>
        </w:rPr>
      </w:pPr>
      <w:r>
        <w:rPr>
          <w:rFonts w:ascii="Arial" w:cs="Arial" w:eastAsia="Arial" w:hAnsi="Arial"/>
          <w:sz w:val="17"/>
          <w:szCs w:val="17"/>
          <w:color w:val="auto"/>
        </w:rPr>
        <w:t>If you fulfill all conditions required for proper acceptance of outstanding notes, we will accept any and all outstanding notes that you properly tender in the exchange offer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 section in this prospectus entitled “Exchange Offer — Terms of the Exchange Offer.”</w:t>
      </w:r>
    </w:p>
    <w:p>
      <w:pPr>
        <w:spacing w:after="0" w:line="76" w:lineRule="exact"/>
        <w:rPr>
          <w:sz w:val="20"/>
          <w:szCs w:val="20"/>
          <w:color w:val="auto"/>
        </w:rPr>
      </w:pPr>
    </w:p>
    <w:p>
      <w:pPr>
        <w:sectPr>
          <w:pgSz w:w="11900" w:h="16838" w:orient="portrait"/>
          <w:cols w:equalWidth="0" w:num="2">
            <w:col w:w="4420" w:space="180"/>
            <w:col w:w="6220"/>
          </w:cols>
          <w:pgMar w:left="240" w:top="410" w:right="8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Fees and Expenses</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7"/>
          <w:szCs w:val="17"/>
          <w:color w:val="auto"/>
        </w:rPr>
        <w:t>We will bear all expenses related to the exchange offer. Please refer to the section in this prospectus entitled “Exchange Offer — Fees and Expenses.”</w:t>
      </w:r>
    </w:p>
    <w:p>
      <w:pPr>
        <w:spacing w:after="0" w:line="54" w:lineRule="exact"/>
        <w:rPr>
          <w:sz w:val="20"/>
          <w:szCs w:val="20"/>
          <w:color w:val="auto"/>
        </w:rPr>
      </w:pPr>
    </w:p>
    <w:p>
      <w:pPr>
        <w:sectPr>
          <w:pgSz w:w="11900" w:h="16838" w:orient="portrait"/>
          <w:cols w:equalWidth="0" w:num="2">
            <w:col w:w="3880" w:space="720"/>
            <w:col w:w="6220"/>
          </w:cols>
          <w:pgMar w:left="240" w:top="410" w:right="8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The issuance of the new notes will not provide us with any new proceeds. We are making this exchange offer solely to satisfy our obligations under our registration rights agreement.</w:t>
      </w:r>
    </w:p>
    <w:p>
      <w:pPr>
        <w:spacing w:after="0" w:line="67" w:lineRule="exact"/>
        <w:rPr>
          <w:sz w:val="20"/>
          <w:szCs w:val="20"/>
          <w:color w:val="auto"/>
        </w:rPr>
      </w:pPr>
    </w:p>
    <w:p>
      <w:pPr>
        <w:sectPr>
          <w:pgSz w:w="11900" w:h="16838" w:orient="portrait"/>
          <w:cols w:equalWidth="0" w:num="2">
            <w:col w:w="3880" w:space="720"/>
            <w:col w:w="6220"/>
          </w:cols>
          <w:pgMar w:left="240" w:top="410" w:right="8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Consequences of Failure to Exchange Outstanding</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Notes</w:t>
      </w:r>
    </w:p>
    <w:p>
      <w:pPr>
        <w:spacing w:after="0" w:line="20" w:lineRule="exact"/>
        <w:rPr>
          <w:sz w:val="20"/>
          <w:szCs w:val="20"/>
          <w:color w:val="auto"/>
        </w:rPr>
      </w:pPr>
      <w:r>
        <w:rPr>
          <w:sz w:val="20"/>
          <w:szCs w:val="20"/>
          <w:color w:val="auto"/>
        </w:rPr>
        <w:br w:type="column"/>
      </w:r>
    </w:p>
    <w:p>
      <w:pPr>
        <w:ind w:right="20"/>
        <w:spacing w:after="0" w:line="303" w:lineRule="auto"/>
        <w:rPr>
          <w:sz w:val="20"/>
          <w:szCs w:val="20"/>
          <w:color w:val="auto"/>
        </w:rPr>
      </w:pPr>
      <w:r>
        <w:rPr>
          <w:rFonts w:ascii="Arial" w:cs="Arial" w:eastAsia="Arial" w:hAnsi="Arial"/>
          <w:sz w:val="15"/>
          <w:szCs w:val="15"/>
          <w:color w:val="auto"/>
        </w:rPr>
        <w:t>If you do not exchange your outstanding notes in this exchange offer, you will no longer be able to require us to register the outstanding notes under the Securities Act except in the limited circumstances provided under our registration rights agreement. In addition, you will not be able to resell, offer to resell or otherwise transfer the outstanding notes unless we have registered the outstanding notes under the Securities Act, or unless you resell, offer to resell or otherwise transfer them under an exemption from the registration requirements of, or in a transaction not subject to, the Securities Act.</w:t>
      </w:r>
    </w:p>
    <w:p>
      <w:pPr>
        <w:spacing w:after="0" w:line="49" w:lineRule="exact"/>
        <w:rPr>
          <w:sz w:val="20"/>
          <w:szCs w:val="20"/>
          <w:color w:val="auto"/>
        </w:rPr>
      </w:pPr>
    </w:p>
    <w:p>
      <w:pPr>
        <w:sectPr>
          <w:pgSz w:w="11900" w:h="16838" w:orient="portrait"/>
          <w:cols w:equalWidth="0" w:num="2">
            <w:col w:w="4460" w:space="140"/>
            <w:col w:w="6220"/>
          </w:cols>
          <w:pgMar w:left="240" w:top="410" w:right="839" w:bottom="1440" w:gutter="0" w:footer="0" w:header="0"/>
          <w:type w:val="continuous"/>
        </w:sectPr>
      </w:pPr>
    </w:p>
    <w:p>
      <w:pPr>
        <w:jc w:val="center"/>
        <w:ind w:left="800"/>
        <w:spacing w:after="0"/>
        <w:rPr>
          <w:sz w:val="20"/>
          <w:szCs w:val="20"/>
          <w:color w:val="auto"/>
        </w:rPr>
      </w:pPr>
      <w:r>
        <w:rPr>
          <w:rFonts w:ascii="Arial" w:cs="Arial" w:eastAsia="Arial" w:hAnsi="Arial"/>
          <w:sz w:val="15"/>
          <w:szCs w:val="15"/>
          <w:color w:val="auto"/>
        </w:rPr>
        <w:t>U.S. Federal Income Tax Considerations</w:t>
      </w:r>
    </w:p>
    <w:p>
      <w:pPr>
        <w:spacing w:after="0" w:line="20" w:lineRule="exact"/>
        <w:rPr>
          <w:sz w:val="20"/>
          <w:szCs w:val="20"/>
          <w:color w:val="auto"/>
        </w:rPr>
      </w:pPr>
      <w:r>
        <w:rPr>
          <w:sz w:val="20"/>
          <w:szCs w:val="20"/>
          <w:color w:val="auto"/>
        </w:rPr>
        <w:br w:type="column"/>
      </w:r>
    </w:p>
    <w:p>
      <w:pPr>
        <w:ind w:right="180"/>
        <w:spacing w:after="0" w:line="273" w:lineRule="auto"/>
        <w:rPr>
          <w:sz w:val="20"/>
          <w:szCs w:val="20"/>
          <w:color w:val="auto"/>
        </w:rPr>
      </w:pPr>
      <w:r>
        <w:rPr>
          <w:rFonts w:ascii="Arial" w:cs="Arial" w:eastAsia="Arial" w:hAnsi="Arial"/>
          <w:sz w:val="17"/>
          <w:szCs w:val="17"/>
          <w:color w:val="auto"/>
        </w:rPr>
        <w:t>The exchange of new notes for outstanding notes in the exchange offer will not be a taxable event for U.S. federal income tax purposes. Please read “Material U.S. Federal Income Tax Consequences.”</w:t>
      </w:r>
    </w:p>
    <w:p>
      <w:pPr>
        <w:spacing w:after="0" w:line="67" w:lineRule="exact"/>
        <w:rPr>
          <w:sz w:val="20"/>
          <w:szCs w:val="20"/>
          <w:color w:val="auto"/>
        </w:rPr>
      </w:pPr>
    </w:p>
    <w:p>
      <w:pPr>
        <w:sectPr>
          <w:pgSz w:w="11900" w:h="16838" w:orient="portrait"/>
          <w:cols w:equalWidth="0" w:num="2">
            <w:col w:w="3880" w:space="720"/>
            <w:col w:w="6220"/>
          </w:cols>
          <w:pgMar w:left="240" w:top="410" w:right="8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Exchange Agent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7"/>
          <w:szCs w:val="17"/>
          <w:color w:val="auto"/>
        </w:rPr>
        <w:t>We have appointed U.S. Bank National Association as exchange agent for the exchange offer. You should direct questions and requests for assistance, requests for additional copies of this prospectus or the letter of transmittal to the exchange agent addressed as follows: Attn: Brandi Steward, U.S. Bank Corporate Trust Services, Specialized Finance Dept., 60 Livingston Avenue, St. Paul, Minnesota, 55107. Eligible institutions may make requests by facsimile at (651) 495-8138.</w:t>
      </w:r>
    </w:p>
    <w:p>
      <w:pPr>
        <w:spacing w:after="0" w:line="200" w:lineRule="exact"/>
        <w:rPr>
          <w:sz w:val="20"/>
          <w:szCs w:val="20"/>
          <w:color w:val="auto"/>
        </w:rPr>
      </w:pPr>
    </w:p>
    <w:p>
      <w:pPr>
        <w:sectPr>
          <w:pgSz w:w="11900" w:h="16838" w:orient="portrait"/>
          <w:cols w:equalWidth="0" w:num="2">
            <w:col w:w="3880" w:space="720"/>
            <w:col w:w="6220"/>
          </w:cols>
          <w:pgMar w:left="240" w:top="41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20"/>
          </w:cols>
          <w:pgMar w:left="240" w:top="410" w:right="839" w:bottom="1440" w:gutter="0" w:footer="0" w:header="0"/>
          <w:type w:val="continuous"/>
        </w:sectPr>
      </w:pPr>
    </w:p>
    <w:bookmarkStart w:id="5" w:name="page6"/>
    <w:bookmarkEnd w:id="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201295</wp:posOffset>
            </wp:positionV>
            <wp:extent cx="6597650" cy="7479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7650" cy="747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Terms of the Notes</w:t>
      </w:r>
    </w:p>
    <w:p>
      <w:pPr>
        <w:spacing w:after="0" w:line="73" w:lineRule="exact"/>
        <w:rPr>
          <w:sz w:val="20"/>
          <w:szCs w:val="20"/>
          <w:color w:val="auto"/>
        </w:rPr>
      </w:pPr>
    </w:p>
    <w:p>
      <w:pPr>
        <w:ind w:left="1020" w:firstLine="393"/>
        <w:spacing w:after="0" w:line="316" w:lineRule="auto"/>
        <w:rPr>
          <w:sz w:val="20"/>
          <w:szCs w:val="20"/>
          <w:color w:val="auto"/>
        </w:rPr>
      </w:pPr>
      <w:r>
        <w:rPr>
          <w:rFonts w:ascii="Arial" w:cs="Arial" w:eastAsia="Arial" w:hAnsi="Arial"/>
          <w:sz w:val="15"/>
          <w:szCs w:val="15"/>
          <w:i w:val="1"/>
          <w:iCs w:val="1"/>
          <w:color w:val="auto"/>
        </w:rPr>
        <w:t>The new notes will be identical to the outstanding notes except that the new notes will be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p>
    <w:p>
      <w:pPr>
        <w:ind w:left="1020" w:right="140" w:firstLine="393"/>
        <w:spacing w:after="0" w:line="273" w:lineRule="auto"/>
        <w:rPr>
          <w:sz w:val="20"/>
          <w:szCs w:val="20"/>
          <w:color w:val="auto"/>
        </w:rPr>
      </w:pPr>
      <w:r>
        <w:rPr>
          <w:rFonts w:ascii="Arial" w:cs="Arial" w:eastAsia="Arial" w:hAnsi="Arial"/>
          <w:sz w:val="17"/>
          <w:szCs w:val="17"/>
          <w:i w:val="1"/>
          <w:iCs w:val="1"/>
          <w:color w:val="auto"/>
        </w:rPr>
        <w:t>The following summary contains basic information about the notes and is not intended to be complete. It does not contain all the information that is important to you. For a more complete understanding of the notes, please refer to the section of this prospectus entitled “Description of the Notes.”</w:t>
      </w:r>
    </w:p>
    <w:p>
      <w:pPr>
        <w:spacing w:after="0" w:line="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Issuers</w:t>
      </w:r>
      <w:r>
        <w:rPr>
          <w:sz w:val="20"/>
          <w:szCs w:val="20"/>
          <w:color w:val="auto"/>
        </w:rPr>
        <w:tab/>
      </w:r>
      <w:r>
        <w:rPr>
          <w:rFonts w:ascii="Arial" w:cs="Arial" w:eastAsia="Arial" w:hAnsi="Arial"/>
          <w:sz w:val="17"/>
          <w:szCs w:val="17"/>
          <w:color w:val="auto"/>
        </w:rPr>
        <w:t>Plains All American Pipeline, L.P. and PAA Finance Corp.</w:t>
      </w:r>
    </w:p>
    <w:p>
      <w:pPr>
        <w:spacing w:after="0" w:line="40" w:lineRule="exact"/>
        <w:rPr>
          <w:sz w:val="20"/>
          <w:szCs w:val="20"/>
          <w:color w:val="auto"/>
        </w:rPr>
      </w:pPr>
    </w:p>
    <w:p>
      <w:pPr>
        <w:ind w:left="4600" w:right="100"/>
        <w:spacing w:after="0" w:line="299" w:lineRule="auto"/>
        <w:rPr>
          <w:sz w:val="20"/>
          <w:szCs w:val="20"/>
          <w:color w:val="auto"/>
        </w:rPr>
      </w:pPr>
      <w:r>
        <w:rPr>
          <w:rFonts w:ascii="Arial" w:cs="Arial" w:eastAsia="Arial" w:hAnsi="Arial"/>
          <w:sz w:val="15"/>
          <w:szCs w:val="15"/>
          <w:color w:val="auto"/>
        </w:rPr>
        <w:t>PAA Finance Corp., a Delaware corporation, is an indirect wholly owned subsidiary of Plains All American Pipeline, L.P. that has been organized for the purpose of co-issuing our existing notes, the notes offered hereby, and the notes issued in any future offerings. PAA Finance Corp. does not have any operations of any kind and will not have any revenue other than as may be incidental to its activities as a co-issuer of the notes.</w:t>
      </w:r>
    </w:p>
    <w:p>
      <w:pPr>
        <w:spacing w:after="0" w:line="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Notes Offered</w:t>
      </w:r>
      <w:r>
        <w:rPr>
          <w:sz w:val="20"/>
          <w:szCs w:val="20"/>
          <w:color w:val="auto"/>
        </w:rPr>
        <w:tab/>
      </w:r>
      <w:r>
        <w:rPr>
          <w:rFonts w:ascii="Arial" w:cs="Arial" w:eastAsia="Arial" w:hAnsi="Arial"/>
          <w:sz w:val="15"/>
          <w:szCs w:val="15"/>
          <w:color w:val="auto"/>
        </w:rPr>
        <w:t>$250 million in aggregate principal amount of 6.70% senior notes due May 15, 2036.</w:t>
      </w:r>
    </w:p>
    <w:p>
      <w:pPr>
        <w:spacing w:after="0" w:line="40"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Maturity Date</w:t>
      </w:r>
      <w:r>
        <w:rPr>
          <w:sz w:val="20"/>
          <w:szCs w:val="20"/>
          <w:color w:val="auto"/>
        </w:rPr>
        <w:tab/>
      </w:r>
      <w:r>
        <w:rPr>
          <w:rFonts w:ascii="Arial" w:cs="Arial" w:eastAsia="Arial" w:hAnsi="Arial"/>
          <w:sz w:val="16"/>
          <w:szCs w:val="16"/>
          <w:color w:val="auto"/>
        </w:rPr>
        <w:t>May 15, 2036.</w:t>
      </w:r>
    </w:p>
    <w:p>
      <w:pPr>
        <w:spacing w:after="0" w:line="40"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Interest Payment Dates</w:t>
      </w:r>
      <w:r>
        <w:rPr>
          <w:sz w:val="20"/>
          <w:szCs w:val="20"/>
          <w:color w:val="auto"/>
        </w:rPr>
        <w:tab/>
      </w:r>
      <w:r>
        <w:rPr>
          <w:rFonts w:ascii="Arial" w:cs="Arial" w:eastAsia="Arial" w:hAnsi="Arial"/>
          <w:sz w:val="15"/>
          <w:szCs w:val="15"/>
          <w:color w:val="auto"/>
        </w:rPr>
        <w:t>We will pay interest on the notes on May 15 and November 15 of each year, beginning</w:t>
      </w:r>
    </w:p>
    <w:p>
      <w:pPr>
        <w:spacing w:after="0" w:line="26"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on November 15, 2006.</w:t>
      </w:r>
    </w:p>
    <w:p>
      <w:pPr>
        <w:spacing w:after="0" w:line="2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Optional Redemption</w:t>
      </w:r>
      <w:r>
        <w:rPr>
          <w:sz w:val="20"/>
          <w:szCs w:val="20"/>
          <w:color w:val="auto"/>
        </w:rPr>
        <w:tab/>
      </w:r>
      <w:r>
        <w:rPr>
          <w:rFonts w:ascii="Arial" w:cs="Arial" w:eastAsia="Arial" w:hAnsi="Arial"/>
          <w:sz w:val="15"/>
          <w:szCs w:val="15"/>
          <w:color w:val="auto"/>
        </w:rPr>
        <w:t>We may redeem the notes, in whole or in part, at any time and from time to time at a</w:t>
      </w:r>
    </w:p>
    <w:p>
      <w:pPr>
        <w:spacing w:after="0" w:line="26" w:lineRule="exact"/>
        <w:rPr>
          <w:sz w:val="20"/>
          <w:szCs w:val="20"/>
          <w:color w:val="auto"/>
        </w:rPr>
      </w:pPr>
    </w:p>
    <w:p>
      <w:pPr>
        <w:ind w:left="4600"/>
        <w:spacing w:after="0" w:line="276" w:lineRule="auto"/>
        <w:rPr>
          <w:sz w:val="20"/>
          <w:szCs w:val="20"/>
          <w:color w:val="auto"/>
        </w:rPr>
      </w:pPr>
      <w:r>
        <w:rPr>
          <w:rFonts w:ascii="Arial" w:cs="Arial" w:eastAsia="Arial" w:hAnsi="Arial"/>
          <w:sz w:val="16"/>
          <w:szCs w:val="16"/>
          <w:color w:val="auto"/>
        </w:rPr>
        <w:t>price equal to the greater of (i) 100% of the principal amount of the notes to be redeemed or (ii) the sum of the present values of the remaining scheduled payments of principal of and interest on the notes to be redeemed, discounted to the redemption date on a semi annual basis at the Adjusted Treasury Rate (as defined herein) plus 25 basis points, together with accrued interest to the date of redemption. Please read the section of this prospectus entitled “Description of the Notes — Optional Redemption.”</w:t>
      </w:r>
    </w:p>
    <w:p>
      <w:pPr>
        <w:spacing w:after="0" w:line="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6"/>
          <w:szCs w:val="16"/>
          <w:color w:val="auto"/>
        </w:rPr>
        <w:t>Guarantees</w:t>
      </w:r>
      <w:r>
        <w:rPr>
          <w:sz w:val="20"/>
          <w:szCs w:val="20"/>
          <w:color w:val="auto"/>
        </w:rPr>
        <w:tab/>
      </w:r>
      <w:r>
        <w:rPr>
          <w:rFonts w:ascii="Arial" w:cs="Arial" w:eastAsia="Arial" w:hAnsi="Arial"/>
          <w:sz w:val="16"/>
          <w:szCs w:val="16"/>
          <w:color w:val="auto"/>
        </w:rPr>
        <w:t>Initially, all payments with respect to the notes (including principal and interest) are fully</w:t>
      </w:r>
    </w:p>
    <w:p>
      <w:pPr>
        <w:spacing w:after="0" w:line="38" w:lineRule="exact"/>
        <w:rPr>
          <w:sz w:val="20"/>
          <w:szCs w:val="20"/>
          <w:color w:val="auto"/>
        </w:rPr>
      </w:pPr>
    </w:p>
    <w:p>
      <w:pPr>
        <w:ind w:left="4600" w:right="40"/>
        <w:spacing w:after="0" w:line="276" w:lineRule="auto"/>
        <w:rPr>
          <w:sz w:val="20"/>
          <w:szCs w:val="20"/>
          <w:color w:val="auto"/>
        </w:rPr>
      </w:pPr>
      <w:r>
        <w:rPr>
          <w:rFonts w:ascii="Arial" w:cs="Arial" w:eastAsia="Arial" w:hAnsi="Arial"/>
          <w:sz w:val="16"/>
          <w:szCs w:val="16"/>
          <w:color w:val="auto"/>
        </w:rPr>
        <w:t>and unconditionally guaranteed, jointly and severally, by substantially all of our existing subsidiaries. In the future, our subsidiaries that guarantee other indebtedness of ours or another subsidiary must also guarantee the notes. The guarantees are also subject to release in certain circumstances. The guarantees are general unsecured obligations of the subsidiary guarantors and rank equally with the existing and future senior unsecured indebtedness of the subsidiary guarantors.</w:t>
      </w:r>
    </w:p>
    <w:p>
      <w:pPr>
        <w:spacing w:after="0" w:line="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6"/>
          <w:szCs w:val="16"/>
          <w:color w:val="auto"/>
        </w:rPr>
        <w:t>Ranking</w:t>
      </w:r>
      <w:r>
        <w:rPr>
          <w:sz w:val="20"/>
          <w:szCs w:val="20"/>
          <w:color w:val="auto"/>
        </w:rPr>
        <w:tab/>
      </w:r>
      <w:r>
        <w:rPr>
          <w:rFonts w:ascii="Arial" w:cs="Arial" w:eastAsia="Arial" w:hAnsi="Arial"/>
          <w:sz w:val="16"/>
          <w:szCs w:val="16"/>
          <w:color w:val="auto"/>
        </w:rPr>
        <w:t>The notes are general senior unsecured obligations of the issuers and rank equally with</w:t>
      </w:r>
    </w:p>
    <w:p>
      <w:pPr>
        <w:spacing w:after="0" w:line="38"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the existing and future senior unsecured indebtedness of the issuers.</w:t>
      </w:r>
    </w:p>
    <w:p>
      <w:pPr>
        <w:sectPr>
          <w:pgSz w:w="11900" w:h="16838" w:orient="portrait"/>
          <w:cols w:equalWidth="0" w:num="1">
            <w:col w:w="10840"/>
          </w:cols>
          <w:pgMar w:left="240" w:top="410" w:right="819" w:bottom="1440" w:gutter="0" w:footer="0" w:header="0"/>
        </w:sectPr>
      </w:pPr>
    </w:p>
    <w:p>
      <w:pPr>
        <w:spacing w:after="0" w:line="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20"/>
        <w:spacing w:after="0" w:line="289" w:lineRule="auto"/>
        <w:rPr>
          <w:sz w:val="20"/>
          <w:szCs w:val="20"/>
          <w:color w:val="auto"/>
        </w:rPr>
      </w:pPr>
      <w:r>
        <w:rPr>
          <w:rFonts w:ascii="Arial" w:cs="Arial" w:eastAsia="Arial" w:hAnsi="Arial"/>
          <w:sz w:val="17"/>
          <w:szCs w:val="17"/>
          <w:color w:val="auto"/>
        </w:rPr>
        <w:t>Transfer Restrictions; Absence of a Public Market for the Notes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The indenture governing the notes contains covenants that limit our ability, with certain exceptions, to:</w:t>
      </w:r>
    </w:p>
    <w:p>
      <w:pPr>
        <w:spacing w:after="0" w:line="1" w:lineRule="exact"/>
        <w:rPr>
          <w:sz w:val="20"/>
          <w:szCs w:val="20"/>
          <w:color w:val="auto"/>
        </w:rPr>
      </w:pPr>
    </w:p>
    <w:p>
      <w:pPr>
        <w:ind w:left="104" w:hanging="104"/>
        <w:spacing w:after="0"/>
        <w:tabs>
          <w:tab w:leader="none" w:pos="10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incur liens on principal properties to secure debt;</w:t>
      </w:r>
    </w:p>
    <w:p>
      <w:pPr>
        <w:spacing w:after="0" w:line="40" w:lineRule="exact"/>
        <w:rPr>
          <w:rFonts w:ascii="Arial" w:cs="Arial" w:eastAsia="Arial" w:hAnsi="Arial"/>
          <w:sz w:val="17"/>
          <w:szCs w:val="17"/>
          <w:color w:val="auto"/>
        </w:rPr>
      </w:pPr>
    </w:p>
    <w:p>
      <w:pPr>
        <w:ind w:left="104" w:hanging="104"/>
        <w:spacing w:after="0"/>
        <w:tabs>
          <w:tab w:leader="none" w:pos="104" w:val="left"/>
        </w:tabs>
        <w:numPr>
          <w:ilvl w:val="0"/>
          <w:numId w:val="5"/>
        </w:numPr>
        <w:rPr>
          <w:rFonts w:ascii="Arial" w:cs="Arial" w:eastAsia="Arial" w:hAnsi="Arial"/>
          <w:sz w:val="17"/>
          <w:szCs w:val="17"/>
          <w:color w:val="auto"/>
        </w:rPr>
      </w:pPr>
      <w:r>
        <w:rPr>
          <w:rFonts w:ascii="Arial" w:cs="Arial" w:eastAsia="Arial" w:hAnsi="Arial"/>
          <w:sz w:val="17"/>
          <w:szCs w:val="17"/>
          <w:color w:val="auto"/>
        </w:rPr>
        <w:t>engage in sale-leaseback transactions; and</w:t>
      </w:r>
    </w:p>
    <w:p>
      <w:pPr>
        <w:spacing w:after="0" w:line="40" w:lineRule="exact"/>
        <w:rPr>
          <w:rFonts w:ascii="Arial" w:cs="Arial" w:eastAsia="Arial" w:hAnsi="Arial"/>
          <w:sz w:val="17"/>
          <w:szCs w:val="17"/>
          <w:color w:val="auto"/>
        </w:rPr>
      </w:pPr>
    </w:p>
    <w:p>
      <w:pPr>
        <w:ind w:left="4" w:right="20" w:hanging="4"/>
        <w:spacing w:after="0" w:line="273" w:lineRule="auto"/>
        <w:tabs>
          <w:tab w:leader="none" w:pos="108" w:val="left"/>
        </w:tabs>
        <w:numPr>
          <w:ilvl w:val="0"/>
          <w:numId w:val="5"/>
        </w:numPr>
        <w:rPr>
          <w:rFonts w:ascii="Arial" w:cs="Arial" w:eastAsia="Arial" w:hAnsi="Arial"/>
          <w:sz w:val="17"/>
          <w:szCs w:val="17"/>
          <w:color w:val="auto"/>
        </w:rPr>
      </w:pPr>
      <w:r>
        <w:rPr>
          <w:rFonts w:ascii="Arial" w:cs="Arial" w:eastAsia="Arial" w:hAnsi="Arial"/>
          <w:sz w:val="17"/>
          <w:szCs w:val="17"/>
          <w:color w:val="auto"/>
        </w:rPr>
        <w:t>merge or consolidate with another entity or sell, lease or transfer substantially all of our properties or assets to another entity.</w:t>
      </w:r>
    </w:p>
    <w:p>
      <w:pPr>
        <w:spacing w:after="0" w:line="1" w:lineRule="exact"/>
        <w:rPr>
          <w:rFonts w:ascii="Arial" w:cs="Arial" w:eastAsia="Arial" w:hAnsi="Arial"/>
          <w:sz w:val="17"/>
          <w:szCs w:val="17"/>
          <w:color w:val="auto"/>
        </w:rPr>
      </w:pPr>
    </w:p>
    <w:p>
      <w:pPr>
        <w:ind w:left="4" w:right="240"/>
        <w:spacing w:after="0" w:line="273" w:lineRule="auto"/>
        <w:rPr>
          <w:rFonts w:ascii="Arial" w:cs="Arial" w:eastAsia="Arial" w:hAnsi="Arial"/>
          <w:sz w:val="17"/>
          <w:szCs w:val="17"/>
          <w:color w:val="auto"/>
        </w:rPr>
      </w:pPr>
      <w:r>
        <w:rPr>
          <w:rFonts w:ascii="Arial" w:cs="Arial" w:eastAsia="Arial" w:hAnsi="Arial"/>
          <w:sz w:val="17"/>
          <w:szCs w:val="17"/>
          <w:color w:val="auto"/>
        </w:rPr>
        <w:t>The new notes generally will be freely transferable, but will also be new securities for which there will not initially be a market. There can be no assurance as to the development or liquidity of any market for the new notes.</w:t>
      </w:r>
    </w:p>
    <w:p>
      <w:pPr>
        <w:spacing w:after="0" w:line="200" w:lineRule="exact"/>
        <w:rPr>
          <w:sz w:val="20"/>
          <w:szCs w:val="20"/>
          <w:color w:val="auto"/>
        </w:rPr>
      </w:pPr>
    </w:p>
    <w:p>
      <w:pPr>
        <w:sectPr>
          <w:pgSz w:w="11900" w:h="16838" w:orient="portrait"/>
          <w:cols w:equalWidth="0" w:num="2">
            <w:col w:w="4420" w:space="176"/>
            <w:col w:w="6244"/>
          </w:cols>
          <w:pgMar w:left="240" w:top="41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40"/>
          </w:cols>
          <w:pgMar w:left="240" w:top="410" w:right="81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41"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RISK FACTORS</w:t>
      </w:r>
    </w:p>
    <w:p>
      <w:pPr>
        <w:spacing w:after="0" w:line="138" w:lineRule="exact"/>
        <w:rPr>
          <w:sz w:val="20"/>
          <w:szCs w:val="20"/>
          <w:color w:val="auto"/>
        </w:rPr>
      </w:pPr>
    </w:p>
    <w:p>
      <w:pPr>
        <w:ind w:left="680" w:right="200" w:firstLine="397"/>
        <w:spacing w:after="0" w:line="268" w:lineRule="auto"/>
        <w:rPr>
          <w:sz w:val="20"/>
          <w:szCs w:val="20"/>
          <w:color w:val="auto"/>
        </w:rPr>
      </w:pPr>
      <w:r>
        <w:rPr>
          <w:rFonts w:ascii="Arial" w:cs="Arial" w:eastAsia="Arial" w:hAnsi="Arial"/>
          <w:sz w:val="17"/>
          <w:szCs w:val="17"/>
          <w:i w:val="1"/>
          <w:iCs w:val="1"/>
          <w:color w:val="auto"/>
        </w:rPr>
        <w:t>In addition to the other information set forth elsewhere or incorporated by reference in this prospectus (including the risk factors included in our 2005 Annual Report on Form 10-K and our Quarterly Report on Form 10-Q for the quarter ended June 30, 2006, as amended) the following factors relating to our partnership and the exchange offer and the notes should be considered carefully in deciding whether to participate in the exchange offer.</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Risks Related to the Exchange Offer and the Notes</w:t>
      </w:r>
    </w:p>
    <w:p>
      <w:pPr>
        <w:spacing w:after="0" w:line="138" w:lineRule="exact"/>
        <w:rPr>
          <w:sz w:val="20"/>
          <w:szCs w:val="20"/>
          <w:color w:val="auto"/>
        </w:rPr>
      </w:pPr>
    </w:p>
    <w:p>
      <w:pPr>
        <w:ind w:left="880" w:right="440"/>
        <w:spacing w:after="0" w:line="289" w:lineRule="auto"/>
        <w:rPr>
          <w:sz w:val="20"/>
          <w:szCs w:val="20"/>
          <w:color w:val="auto"/>
        </w:rPr>
      </w:pPr>
      <w:r>
        <w:rPr>
          <w:rFonts w:ascii="Arial" w:cs="Arial" w:eastAsia="Arial" w:hAnsi="Arial"/>
          <w:sz w:val="17"/>
          <w:szCs w:val="17"/>
          <w:b w:val="1"/>
          <w:bCs w:val="1"/>
          <w:i w:val="1"/>
          <w:iCs w:val="1"/>
          <w:color w:val="auto"/>
        </w:rPr>
        <w:t>If you do not properly tender your outstanding notes, you will continue to hold unregistered outstanding notes and your ability to transfer outstanding notes will be adversely affected.</w:t>
      </w:r>
    </w:p>
    <w:p>
      <w:pPr>
        <w:spacing w:after="0" w:line="67" w:lineRule="exact"/>
        <w:rPr>
          <w:sz w:val="20"/>
          <w:szCs w:val="20"/>
          <w:color w:val="auto"/>
        </w:rPr>
      </w:pPr>
    </w:p>
    <w:p>
      <w:pPr>
        <w:jc w:val="both"/>
        <w:ind w:left="680" w:right="380" w:firstLine="397"/>
        <w:spacing w:after="0" w:line="268" w:lineRule="auto"/>
        <w:rPr>
          <w:sz w:val="20"/>
          <w:szCs w:val="20"/>
          <w:color w:val="auto"/>
        </w:rPr>
      </w:pPr>
      <w:r>
        <w:rPr>
          <w:rFonts w:ascii="Arial" w:cs="Arial" w:eastAsia="Arial" w:hAnsi="Arial"/>
          <w:sz w:val="17"/>
          <w:szCs w:val="17"/>
          <w:color w:val="auto"/>
        </w:rPr>
        <w:t>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w:t>
      </w:r>
    </w:p>
    <w:p>
      <w:pPr>
        <w:spacing w:after="0" w:line="84" w:lineRule="exact"/>
        <w:rPr>
          <w:sz w:val="20"/>
          <w:szCs w:val="20"/>
          <w:color w:val="auto"/>
        </w:rPr>
      </w:pPr>
    </w:p>
    <w:p>
      <w:pPr>
        <w:ind w:left="680" w:right="40" w:firstLine="397"/>
        <w:spacing w:after="0" w:line="263" w:lineRule="auto"/>
        <w:rPr>
          <w:sz w:val="20"/>
          <w:szCs w:val="20"/>
          <w:color w:val="auto"/>
        </w:rPr>
      </w:pPr>
      <w:r>
        <w:rPr>
          <w:rFonts w:ascii="Arial" w:cs="Arial" w:eastAsia="Arial" w:hAnsi="Arial"/>
          <w:sz w:val="17"/>
          <w:szCs w:val="17"/>
          <w:color w:val="auto"/>
        </w:rPr>
        <w:t>If you do not exchange your outstanding notes for new notes pursuant to the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exchange offer is consummated, you may have trouble selling them because there will be fewer notes outstanding.</w:t>
      </w:r>
    </w:p>
    <w:p>
      <w:pPr>
        <w:spacing w:after="0" w:line="196" w:lineRule="exact"/>
        <w:rPr>
          <w:sz w:val="20"/>
          <w:szCs w:val="20"/>
          <w:color w:val="auto"/>
        </w:rPr>
      </w:pPr>
    </w:p>
    <w:p>
      <w:pPr>
        <w:ind w:left="880" w:right="80"/>
        <w:spacing w:after="0" w:line="273" w:lineRule="auto"/>
        <w:rPr>
          <w:sz w:val="20"/>
          <w:szCs w:val="20"/>
          <w:color w:val="auto"/>
        </w:rPr>
      </w:pPr>
      <w:r>
        <w:rPr>
          <w:rFonts w:ascii="Arial" w:cs="Arial" w:eastAsia="Arial" w:hAnsi="Arial"/>
          <w:sz w:val="17"/>
          <w:szCs w:val="17"/>
          <w:b w:val="1"/>
          <w:bCs w:val="1"/>
          <w:i w:val="1"/>
          <w:iCs w:val="1"/>
          <w:color w:val="auto"/>
        </w:rPr>
        <w:t>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w:t>
      </w:r>
    </w:p>
    <w:p>
      <w:pPr>
        <w:spacing w:after="0" w:line="80" w:lineRule="exact"/>
        <w:rPr>
          <w:sz w:val="20"/>
          <w:szCs w:val="20"/>
          <w:color w:val="auto"/>
        </w:rPr>
      </w:pPr>
    </w:p>
    <w:p>
      <w:pPr>
        <w:ind w:left="680" w:firstLine="397"/>
        <w:spacing w:after="0" w:line="281" w:lineRule="auto"/>
        <w:rPr>
          <w:sz w:val="20"/>
          <w:szCs w:val="20"/>
          <w:color w:val="auto"/>
        </w:rPr>
      </w:pPr>
      <w:r>
        <w:rPr>
          <w:rFonts w:ascii="Arial" w:cs="Arial" w:eastAsia="Arial" w:hAnsi="Arial"/>
          <w:sz w:val="16"/>
          <w:szCs w:val="16"/>
          <w:color w:val="auto"/>
        </w:rPr>
        <w:t>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the guarantees are subject to release under certain circumstances,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w:t>
      </w:r>
    </w:p>
    <w:p>
      <w:pPr>
        <w:spacing w:after="0" w:line="183" w:lineRule="exact"/>
        <w:rPr>
          <w:sz w:val="20"/>
          <w:szCs w:val="20"/>
          <w:color w:val="auto"/>
        </w:rPr>
      </w:pPr>
    </w:p>
    <w:p>
      <w:pPr>
        <w:ind w:left="880" w:right="380"/>
        <w:spacing w:after="0" w:line="289" w:lineRule="auto"/>
        <w:rPr>
          <w:sz w:val="20"/>
          <w:szCs w:val="20"/>
          <w:color w:val="auto"/>
        </w:rPr>
      </w:pPr>
      <w:r>
        <w:rPr>
          <w:rFonts w:ascii="Arial" w:cs="Arial" w:eastAsia="Arial" w:hAnsi="Arial"/>
          <w:sz w:val="17"/>
          <w:szCs w:val="17"/>
          <w:b w:val="1"/>
          <w:bCs w:val="1"/>
          <w:i w:val="1"/>
          <w:iCs w:val="1"/>
          <w:color w:val="auto"/>
        </w:rPr>
        <w:t>Our leverage may limit our ability to borrow additional funds, comply with the terms of our indebtedness or capitalize on business opportunities.</w:t>
      </w:r>
    </w:p>
    <w:p>
      <w:pPr>
        <w:spacing w:after="0" w:line="67" w:lineRule="exact"/>
        <w:rPr>
          <w:sz w:val="20"/>
          <w:szCs w:val="20"/>
          <w:color w:val="auto"/>
        </w:rPr>
      </w:pPr>
    </w:p>
    <w:p>
      <w:pPr>
        <w:ind w:left="680" w:right="260" w:firstLine="397"/>
        <w:spacing w:after="0" w:line="308" w:lineRule="auto"/>
        <w:rPr>
          <w:sz w:val="20"/>
          <w:szCs w:val="20"/>
          <w:color w:val="auto"/>
        </w:rPr>
      </w:pPr>
      <w:r>
        <w:rPr>
          <w:rFonts w:ascii="Arial" w:cs="Arial" w:eastAsia="Arial" w:hAnsi="Arial"/>
          <w:sz w:val="15"/>
          <w:szCs w:val="15"/>
          <w:color w:val="auto"/>
        </w:rPr>
        <w:t>Our leverage is significant in relation to our partners’ capital. As of June 30, 2006, our total outstanding long-term debt, including a portion of our revolving credit facility classified as short-term, was approximately $1.6 billion. We will be prohibited from making cash distributions on our common units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60" w:lineRule="exact"/>
        <w:rPr>
          <w:sz w:val="20"/>
          <w:szCs w:val="20"/>
          <w:color w:val="auto"/>
        </w:rPr>
      </w:pPr>
    </w:p>
    <w:p>
      <w:pPr>
        <w:ind w:left="680" w:right="180" w:firstLine="397"/>
        <w:spacing w:after="0" w:line="290"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0" w:right="10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spacing w:after="0" w:line="262" w:lineRule="auto"/>
        <w:rPr>
          <w:sz w:val="20"/>
          <w:szCs w:val="20"/>
          <w:color w:val="auto"/>
        </w:rPr>
      </w:pPr>
      <w:r>
        <w:rPr>
          <w:rFonts w:ascii="Arial" w:cs="Arial" w:eastAsia="Arial" w:hAnsi="Arial"/>
          <w:sz w:val="17"/>
          <w:szCs w:val="17"/>
          <w:color w:val="auto"/>
        </w:rPr>
        <w:t>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w:t>
      </w:r>
    </w:p>
    <w:p>
      <w:pPr>
        <w:spacing w:after="0" w:line="89" w:lineRule="exact"/>
        <w:rPr>
          <w:sz w:val="20"/>
          <w:szCs w:val="20"/>
          <w:color w:val="auto"/>
        </w:rPr>
      </w:pPr>
    </w:p>
    <w:p>
      <w:pPr>
        <w:ind w:left="680" w:firstLine="397"/>
        <w:spacing w:after="0" w:line="283" w:lineRule="auto"/>
        <w:rPr>
          <w:sz w:val="20"/>
          <w:szCs w:val="20"/>
          <w:color w:val="auto"/>
        </w:rPr>
      </w:pPr>
      <w:r>
        <w:rPr>
          <w:rFonts w:ascii="Arial" w:cs="Arial" w:eastAsia="Arial" w:hAnsi="Arial"/>
          <w:sz w:val="16"/>
          <w:szCs w:val="16"/>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 court may use fraudulent conveyance considerations to avoid or subordinate the subsidiary guarantees.</w:t>
      </w:r>
    </w:p>
    <w:p>
      <w:pPr>
        <w:spacing w:after="0" w:line="132" w:lineRule="exact"/>
        <w:rPr>
          <w:sz w:val="20"/>
          <w:szCs w:val="20"/>
          <w:color w:val="auto"/>
        </w:rPr>
      </w:pPr>
    </w:p>
    <w:p>
      <w:pPr>
        <w:ind w:left="680" w:right="120" w:firstLine="397"/>
        <w:spacing w:after="0" w:line="268" w:lineRule="auto"/>
        <w:rPr>
          <w:sz w:val="20"/>
          <w:szCs w:val="20"/>
          <w:color w:val="auto"/>
        </w:rPr>
      </w:pPr>
      <w:r>
        <w:rPr>
          <w:rFonts w:ascii="Arial" w:cs="Arial" w:eastAsia="Arial" w:hAnsi="Arial"/>
          <w:sz w:val="17"/>
          <w:szCs w:val="17"/>
          <w:color w:val="auto"/>
        </w:rPr>
        <w:t>Various applicable fraudulent conveyance laws have been enacted for the protection of creditors. A court may use fraudulent conveyance laws to subordinate or avoid the subsidiary guarantees of the notes issued by any of our subsidiary guarantors. It is also possible that under certain circumstances a court could hold that the direct obligations of a subsidiary guaranteeing the notes could be superior to the obligations under that guarantee.</w:t>
      </w:r>
    </w:p>
    <w:p>
      <w:pPr>
        <w:spacing w:after="0" w:line="84" w:lineRule="exact"/>
        <w:rPr>
          <w:sz w:val="20"/>
          <w:szCs w:val="20"/>
          <w:color w:val="auto"/>
        </w:rPr>
      </w:pPr>
    </w:p>
    <w:p>
      <w:pPr>
        <w:ind w:left="680" w:right="440" w:firstLine="397"/>
        <w:spacing w:after="0" w:line="322" w:lineRule="auto"/>
        <w:rPr>
          <w:sz w:val="20"/>
          <w:szCs w:val="20"/>
          <w:color w:val="auto"/>
        </w:rPr>
      </w:pPr>
      <w:r>
        <w:rPr>
          <w:rFonts w:ascii="Arial" w:cs="Arial" w:eastAsia="Arial" w:hAnsi="Arial"/>
          <w:sz w:val="16"/>
          <w:szCs w:val="16"/>
          <w:color w:val="auto"/>
        </w:rPr>
        <w:t>A court could avoid or subordinate the guarantee of the notes by any of our subsidiaries in favor of that subsidiary’s other debts or liabilities to the extent that the court determined either of the following were true at the time the subsidiary issued the guarantee:</w:t>
      </w:r>
    </w:p>
    <w:p>
      <w:pPr>
        <w:spacing w:after="0" w:line="44" w:lineRule="exact"/>
        <w:rPr>
          <w:sz w:val="20"/>
          <w:szCs w:val="20"/>
          <w:color w:val="auto"/>
        </w:rPr>
      </w:pPr>
    </w:p>
    <w:p>
      <w:pPr>
        <w:ind w:left="1180" w:right="60" w:hanging="97"/>
        <w:spacing w:after="0" w:line="289"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spacing w:after="0" w:line="53" w:lineRule="exact"/>
        <w:rPr>
          <w:rFonts w:ascii="Arial" w:cs="Arial" w:eastAsia="Arial" w:hAnsi="Arial"/>
          <w:sz w:val="17"/>
          <w:szCs w:val="17"/>
          <w:color w:val="auto"/>
        </w:rPr>
      </w:pPr>
    </w:p>
    <w:p>
      <w:pPr>
        <w:ind w:left="1180" w:right="120" w:hanging="97"/>
        <w:spacing w:after="0" w:line="289"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subsidiary did not receive fair consideration or reasonable equivalent value for issuing the guarantee and, at the time it issued the guarantee, that subsidiary:</w:t>
      </w:r>
    </w:p>
    <w:p>
      <w:pPr>
        <w:spacing w:after="0" w:line="66" w:lineRule="exact"/>
        <w:rPr>
          <w:rFonts w:ascii="Arial" w:cs="Arial" w:eastAsia="Arial" w:hAnsi="Arial"/>
          <w:sz w:val="17"/>
          <w:szCs w:val="17"/>
          <w:color w:val="auto"/>
        </w:rPr>
      </w:pPr>
    </w:p>
    <w:p>
      <w:pPr>
        <w:ind w:left="1380" w:hanging="100"/>
        <w:spacing w:after="0"/>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was insolvent or rendered insolvent by reason of the issuance of the guarantee;</w:t>
      </w:r>
    </w:p>
    <w:p>
      <w:pPr>
        <w:spacing w:after="0" w:line="119" w:lineRule="exact"/>
        <w:rPr>
          <w:rFonts w:ascii="Arial" w:cs="Arial" w:eastAsia="Arial" w:hAnsi="Arial"/>
          <w:sz w:val="17"/>
          <w:szCs w:val="17"/>
          <w:color w:val="auto"/>
        </w:rPr>
      </w:pPr>
    </w:p>
    <w:p>
      <w:pPr>
        <w:ind w:left="1380" w:right="820" w:hanging="100"/>
        <w:spacing w:after="0" w:line="289" w:lineRule="auto"/>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was engaged or about to engage in a business or transaction for which the remaining assets of that subsidiary constituted unreasonably small capital; or</w:t>
      </w:r>
    </w:p>
    <w:p>
      <w:pPr>
        <w:spacing w:after="0" w:line="53" w:lineRule="exact"/>
        <w:rPr>
          <w:rFonts w:ascii="Arial" w:cs="Arial" w:eastAsia="Arial" w:hAnsi="Arial"/>
          <w:sz w:val="17"/>
          <w:szCs w:val="17"/>
          <w:color w:val="auto"/>
        </w:rPr>
      </w:pPr>
    </w:p>
    <w:p>
      <w:pPr>
        <w:ind w:left="1380" w:hanging="100"/>
        <w:spacing w:after="0"/>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intended to incur, or believed that it would incur, debts beyond its ability to pay such debts as they matured.</w:t>
      </w:r>
    </w:p>
    <w:p>
      <w:pPr>
        <w:spacing w:after="0" w:line="132" w:lineRule="exact"/>
        <w:rPr>
          <w:sz w:val="20"/>
          <w:szCs w:val="20"/>
          <w:color w:val="auto"/>
        </w:rPr>
      </w:pPr>
    </w:p>
    <w:p>
      <w:pPr>
        <w:ind w:left="680" w:right="120" w:firstLine="397"/>
        <w:spacing w:after="0" w:line="265" w:lineRule="auto"/>
        <w:rPr>
          <w:sz w:val="20"/>
          <w:szCs w:val="20"/>
          <w:color w:val="auto"/>
        </w:rPr>
      </w:pPr>
      <w:r>
        <w:rPr>
          <w:rFonts w:ascii="Arial" w:cs="Arial" w:eastAsia="Arial" w:hAnsi="Arial"/>
          <w:sz w:val="17"/>
          <w:szCs w:val="17"/>
          <w:color w:val="auto"/>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w:t>
      </w:r>
    </w:p>
    <w:p>
      <w:pPr>
        <w:spacing w:after="0" w:line="88" w:lineRule="exact"/>
        <w:rPr>
          <w:sz w:val="20"/>
          <w:szCs w:val="20"/>
          <w:color w:val="auto"/>
        </w:rPr>
      </w:pPr>
    </w:p>
    <w:p>
      <w:pPr>
        <w:ind w:left="680" w:right="400" w:firstLine="397"/>
        <w:spacing w:after="0" w:line="273" w:lineRule="auto"/>
        <w:rPr>
          <w:sz w:val="20"/>
          <w:szCs w:val="20"/>
          <w:color w:val="auto"/>
        </w:rPr>
      </w:pPr>
      <w:r>
        <w:rPr>
          <w:rFonts w:ascii="Arial" w:cs="Arial" w:eastAsia="Arial" w:hAnsi="Arial"/>
          <w:sz w:val="17"/>
          <w:szCs w:val="17"/>
          <w:color w:val="auto"/>
        </w:rPr>
        <w:t>Among other things, a legal challenge of a subsidiary’s guarantee of the notes on fraudulent conveyance grounds may focus on the benefits, if any, realized by that subsidiary as a result of our issuance of the notes. To the extent a subsidiary’s guarantee of the notes is avoided as a result of fraudulent conveyance or held</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unenforceable for any other reason, the note holders would cease to have any claim in respect of that guarantee.</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Your ability to transfer the notes may be limited by the absence of a trading market.</w:t>
      </w:r>
    </w:p>
    <w:p>
      <w:pPr>
        <w:spacing w:after="0" w:line="132" w:lineRule="exact"/>
        <w:rPr>
          <w:sz w:val="20"/>
          <w:szCs w:val="20"/>
          <w:color w:val="auto"/>
        </w:rPr>
      </w:pPr>
    </w:p>
    <w:p>
      <w:pPr>
        <w:ind w:left="680" w:right="320" w:firstLine="397"/>
        <w:spacing w:after="0" w:line="268" w:lineRule="auto"/>
        <w:rPr>
          <w:sz w:val="20"/>
          <w:szCs w:val="20"/>
          <w:color w:val="auto"/>
        </w:rPr>
      </w:pPr>
      <w:r>
        <w:rPr>
          <w:rFonts w:ascii="Arial" w:cs="Arial" w:eastAsia="Arial" w:hAnsi="Arial"/>
          <w:sz w:val="17"/>
          <w:szCs w:val="17"/>
          <w:color w:val="auto"/>
        </w:rPr>
        <w:t>The notes will be new securities for which currently there is no trading market. We do not currently intend to apply for listing of the notes on any securities exchange or stock market. The liquidity of any market for the notes will depend on the number of holders of those notes, the interest of securities dealers in making a market in those notes and other factors. Accordingly, we cannot assure you as to the development or liquidity of any market for the notes.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We have a holding company structure in which our subsidiaries conduct our operations and own our operating assets.</w:t>
      </w:r>
    </w:p>
    <w:p>
      <w:pPr>
        <w:spacing w:after="0" w:line="132" w:lineRule="exact"/>
        <w:rPr>
          <w:sz w:val="20"/>
          <w:szCs w:val="20"/>
          <w:color w:val="auto"/>
        </w:rPr>
      </w:pPr>
    </w:p>
    <w:p>
      <w:pPr>
        <w:ind w:left="680" w:right="20" w:firstLine="397"/>
        <w:spacing w:after="0" w:line="280" w:lineRule="auto"/>
        <w:rPr>
          <w:sz w:val="20"/>
          <w:szCs w:val="20"/>
          <w:color w:val="auto"/>
        </w:rPr>
      </w:pPr>
      <w:r>
        <w:rPr>
          <w:rFonts w:ascii="Arial" w:cs="Arial" w:eastAsia="Arial" w:hAnsi="Arial"/>
          <w:sz w:val="16"/>
          <w:szCs w:val="16"/>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our credit facilities. If we are unable to obtain the funds necessary to pay the principal amount at maturity of the notes or to repurchase the debt securities upon the occurrence of a change of control, we may be required to adopt one or more alternatives, such as a refinancing of the notes. We cannot assure you that we would be able to refinance the notes.</w:t>
      </w:r>
    </w:p>
    <w:p>
      <w:pPr>
        <w:spacing w:after="0" w:line="184" w:lineRule="exact"/>
        <w:rPr>
          <w:sz w:val="20"/>
          <w:szCs w:val="20"/>
          <w:color w:val="auto"/>
        </w:rPr>
      </w:pPr>
    </w:p>
    <w:p>
      <w:pPr>
        <w:ind w:left="880" w:right="260"/>
        <w:spacing w:after="0" w:line="289" w:lineRule="auto"/>
        <w:rPr>
          <w:sz w:val="20"/>
          <w:szCs w:val="20"/>
          <w:color w:val="auto"/>
        </w:rPr>
      </w:pPr>
      <w:r>
        <w:rPr>
          <w:rFonts w:ascii="Arial" w:cs="Arial" w:eastAsia="Arial" w:hAnsi="Arial"/>
          <w:sz w:val="17"/>
          <w:szCs w:val="17"/>
          <w:b w:val="1"/>
          <w:bCs w:val="1"/>
          <w:i w:val="1"/>
          <w:iCs w:val="1"/>
          <w:color w:val="auto"/>
        </w:rPr>
        <w:t>We do not have the same flexibility as other types of organizations to accumulate cash, which may limit cash available to service the notes or to repay them at maturity.</w:t>
      </w:r>
    </w:p>
    <w:p>
      <w:pPr>
        <w:spacing w:after="0" w:line="67" w:lineRule="exact"/>
        <w:rPr>
          <w:sz w:val="20"/>
          <w:szCs w:val="20"/>
          <w:color w:val="auto"/>
        </w:rPr>
      </w:pPr>
    </w:p>
    <w:p>
      <w:pPr>
        <w:ind w:left="680" w:right="100" w:firstLine="397"/>
        <w:spacing w:after="0" w:line="265"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88" w:lineRule="exact"/>
        <w:rPr>
          <w:sz w:val="20"/>
          <w:szCs w:val="20"/>
          <w:color w:val="auto"/>
        </w:rPr>
      </w:pPr>
    </w:p>
    <w:p>
      <w:pPr>
        <w:ind w:left="1180" w:right="20" w:hanging="97"/>
        <w:spacing w:after="0" w:line="289" w:lineRule="auto"/>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provide for the proper conduct of our business and the businesses of our operating partnerships (including reserves for future capital expenditures and for our anticipated future credit needs),</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provide funds for distributions to our unitholders and the general partner for any one or more of the next four calendar quarters, or</w:t>
      </w:r>
    </w:p>
    <w:p>
      <w:pPr>
        <w:spacing w:after="0" w:line="130" w:lineRule="exact"/>
        <w:rPr>
          <w:rFonts w:ascii="Arial" w:cs="Arial" w:eastAsia="Arial" w:hAnsi="Arial"/>
          <w:sz w:val="16"/>
          <w:szCs w:val="16"/>
          <w:color w:val="auto"/>
        </w:rPr>
      </w:pPr>
    </w:p>
    <w:p>
      <w:pPr>
        <w:ind w:left="1180" w:hanging="97"/>
        <w:spacing w:after="0"/>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comply with applicable law or any of our loan or other agreements.</w:t>
      </w:r>
    </w:p>
    <w:p>
      <w:pPr>
        <w:spacing w:after="0" w:line="132" w:lineRule="exact"/>
        <w:rPr>
          <w:sz w:val="20"/>
          <w:szCs w:val="20"/>
          <w:color w:val="auto"/>
        </w:rPr>
      </w:pPr>
    </w:p>
    <w:p>
      <w:pPr>
        <w:ind w:left="680" w:right="300" w:firstLine="397"/>
        <w:spacing w:after="0" w:line="273" w:lineRule="auto"/>
        <w:rPr>
          <w:sz w:val="20"/>
          <w:szCs w:val="20"/>
          <w:color w:val="auto"/>
        </w:rPr>
      </w:pPr>
      <w:r>
        <w:rPr>
          <w:rFonts w:ascii="Arial" w:cs="Arial" w:eastAsia="Arial" w:hAnsi="Arial"/>
          <w:sz w:val="17"/>
          <w:szCs w:val="17"/>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85" w:lineRule="exact"/>
        <w:rPr>
          <w:sz w:val="20"/>
          <w:szCs w:val="20"/>
          <w:color w:val="auto"/>
        </w:rPr>
      </w:pPr>
    </w:p>
    <w:p>
      <w:pPr>
        <w:ind w:left="880"/>
        <w:spacing w:after="0" w:line="326" w:lineRule="auto"/>
        <w:rPr>
          <w:sz w:val="20"/>
          <w:szCs w:val="20"/>
          <w:color w:val="auto"/>
        </w:rPr>
      </w:pPr>
      <w:r>
        <w:rPr>
          <w:rFonts w:ascii="Arial" w:cs="Arial" w:eastAsia="Arial" w:hAnsi="Arial"/>
          <w:sz w:val="15"/>
          <w:szCs w:val="15"/>
          <w:b w:val="1"/>
          <w:bCs w:val="1"/>
          <w:i w:val="1"/>
          <w:iCs w:val="1"/>
          <w:color w:val="auto"/>
        </w:rPr>
        <w:t>Our tax treatment depends on our status as a partnership for federal income tax purposes, as well as our not being subject to a material amount of entity level taxation by individual states. If the IRS were to treat us as a corporation or if we become subject to a material amount of entity level taxation for state tax purposes, it would substantially reduce our ability to pay our debt service obligations.</w:t>
      </w:r>
    </w:p>
    <w:p>
      <w:pPr>
        <w:spacing w:after="0" w:line="44" w:lineRule="exact"/>
        <w:rPr>
          <w:sz w:val="20"/>
          <w:szCs w:val="20"/>
          <w:color w:val="auto"/>
        </w:rPr>
      </w:pPr>
    </w:p>
    <w:p>
      <w:pPr>
        <w:jc w:val="both"/>
        <w:ind w:left="680" w:firstLine="397"/>
        <w:spacing w:after="0" w:line="273" w:lineRule="auto"/>
        <w:rPr>
          <w:sz w:val="20"/>
          <w:szCs w:val="20"/>
          <w:color w:val="auto"/>
        </w:rPr>
      </w:pPr>
      <w:r>
        <w:rPr>
          <w:rFonts w:ascii="Arial" w:cs="Arial" w:eastAsia="Arial" w:hAnsi="Arial"/>
          <w:sz w:val="17"/>
          <w:szCs w:val="17"/>
          <w:color w:val="auto"/>
        </w:rPr>
        <w:t>If we were treated as a corporation for federal income tax purposes, we would pay federal income tax on our income at the corporate tax rate, which is currently a maximum of 35%, and would likely pay state income tax at varying rates. Because a tax would be imposed upon us as a corporation, the cash available to pay our debt service obligations would be substantially reduced.</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firstLine="397"/>
        <w:spacing w:after="0" w:line="283" w:lineRule="auto"/>
        <w:rPr>
          <w:sz w:val="20"/>
          <w:szCs w:val="20"/>
          <w:color w:val="auto"/>
        </w:rPr>
      </w:pPr>
      <w:r>
        <w:rPr>
          <w:rFonts w:ascii="Arial" w:cs="Arial" w:eastAsia="Arial" w:hAnsi="Arial"/>
          <w:sz w:val="16"/>
          <w:szCs w:val="16"/>
          <w:color w:val="auto"/>
        </w:rPr>
        <w:t>Current law may change so as to cause us to be treated as a corporation for federal income tax purposes or otherwise subject us to entity level taxation. In addition, because of widespread state budget deficits and other reasons, several states are evaluating ways to subject partnerships to entity level taxation through the imposition of state income, franchise or other forms of taxation. For example, we will be subject to a new entity level tax on the portion of our income that is generated in Texas beginning in our tax year ending in 2007. Specifically, the Texas margin tax will be imposed at a maximum effective rate of 0.7% of our gross income apportioned to Texas. Imposition of such a tax upon us as an entity by Texas or any other state will reduce the cash available to pay our debt service obligations.</w:t>
      </w:r>
    </w:p>
    <w:p>
      <w:pPr>
        <w:spacing w:after="0" w:line="279"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EXCHANGE OFFER</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Purpose and Effect of the Exchange Offer</w:t>
      </w:r>
    </w:p>
    <w:p>
      <w:pPr>
        <w:spacing w:after="0" w:line="138" w:lineRule="exact"/>
        <w:rPr>
          <w:sz w:val="20"/>
          <w:szCs w:val="20"/>
          <w:color w:val="auto"/>
        </w:rPr>
      </w:pPr>
    </w:p>
    <w:p>
      <w:pPr>
        <w:ind w:left="680" w:right="220" w:firstLine="397"/>
        <w:spacing w:after="0" w:line="289" w:lineRule="auto"/>
        <w:rPr>
          <w:sz w:val="20"/>
          <w:szCs w:val="20"/>
          <w:color w:val="auto"/>
        </w:rPr>
      </w:pPr>
      <w:r>
        <w:rPr>
          <w:rFonts w:ascii="Arial" w:cs="Arial" w:eastAsia="Arial" w:hAnsi="Arial"/>
          <w:sz w:val="17"/>
          <w:szCs w:val="17"/>
          <w:color w:val="auto"/>
        </w:rPr>
        <w:t>In connection with the issuance of the outstanding notes, we entered into a registration rights agreement. Under the registration rights agreement, we agreed to use our reasonable best efforts to:</w:t>
      </w:r>
    </w:p>
    <w:p>
      <w:pPr>
        <w:spacing w:after="0" w:line="67" w:lineRule="exact"/>
        <w:rPr>
          <w:sz w:val="20"/>
          <w:szCs w:val="20"/>
          <w:color w:val="auto"/>
        </w:rPr>
      </w:pPr>
    </w:p>
    <w:p>
      <w:pPr>
        <w:ind w:left="1180" w:right="200" w:hanging="97"/>
        <w:spacing w:after="0" w:line="268"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within 120 days after the original issuance of the outstanding notes on May 12, 2006, file a registration statement with the SEC with respect to a registered offer to exchange each outstanding note for a new note having terms substantially identical in all material respects to such note except that the new note will not contain terms with respect to transfer restrictions, registration rights or additional interest;</w:t>
      </w:r>
    </w:p>
    <w:p>
      <w:pPr>
        <w:spacing w:after="0" w:line="70" w:lineRule="exact"/>
        <w:rPr>
          <w:rFonts w:ascii="Arial" w:cs="Arial" w:eastAsia="Arial" w:hAnsi="Arial"/>
          <w:sz w:val="17"/>
          <w:szCs w:val="17"/>
          <w:color w:val="auto"/>
        </w:rPr>
      </w:pPr>
    </w:p>
    <w:p>
      <w:pPr>
        <w:ind w:left="1180" w:right="380" w:hanging="97"/>
        <w:spacing w:after="0" w:line="289"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cause the registration statement to be declared effective under the Securities Act within 210 days after the original issuance of the outstanding notes;</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consummate the exchange of the outstanding notes for new notes within 240 days after the original issuance of the outstanding notes;</w:t>
      </w:r>
    </w:p>
    <w:p>
      <w:pPr>
        <w:spacing w:after="0" w:line="142" w:lineRule="exact"/>
        <w:rPr>
          <w:rFonts w:ascii="Arial" w:cs="Arial" w:eastAsia="Arial" w:hAnsi="Arial"/>
          <w:sz w:val="15"/>
          <w:szCs w:val="15"/>
          <w:color w:val="auto"/>
        </w:rPr>
      </w:pPr>
    </w:p>
    <w:p>
      <w:pPr>
        <w:ind w:left="1180" w:right="300" w:hanging="97"/>
        <w:spacing w:after="0" w:line="289"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promptly following the effectiveness of the registration statement, offer the new notes in exchange for surrender of the outstanding notes;</w:t>
      </w:r>
    </w:p>
    <w:p>
      <w:pPr>
        <w:spacing w:after="0" w:line="53" w:lineRule="exact"/>
        <w:rPr>
          <w:rFonts w:ascii="Arial" w:cs="Arial" w:eastAsia="Arial" w:hAnsi="Arial"/>
          <w:sz w:val="17"/>
          <w:szCs w:val="17"/>
          <w:color w:val="auto"/>
        </w:rPr>
      </w:pPr>
    </w:p>
    <w:p>
      <w:pPr>
        <w:ind w:left="1180" w:right="280" w:hanging="97"/>
        <w:spacing w:after="0" w:line="289"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keep the exchange offer open for not less than 20 business days (or longer if required by applicable law) after the date notice of the exchange offer is mailed to the holders of the outstanding notes; and</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exchange new notes for all outstanding notes validly tendered and not withdrawn before the expiration date.</w:t>
      </w:r>
    </w:p>
    <w:p>
      <w:pPr>
        <w:spacing w:after="0" w:line="132" w:lineRule="exact"/>
        <w:rPr>
          <w:sz w:val="20"/>
          <w:szCs w:val="20"/>
          <w:color w:val="auto"/>
        </w:rPr>
      </w:pPr>
    </w:p>
    <w:p>
      <w:pPr>
        <w:ind w:left="680" w:firstLine="397"/>
        <w:spacing w:after="0" w:line="265" w:lineRule="auto"/>
        <w:rPr>
          <w:sz w:val="20"/>
          <w:szCs w:val="20"/>
          <w:color w:val="auto"/>
        </w:rPr>
      </w:pPr>
      <w:r>
        <w:rPr>
          <w:rFonts w:ascii="Arial" w:cs="Arial" w:eastAsia="Arial" w:hAnsi="Arial"/>
          <w:sz w:val="17"/>
          <w:szCs w:val="17"/>
          <w:color w:val="auto"/>
        </w:rPr>
        <w:t>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w:t>
      </w:r>
    </w:p>
    <w:p>
      <w:pPr>
        <w:spacing w:after="0" w:line="88" w:lineRule="exact"/>
        <w:rPr>
          <w:sz w:val="20"/>
          <w:szCs w:val="20"/>
          <w:color w:val="auto"/>
        </w:rPr>
      </w:pPr>
    </w:p>
    <w:p>
      <w:pPr>
        <w:jc w:val="both"/>
        <w:ind w:left="680" w:right="340" w:firstLine="397"/>
        <w:spacing w:after="0" w:line="273" w:lineRule="auto"/>
        <w:rPr>
          <w:sz w:val="20"/>
          <w:szCs w:val="20"/>
          <w:color w:val="auto"/>
        </w:rPr>
      </w:pPr>
      <w:r>
        <w:rPr>
          <w:rFonts w:ascii="Arial" w:cs="Arial" w:eastAsia="Arial" w:hAnsi="Arial"/>
          <w:sz w:val="17"/>
          <w:szCs w:val="17"/>
          <w:color w:val="auto"/>
        </w:rPr>
        <w:t>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w:t>
      </w:r>
    </w:p>
    <w:p>
      <w:pPr>
        <w:spacing w:after="0" w:line="80" w:lineRule="exact"/>
        <w:rPr>
          <w:sz w:val="20"/>
          <w:szCs w:val="20"/>
          <w:color w:val="auto"/>
        </w:rPr>
      </w:pPr>
    </w:p>
    <w:p>
      <w:pPr>
        <w:ind w:left="1180" w:hanging="97"/>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change in law or in applicable interpretations thereof by the staff of the SEC do not permit us to effect the exchange offer;</w:t>
      </w:r>
    </w:p>
    <w:p>
      <w:pPr>
        <w:spacing w:after="0" w:line="119" w:lineRule="exact"/>
        <w:rPr>
          <w:rFonts w:ascii="Arial" w:cs="Arial" w:eastAsia="Arial" w:hAnsi="Arial"/>
          <w:sz w:val="17"/>
          <w:szCs w:val="17"/>
          <w:color w:val="auto"/>
        </w:rPr>
      </w:pPr>
    </w:p>
    <w:p>
      <w:pPr>
        <w:ind w:left="1180" w:right="200" w:hanging="97"/>
        <w:spacing w:after="0" w:line="289"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any other reason the exchange offer is not consummated within 240 days from May 12, 2006, the date of the original issuance of the outstanding notes;</w:t>
      </w:r>
    </w:p>
    <w:p>
      <w:pPr>
        <w:spacing w:after="0" w:line="53" w:lineRule="exact"/>
        <w:rPr>
          <w:rFonts w:ascii="Arial" w:cs="Arial" w:eastAsia="Arial" w:hAnsi="Arial"/>
          <w:sz w:val="17"/>
          <w:szCs w:val="17"/>
          <w:color w:val="auto"/>
        </w:rPr>
      </w:pPr>
    </w:p>
    <w:p>
      <w:pPr>
        <w:ind w:left="1180" w:right="240" w:hanging="97"/>
        <w:spacing w:after="0" w:line="289"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initial purchaser notifies us following consummation of the exchange offer that outstanding notes held by it are not eligible to be exchanged for new notes in the exchange offer; or</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holder other than an initial purchaser is not eligible to participate in the exchange offer.</w:t>
      </w: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Subject to certain exceptions, we will pay additional cash interest on the applicable outstanding notes if:</w:t>
      </w:r>
    </w:p>
    <w:p>
      <w:pPr>
        <w:spacing w:after="0" w:line="132" w:lineRule="exact"/>
        <w:rPr>
          <w:sz w:val="20"/>
          <w:szCs w:val="20"/>
          <w:color w:val="auto"/>
        </w:rPr>
      </w:pPr>
    </w:p>
    <w:p>
      <w:pPr>
        <w:ind w:left="1180" w:right="600" w:hanging="97"/>
        <w:spacing w:after="0" w:line="28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exchange offer registration statement is not filed with the SEC on or before the 120th day after the original issuance of the outstanding notes;</w:t>
      </w:r>
    </w:p>
    <w:p>
      <w:pPr>
        <w:spacing w:after="0" w:line="53" w:lineRule="exact"/>
        <w:rPr>
          <w:rFonts w:ascii="Arial" w:cs="Arial" w:eastAsia="Arial" w:hAnsi="Arial"/>
          <w:sz w:val="17"/>
          <w:szCs w:val="17"/>
          <w:color w:val="auto"/>
        </w:rPr>
      </w:pPr>
    </w:p>
    <w:p>
      <w:pPr>
        <w:ind w:left="1180" w:right="60" w:hanging="97"/>
        <w:spacing w:after="0" w:line="28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exchange offer registration statement is not declared effective by the SEC on or before the 210th day after the original issuance of the outstanding notes;</w:t>
      </w:r>
    </w:p>
    <w:p>
      <w:pPr>
        <w:spacing w:after="0" w:line="184" w:lineRule="exact"/>
        <w:rPr>
          <w:rFonts w:ascii="Arial" w:cs="Arial" w:eastAsia="Arial" w:hAnsi="Arial"/>
          <w:sz w:val="17"/>
          <w:szCs w:val="17"/>
          <w:color w:val="auto"/>
        </w:rPr>
      </w:pPr>
    </w:p>
    <w:p>
      <w:pPr>
        <w:ind w:left="1180" w:right="620" w:hanging="97"/>
        <w:spacing w:after="0" w:line="28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exchange offer is not consummated on or before the 240th day after May 12, 2006, the date of the original issuance of the outstanding notes;</w:t>
      </w:r>
    </w:p>
    <w:p>
      <w:pPr>
        <w:spacing w:after="0" w:line="53" w:lineRule="exact"/>
        <w:rPr>
          <w:rFonts w:ascii="Arial" w:cs="Arial" w:eastAsia="Arial" w:hAnsi="Arial"/>
          <w:sz w:val="17"/>
          <w:szCs w:val="17"/>
          <w:color w:val="auto"/>
        </w:rPr>
      </w:pPr>
    </w:p>
    <w:p>
      <w:pPr>
        <w:ind w:left="1180" w:right="380" w:hanging="97"/>
        <w:spacing w:after="0" w:line="28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being obligated to file a shelf registration statement, we fail to file the shelf registration statement with the SEC on or prior to the 120th day after the date on which the obligation to file a shelf registration statement arises;</w:t>
      </w:r>
    </w:p>
    <w:p>
      <w:pPr>
        <w:spacing w:after="0" w:line="53" w:lineRule="exact"/>
        <w:rPr>
          <w:rFonts w:ascii="Arial" w:cs="Arial" w:eastAsia="Arial" w:hAnsi="Arial"/>
          <w:sz w:val="17"/>
          <w:szCs w:val="17"/>
          <w:color w:val="auto"/>
        </w:rPr>
      </w:pPr>
    </w:p>
    <w:p>
      <w:pPr>
        <w:ind w:left="1180" w:right="620" w:hanging="97"/>
        <w:spacing w:after="0" w:line="28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being obligated to file a shelf registration statement, the shelf registration statement is not declared effective on or prior to the 210th day after the date on which the obligation to file a shelf registration statement arises; or</w:t>
      </w:r>
    </w:p>
    <w:p>
      <w:pPr>
        <w:spacing w:after="0" w:line="53" w:lineRule="exact"/>
        <w:rPr>
          <w:rFonts w:ascii="Arial" w:cs="Arial" w:eastAsia="Arial" w:hAnsi="Arial"/>
          <w:sz w:val="17"/>
          <w:szCs w:val="17"/>
          <w:color w:val="auto"/>
        </w:rPr>
      </w:pPr>
    </w:p>
    <w:p>
      <w:pPr>
        <w:ind w:left="1180" w:hanging="97"/>
        <w:spacing w:after="0" w:line="273"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w:t>
      </w:r>
    </w:p>
    <w:p>
      <w:pPr>
        <w:spacing w:after="0" w:line="80" w:lineRule="exact"/>
        <w:rPr>
          <w:sz w:val="20"/>
          <w:szCs w:val="20"/>
          <w:color w:val="auto"/>
        </w:rPr>
      </w:pPr>
    </w:p>
    <w:p>
      <w:pPr>
        <w:ind w:left="680" w:right="260"/>
        <w:spacing w:after="0" w:line="289" w:lineRule="auto"/>
        <w:rPr>
          <w:sz w:val="20"/>
          <w:szCs w:val="20"/>
          <w:color w:val="auto"/>
        </w:rPr>
      </w:pPr>
      <w:r>
        <w:rPr>
          <w:rFonts w:ascii="Arial" w:cs="Arial" w:eastAsia="Arial" w:hAnsi="Arial"/>
          <w:sz w:val="17"/>
          <w:szCs w:val="17"/>
          <w:color w:val="auto"/>
        </w:rPr>
        <w:t>Such additional interest will be payable from and including the date on which any such registration default occurs to the date on which all registration defaults have been cured.</w:t>
      </w:r>
    </w:p>
    <w:p>
      <w:pPr>
        <w:spacing w:after="0" w:line="67" w:lineRule="exact"/>
        <w:rPr>
          <w:sz w:val="20"/>
          <w:szCs w:val="20"/>
          <w:color w:val="auto"/>
        </w:rPr>
      </w:pPr>
    </w:p>
    <w:p>
      <w:pPr>
        <w:ind w:left="680" w:right="100" w:firstLine="397"/>
        <w:spacing w:after="0" w:line="265" w:lineRule="auto"/>
        <w:rPr>
          <w:sz w:val="20"/>
          <w:szCs w:val="20"/>
          <w:color w:val="auto"/>
        </w:rPr>
      </w:pPr>
      <w:r>
        <w:rPr>
          <w:rFonts w:ascii="Arial" w:cs="Arial" w:eastAsia="Arial" w:hAnsi="Arial"/>
          <w:sz w:val="17"/>
          <w:szCs w:val="17"/>
          <w:color w:val="auto"/>
        </w:rPr>
        <w:t>The rate of the additional interest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w:t>
      </w:r>
    </w:p>
    <w:p>
      <w:pPr>
        <w:spacing w:after="0" w:line="88" w:lineRule="exact"/>
        <w:rPr>
          <w:sz w:val="20"/>
          <w:szCs w:val="20"/>
          <w:color w:val="auto"/>
        </w:rPr>
      </w:pPr>
    </w:p>
    <w:p>
      <w:pPr>
        <w:ind w:left="680" w:firstLine="397"/>
        <w:spacing w:after="0" w:line="265" w:lineRule="auto"/>
        <w:rPr>
          <w:sz w:val="20"/>
          <w:szCs w:val="20"/>
          <w:color w:val="auto"/>
        </w:rPr>
      </w:pPr>
      <w:r>
        <w:rPr>
          <w:rFonts w:ascii="Arial" w:cs="Arial" w:eastAsia="Arial" w:hAnsi="Arial"/>
          <w:sz w:val="17"/>
          <w:szCs w:val="17"/>
          <w:color w:val="auto"/>
        </w:rPr>
        <w:t>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w:t>
      </w:r>
    </w:p>
    <w:p>
      <w:pPr>
        <w:spacing w:after="0" w:line="88" w:lineRule="exact"/>
        <w:rPr>
          <w:sz w:val="20"/>
          <w:szCs w:val="20"/>
          <w:color w:val="auto"/>
        </w:rPr>
      </w:pPr>
    </w:p>
    <w:p>
      <w:pPr>
        <w:ind w:left="680" w:right="520" w:firstLine="397"/>
        <w:spacing w:after="0" w:line="289" w:lineRule="auto"/>
        <w:rPr>
          <w:sz w:val="20"/>
          <w:szCs w:val="20"/>
          <w:color w:val="auto"/>
        </w:rPr>
      </w:pPr>
      <w:r>
        <w:rPr>
          <w:rFonts w:ascii="Arial" w:cs="Arial" w:eastAsia="Arial" w:hAnsi="Arial"/>
          <w:sz w:val="17"/>
          <w:szCs w:val="17"/>
          <w:color w:val="auto"/>
        </w:rPr>
        <w:t>To exchange your outstanding notes for transferable new notes in the exchange offer, you will be required to make the following representations:</w:t>
      </w:r>
    </w:p>
    <w:p>
      <w:pPr>
        <w:spacing w:after="0" w:line="67" w:lineRule="exact"/>
        <w:rPr>
          <w:sz w:val="20"/>
          <w:szCs w:val="20"/>
          <w:color w:val="auto"/>
        </w:rPr>
      </w:pPr>
    </w:p>
    <w:p>
      <w:pPr>
        <w:ind w:left="1180" w:hanging="97"/>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new notes will be acquired in the ordinary course of your business;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you have no arrangement or understanding with any person or entity to participate in the distribution of the new notes;</w:t>
      </w:r>
    </w:p>
    <w:p>
      <w:pPr>
        <w:spacing w:after="0" w:line="119" w:lineRule="exact"/>
        <w:rPr>
          <w:rFonts w:ascii="Arial" w:cs="Arial" w:eastAsia="Arial" w:hAnsi="Arial"/>
          <w:sz w:val="17"/>
          <w:szCs w:val="17"/>
          <w:color w:val="auto"/>
        </w:rPr>
      </w:pPr>
    </w:p>
    <w:p>
      <w:pPr>
        <w:ind w:left="1180" w:right="480" w:hanging="97"/>
        <w:spacing w:after="0" w:line="289"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you are not a broker-dealer, you are not engaged in and do not intend to engage in the distribution of the new notes within the meaning of the Securities Act;</w:t>
      </w:r>
    </w:p>
    <w:p>
      <w:pPr>
        <w:spacing w:after="0" w:line="53" w:lineRule="exact"/>
        <w:rPr>
          <w:rFonts w:ascii="Arial" w:cs="Arial" w:eastAsia="Arial" w:hAnsi="Arial"/>
          <w:sz w:val="17"/>
          <w:szCs w:val="17"/>
          <w:color w:val="auto"/>
        </w:rPr>
      </w:pPr>
    </w:p>
    <w:p>
      <w:pPr>
        <w:ind w:left="1180" w:right="360" w:hanging="97"/>
        <w:spacing w:after="0" w:line="273"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w:t>
      </w:r>
    </w:p>
    <w:p>
      <w:pPr>
        <w:spacing w:after="0" w:line="67" w:lineRule="exact"/>
        <w:rPr>
          <w:rFonts w:ascii="Arial" w:cs="Arial" w:eastAsia="Arial" w:hAnsi="Arial"/>
          <w:sz w:val="17"/>
          <w:szCs w:val="17"/>
          <w:color w:val="auto"/>
        </w:rPr>
      </w:pPr>
    </w:p>
    <w:p>
      <w:pPr>
        <w:ind w:left="1180" w:hanging="97"/>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you are not our “affiliate,” as defined in Rule 405 of the Securities Act.</w:t>
      </w:r>
    </w:p>
    <w:p>
      <w:pPr>
        <w:spacing w:after="0" w:line="132" w:lineRule="exact"/>
        <w:rPr>
          <w:sz w:val="20"/>
          <w:szCs w:val="20"/>
          <w:color w:val="auto"/>
        </w:rPr>
      </w:pPr>
    </w:p>
    <w:p>
      <w:pPr>
        <w:ind w:left="680" w:right="140" w:firstLine="397"/>
        <w:spacing w:after="0" w:line="268" w:lineRule="auto"/>
        <w:rPr>
          <w:sz w:val="20"/>
          <w:szCs w:val="20"/>
          <w:color w:val="auto"/>
        </w:rPr>
      </w:pPr>
      <w:r>
        <w:rPr>
          <w:rFonts w:ascii="Arial" w:cs="Arial" w:eastAsia="Arial" w:hAnsi="Arial"/>
          <w:sz w:val="17"/>
          <w:szCs w:val="17"/>
          <w:color w:val="auto"/>
        </w:rPr>
        <w:t>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80"/>
          </w:cols>
          <w:pgMar w:left="240" w:top="410" w:right="10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right="200"/>
        <w:spacing w:after="0" w:line="289" w:lineRule="auto"/>
        <w:rPr>
          <w:sz w:val="20"/>
          <w:szCs w:val="20"/>
          <w:color w:val="auto"/>
        </w:rPr>
      </w:pPr>
      <w:r>
        <w:rPr>
          <w:rFonts w:ascii="Arial" w:cs="Arial" w:eastAsia="Arial" w:hAnsi="Arial"/>
          <w:sz w:val="17"/>
          <w:szCs w:val="17"/>
          <w:color w:val="auto"/>
        </w:rPr>
        <w:t>also be subject to the civil liability provisions under the Securities Act in connection with such sales and will be bound by the provisions of the registration rights agreement that are applicable to such a holder, including indemnification obligations.</w:t>
      </w:r>
    </w:p>
    <w:p>
      <w:pPr>
        <w:spacing w:after="0" w:line="67" w:lineRule="exact"/>
        <w:rPr>
          <w:sz w:val="20"/>
          <w:szCs w:val="20"/>
          <w:color w:val="auto"/>
        </w:rPr>
      </w:pPr>
    </w:p>
    <w:p>
      <w:pPr>
        <w:ind w:left="680" w:right="160" w:firstLine="397"/>
        <w:spacing w:after="0" w:line="273" w:lineRule="auto"/>
        <w:rPr>
          <w:sz w:val="20"/>
          <w:szCs w:val="20"/>
          <w:color w:val="auto"/>
        </w:rPr>
      </w:pPr>
      <w:r>
        <w:rPr>
          <w:rFonts w:ascii="Arial" w:cs="Arial" w:eastAsia="Arial" w:hAnsi="Arial"/>
          <w:sz w:val="17"/>
          <w:szCs w:val="17"/>
          <w:color w:val="auto"/>
        </w:rPr>
        <w:t>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Resale of New Notes</w:t>
      </w:r>
    </w:p>
    <w:p>
      <w:pPr>
        <w:spacing w:after="0" w:line="138" w:lineRule="exact"/>
        <w:rPr>
          <w:sz w:val="20"/>
          <w:szCs w:val="20"/>
          <w:color w:val="auto"/>
        </w:rPr>
      </w:pPr>
    </w:p>
    <w:p>
      <w:pPr>
        <w:ind w:left="680" w:right="380" w:firstLine="397"/>
        <w:spacing w:after="0" w:line="360" w:lineRule="auto"/>
        <w:rPr>
          <w:sz w:val="20"/>
          <w:szCs w:val="20"/>
          <w:color w:val="auto"/>
        </w:rPr>
      </w:pPr>
      <w:r>
        <w:rPr>
          <w:rFonts w:ascii="Arial" w:cs="Arial" w:eastAsia="Arial" w:hAnsi="Arial"/>
          <w:sz w:val="15"/>
          <w:szCs w:val="15"/>
          <w:color w:val="auto"/>
        </w:rPr>
        <w:t>Based on no-action letters of the SEC staff issued to third parties, we believe that new notes may be offered for resale, resold and otherwise transferred by you without further compliance with the registration and prospectus delivery provisions of the Securities Act if:</w:t>
      </w:r>
    </w:p>
    <w:p>
      <w:pPr>
        <w:spacing w:after="0" w:line="20" w:lineRule="exact"/>
        <w:rPr>
          <w:sz w:val="20"/>
          <w:szCs w:val="20"/>
          <w:color w:val="auto"/>
        </w:rPr>
      </w:pPr>
    </w:p>
    <w:p>
      <w:pPr>
        <w:ind w:left="1180" w:hanging="97"/>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you are not our “affiliate” within the meaning of Rule 405 under the Securities Act;</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such new notes are acquired in the ordinary course of your business; and</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you do not intend to participate in a distribution of the new notes.</w:t>
      </w:r>
    </w:p>
    <w:p>
      <w:pPr>
        <w:spacing w:after="0" w:line="132" w:lineRule="exact"/>
        <w:rPr>
          <w:sz w:val="20"/>
          <w:szCs w:val="20"/>
          <w:color w:val="auto"/>
        </w:rPr>
      </w:pPr>
    </w:p>
    <w:p>
      <w:pPr>
        <w:ind w:left="680" w:right="260" w:firstLine="397"/>
        <w:spacing w:after="0" w:line="289" w:lineRule="auto"/>
        <w:rPr>
          <w:sz w:val="20"/>
          <w:szCs w:val="20"/>
          <w:color w:val="auto"/>
        </w:rPr>
      </w:pPr>
      <w:r>
        <w:rPr>
          <w:rFonts w:ascii="Arial" w:cs="Arial" w:eastAsia="Arial" w:hAnsi="Arial"/>
          <w:sz w:val="17"/>
          <w:szCs w:val="17"/>
          <w:color w:val="auto"/>
        </w:rPr>
        <w:t>The SEC, however, has not considered the exchange offer for the new notes in the context of a no-action letter, and the SEC may not make a similar determination as in the no-action letters issued to these third parties.</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If you tender in the exchange offer with the intention of participating in any manner in a distribution of the new notes, you</w:t>
      </w:r>
    </w:p>
    <w:p>
      <w:pPr>
        <w:spacing w:after="0" w:line="132" w:lineRule="exact"/>
        <w:rPr>
          <w:sz w:val="20"/>
          <w:szCs w:val="20"/>
          <w:color w:val="auto"/>
        </w:rPr>
      </w:pPr>
    </w:p>
    <w:p>
      <w:pPr>
        <w:ind w:left="1180" w:hanging="97"/>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cannot rely on such interpretations by the SEC staff; and</w:t>
      </w:r>
    </w:p>
    <w:p>
      <w:pPr>
        <w:spacing w:after="0" w:line="119" w:lineRule="exact"/>
        <w:rPr>
          <w:rFonts w:ascii="Arial" w:cs="Arial" w:eastAsia="Arial" w:hAnsi="Arial"/>
          <w:sz w:val="17"/>
          <w:szCs w:val="17"/>
          <w:color w:val="auto"/>
        </w:rPr>
      </w:pPr>
    </w:p>
    <w:p>
      <w:pPr>
        <w:ind w:left="1180" w:right="280" w:hanging="97"/>
        <w:spacing w:after="0" w:line="289"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 secondary resale transaction.</w:t>
      </w:r>
    </w:p>
    <w:p>
      <w:pPr>
        <w:spacing w:after="0" w:line="67" w:lineRule="exact"/>
        <w:rPr>
          <w:sz w:val="20"/>
          <w:szCs w:val="20"/>
          <w:color w:val="auto"/>
        </w:rPr>
      </w:pPr>
    </w:p>
    <w:p>
      <w:pPr>
        <w:ind w:left="680" w:right="220" w:firstLine="397"/>
        <w:spacing w:after="0" w:line="273" w:lineRule="auto"/>
        <w:rPr>
          <w:sz w:val="20"/>
          <w:szCs w:val="20"/>
          <w:color w:val="auto"/>
        </w:rPr>
      </w:pPr>
      <w:r>
        <w:rPr>
          <w:rFonts w:ascii="Arial" w:cs="Arial" w:eastAsia="Arial" w:hAnsi="Arial"/>
          <w:sz w:val="17"/>
          <w:szCs w:val="17"/>
          <w:color w:val="auto"/>
        </w:rPr>
        <w:t>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w:t>
      </w:r>
    </w:p>
    <w:p>
      <w:pPr>
        <w:spacing w:after="0" w:line="80" w:lineRule="exact"/>
        <w:rPr>
          <w:sz w:val="20"/>
          <w:szCs w:val="20"/>
          <w:color w:val="auto"/>
        </w:rPr>
      </w:pPr>
    </w:p>
    <w:p>
      <w:pPr>
        <w:ind w:left="680" w:firstLine="397"/>
        <w:spacing w:after="0" w:line="262" w:lineRule="auto"/>
        <w:rPr>
          <w:sz w:val="20"/>
          <w:szCs w:val="20"/>
          <w:color w:val="auto"/>
        </w:rPr>
      </w:pPr>
      <w:r>
        <w:rPr>
          <w:rFonts w:ascii="Arial" w:cs="Arial" w:eastAsia="Arial" w:hAnsi="Arial"/>
          <w:sz w:val="17"/>
          <w:szCs w:val="17"/>
          <w:color w:val="auto"/>
        </w:rPr>
        <w:t>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Terms of the Exchange Offer</w:t>
      </w:r>
    </w:p>
    <w:p>
      <w:pPr>
        <w:spacing w:after="0" w:line="138" w:lineRule="exact"/>
        <w:rPr>
          <w:sz w:val="20"/>
          <w:szCs w:val="20"/>
          <w:color w:val="auto"/>
        </w:rPr>
      </w:pPr>
    </w:p>
    <w:p>
      <w:pPr>
        <w:ind w:left="680" w:firstLine="397"/>
        <w:spacing w:after="0" w:line="268" w:lineRule="auto"/>
        <w:rPr>
          <w:sz w:val="20"/>
          <w:szCs w:val="20"/>
          <w:color w:val="auto"/>
        </w:rPr>
      </w:pPr>
      <w:r>
        <w:rPr>
          <w:rFonts w:ascii="Arial" w:cs="Arial" w:eastAsia="Arial" w:hAnsi="Arial"/>
          <w:sz w:val="17"/>
          <w:szCs w:val="17"/>
          <w:color w:val="auto"/>
        </w:rPr>
        <w:t>Subject to the terms and conditions described in this prospectus and in the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w:t>
      </w:r>
    </w:p>
    <w:p>
      <w:pPr>
        <w:spacing w:after="0" w:line="84" w:lineRule="exact"/>
        <w:rPr>
          <w:sz w:val="20"/>
          <w:szCs w:val="20"/>
          <w:color w:val="auto"/>
        </w:rPr>
      </w:pPr>
    </w:p>
    <w:p>
      <w:pPr>
        <w:ind w:left="680" w:right="720" w:firstLine="397"/>
        <w:spacing w:after="0" w:line="289" w:lineRule="auto"/>
        <w:rPr>
          <w:sz w:val="20"/>
          <w:szCs w:val="20"/>
          <w:color w:val="auto"/>
        </w:rPr>
      </w:pPr>
      <w:r>
        <w:rPr>
          <w:rFonts w:ascii="Arial" w:cs="Arial" w:eastAsia="Arial" w:hAnsi="Arial"/>
          <w:sz w:val="17"/>
          <w:szCs w:val="17"/>
          <w:color w:val="auto"/>
        </w:rPr>
        <w:t>The exchange offer is not conditioned upon any minimum aggregate principal amount of outstanding notes being tendered for exchange.</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right="100" w:firstLine="397"/>
        <w:spacing w:after="0" w:line="268" w:lineRule="auto"/>
        <w:rPr>
          <w:sz w:val="20"/>
          <w:szCs w:val="20"/>
          <w:color w:val="auto"/>
        </w:rPr>
      </w:pPr>
      <w:r>
        <w:rPr>
          <w:rFonts w:ascii="Arial" w:cs="Arial" w:eastAsia="Arial" w:hAnsi="Arial"/>
          <w:sz w:val="17"/>
          <w:szCs w:val="17"/>
          <w:color w:val="auto"/>
        </w:rPr>
        <w:t>As of the date of this prospectus, $250 million in aggregate principal amount of the outstanding notes are outstanding. This prospectus is being sent to DTC, the sole registered holder of the outstanding notes, and to all persons that we can identify as beneficial owners of the outstanding notes. There will be no fixed record date for determining registered holders of outstanding notes entitled to participate in the exchange offer.</w:t>
      </w:r>
    </w:p>
    <w:p>
      <w:pPr>
        <w:spacing w:after="0" w:line="84" w:lineRule="exact"/>
        <w:rPr>
          <w:sz w:val="20"/>
          <w:szCs w:val="20"/>
          <w:color w:val="auto"/>
        </w:rPr>
      </w:pPr>
    </w:p>
    <w:p>
      <w:pPr>
        <w:ind w:left="680" w:right="80" w:firstLine="397"/>
        <w:spacing w:after="0" w:line="265" w:lineRule="auto"/>
        <w:rPr>
          <w:sz w:val="20"/>
          <w:szCs w:val="20"/>
          <w:color w:val="auto"/>
        </w:rPr>
      </w:pPr>
      <w:r>
        <w:rPr>
          <w:rFonts w:ascii="Arial" w:cs="Arial" w:eastAsia="Arial" w:hAnsi="Arial"/>
          <w:sz w:val="17"/>
          <w:szCs w:val="17"/>
          <w:color w:val="auto"/>
        </w:rPr>
        <w:t>We intend to conduct the exchange offer in accordance with the provisions of the registration rights agreement and the applicable requirements of the Securities Act, the Securities Exchange Act of 1934 and the rules and regulations of the SEC. Outstanding notes that the holders thereof do not tender for exchange in the exchange offer will remain outstanding and continue to accrue interest. These outstanding notes will be entitled to the rights and benefits such holders have under the indenture relating to the notes and the registration rights agreement.</w:t>
      </w:r>
    </w:p>
    <w:p>
      <w:pPr>
        <w:spacing w:after="0" w:line="88" w:lineRule="exact"/>
        <w:rPr>
          <w:sz w:val="20"/>
          <w:szCs w:val="20"/>
          <w:color w:val="auto"/>
        </w:rPr>
      </w:pPr>
    </w:p>
    <w:p>
      <w:pPr>
        <w:ind w:left="680" w:firstLine="397"/>
        <w:spacing w:after="0" w:line="273" w:lineRule="auto"/>
        <w:rPr>
          <w:sz w:val="20"/>
          <w:szCs w:val="20"/>
          <w:color w:val="auto"/>
        </w:rPr>
      </w:pPr>
      <w:r>
        <w:rPr>
          <w:rFonts w:ascii="Arial" w:cs="Arial" w:eastAsia="Arial" w:hAnsi="Arial"/>
          <w:sz w:val="17"/>
          <w:szCs w:val="17"/>
          <w:color w:val="auto"/>
        </w:rPr>
        <w:t>We will be deemed to have accepted for exchange properly tendered outstanding notes when we have given oral or written notice of the acceptance to the exchange agent and complied with the applicable provisions of the registration rights agreement. The exchange agent will act as agent for the tendering holders for the purposes of receiving the new notes from us.</w:t>
      </w:r>
    </w:p>
    <w:p>
      <w:pPr>
        <w:spacing w:after="0" w:line="80" w:lineRule="exact"/>
        <w:rPr>
          <w:sz w:val="20"/>
          <w:szCs w:val="20"/>
          <w:color w:val="auto"/>
        </w:rPr>
      </w:pPr>
    </w:p>
    <w:p>
      <w:pPr>
        <w:ind w:left="680" w:right="40" w:firstLine="397"/>
        <w:spacing w:after="0" w:line="268" w:lineRule="auto"/>
        <w:rPr>
          <w:sz w:val="20"/>
          <w:szCs w:val="20"/>
          <w:color w:val="auto"/>
        </w:rPr>
      </w:pPr>
      <w:r>
        <w:rPr>
          <w:rFonts w:ascii="Arial" w:cs="Arial" w:eastAsia="Arial" w:hAnsi="Arial"/>
          <w:sz w:val="17"/>
          <w:szCs w:val="17"/>
          <w:color w:val="auto"/>
        </w:rPr>
        <w:t>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 Fees and Expenses” for more details regarding fees and expenses incurred in the exchange offer.</w:t>
      </w:r>
    </w:p>
    <w:p>
      <w:pPr>
        <w:spacing w:after="0" w:line="84" w:lineRule="exact"/>
        <w:rPr>
          <w:sz w:val="20"/>
          <w:szCs w:val="20"/>
          <w:color w:val="auto"/>
        </w:rPr>
      </w:pPr>
    </w:p>
    <w:p>
      <w:pPr>
        <w:ind w:left="680" w:right="280" w:firstLine="397"/>
        <w:spacing w:after="0" w:line="289" w:lineRule="auto"/>
        <w:rPr>
          <w:sz w:val="20"/>
          <w:szCs w:val="20"/>
          <w:color w:val="auto"/>
        </w:rPr>
      </w:pPr>
      <w:r>
        <w:rPr>
          <w:rFonts w:ascii="Arial" w:cs="Arial" w:eastAsia="Arial" w:hAnsi="Arial"/>
          <w:sz w:val="17"/>
          <w:szCs w:val="17"/>
          <w:color w:val="auto"/>
        </w:rPr>
        <w:t>We will return any outstanding notes that we do not accept for exchange for any reason without expense to their tendering holder as promptly as practicable after the expiration or termination of the exchange offer.</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Expiration Date</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exchange offer will expire at 5:00 p.m. New York City time on December 13, 2006, unless, in our sole discretion, we extend it.</w:t>
      </w:r>
    </w:p>
    <w:p>
      <w:pPr>
        <w:spacing w:after="0" w:line="24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Extensions, Delays in Acceptance, Termination or Amendment</w:t>
      </w:r>
    </w:p>
    <w:p>
      <w:pPr>
        <w:spacing w:after="0" w:line="138" w:lineRule="exact"/>
        <w:rPr>
          <w:sz w:val="20"/>
          <w:szCs w:val="20"/>
          <w:color w:val="auto"/>
        </w:rPr>
      </w:pPr>
    </w:p>
    <w:p>
      <w:pPr>
        <w:ind w:left="680" w:right="40" w:firstLine="397"/>
        <w:spacing w:after="0" w:line="273" w:lineRule="auto"/>
        <w:rPr>
          <w:sz w:val="20"/>
          <w:szCs w:val="20"/>
          <w:color w:val="auto"/>
        </w:rPr>
      </w:pPr>
      <w:r>
        <w:rPr>
          <w:rFonts w:ascii="Arial" w:cs="Arial" w:eastAsia="Arial" w:hAnsi="Arial"/>
          <w:sz w:val="17"/>
          <w:szCs w:val="17"/>
          <w:color w:val="auto"/>
        </w:rPr>
        <w:t>We expressly reserve the right, at any time or various times, to extend the period of time during which the exchange offer is open. During any such extensions, all outstanding notes previously tendered will remain subject to the exchange offer, and we may accept them for exchange.</w:t>
      </w:r>
    </w:p>
    <w:p>
      <w:pPr>
        <w:spacing w:after="0" w:line="80" w:lineRule="exact"/>
        <w:rPr>
          <w:sz w:val="20"/>
          <w:szCs w:val="20"/>
          <w:color w:val="auto"/>
        </w:rPr>
      </w:pPr>
    </w:p>
    <w:p>
      <w:pPr>
        <w:ind w:left="680" w:right="60" w:firstLine="397"/>
        <w:spacing w:after="0" w:line="273" w:lineRule="auto"/>
        <w:rPr>
          <w:sz w:val="20"/>
          <w:szCs w:val="20"/>
          <w:color w:val="auto"/>
        </w:rPr>
      </w:pPr>
      <w:r>
        <w:rPr>
          <w:rFonts w:ascii="Arial" w:cs="Arial" w:eastAsia="Arial" w:hAnsi="Arial"/>
          <w:sz w:val="17"/>
          <w:szCs w:val="17"/>
          <w:color w:val="auto"/>
        </w:rPr>
        <w:t>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w:t>
      </w:r>
    </w:p>
    <w:p>
      <w:pPr>
        <w:spacing w:after="0" w:line="80" w:lineRule="exact"/>
        <w:rPr>
          <w:sz w:val="20"/>
          <w:szCs w:val="20"/>
          <w:color w:val="auto"/>
        </w:rPr>
      </w:pPr>
    </w:p>
    <w:p>
      <w:pPr>
        <w:ind w:left="680" w:right="140" w:firstLine="397"/>
        <w:spacing w:after="0" w:line="289" w:lineRule="auto"/>
        <w:rPr>
          <w:sz w:val="20"/>
          <w:szCs w:val="20"/>
          <w:color w:val="auto"/>
        </w:rPr>
      </w:pPr>
      <w:r>
        <w:rPr>
          <w:rFonts w:ascii="Arial" w:cs="Arial" w:eastAsia="Arial" w:hAnsi="Arial"/>
          <w:sz w:val="17"/>
          <w:szCs w:val="17"/>
          <w:color w:val="auto"/>
        </w:rPr>
        <w:t>If any of the conditions described below under “— Conditions to the Exchange Offer” have not been satisfied, we reserve the right, in our sole discretion</w:t>
      </w:r>
    </w:p>
    <w:p>
      <w:pPr>
        <w:spacing w:after="0" w:line="67" w:lineRule="exact"/>
        <w:rPr>
          <w:sz w:val="20"/>
          <w:szCs w:val="20"/>
          <w:color w:val="auto"/>
        </w:rPr>
      </w:pPr>
    </w:p>
    <w:p>
      <w:pPr>
        <w:ind w:left="1180" w:hanging="97"/>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delay accepting for exchange any outstanding notes,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extend the exchange offer, or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terminate the exchange offer,</w:t>
      </w:r>
    </w:p>
    <w:p>
      <w:pPr>
        <w:spacing w:after="0" w:line="132" w:lineRule="exact"/>
        <w:rPr>
          <w:sz w:val="20"/>
          <w:szCs w:val="20"/>
          <w:color w:val="auto"/>
        </w:rPr>
      </w:pPr>
    </w:p>
    <w:p>
      <w:pPr>
        <w:ind w:left="680" w:right="180"/>
        <w:spacing w:after="0" w:line="289" w:lineRule="auto"/>
        <w:rPr>
          <w:sz w:val="20"/>
          <w:szCs w:val="20"/>
          <w:color w:val="auto"/>
        </w:rPr>
      </w:pPr>
      <w:r>
        <w:rPr>
          <w:rFonts w:ascii="Arial" w:cs="Arial" w:eastAsia="Arial" w:hAnsi="Arial"/>
          <w:sz w:val="17"/>
          <w:szCs w:val="17"/>
          <w:color w:val="auto"/>
        </w:rPr>
        <w:t>by giving oral or written notice of such delay, extension or termination to the exchange agent. Subject to the terms of the registration rights agreement, we also reserve the right to amend the terms of the exchange offer in any manner.</w:t>
      </w:r>
    </w:p>
    <w:p>
      <w:pPr>
        <w:spacing w:after="0" w:line="67" w:lineRule="exact"/>
        <w:rPr>
          <w:sz w:val="20"/>
          <w:szCs w:val="20"/>
          <w:color w:val="auto"/>
        </w:rPr>
      </w:pPr>
    </w:p>
    <w:p>
      <w:pPr>
        <w:ind w:left="680" w:right="40" w:firstLine="397"/>
        <w:spacing w:after="0" w:line="290" w:lineRule="auto"/>
        <w:rPr>
          <w:sz w:val="20"/>
          <w:szCs w:val="20"/>
          <w:color w:val="auto"/>
        </w:rPr>
      </w:pPr>
      <w:r>
        <w:rPr>
          <w:rFonts w:ascii="Arial" w:cs="Arial" w:eastAsia="Arial" w:hAnsi="Arial"/>
          <w:sz w:val="16"/>
          <w:szCs w:val="16"/>
          <w:color w:val="auto"/>
        </w:rPr>
        <w:t>Any such delay in acceptance, extension, termination or amendment will be followed as promptly as practicable by oral or written notice thereof to the registered holders of outstanding notes. If we amend the 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80"/>
          </w:cols>
          <w:pgMar w:left="240" w:top="410" w:right="10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registered holders, we will extend the exchange offer if the exchange offer would otherwise expire during such period.</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Conditions to the Exchange Offer</w:t>
      </w:r>
    </w:p>
    <w:p>
      <w:pPr>
        <w:spacing w:after="0" w:line="138" w:lineRule="exact"/>
        <w:rPr>
          <w:sz w:val="20"/>
          <w:szCs w:val="20"/>
          <w:color w:val="auto"/>
        </w:rPr>
      </w:pPr>
    </w:p>
    <w:p>
      <w:pPr>
        <w:ind w:left="680" w:right="200" w:firstLine="397"/>
        <w:spacing w:after="0" w:line="268" w:lineRule="auto"/>
        <w:rPr>
          <w:sz w:val="20"/>
          <w:szCs w:val="20"/>
          <w:color w:val="auto"/>
        </w:rPr>
      </w:pPr>
      <w:r>
        <w:rPr>
          <w:rFonts w:ascii="Arial" w:cs="Arial" w:eastAsia="Arial" w:hAnsi="Arial"/>
          <w:sz w:val="17"/>
          <w:szCs w:val="17"/>
          <w:color w:val="auto"/>
        </w:rPr>
        <w:t>We will not be required to accept for exchange, or exchange any new notes for, any outstanding notes if the exchange offer, or the making of any exchange by a holder of outstanding notes, would violate applicable law or any applicable interpretation of the staff of the SEC. Similarly, we may terminate the exchange offer as provided in this prospectus before accepting outstanding notes for exchange in the event of such a potential violation.</w:t>
      </w:r>
    </w:p>
    <w:p>
      <w:pPr>
        <w:spacing w:after="0" w:line="84" w:lineRule="exact"/>
        <w:rPr>
          <w:sz w:val="20"/>
          <w:szCs w:val="20"/>
          <w:color w:val="auto"/>
        </w:rPr>
      </w:pPr>
    </w:p>
    <w:p>
      <w:pPr>
        <w:ind w:left="680" w:firstLine="397"/>
        <w:spacing w:after="0" w:line="268" w:lineRule="auto"/>
        <w:rPr>
          <w:sz w:val="20"/>
          <w:szCs w:val="20"/>
          <w:color w:val="auto"/>
        </w:rPr>
      </w:pPr>
      <w:r>
        <w:rPr>
          <w:rFonts w:ascii="Arial" w:cs="Arial" w:eastAsia="Arial" w:hAnsi="Arial"/>
          <w:sz w:val="17"/>
          <w:szCs w:val="17"/>
          <w:color w:val="auto"/>
        </w:rPr>
        <w:t>In addition, we will not be obligated to accept for exchange the outstanding notes of any holder that has not made to us the representations described under “— Purpose and Effect of the Exchange Offer,” “— Procedures for Tendering” and “Plan of Distribution” and such other representations as may be reasonably necessary under applicable SEC rules, regulations or interpretations to allow us to use an appropriate form to register the new notes under the Securities Act.</w:t>
      </w:r>
    </w:p>
    <w:p>
      <w:pPr>
        <w:spacing w:after="0" w:line="84" w:lineRule="exact"/>
        <w:rPr>
          <w:sz w:val="20"/>
          <w:szCs w:val="20"/>
          <w:color w:val="auto"/>
        </w:rPr>
      </w:pPr>
    </w:p>
    <w:p>
      <w:pPr>
        <w:ind w:left="680" w:right="80" w:firstLine="397"/>
        <w:spacing w:after="0" w:line="298" w:lineRule="auto"/>
        <w:rPr>
          <w:sz w:val="20"/>
          <w:szCs w:val="20"/>
          <w:color w:val="auto"/>
        </w:rPr>
      </w:pPr>
      <w:r>
        <w:rPr>
          <w:rFonts w:ascii="Arial" w:cs="Arial" w:eastAsia="Arial" w:hAnsi="Arial"/>
          <w:sz w:val="16"/>
          <w:szCs w:val="16"/>
          <w:color w:val="auto"/>
        </w:rPr>
        <w:t>Furthermore,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indenture relating to the notes under the Trust Indenture Act of 1939.</w:t>
      </w:r>
    </w:p>
    <w:p>
      <w:pPr>
        <w:spacing w:after="0" w:line="62" w:lineRule="exact"/>
        <w:rPr>
          <w:sz w:val="20"/>
          <w:szCs w:val="20"/>
          <w:color w:val="auto"/>
        </w:rPr>
      </w:pPr>
    </w:p>
    <w:p>
      <w:pPr>
        <w:ind w:left="680" w:firstLine="397"/>
        <w:spacing w:after="0" w:line="326" w:lineRule="auto"/>
        <w:rPr>
          <w:sz w:val="20"/>
          <w:szCs w:val="20"/>
          <w:color w:val="auto"/>
        </w:rPr>
      </w:pPr>
      <w:r>
        <w:rPr>
          <w:rFonts w:ascii="Arial" w:cs="Arial" w:eastAsia="Arial" w:hAnsi="Arial"/>
          <w:sz w:val="15"/>
          <w:szCs w:val="15"/>
          <w:color w:val="auto"/>
        </w:rPr>
        <w:t>We expressly reserve the right to amend or terminate the exchange offer, and to reject for exchange any outstanding notes not previously accepted for exchange, upon the occurrence of any of the conditions to the exchange offer specified above. We will give oral or written notice of any extension, amendment, non-acceptance or termination to the holders of the outstanding notes as promptly as practicable.</w:t>
      </w:r>
    </w:p>
    <w:p>
      <w:pPr>
        <w:spacing w:after="0" w:line="44" w:lineRule="exact"/>
        <w:rPr>
          <w:sz w:val="20"/>
          <w:szCs w:val="20"/>
          <w:color w:val="auto"/>
        </w:rPr>
      </w:pPr>
    </w:p>
    <w:p>
      <w:pPr>
        <w:ind w:left="680" w:right="100" w:firstLine="397"/>
        <w:spacing w:after="0" w:line="273" w:lineRule="auto"/>
        <w:rPr>
          <w:sz w:val="20"/>
          <w:szCs w:val="20"/>
          <w:color w:val="auto"/>
        </w:rPr>
      </w:pPr>
      <w:r>
        <w:rPr>
          <w:rFonts w:ascii="Arial" w:cs="Arial" w:eastAsia="Arial" w:hAnsi="Arial"/>
          <w:sz w:val="17"/>
          <w:szCs w:val="17"/>
          <w:color w:val="auto"/>
        </w:rPr>
        <w:t>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Procedures for Tendering</w:t>
      </w:r>
    </w:p>
    <w:p>
      <w:pPr>
        <w:spacing w:after="0" w:line="138" w:lineRule="exact"/>
        <w:rPr>
          <w:sz w:val="20"/>
          <w:szCs w:val="20"/>
          <w:color w:val="auto"/>
        </w:rPr>
      </w:pPr>
    </w:p>
    <w:p>
      <w:pPr>
        <w:jc w:val="both"/>
        <w:ind w:left="680" w:right="20" w:firstLine="397"/>
        <w:spacing w:after="0" w:line="273" w:lineRule="auto"/>
        <w:rPr>
          <w:sz w:val="20"/>
          <w:szCs w:val="20"/>
          <w:color w:val="auto"/>
        </w:rPr>
      </w:pPr>
      <w:r>
        <w:rPr>
          <w:rFonts w:ascii="Arial" w:cs="Arial" w:eastAsia="Arial" w:hAnsi="Arial"/>
          <w:sz w:val="17"/>
          <w:szCs w:val="17"/>
          <w:color w:val="auto"/>
        </w:rPr>
        <w:t>In order to participate in the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w:t>
      </w:r>
    </w:p>
    <w:p>
      <w:pPr>
        <w:spacing w:after="0" w:line="80" w:lineRule="exact"/>
        <w:rPr>
          <w:sz w:val="20"/>
          <w:szCs w:val="20"/>
          <w:color w:val="auto"/>
        </w:rPr>
      </w:pPr>
    </w:p>
    <w:p>
      <w:pPr>
        <w:ind w:left="680" w:right="100" w:firstLine="397"/>
        <w:spacing w:after="0" w:line="289" w:lineRule="auto"/>
        <w:rPr>
          <w:sz w:val="20"/>
          <w:szCs w:val="20"/>
          <w:color w:val="auto"/>
        </w:rPr>
      </w:pPr>
      <w:r>
        <w:rPr>
          <w:rFonts w:ascii="Arial" w:cs="Arial" w:eastAsia="Arial" w:hAnsi="Arial"/>
          <w:sz w:val="17"/>
          <w:szCs w:val="17"/>
          <w:color w:val="auto"/>
        </w:rPr>
        <w:t>If you have any questions or need help in exchanging your notes, please call the exchange agent, whose address and phone number are set forth in “Prospectus Summary — The Exchange Offer — Exchange Agent.”</w:t>
      </w:r>
    </w:p>
    <w:p>
      <w:pPr>
        <w:spacing w:after="0" w:line="67" w:lineRule="exact"/>
        <w:rPr>
          <w:sz w:val="20"/>
          <w:szCs w:val="20"/>
          <w:color w:val="auto"/>
        </w:rPr>
      </w:pPr>
    </w:p>
    <w:p>
      <w:pPr>
        <w:ind w:left="680" w:right="80" w:firstLine="397"/>
        <w:spacing w:after="0" w:line="281" w:lineRule="auto"/>
        <w:rPr>
          <w:sz w:val="20"/>
          <w:szCs w:val="20"/>
          <w:color w:val="auto"/>
        </w:rPr>
      </w:pPr>
      <w:r>
        <w:rPr>
          <w:rFonts w:ascii="Arial" w:cs="Arial" w:eastAsia="Arial" w:hAnsi="Arial"/>
          <w:sz w:val="16"/>
          <w:szCs w:val="16"/>
          <w:color w:val="auto"/>
        </w:rPr>
        <w:t>All of the outstanding notes were issued in book-entry form, and all of the outstanding notes are currently represented by global certificates held for the account of DTC. We have confirmed with DTC that the outstanding notes may be tendered using the ATOP procedures instituted by DTC. The exchange agent will establish an account with DTC for purposes of the exchange offer promptly after the commencement of the exchange offer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the letter of transmittal.</w:t>
      </w:r>
    </w:p>
    <w:p>
      <w:pPr>
        <w:spacing w:after="0" w:line="78" w:lineRule="exact"/>
        <w:rPr>
          <w:sz w:val="20"/>
          <w:szCs w:val="20"/>
          <w:color w:val="auto"/>
        </w:rPr>
      </w:pPr>
    </w:p>
    <w:p>
      <w:pPr>
        <w:ind w:left="680" w:right="60" w:firstLine="397"/>
        <w:spacing w:after="0" w:line="289" w:lineRule="auto"/>
        <w:rPr>
          <w:sz w:val="20"/>
          <w:szCs w:val="20"/>
          <w:color w:val="auto"/>
        </w:rPr>
      </w:pPr>
      <w:r>
        <w:rPr>
          <w:rFonts w:ascii="Arial" w:cs="Arial" w:eastAsia="Arial" w:hAnsi="Arial"/>
          <w:sz w:val="17"/>
          <w:szCs w:val="17"/>
          <w:color w:val="auto"/>
        </w:rPr>
        <w:t>By using the ATOP procedures to exchange outstanding notes, you will not be required to deliver a letter of transmittal to the exchange agent. However, you will be bound by its terms just as if you had signed it.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There is no procedure for guaranteed late delivery of the notes.</w:t>
      </w: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0" w:right="10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Determinations Under the Exchange Offer</w:t>
      </w:r>
    </w:p>
    <w:p>
      <w:pPr>
        <w:spacing w:after="0" w:line="132" w:lineRule="exact"/>
        <w:rPr>
          <w:sz w:val="20"/>
          <w:szCs w:val="20"/>
          <w:color w:val="auto"/>
        </w:rPr>
      </w:pPr>
    </w:p>
    <w:p>
      <w:pPr>
        <w:ind w:left="680" w:firstLine="397"/>
        <w:spacing w:after="0" w:line="278" w:lineRule="auto"/>
        <w:rPr>
          <w:sz w:val="20"/>
          <w:szCs w:val="20"/>
          <w:color w:val="auto"/>
        </w:rPr>
      </w:pPr>
      <w:r>
        <w:rPr>
          <w:rFonts w:ascii="Arial" w:cs="Arial" w:eastAsia="Arial" w:hAnsi="Arial"/>
          <w:sz w:val="16"/>
          <w:szCs w:val="16"/>
          <w:color w:val="auto"/>
        </w:rPr>
        <w:t>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the exchange offer, including the instructions in the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date.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When We Will Issue New Notes</w:t>
      </w:r>
    </w:p>
    <w:p>
      <w:pPr>
        <w:spacing w:after="0" w:line="132" w:lineRule="exact"/>
        <w:rPr>
          <w:sz w:val="20"/>
          <w:szCs w:val="20"/>
          <w:color w:val="auto"/>
        </w:rPr>
      </w:pPr>
    </w:p>
    <w:p>
      <w:pPr>
        <w:ind w:left="680" w:right="160" w:firstLine="397"/>
        <w:spacing w:after="0" w:line="289" w:lineRule="auto"/>
        <w:rPr>
          <w:sz w:val="20"/>
          <w:szCs w:val="20"/>
          <w:color w:val="auto"/>
        </w:rPr>
      </w:pPr>
      <w:r>
        <w:rPr>
          <w:rFonts w:ascii="Arial" w:cs="Arial" w:eastAsia="Arial" w:hAnsi="Arial"/>
          <w:sz w:val="17"/>
          <w:szCs w:val="17"/>
          <w:color w:val="auto"/>
        </w:rPr>
        <w:t>In all cases, we will issue new notes for outstanding notes that we have accepted for exchange under the exchange offer only after the exchange agent timely receives:</w:t>
      </w:r>
    </w:p>
    <w:p>
      <w:pPr>
        <w:spacing w:after="0" w:line="67" w:lineRule="exact"/>
        <w:rPr>
          <w:sz w:val="20"/>
          <w:szCs w:val="20"/>
          <w:color w:val="auto"/>
        </w:rPr>
      </w:pPr>
    </w:p>
    <w:p>
      <w:pPr>
        <w:ind w:left="1180" w:hanging="97"/>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book-entry confirmation of such outstanding notes into the exchange agent’s account at DTC; and</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properly transmitted agent’s message.</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Return of Outstanding Notes Not Accepted or Exchanged</w:t>
      </w:r>
    </w:p>
    <w:p>
      <w:pPr>
        <w:spacing w:after="0" w:line="132" w:lineRule="exact"/>
        <w:rPr>
          <w:sz w:val="20"/>
          <w:szCs w:val="20"/>
          <w:color w:val="auto"/>
        </w:rPr>
      </w:pPr>
    </w:p>
    <w:p>
      <w:pPr>
        <w:ind w:left="680" w:right="100" w:firstLine="397"/>
        <w:spacing w:after="0" w:line="268" w:lineRule="auto"/>
        <w:rPr>
          <w:sz w:val="20"/>
          <w:szCs w:val="20"/>
          <w:color w:val="auto"/>
        </w:rPr>
      </w:pPr>
      <w:r>
        <w:rPr>
          <w:rFonts w:ascii="Arial" w:cs="Arial" w:eastAsia="Arial" w:hAnsi="Arial"/>
          <w:sz w:val="17"/>
          <w:szCs w:val="17"/>
          <w:color w:val="auto"/>
        </w:rPr>
        <w:t>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Your Representations to Us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By agreeing to be bound by the letter of transmittal, you will represent to us that, among other things:</w:t>
      </w:r>
    </w:p>
    <w:p>
      <w:pPr>
        <w:spacing w:after="0" w:line="132" w:lineRule="exact"/>
        <w:rPr>
          <w:sz w:val="20"/>
          <w:szCs w:val="20"/>
          <w:color w:val="auto"/>
        </w:rPr>
      </w:pPr>
    </w:p>
    <w:p>
      <w:pPr>
        <w:ind w:left="1180" w:hanging="97"/>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new notes that you receive will be acquired in the ordinary course of your business;</w:t>
      </w:r>
    </w:p>
    <w:p>
      <w:pPr>
        <w:spacing w:after="0" w:line="119" w:lineRule="exact"/>
        <w:rPr>
          <w:rFonts w:ascii="Arial" w:cs="Arial" w:eastAsia="Arial" w:hAnsi="Arial"/>
          <w:sz w:val="17"/>
          <w:szCs w:val="17"/>
          <w:color w:val="auto"/>
        </w:rPr>
      </w:pPr>
    </w:p>
    <w:p>
      <w:pPr>
        <w:ind w:left="1180" w:right="200" w:hanging="97"/>
        <w:spacing w:after="0" w:line="289"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 have no arrangement or understanding with any person or entity to participate in the distribution of the outstanding notes or the new notes within the meaning of the Securities Act;</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you are not a broker-dealer, you are not engaged in and do not intend to engage in the distribution of the new notes;</w:t>
      </w:r>
    </w:p>
    <w:p>
      <w:pPr>
        <w:spacing w:after="0" w:line="119" w:lineRule="exact"/>
        <w:rPr>
          <w:rFonts w:ascii="Arial" w:cs="Arial" w:eastAsia="Arial" w:hAnsi="Arial"/>
          <w:sz w:val="17"/>
          <w:szCs w:val="17"/>
          <w:color w:val="auto"/>
        </w:rPr>
      </w:pPr>
    </w:p>
    <w:p>
      <w:pPr>
        <w:ind w:left="1180" w:right="360" w:hanging="97"/>
        <w:spacing w:after="0" w:line="273"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w:t>
      </w:r>
    </w:p>
    <w:p>
      <w:pPr>
        <w:spacing w:after="0" w:line="67" w:lineRule="exact"/>
        <w:rPr>
          <w:rFonts w:ascii="Arial" w:cs="Arial" w:eastAsia="Arial" w:hAnsi="Arial"/>
          <w:sz w:val="17"/>
          <w:szCs w:val="17"/>
          <w:color w:val="auto"/>
        </w:rPr>
      </w:pPr>
    </w:p>
    <w:p>
      <w:pPr>
        <w:ind w:left="1180" w:hanging="97"/>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 are not our “affiliate,” as defined in Rule 405 of the Securities Act.</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Withdrawal of Tenders</w:t>
      </w:r>
    </w:p>
    <w:p>
      <w:pPr>
        <w:spacing w:after="0" w:line="138" w:lineRule="exact"/>
        <w:rPr>
          <w:sz w:val="20"/>
          <w:szCs w:val="20"/>
          <w:color w:val="auto"/>
        </w:rPr>
      </w:pPr>
    </w:p>
    <w:p>
      <w:pPr>
        <w:ind w:left="680" w:firstLine="397"/>
        <w:spacing w:after="0" w:line="268" w:lineRule="auto"/>
        <w:rPr>
          <w:sz w:val="20"/>
          <w:szCs w:val="20"/>
          <w:color w:val="auto"/>
        </w:rPr>
      </w:pPr>
      <w:r>
        <w:rPr>
          <w:rFonts w:ascii="Arial" w:cs="Arial" w:eastAsia="Arial" w:hAnsi="Arial"/>
          <w:sz w:val="17"/>
          <w:szCs w:val="17"/>
          <w:color w:val="auto"/>
        </w:rPr>
        <w:t>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number of the account at DTC to be credited with withdrawn outstanding notes and otherwise comply with the procedures of DTC.</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80"/>
          </w:cols>
          <w:pgMar w:left="240" w:top="410" w:right="10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right="100" w:firstLine="397"/>
        <w:spacing w:after="0" w:line="273" w:lineRule="auto"/>
        <w:rPr>
          <w:sz w:val="20"/>
          <w:szCs w:val="20"/>
          <w:color w:val="auto"/>
        </w:rPr>
      </w:pPr>
      <w:r>
        <w:rPr>
          <w:rFonts w:ascii="Arial" w:cs="Arial" w:eastAsia="Arial" w:hAnsi="Arial"/>
          <w:sz w:val="17"/>
          <w:szCs w:val="17"/>
          <w:color w:val="auto"/>
        </w:rPr>
        <w:t>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exchange offer.</w:t>
      </w:r>
    </w:p>
    <w:p>
      <w:pPr>
        <w:spacing w:after="0" w:line="80" w:lineRule="exact"/>
        <w:rPr>
          <w:sz w:val="20"/>
          <w:szCs w:val="20"/>
          <w:color w:val="auto"/>
        </w:rPr>
      </w:pPr>
    </w:p>
    <w:p>
      <w:pPr>
        <w:ind w:left="680" w:right="120" w:firstLine="397"/>
        <w:spacing w:after="0" w:line="290" w:lineRule="auto"/>
        <w:rPr>
          <w:sz w:val="20"/>
          <w:szCs w:val="20"/>
          <w:color w:val="auto"/>
        </w:rPr>
      </w:pPr>
      <w:r>
        <w:rPr>
          <w:rFonts w:ascii="Arial" w:cs="Arial" w:eastAsia="Arial" w:hAnsi="Arial"/>
          <w:sz w:val="16"/>
          <w:szCs w:val="16"/>
          <w:color w:val="auto"/>
        </w:rPr>
        <w:t>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 Procedures for Tendering” above at any time prior to 5:00 p.m., New York City time, on the expiration date.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Fees and Expenses</w:t>
      </w:r>
    </w:p>
    <w:p>
      <w:pPr>
        <w:spacing w:after="0" w:line="138" w:lineRule="exact"/>
        <w:rPr>
          <w:sz w:val="20"/>
          <w:szCs w:val="20"/>
          <w:color w:val="auto"/>
        </w:rPr>
      </w:pPr>
    </w:p>
    <w:p>
      <w:pPr>
        <w:ind w:left="680" w:right="300" w:firstLine="397"/>
        <w:spacing w:after="0" w:line="289" w:lineRule="auto"/>
        <w:rPr>
          <w:sz w:val="20"/>
          <w:szCs w:val="20"/>
          <w:color w:val="auto"/>
        </w:rPr>
      </w:pPr>
      <w:r>
        <w:rPr>
          <w:rFonts w:ascii="Arial" w:cs="Arial" w:eastAsia="Arial" w:hAnsi="Arial"/>
          <w:sz w:val="17"/>
          <w:szCs w:val="17"/>
          <w:color w:val="auto"/>
        </w:rPr>
        <w:t>We will bear the expenses of soliciting tenders. The principal solicitation is being made by mail; however, we may make additional solicitation by telegraph, telephone or in person by our officers and regular employees and those of our affiliates.</w:t>
      </w:r>
    </w:p>
    <w:p>
      <w:pPr>
        <w:spacing w:after="0" w:line="67" w:lineRule="exact"/>
        <w:rPr>
          <w:sz w:val="20"/>
          <w:szCs w:val="20"/>
          <w:color w:val="auto"/>
        </w:rPr>
      </w:pPr>
    </w:p>
    <w:p>
      <w:pPr>
        <w:ind w:left="680" w:right="80" w:firstLine="397"/>
        <w:spacing w:after="0" w:line="273" w:lineRule="auto"/>
        <w:rPr>
          <w:sz w:val="20"/>
          <w:szCs w:val="20"/>
          <w:color w:val="auto"/>
        </w:rPr>
      </w:pPr>
      <w:r>
        <w:rPr>
          <w:rFonts w:ascii="Arial" w:cs="Arial" w:eastAsia="Arial" w:hAnsi="Arial"/>
          <w:sz w:val="17"/>
          <w:szCs w:val="17"/>
          <w:color w:val="auto"/>
        </w:rPr>
        <w:t>We have not retained any dealer 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 of pocket expenses.</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will pay the cash expenses to be incurred in connection with the exchange offer. They include:</w:t>
      </w:r>
    </w:p>
    <w:p>
      <w:pPr>
        <w:spacing w:after="0" w:line="132" w:lineRule="exact"/>
        <w:rPr>
          <w:sz w:val="20"/>
          <w:szCs w:val="20"/>
          <w:color w:val="auto"/>
        </w:rPr>
      </w:pPr>
    </w:p>
    <w:p>
      <w:pPr>
        <w:ind w:left="1180" w:hanging="97"/>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 registration fees;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fees and expenses of the exchange agent and trustee;</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accounting and legal fees and printing costs; and</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related fees and expenses.</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Transfer Taxes</w:t>
      </w:r>
    </w:p>
    <w:p>
      <w:pPr>
        <w:spacing w:after="0" w:line="138" w:lineRule="exact"/>
        <w:rPr>
          <w:sz w:val="20"/>
          <w:szCs w:val="20"/>
          <w:color w:val="auto"/>
        </w:rPr>
      </w:pPr>
    </w:p>
    <w:p>
      <w:pPr>
        <w:ind w:left="680" w:firstLine="397"/>
        <w:spacing w:after="0" w:line="273" w:lineRule="auto"/>
        <w:rPr>
          <w:sz w:val="20"/>
          <w:szCs w:val="20"/>
          <w:color w:val="auto"/>
        </w:rPr>
      </w:pPr>
      <w:r>
        <w:rPr>
          <w:rFonts w:ascii="Arial" w:cs="Arial" w:eastAsia="Arial" w:hAnsi="Arial"/>
          <w:sz w:val="17"/>
          <w:szCs w:val="17"/>
          <w:color w:val="auto"/>
        </w:rPr>
        <w:t>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exchange offer.</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Consequences of Failure to Exchange</w:t>
      </w:r>
    </w:p>
    <w:p>
      <w:pPr>
        <w:spacing w:after="0" w:line="138" w:lineRule="exact"/>
        <w:rPr>
          <w:sz w:val="20"/>
          <w:szCs w:val="20"/>
          <w:color w:val="auto"/>
        </w:rPr>
      </w:pPr>
    </w:p>
    <w:p>
      <w:pPr>
        <w:ind w:left="680" w:right="220" w:firstLine="397"/>
        <w:spacing w:after="0" w:line="314" w:lineRule="auto"/>
        <w:rPr>
          <w:sz w:val="20"/>
          <w:szCs w:val="20"/>
          <w:color w:val="auto"/>
        </w:rPr>
      </w:pPr>
      <w:r>
        <w:rPr>
          <w:rFonts w:ascii="Arial" w:cs="Arial" w:eastAsia="Arial" w:hAnsi="Arial"/>
          <w:sz w:val="15"/>
          <w:szCs w:val="15"/>
          <w:color w:val="auto"/>
        </w:rPr>
        <w:t>If you do not exchange new notes for your outstanding notes under the exchange offer, you will remain subject to the existing restrictions on transfer of the outstanding notes. In general, you may not offer or sell the outstanding notes unless the offer or sale is either registered under the Securities Act or exempt from registration under the Securities Act and applicable state securities laws. Except as required by the registration rights agreement, we do not intend to register resales of the outstanding notes under the Securities Act.</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Accounting Treatment</w:t>
      </w:r>
    </w:p>
    <w:p>
      <w:pPr>
        <w:spacing w:after="0" w:line="138" w:lineRule="exact"/>
        <w:rPr>
          <w:sz w:val="20"/>
          <w:szCs w:val="20"/>
          <w:color w:val="auto"/>
        </w:rPr>
      </w:pPr>
    </w:p>
    <w:p>
      <w:pPr>
        <w:jc w:val="both"/>
        <w:ind w:left="680" w:right="160" w:firstLine="397"/>
        <w:spacing w:after="0" w:line="298" w:lineRule="auto"/>
        <w:rPr>
          <w:sz w:val="20"/>
          <w:szCs w:val="20"/>
          <w:color w:val="auto"/>
        </w:rPr>
      </w:pPr>
      <w:r>
        <w:rPr>
          <w:rFonts w:ascii="Arial" w:cs="Arial" w:eastAsia="Arial" w:hAnsi="Arial"/>
          <w:sz w:val="16"/>
          <w:szCs w:val="16"/>
          <w:color w:val="auto"/>
        </w:rPr>
        <w:t>We will record the new notes in our accounting records at the same carrying value as the outstanding notes. This carrying value is the aggregate principal amount of the outstanding notes less any bond discount, as reflected in our accounting records on the date of exchange. Accordingly, we will not recognize any gain or loss for accounting purposes in connection with the exchange offer.</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Other</w:t>
      </w:r>
    </w:p>
    <w:p>
      <w:pPr>
        <w:spacing w:after="0" w:line="138" w:lineRule="exact"/>
        <w:rPr>
          <w:sz w:val="20"/>
          <w:szCs w:val="20"/>
          <w:color w:val="auto"/>
        </w:rPr>
      </w:pPr>
    </w:p>
    <w:p>
      <w:pPr>
        <w:ind w:left="680" w:right="300" w:firstLine="397"/>
        <w:spacing w:after="0" w:line="289" w:lineRule="auto"/>
        <w:rPr>
          <w:sz w:val="20"/>
          <w:szCs w:val="20"/>
          <w:color w:val="auto"/>
        </w:rPr>
      </w:pPr>
      <w:r>
        <w:rPr>
          <w:rFonts w:ascii="Arial" w:cs="Arial" w:eastAsia="Arial" w:hAnsi="Arial"/>
          <w:sz w:val="17"/>
          <w:szCs w:val="17"/>
          <w:color w:val="auto"/>
        </w:rPr>
        <w:t>Participation in the exchange offer is voluntary, and you should carefully consider whether to accept. You are urged to consult your financial and tax advisors in making your own decision on what action to take.</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60"/>
          </w:cols>
          <w:pgMar w:left="240" w:top="410" w:right="10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right="300" w:firstLine="397"/>
        <w:spacing w:after="0" w:line="273" w:lineRule="auto"/>
        <w:rPr>
          <w:sz w:val="20"/>
          <w:szCs w:val="20"/>
          <w:color w:val="auto"/>
        </w:rPr>
      </w:pPr>
      <w:r>
        <w:rPr>
          <w:rFonts w:ascii="Arial" w:cs="Arial" w:eastAsia="Arial" w:hAnsi="Arial"/>
          <w:sz w:val="17"/>
          <w:szCs w:val="17"/>
          <w:color w:val="auto"/>
        </w:rPr>
        <w:t>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w:t>
      </w:r>
    </w:p>
    <w:p>
      <w:pPr>
        <w:spacing w:after="0" w:line="28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RATIO OF EARNINGS TO FIXED CHARGES</w:t>
      </w:r>
    </w:p>
    <w:p>
      <w:pPr>
        <w:spacing w:after="0" w:line="124"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80" w:type="dxa"/>
            <w:vAlign w:val="bottom"/>
            <w:gridSpan w:val="4"/>
          </w:tcPr>
          <w:p>
            <w:pPr>
              <w:jc w:val="center"/>
              <w:ind w:right="240"/>
              <w:spacing w:after="0" w:line="157"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2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80" w:type="dxa"/>
            <w:vAlign w:val="bottom"/>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9"/>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80" w:type="dxa"/>
            <w:vAlign w:val="bottom"/>
            <w:gridSpan w:val="2"/>
          </w:tcPr>
          <w:p>
            <w:pPr>
              <w:jc w:val="right"/>
              <w:ind w:right="60"/>
              <w:spacing w:after="0" w:line="137"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60"/>
              <w:spacing w:after="0" w:line="137"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1"/>
                <w:szCs w:val="11"/>
                <w:color w:val="auto"/>
              </w:rPr>
            </w:pPr>
          </w:p>
        </w:tc>
        <w:tc>
          <w:tcPr>
            <w:tcW w:w="780" w:type="dxa"/>
            <w:vAlign w:val="bottom"/>
            <w:gridSpan w:val="3"/>
          </w:tcPr>
          <w:p>
            <w:pPr>
              <w:jc w:val="right"/>
              <w:ind w:right="60"/>
              <w:spacing w:after="0" w:line="137" w:lineRule="exact"/>
              <w:rPr>
                <w:sz w:val="20"/>
                <w:szCs w:val="20"/>
                <w:color w:val="auto"/>
              </w:rPr>
            </w:pPr>
            <w:r>
              <w:rPr>
                <w:rFonts w:ascii="Arial" w:cs="Arial" w:eastAsia="Arial" w:hAnsi="Arial"/>
                <w:sz w:val="14"/>
                <w:szCs w:val="14"/>
                <w:b w:val="1"/>
                <w:bCs w:val="1"/>
                <w:color w:val="auto"/>
              </w:rPr>
              <w:t>2004</w:t>
            </w:r>
          </w:p>
        </w:tc>
        <w:tc>
          <w:tcPr>
            <w:tcW w:w="980" w:type="dxa"/>
            <w:vAlign w:val="bottom"/>
            <w:gridSpan w:val="4"/>
          </w:tcPr>
          <w:p>
            <w:pPr>
              <w:jc w:val="right"/>
              <w:ind w:right="60"/>
              <w:spacing w:after="0" w:line="137" w:lineRule="exact"/>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1"/>
                <w:szCs w:val="11"/>
                <w:color w:val="auto"/>
              </w:rPr>
            </w:pPr>
          </w:p>
        </w:tc>
        <w:tc>
          <w:tcPr>
            <w:tcW w:w="800" w:type="dxa"/>
            <w:vAlign w:val="bottom"/>
            <w:gridSpan w:val="3"/>
          </w:tcPr>
          <w:p>
            <w:pPr>
              <w:jc w:val="right"/>
              <w:ind w:right="60"/>
              <w:spacing w:after="0" w:line="137" w:lineRule="exact"/>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1"/>
                <w:szCs w:val="11"/>
                <w:color w:val="auto"/>
              </w:rPr>
            </w:pPr>
          </w:p>
        </w:tc>
        <w:tc>
          <w:tcPr>
            <w:tcW w:w="800" w:type="dxa"/>
            <w:vAlign w:val="bottom"/>
            <w:gridSpan w:val="3"/>
          </w:tcPr>
          <w:p>
            <w:pPr>
              <w:jc w:val="right"/>
              <w:ind w:right="60"/>
              <w:spacing w:after="0" w:line="137" w:lineRule="exact"/>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12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RATIO OF EARNINGS TO FIXED CHARGES(1)</w:t>
            </w:r>
          </w:p>
        </w:tc>
        <w:tc>
          <w:tcPr>
            <w:tcW w:w="1380" w:type="dxa"/>
            <w:vAlign w:val="bottom"/>
            <w:gridSpan w:val="4"/>
            <w:shd w:val="clear" w:color="auto" w:fill="CCEEFF"/>
          </w:tcPr>
          <w:p>
            <w:pPr>
              <w:jc w:val="center"/>
              <w:ind w:right="240"/>
              <w:spacing w:after="0"/>
              <w:rPr>
                <w:sz w:val="20"/>
                <w:szCs w:val="20"/>
                <w:color w:val="auto"/>
              </w:rPr>
            </w:pPr>
            <w:r>
              <w:rPr>
                <w:rFonts w:ascii="Arial" w:cs="Arial" w:eastAsia="Arial" w:hAnsi="Arial"/>
                <w:sz w:val="17"/>
                <w:szCs w:val="17"/>
                <w:color w:val="auto"/>
                <w:w w:val="91"/>
              </w:rPr>
              <w:t>3.</w:t>
            </w:r>
            <w:r>
              <w:rPr>
                <w:rFonts w:ascii="Arial" w:cs="Arial" w:eastAsia="Arial" w:hAnsi="Arial"/>
                <w:sz w:val="17"/>
                <w:szCs w:val="17"/>
                <w:u w:val="single" w:color="auto"/>
                <w:color w:val="auto"/>
                <w:w w:val="91"/>
              </w:rPr>
              <w:t>33x</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6"/>
              </w:rPr>
              <w:t>3.</w:t>
            </w:r>
            <w:r>
              <w:rPr>
                <w:rFonts w:ascii="Arial" w:cs="Arial" w:eastAsia="Arial" w:hAnsi="Arial"/>
                <w:sz w:val="17"/>
                <w:szCs w:val="17"/>
                <w:u w:val="single" w:color="auto"/>
                <w:color w:val="auto"/>
                <w:w w:val="96"/>
              </w:rPr>
              <w:t>34x</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6"/>
              </w:rPr>
              <w:t>3.</w:t>
            </w:r>
            <w:r>
              <w:rPr>
                <w:rFonts w:ascii="Arial" w:cs="Arial" w:eastAsia="Arial" w:hAnsi="Arial"/>
                <w:sz w:val="17"/>
                <w:szCs w:val="17"/>
                <w:u w:val="single" w:color="auto"/>
                <w:color w:val="auto"/>
                <w:w w:val="96"/>
              </w:rPr>
              <w:t>37x</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1"/>
              </w:rPr>
              <w:t>2.</w:t>
            </w:r>
            <w:r>
              <w:rPr>
                <w:rFonts w:ascii="Arial" w:cs="Arial" w:eastAsia="Arial" w:hAnsi="Arial"/>
                <w:sz w:val="17"/>
                <w:szCs w:val="17"/>
                <w:u w:val="single" w:color="auto"/>
                <w:color w:val="auto"/>
                <w:w w:val="91"/>
              </w:rPr>
              <w:t>36x</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color w:val="auto"/>
                <w:w w:val="96"/>
              </w:rPr>
              <w:t>2.</w:t>
            </w:r>
            <w:r>
              <w:rPr>
                <w:rFonts w:ascii="Arial" w:cs="Arial" w:eastAsia="Arial" w:hAnsi="Arial"/>
                <w:sz w:val="17"/>
                <w:szCs w:val="17"/>
                <w:u w:val="single" w:color="auto"/>
                <w:color w:val="auto"/>
                <w:w w:val="96"/>
              </w:rPr>
              <w:t>64x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1"/>
              </w:rPr>
              <w:t>2.</w:t>
            </w:r>
            <w:r>
              <w:rPr>
                <w:rFonts w:ascii="Arial" w:cs="Arial" w:eastAsia="Arial" w:hAnsi="Arial"/>
                <w:sz w:val="17"/>
                <w:szCs w:val="17"/>
                <w:u w:val="single" w:color="auto"/>
                <w:color w:val="auto"/>
                <w:w w:val="91"/>
              </w:rPr>
              <w:t>13x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340" w:hanging="304"/>
        <w:spacing w:after="0" w:line="273"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interest costs attributable to borrowings for inventory stored in a contango market of $21.9 million for the six months ended June 30, 2006 and $23.7 million, $2.0 million, $1.0 million, $3.0 million and $3.9 million for each of the years ended December 31, 2005, 2004, 2003, 2002 and 2001, respectively.</w:t>
      </w:r>
    </w:p>
    <w:p>
      <w:pPr>
        <w:spacing w:after="0" w:line="284"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USE OF PROCEEDS</w:t>
      </w:r>
    </w:p>
    <w:p>
      <w:pPr>
        <w:spacing w:after="0" w:line="138" w:lineRule="exact"/>
        <w:rPr>
          <w:sz w:val="20"/>
          <w:szCs w:val="20"/>
          <w:color w:val="auto"/>
        </w:rPr>
      </w:pPr>
    </w:p>
    <w:p>
      <w:pPr>
        <w:ind w:left="680" w:right="80" w:firstLine="397"/>
        <w:spacing w:after="0" w:line="263" w:lineRule="auto"/>
        <w:rPr>
          <w:sz w:val="20"/>
          <w:szCs w:val="20"/>
          <w:color w:val="auto"/>
        </w:rPr>
      </w:pPr>
      <w:r>
        <w:rPr>
          <w:rFonts w:ascii="Arial" w:cs="Arial" w:eastAsia="Arial" w:hAnsi="Arial"/>
          <w:sz w:val="17"/>
          <w:szCs w:val="17"/>
          <w:color w:val="auto"/>
        </w:rPr>
        <w:t>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w:t>
      </w:r>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DESCRIPTION OF THE NOTES</w:t>
      </w:r>
    </w:p>
    <w:p>
      <w:pPr>
        <w:spacing w:after="0" w:line="138" w:lineRule="exact"/>
        <w:rPr>
          <w:sz w:val="20"/>
          <w:szCs w:val="20"/>
          <w:color w:val="auto"/>
        </w:rPr>
      </w:pPr>
    </w:p>
    <w:p>
      <w:pPr>
        <w:ind w:left="680" w:right="100" w:firstLine="397"/>
        <w:spacing w:after="0" w:line="279" w:lineRule="auto"/>
        <w:rPr>
          <w:sz w:val="20"/>
          <w:szCs w:val="20"/>
          <w:color w:val="auto"/>
        </w:rPr>
      </w:pPr>
      <w:r>
        <w:rPr>
          <w:rFonts w:ascii="Arial" w:cs="Arial" w:eastAsia="Arial" w:hAnsi="Arial"/>
          <w:sz w:val="16"/>
          <w:szCs w:val="16"/>
          <w:color w:val="auto"/>
        </w:rPr>
        <w:t>We will issue the new notes, and the outstanding notes were issued, under an Indenture (the “Base Indenture”) dated September 25, 2002, among us, the subsidiary guarantors and Wachovia Bank, National Association, as trustee, and a Supplemental Indenture thereto dated as of May 12, 2006 (the “Supplemental Indenture,” and together with the Base Indenture, the “Indenture”). 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As used in this description, the terms “we,” “us” and “our” refer to Plains All American Pipeline, L.P. and PAA Finance Corp. as co-issuers of the notes and not to any of their subsidiaries or affiliates. The definitions of certain capitalized terms used in this “Description of the Notes” are set forth below under “— Optional Redemption” and “— Definitions.” Capitalized terms used but not defined below have the meanings assigned to them in the Indenture. References to the “notes” in this section of the prospectus include both the outstanding notes and the new notes.</w:t>
      </w:r>
    </w:p>
    <w:p>
      <w:pPr>
        <w:spacing w:after="0" w:line="77" w:lineRule="exact"/>
        <w:rPr>
          <w:sz w:val="20"/>
          <w:szCs w:val="20"/>
          <w:color w:val="auto"/>
        </w:rPr>
      </w:pPr>
    </w:p>
    <w:p>
      <w:pPr>
        <w:ind w:left="680" w:right="20" w:firstLine="397"/>
        <w:spacing w:after="0" w:line="289" w:lineRule="auto"/>
        <w:rPr>
          <w:sz w:val="20"/>
          <w:szCs w:val="20"/>
          <w:color w:val="auto"/>
        </w:rPr>
      </w:pPr>
      <w:r>
        <w:rPr>
          <w:rFonts w:ascii="Arial" w:cs="Arial" w:eastAsia="Arial" w:hAnsi="Arial"/>
          <w:sz w:val="17"/>
          <w:szCs w:val="17"/>
          <w:color w:val="auto"/>
        </w:rPr>
        <w:t>We have summarized some of the material provisions of the notes and the Indenture below. The following description of the notes is not complete and is subject to, and is qualified in its entirety by reference to, all the provisions of the Indenture.</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General Description of the Notes and the Guarantees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notes are:</w:t>
      </w:r>
    </w:p>
    <w:p>
      <w:pPr>
        <w:spacing w:after="0" w:line="132" w:lineRule="exact"/>
        <w:rPr>
          <w:sz w:val="20"/>
          <w:szCs w:val="20"/>
          <w:color w:val="auto"/>
        </w:rPr>
      </w:pPr>
    </w:p>
    <w:p>
      <w:pPr>
        <w:ind w:left="1180" w:hanging="97"/>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senior unsecured indebtedness ranking equally in right of payment with all of our existing and future unsubordinated debt;</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unconditionally guaranteed by the subsidiary guarantors;</w:t>
      </w:r>
    </w:p>
    <w:p>
      <w:pPr>
        <w:spacing w:after="0" w:line="39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180" w:hanging="97"/>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non-recourse to our general partner;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senior in right of payment to any of our future subordinated debt;</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effectively junior to any of our existing and future secured debt to the extent of the security for that debt; and</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effectively junior to any existing and future debt of our subsidiaries that do not guarantee the notes.</w:t>
      </w:r>
    </w:p>
    <w:p>
      <w:pPr>
        <w:spacing w:after="0" w:line="132" w:lineRule="exact"/>
        <w:rPr>
          <w:sz w:val="20"/>
          <w:szCs w:val="20"/>
          <w:color w:val="auto"/>
        </w:rPr>
      </w:pPr>
    </w:p>
    <w:p>
      <w:pPr>
        <w:ind w:left="680" w:right="100" w:firstLine="397"/>
        <w:spacing w:after="0" w:line="326" w:lineRule="auto"/>
        <w:rPr>
          <w:sz w:val="20"/>
          <w:szCs w:val="20"/>
          <w:color w:val="auto"/>
        </w:rPr>
      </w:pPr>
      <w:r>
        <w:rPr>
          <w:rFonts w:ascii="Arial" w:cs="Arial" w:eastAsia="Arial" w:hAnsi="Arial"/>
          <w:sz w:val="15"/>
          <w:szCs w:val="15"/>
          <w:color w:val="auto"/>
        </w:rPr>
        <w:t>Initially our obligations under the notes are jointly and severally guaranteed by all of the subsidiaries of Plains All American Pipeline existing at the time of issuance of the outstanding notes other than PAA Finance Corp., Atchafalaya Pipeline LLC and Andrews Partners, LLC, which we sometimes refer to collectively as the “non-guarantor subsidiaries.” Each guarantee by a subsidiary guarantor of the notes is:</w:t>
      </w:r>
    </w:p>
    <w:p>
      <w:pPr>
        <w:spacing w:after="0" w:line="44" w:lineRule="exact"/>
        <w:rPr>
          <w:sz w:val="20"/>
          <w:szCs w:val="20"/>
          <w:color w:val="auto"/>
        </w:rPr>
      </w:pPr>
    </w:p>
    <w:p>
      <w:pPr>
        <w:ind w:left="1180" w:hanging="97"/>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general unsecured obligation of that subsidiary guarantor;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equal in right of payment with all other existing and future unsubordinated debt of that subsidiary guarantor;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senior in right of payment to any future subordinated debt of that subsidiary guarantor; and</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effectively junior to any secured debt of that subsidiary guarantor, to the extent of the security for that debt.</w:t>
      </w:r>
    </w:p>
    <w:p>
      <w:pPr>
        <w:spacing w:after="0" w:line="132" w:lineRule="exact"/>
        <w:rPr>
          <w:sz w:val="20"/>
          <w:szCs w:val="20"/>
          <w:color w:val="auto"/>
        </w:rPr>
      </w:pPr>
    </w:p>
    <w:p>
      <w:pPr>
        <w:ind w:left="680" w:firstLine="397"/>
        <w:spacing w:after="0" w:line="285" w:lineRule="auto"/>
        <w:rPr>
          <w:sz w:val="20"/>
          <w:szCs w:val="20"/>
          <w:color w:val="auto"/>
        </w:rPr>
      </w:pPr>
      <w:r>
        <w:rPr>
          <w:rFonts w:ascii="Arial" w:cs="Arial" w:eastAsia="Arial" w:hAnsi="Arial"/>
          <w:sz w:val="16"/>
          <w:szCs w:val="16"/>
          <w:color w:val="auto"/>
        </w:rPr>
        <w:t>As of June 30, 2006, on an as-adjusted basis after giving effect to the original issuance of the outstanding notes and the application of the net proceeds therefrom, the notes and the guarantees would have been effectively subordinated to $800.0 million of short-term secured indebtedness. See “Risk Factors — Risks Related to the Exchange Offer and the Notes — 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w:t>
      </w:r>
    </w:p>
    <w:p>
      <w:pPr>
        <w:spacing w:after="0" w:line="74" w:lineRule="exact"/>
        <w:rPr>
          <w:sz w:val="20"/>
          <w:szCs w:val="20"/>
          <w:color w:val="auto"/>
        </w:rPr>
      </w:pPr>
    </w:p>
    <w:p>
      <w:pPr>
        <w:ind w:left="680" w:right="100" w:firstLine="397"/>
        <w:spacing w:after="0" w:line="273" w:lineRule="auto"/>
        <w:rPr>
          <w:sz w:val="20"/>
          <w:szCs w:val="20"/>
          <w:color w:val="auto"/>
        </w:rPr>
      </w:pPr>
      <w:r>
        <w:rPr>
          <w:rFonts w:ascii="Arial" w:cs="Arial" w:eastAsia="Arial" w:hAnsi="Arial"/>
          <w:sz w:val="17"/>
          <w:szCs w:val="17"/>
          <w:color w:val="auto"/>
        </w:rPr>
        <w:t>The Indenture does not limit the aggregate principal amount of debt securities that may be issued thereunder and provides that debt securities may be issued thereunder from time to time in one or more additional series. Except to the extent described under “— Covenants,” the Indenture does not limit our ability or the ability of our subsidiaries to incur additional indebtedness.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Further Issuances</w:t>
      </w:r>
    </w:p>
    <w:p>
      <w:pPr>
        <w:spacing w:after="0" w:line="138" w:lineRule="exact"/>
        <w:rPr>
          <w:sz w:val="20"/>
          <w:szCs w:val="20"/>
          <w:color w:val="auto"/>
        </w:rPr>
      </w:pPr>
    </w:p>
    <w:p>
      <w:pPr>
        <w:ind w:left="680" w:right="20" w:firstLine="397"/>
        <w:spacing w:after="0" w:line="263" w:lineRule="auto"/>
        <w:rPr>
          <w:sz w:val="20"/>
          <w:szCs w:val="20"/>
          <w:color w:val="auto"/>
        </w:rPr>
      </w:pPr>
      <w:r>
        <w:rPr>
          <w:rFonts w:ascii="Arial" w:cs="Arial" w:eastAsia="Arial" w:hAnsi="Arial"/>
          <w:sz w:val="17"/>
          <w:szCs w:val="17"/>
          <w:color w:val="auto"/>
        </w:rPr>
        <w:t>We may, from time to time, without notice to or the consent of the holders of the notes, create and issue additional notes ranking equally and ratably with the notes offered hereby in all respects (except for the payment of interest accruing prior to the issue date of such additional notes), so that such additional notes form a single series with the notes and have the same terms as to status, redemption or otherwise as the notes. If we issue such additional notes prior to the completion of the exchange offer, the period of the resale restrictions applicable to any notes previously offered and sold in reliance on Rule 144A under the Securities Act will be automatically extended to the last day of the period of any resale restrictions imposed on any such additional notes.</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Principal, Maturity And Interest</w:t>
      </w:r>
    </w:p>
    <w:p>
      <w:pPr>
        <w:spacing w:after="0" w:line="138" w:lineRule="exact"/>
        <w:rPr>
          <w:sz w:val="20"/>
          <w:szCs w:val="20"/>
          <w:color w:val="auto"/>
        </w:rPr>
      </w:pPr>
    </w:p>
    <w:p>
      <w:pPr>
        <w:ind w:left="680" w:right="80" w:firstLine="397"/>
        <w:spacing w:after="0" w:line="262" w:lineRule="auto"/>
        <w:rPr>
          <w:sz w:val="20"/>
          <w:szCs w:val="20"/>
          <w:color w:val="auto"/>
        </w:rPr>
      </w:pPr>
      <w:r>
        <w:rPr>
          <w:rFonts w:ascii="Arial" w:cs="Arial" w:eastAsia="Arial" w:hAnsi="Arial"/>
          <w:sz w:val="17"/>
          <w:szCs w:val="17"/>
          <w:color w:val="auto"/>
        </w:rPr>
        <w:t>We have issued the notes in an initial aggregate principal amount of $250 million. The notes will mature on May 15, 2036 and bear interest at the annual rate of 6.70%. Additional interest may also accrue on the notes in the circumstances described under “Exchange Offer.” All references to “interest” in this description of the notes include any such additional interest. Interest on the notes accrues from May 12, 2006 and is payable semi-annually in arrears on May 15 and November 15 of each year, commencing November 15, 2006. We will make each interest payment to the holders of record at the close of business on the May 1 and November 1 preceding such interest payment date. Interest will be computed on the basis of a 360-day year consisting of twelve 30-day months. We will issue the notes in denominations of $1,000 and integral multiples of $1,000.</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No Liability of General Partner</w:t>
      </w:r>
    </w:p>
    <w:p>
      <w:pPr>
        <w:spacing w:after="0" w:line="138" w:lineRule="exact"/>
        <w:rPr>
          <w:sz w:val="20"/>
          <w:szCs w:val="20"/>
          <w:color w:val="auto"/>
        </w:rPr>
      </w:pPr>
    </w:p>
    <w:p>
      <w:pPr>
        <w:ind w:left="680" w:right="240" w:firstLine="397"/>
        <w:spacing w:after="0" w:line="285" w:lineRule="auto"/>
        <w:rPr>
          <w:sz w:val="20"/>
          <w:szCs w:val="20"/>
          <w:color w:val="auto"/>
        </w:rPr>
      </w:pPr>
      <w:r>
        <w:rPr>
          <w:rFonts w:ascii="Arial" w:cs="Arial" w:eastAsia="Arial" w:hAnsi="Arial"/>
          <w:sz w:val="16"/>
          <w:szCs w:val="16"/>
          <w:color w:val="auto"/>
        </w:rPr>
        <w:t>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The Guarantees</w:t>
      </w:r>
    </w:p>
    <w:p>
      <w:pPr>
        <w:spacing w:after="0" w:line="138" w:lineRule="exact"/>
        <w:rPr>
          <w:sz w:val="20"/>
          <w:szCs w:val="20"/>
          <w:color w:val="auto"/>
        </w:rPr>
      </w:pPr>
    </w:p>
    <w:p>
      <w:pPr>
        <w:ind w:left="680" w:right="160" w:firstLine="397"/>
        <w:spacing w:after="0" w:line="263" w:lineRule="auto"/>
        <w:rPr>
          <w:sz w:val="20"/>
          <w:szCs w:val="20"/>
          <w:color w:val="auto"/>
        </w:rPr>
      </w:pPr>
      <w:r>
        <w:rPr>
          <w:rFonts w:ascii="Arial" w:cs="Arial" w:eastAsia="Arial" w:hAnsi="Arial"/>
          <w:sz w:val="17"/>
          <w:szCs w:val="17"/>
          <w:color w:val="auto"/>
        </w:rPr>
        <w:t>Initially, our payment obligations under the notes are jointly and severally guaranteed by all existing Subsidiaries of Plains All American Pipeline other than the non-guarantor subsidiaries. The obligations of each 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w:t>
      </w:r>
    </w:p>
    <w:p>
      <w:pPr>
        <w:spacing w:after="0" w:line="91" w:lineRule="exact"/>
        <w:rPr>
          <w:sz w:val="20"/>
          <w:szCs w:val="20"/>
          <w:color w:val="auto"/>
        </w:rPr>
      </w:pPr>
    </w:p>
    <w:p>
      <w:pPr>
        <w:ind w:left="680" w:right="80" w:firstLine="397"/>
        <w:spacing w:after="0" w:line="289" w:lineRule="auto"/>
        <w:rPr>
          <w:sz w:val="20"/>
          <w:szCs w:val="20"/>
          <w:color w:val="auto"/>
        </w:rPr>
      </w:pPr>
      <w:r>
        <w:rPr>
          <w:rFonts w:ascii="Arial" w:cs="Arial" w:eastAsia="Arial" w:hAnsi="Arial"/>
          <w:sz w:val="17"/>
          <w:szCs w:val="17"/>
          <w:color w:val="auto"/>
        </w:rPr>
        <w:t>Provided that no default shall have occurred and shall be continuing under the indenture, a subsidiary guarantor will be unconditionally released and discharged from its guarantee:</w:t>
      </w:r>
    </w:p>
    <w:p>
      <w:pPr>
        <w:spacing w:after="0" w:line="67" w:lineRule="exact"/>
        <w:rPr>
          <w:sz w:val="20"/>
          <w:szCs w:val="20"/>
          <w:color w:val="auto"/>
        </w:rPr>
      </w:pPr>
    </w:p>
    <w:p>
      <w:pPr>
        <w:ind w:left="1180" w:right="400" w:hanging="97"/>
        <w:spacing w:after="0" w:line="273" w:lineRule="auto"/>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67" w:lineRule="exact"/>
        <w:rPr>
          <w:rFonts w:ascii="Arial" w:cs="Arial" w:eastAsia="Arial" w:hAnsi="Arial"/>
          <w:sz w:val="17"/>
          <w:szCs w:val="17"/>
          <w:color w:val="auto"/>
        </w:rPr>
      </w:pPr>
    </w:p>
    <w:p>
      <w:pPr>
        <w:ind w:left="1180" w:right="200" w:hanging="97"/>
        <w:spacing w:after="0" w:line="289" w:lineRule="auto"/>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upon any sale or other disposition of all of our direct or indirect equity interests in that subsidiary guarantor to any person that is not our affiliate; or</w:t>
      </w:r>
    </w:p>
    <w:p>
      <w:pPr>
        <w:spacing w:after="0" w:line="53" w:lineRule="exact"/>
        <w:rPr>
          <w:rFonts w:ascii="Arial" w:cs="Arial" w:eastAsia="Arial" w:hAnsi="Arial"/>
          <w:sz w:val="17"/>
          <w:szCs w:val="17"/>
          <w:color w:val="auto"/>
        </w:rPr>
      </w:pPr>
    </w:p>
    <w:p>
      <w:pPr>
        <w:jc w:val="both"/>
        <w:ind w:left="1180" w:right="200" w:hanging="97"/>
        <w:spacing w:after="0" w:line="273" w:lineRule="auto"/>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following delivery of a written notice of the release from the guarantee by us to the trustee, upon the release of all guarantees by the subsidiary guarantor of any debt of ours and any Subsidiary of Plains All American Pipeline (other than debt securities issued under the Indenture).</w:t>
      </w:r>
    </w:p>
    <w:p>
      <w:pPr>
        <w:spacing w:after="0" w:line="80" w:lineRule="exact"/>
        <w:rPr>
          <w:sz w:val="20"/>
          <w:szCs w:val="20"/>
          <w:color w:val="auto"/>
        </w:rPr>
      </w:pPr>
    </w:p>
    <w:p>
      <w:pPr>
        <w:ind w:left="680" w:firstLine="397"/>
        <w:spacing w:after="0" w:line="268" w:lineRule="auto"/>
        <w:rPr>
          <w:sz w:val="20"/>
          <w:szCs w:val="20"/>
          <w:color w:val="auto"/>
        </w:rPr>
      </w:pPr>
      <w:r>
        <w:rPr>
          <w:rFonts w:ascii="Arial" w:cs="Arial" w:eastAsia="Arial" w:hAnsi="Arial"/>
          <w:sz w:val="17"/>
          <w:szCs w:val="17"/>
          <w:color w:val="auto"/>
        </w:rPr>
        <w:t>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Optional Redemption</w:t>
      </w:r>
    </w:p>
    <w:p>
      <w:pPr>
        <w:spacing w:after="0" w:line="138" w:lineRule="exact"/>
        <w:rPr>
          <w:sz w:val="20"/>
          <w:szCs w:val="20"/>
          <w:color w:val="auto"/>
        </w:rPr>
      </w:pPr>
    </w:p>
    <w:p>
      <w:pPr>
        <w:ind w:left="680" w:right="60" w:firstLine="397"/>
        <w:spacing w:after="0" w:line="296" w:lineRule="auto"/>
        <w:rPr>
          <w:sz w:val="20"/>
          <w:szCs w:val="20"/>
          <w:color w:val="auto"/>
        </w:rPr>
      </w:pPr>
      <w:r>
        <w:rPr>
          <w:rFonts w:ascii="Arial" w:cs="Arial" w:eastAsia="Arial" w:hAnsi="Arial"/>
          <w:sz w:val="15"/>
          <w:szCs w:val="15"/>
          <w:color w:val="auto"/>
        </w:rPr>
        <w:t>The notes are redeemable, in whole or in part, at our option at any time and from time to time prior to maturity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w:t>
      </w:r>
    </w:p>
    <w:p>
      <w:pPr>
        <w:jc w:val="both"/>
        <w:ind w:left="680" w:right="60"/>
        <w:spacing w:after="0" w:line="275" w:lineRule="auto"/>
        <w:rPr>
          <w:sz w:val="20"/>
          <w:szCs w:val="20"/>
          <w:color w:val="auto"/>
        </w:rPr>
      </w:pPr>
      <w:r>
        <w:rPr>
          <w:rFonts w:ascii="Arial" w:cs="Arial" w:eastAsia="Arial" w:hAnsi="Arial"/>
          <w:sz w:val="17"/>
          <w:szCs w:val="17"/>
          <w:color w:val="auto"/>
        </w:rPr>
        <w:t>360-day years, each consisting of twelve 30-day months), at the Adjusted Treasury Rate plus 25 basis points together with accrued interest to the date of redemption.</w:t>
      </w:r>
    </w:p>
    <w:p>
      <w:pPr>
        <w:spacing w:after="0" w:line="78" w:lineRule="exact"/>
        <w:rPr>
          <w:sz w:val="20"/>
          <w:szCs w:val="20"/>
          <w:color w:val="auto"/>
        </w:rPr>
      </w:pPr>
    </w:p>
    <w:p>
      <w:pPr>
        <w:jc w:val="both"/>
        <w:ind w:left="680" w:right="60" w:firstLine="397"/>
        <w:spacing w:after="0" w:line="273" w:lineRule="auto"/>
        <w:rPr>
          <w:sz w:val="20"/>
          <w:szCs w:val="20"/>
          <w:color w:val="auto"/>
        </w:rPr>
      </w:pPr>
      <w:r>
        <w:rPr>
          <w:rFonts w:ascii="Arial" w:cs="Arial" w:eastAsia="Arial" w:hAnsi="Arial"/>
          <w:sz w:val="17"/>
          <w:szCs w:val="17"/>
          <w:i w:val="1"/>
          <w:iCs w:val="1"/>
          <w:color w:val="auto"/>
        </w:rPr>
        <w:t>“Adjusted Treasury Rate</w:t>
      </w:r>
      <w:r>
        <w:rPr>
          <w:rFonts w:ascii="Arial" w:cs="Arial" w:eastAsia="Arial" w:hAnsi="Arial"/>
          <w:sz w:val="17"/>
          <w:szCs w:val="17"/>
          <w:color w:val="auto"/>
        </w:rPr>
        <w:t>” means, with respect to any date of redemption, the rate per annum equal to the semi-annual equivalent yield</w:t>
      </w:r>
      <w:r>
        <w:rPr>
          <w:rFonts w:ascii="Arial" w:cs="Arial" w:eastAsia="Arial" w:hAnsi="Arial"/>
          <w:sz w:val="17"/>
          <w:szCs w:val="17"/>
          <w:i w:val="1"/>
          <w:iCs w:val="1"/>
          <w:color w:val="auto"/>
        </w:rPr>
        <w:t xml:space="preserve"> </w:t>
      </w:r>
      <w:r>
        <w:rPr>
          <w:rFonts w:ascii="Arial" w:cs="Arial" w:eastAsia="Arial" w:hAnsi="Arial"/>
          <w:sz w:val="17"/>
          <w:szCs w:val="17"/>
          <w:color w:val="auto"/>
        </w:rPr>
        <w:t>to maturity of the Comparable Treasury Issue, assuming a price for the Comparable Treasury Issue (expressed as a percentage of its principal amount) equal to the Comparable Treasury Price for the date of redemption.</w:t>
      </w:r>
    </w:p>
    <w:p>
      <w:pPr>
        <w:spacing w:after="0" w:line="80" w:lineRule="exact"/>
        <w:rPr>
          <w:sz w:val="20"/>
          <w:szCs w:val="20"/>
          <w:color w:val="auto"/>
        </w:rPr>
      </w:pPr>
    </w:p>
    <w:p>
      <w:pPr>
        <w:ind w:left="680" w:right="660" w:firstLine="397"/>
        <w:spacing w:after="0" w:line="289" w:lineRule="auto"/>
        <w:rPr>
          <w:sz w:val="20"/>
          <w:szCs w:val="20"/>
          <w:color w:val="auto"/>
        </w:rPr>
      </w:pPr>
      <w:r>
        <w:rPr>
          <w:rFonts w:ascii="Arial" w:cs="Arial" w:eastAsia="Arial" w:hAnsi="Arial"/>
          <w:sz w:val="17"/>
          <w:szCs w:val="17"/>
          <w:i w:val="1"/>
          <w:iCs w:val="1"/>
          <w:color w:val="auto"/>
        </w:rPr>
        <w:t xml:space="preserve">“Comparable Treasury Issue’’ </w:t>
      </w:r>
      <w:r>
        <w:rPr>
          <w:rFonts w:ascii="Arial" w:cs="Arial" w:eastAsia="Arial" w:hAnsi="Arial"/>
          <w:sz w:val="17"/>
          <w:szCs w:val="17"/>
          <w:color w:val="auto"/>
        </w:rPr>
        <w:t>means the United States Treasury security selected by the Quotation Agent as having a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to the remaining term of the notes to be redeemed that would be utilized, at</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right="200"/>
        <w:spacing w:after="0" w:line="289" w:lineRule="auto"/>
        <w:rPr>
          <w:sz w:val="20"/>
          <w:szCs w:val="20"/>
          <w:color w:val="auto"/>
        </w:rPr>
      </w:pPr>
      <w:r>
        <w:rPr>
          <w:rFonts w:ascii="Arial" w:cs="Arial" w:eastAsia="Arial" w:hAnsi="Arial"/>
          <w:sz w:val="17"/>
          <w:szCs w:val="17"/>
          <w:color w:val="auto"/>
        </w:rPr>
        <w:t>the time of selection and in accordance with customary financial practice, in pricing new issues of corporate debt securities of comparable maturity to the remaining term of those notes.</w:t>
      </w:r>
    </w:p>
    <w:p>
      <w:pPr>
        <w:spacing w:after="0" w:line="67" w:lineRule="exact"/>
        <w:rPr>
          <w:sz w:val="20"/>
          <w:szCs w:val="20"/>
          <w:color w:val="auto"/>
        </w:rPr>
      </w:pPr>
    </w:p>
    <w:p>
      <w:pPr>
        <w:ind w:left="680" w:right="340" w:firstLine="397"/>
        <w:spacing w:after="0" w:line="298" w:lineRule="auto"/>
        <w:rPr>
          <w:sz w:val="20"/>
          <w:szCs w:val="20"/>
          <w:color w:val="auto"/>
        </w:rPr>
      </w:pPr>
      <w:r>
        <w:rPr>
          <w:rFonts w:ascii="Arial" w:cs="Arial" w:eastAsia="Arial" w:hAnsi="Arial"/>
          <w:sz w:val="16"/>
          <w:szCs w:val="16"/>
          <w:i w:val="1"/>
          <w:iCs w:val="1"/>
          <w:color w:val="auto"/>
        </w:rPr>
        <w:t xml:space="preserve">“Comparable Treasury Price” </w:t>
      </w:r>
      <w:r>
        <w:rPr>
          <w:rFonts w:ascii="Arial" w:cs="Arial" w:eastAsia="Arial" w:hAnsi="Arial"/>
          <w:sz w:val="16"/>
          <w:szCs w:val="16"/>
          <w:color w:val="auto"/>
        </w:rPr>
        <w:t>means, with respect to any date of redemption, (a) the average of the Reference Treasury Dealer</w:t>
      </w:r>
      <w:r>
        <w:rPr>
          <w:rFonts w:ascii="Arial" w:cs="Arial" w:eastAsia="Arial" w:hAnsi="Arial"/>
          <w:sz w:val="16"/>
          <w:szCs w:val="16"/>
          <w:i w:val="1"/>
          <w:iCs w:val="1"/>
          <w:color w:val="auto"/>
        </w:rPr>
        <w:t xml:space="preserve"> </w:t>
      </w:r>
      <w:r>
        <w:rPr>
          <w:rFonts w:ascii="Arial" w:cs="Arial" w:eastAsia="Arial" w:hAnsi="Arial"/>
          <w:sz w:val="16"/>
          <w:szCs w:val="16"/>
          <w:color w:val="auto"/>
        </w:rPr>
        <w:t>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“Quotation Agent” </w:t>
      </w:r>
      <w:r>
        <w:rPr>
          <w:rFonts w:ascii="Arial" w:cs="Arial" w:eastAsia="Arial" w:hAnsi="Arial"/>
          <w:sz w:val="17"/>
          <w:szCs w:val="17"/>
          <w:color w:val="auto"/>
        </w:rPr>
        <w:t>means UBS Securities LLC or another Reference Treasury Dealer appointed by us.</w:t>
      </w:r>
    </w:p>
    <w:p>
      <w:pPr>
        <w:spacing w:after="0" w:line="132" w:lineRule="exact"/>
        <w:rPr>
          <w:sz w:val="20"/>
          <w:szCs w:val="20"/>
          <w:color w:val="auto"/>
        </w:rPr>
      </w:pPr>
    </w:p>
    <w:p>
      <w:pPr>
        <w:ind w:left="680" w:right="20" w:firstLine="397"/>
        <w:spacing w:after="0" w:line="273" w:lineRule="auto"/>
        <w:rPr>
          <w:sz w:val="20"/>
          <w:szCs w:val="20"/>
          <w:color w:val="auto"/>
        </w:rPr>
      </w:pPr>
      <w:r>
        <w:rPr>
          <w:rFonts w:ascii="Arial" w:cs="Arial" w:eastAsia="Arial" w:hAnsi="Arial"/>
          <w:sz w:val="17"/>
          <w:szCs w:val="17"/>
          <w:i w:val="1"/>
          <w:iCs w:val="1"/>
          <w:color w:val="auto"/>
        </w:rPr>
        <w:t xml:space="preserve">“Reference Treasury Dealer” </w:t>
      </w:r>
      <w:r>
        <w:rPr>
          <w:rFonts w:ascii="Arial" w:cs="Arial" w:eastAsia="Arial" w:hAnsi="Arial"/>
          <w:sz w:val="17"/>
          <w:szCs w:val="17"/>
          <w:color w:val="auto"/>
        </w:rPr>
        <w:t>means (a) UBS Securities LLC and its successors; provided, however, that if the foregoing shall cease to</w:t>
      </w:r>
      <w:r>
        <w:rPr>
          <w:rFonts w:ascii="Arial" w:cs="Arial" w:eastAsia="Arial" w:hAnsi="Arial"/>
          <w:sz w:val="17"/>
          <w:szCs w:val="17"/>
          <w:i w:val="1"/>
          <w:iCs w:val="1"/>
          <w:color w:val="auto"/>
        </w:rPr>
        <w:t xml:space="preserve"> </w:t>
      </w:r>
      <w:r>
        <w:rPr>
          <w:rFonts w:ascii="Arial" w:cs="Arial" w:eastAsia="Arial" w:hAnsi="Arial"/>
          <w:sz w:val="17"/>
          <w:szCs w:val="17"/>
          <w:color w:val="auto"/>
        </w:rPr>
        <w:t>be a primary U.S. Government securities dealer in the United States (a “Primary Treasury Dealer”), we shall substitute another Primary Treasury Dealer; and (b) any other Primary Treasury Dealer selected by us.</w:t>
      </w:r>
    </w:p>
    <w:p>
      <w:pPr>
        <w:spacing w:after="0" w:line="80" w:lineRule="exact"/>
        <w:rPr>
          <w:sz w:val="20"/>
          <w:szCs w:val="20"/>
          <w:color w:val="auto"/>
        </w:rPr>
      </w:pPr>
    </w:p>
    <w:p>
      <w:pPr>
        <w:ind w:left="680" w:right="60" w:firstLine="397"/>
        <w:spacing w:after="0" w:line="268"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date of redemption,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84" w:lineRule="exact"/>
        <w:rPr>
          <w:sz w:val="20"/>
          <w:szCs w:val="20"/>
          <w:color w:val="auto"/>
        </w:rPr>
      </w:pPr>
    </w:p>
    <w:p>
      <w:pPr>
        <w:ind w:left="680" w:right="60" w:firstLine="397"/>
        <w:spacing w:after="0" w:line="289" w:lineRule="auto"/>
        <w:rPr>
          <w:sz w:val="20"/>
          <w:szCs w:val="20"/>
          <w:color w:val="auto"/>
        </w:rPr>
      </w:pPr>
      <w:r>
        <w:rPr>
          <w:rFonts w:ascii="Arial" w:cs="Arial" w:eastAsia="Arial" w:hAnsi="Arial"/>
          <w:sz w:val="17"/>
          <w:szCs w:val="17"/>
          <w:color w:val="auto"/>
        </w:rPr>
        <w:t>Unless we default in payment of the redemption price, on and after the date of redemption, interest will cease to accrue on the notes or portions thereof called for redemption.</w:t>
      </w:r>
    </w:p>
    <w:p>
      <w:pPr>
        <w:spacing w:after="0" w:line="67" w:lineRule="exact"/>
        <w:rPr>
          <w:sz w:val="20"/>
          <w:szCs w:val="20"/>
          <w:color w:val="auto"/>
        </w:rPr>
      </w:pPr>
    </w:p>
    <w:p>
      <w:pPr>
        <w:ind w:left="680" w:right="80" w:firstLine="397"/>
        <w:spacing w:after="0" w:line="289" w:lineRule="auto"/>
        <w:rPr>
          <w:sz w:val="20"/>
          <w:szCs w:val="20"/>
          <w:color w:val="auto"/>
        </w:rPr>
      </w:pPr>
      <w:r>
        <w:rPr>
          <w:rFonts w:ascii="Arial" w:cs="Arial" w:eastAsia="Arial" w:hAnsi="Arial"/>
          <w:sz w:val="17"/>
          <w:szCs w:val="17"/>
          <w:color w:val="auto"/>
        </w:rPr>
        <w:t>On or before a redemption date, we will deposit with a paying agent (or with the trustee) sufficient money to pay the redemption price and accrued interest on the notes to be redeemed.</w:t>
      </w:r>
    </w:p>
    <w:p>
      <w:pPr>
        <w:spacing w:after="0" w:line="67" w:lineRule="exact"/>
        <w:rPr>
          <w:sz w:val="20"/>
          <w:szCs w:val="20"/>
          <w:color w:val="auto"/>
        </w:rPr>
      </w:pPr>
    </w:p>
    <w:p>
      <w:pPr>
        <w:ind w:left="680" w:right="100" w:firstLine="397"/>
        <w:spacing w:after="0" w:line="289" w:lineRule="auto"/>
        <w:rPr>
          <w:sz w:val="20"/>
          <w:szCs w:val="20"/>
          <w:color w:val="auto"/>
        </w:rPr>
      </w:pPr>
      <w:r>
        <w:rPr>
          <w:rFonts w:ascii="Arial" w:cs="Arial" w:eastAsia="Arial" w:hAnsi="Arial"/>
          <w:sz w:val="17"/>
          <w:szCs w:val="17"/>
          <w:color w:val="auto"/>
        </w:rPr>
        <w:t>If less than all of the notes are to be redeemed at any time, the trustee will select notes (or any portion of notes in integral multiples of $1,000) for redemption as follows:</w:t>
      </w:r>
    </w:p>
    <w:p>
      <w:pPr>
        <w:spacing w:after="0" w:line="67" w:lineRule="exact"/>
        <w:rPr>
          <w:sz w:val="20"/>
          <w:szCs w:val="20"/>
          <w:color w:val="auto"/>
        </w:rPr>
      </w:pPr>
    </w:p>
    <w:p>
      <w:pPr>
        <w:ind w:left="1180" w:right="40" w:hanging="97"/>
        <w:spacing w:after="0" w:line="289" w:lineRule="auto"/>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notes are listed, in compliance with the requirements of the principal national securities exchange on which the notes are listed; or</w:t>
      </w:r>
    </w:p>
    <w:p>
      <w:pPr>
        <w:spacing w:after="0" w:line="53" w:lineRule="exact"/>
        <w:rPr>
          <w:rFonts w:ascii="Arial" w:cs="Arial" w:eastAsia="Arial" w:hAnsi="Arial"/>
          <w:sz w:val="17"/>
          <w:szCs w:val="17"/>
          <w:color w:val="auto"/>
        </w:rPr>
      </w:pPr>
    </w:p>
    <w:p>
      <w:pPr>
        <w:ind w:left="1180" w:right="120" w:hanging="97"/>
        <w:spacing w:after="0" w:line="289" w:lineRule="auto"/>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notes are not so listed or there are no such requirements, on a pro rata basis, by lot or by such method as the trustee shall deem fair and appropriate.</w:t>
      </w:r>
    </w:p>
    <w:p>
      <w:pPr>
        <w:spacing w:after="0" w:line="67" w:lineRule="exact"/>
        <w:rPr>
          <w:sz w:val="20"/>
          <w:szCs w:val="20"/>
          <w:color w:val="auto"/>
        </w:rPr>
      </w:pPr>
    </w:p>
    <w:p>
      <w:pPr>
        <w:jc w:val="both"/>
        <w:ind w:left="680" w:firstLine="397"/>
        <w:spacing w:after="0" w:line="268" w:lineRule="auto"/>
        <w:rPr>
          <w:sz w:val="20"/>
          <w:szCs w:val="20"/>
          <w:color w:val="auto"/>
        </w:rPr>
      </w:pPr>
      <w:r>
        <w:rPr>
          <w:rFonts w:ascii="Arial" w:cs="Arial" w:eastAsia="Arial" w:hAnsi="Arial"/>
          <w:sz w:val="17"/>
          <w:szCs w:val="17"/>
          <w:color w:val="auto"/>
        </w:rPr>
        <w:t>However, no note with a principal amount of $1,000 or less will be redeemed in part. Notice of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Events of Default</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of the following constitutes an “Event of Default” with respect to the notes:</w:t>
      </w:r>
    </w:p>
    <w:p>
      <w:pPr>
        <w:spacing w:after="0" w:line="132" w:lineRule="exact"/>
        <w:rPr>
          <w:sz w:val="20"/>
          <w:szCs w:val="20"/>
          <w:color w:val="auto"/>
        </w:rPr>
      </w:pPr>
    </w:p>
    <w:p>
      <w:pPr>
        <w:ind w:left="1720" w:hanging="252"/>
        <w:spacing w:after="0"/>
        <w:tabs>
          <w:tab w:leader="none" w:pos="1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in payment when due of the principal of or any premium on any note at maturity, upon redemption or otherwise;</w:t>
      </w:r>
    </w:p>
    <w:p>
      <w:pPr>
        <w:spacing w:after="0" w:line="143" w:lineRule="exact"/>
        <w:rPr>
          <w:rFonts w:ascii="Arial" w:cs="Arial" w:eastAsia="Arial" w:hAnsi="Arial"/>
          <w:sz w:val="16"/>
          <w:szCs w:val="16"/>
          <w:color w:val="auto"/>
        </w:rPr>
      </w:pPr>
    </w:p>
    <w:p>
      <w:pPr>
        <w:ind w:left="1720" w:hanging="252"/>
        <w:spacing w:after="0"/>
        <w:tabs>
          <w:tab w:leader="none" w:pos="1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default for 60 days in the payment when due of interest on any note;</w:t>
      </w:r>
    </w:p>
    <w:p>
      <w:pPr>
        <w:spacing w:after="0" w:line="132" w:lineRule="exact"/>
        <w:rPr>
          <w:rFonts w:ascii="Arial" w:cs="Arial" w:eastAsia="Arial" w:hAnsi="Arial"/>
          <w:sz w:val="17"/>
          <w:szCs w:val="17"/>
          <w:color w:val="auto"/>
        </w:rPr>
      </w:pPr>
    </w:p>
    <w:p>
      <w:pPr>
        <w:ind w:left="1080" w:right="80" w:firstLine="388"/>
        <w:spacing w:after="0" w:line="268" w:lineRule="auto"/>
        <w:tabs>
          <w:tab w:leader="none" w:pos="1709"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by us or, so long as the notes are guaranteed by a subsidiary guarantor, by such subsidiary guarantor, for 30 days after receipt of notice from the trustee or the holders to comply with any other term, covenant or warranty in the Indenture or the notes (provided that notice need not be given, and an Event of Default will occur, 30 days after any breach of the covenants described under “— Consolidation, Merger or Sale”);</w:t>
      </w:r>
    </w:p>
    <w:p>
      <w:pPr>
        <w:spacing w:after="0" w:line="83" w:lineRule="exact"/>
        <w:rPr>
          <w:rFonts w:ascii="Arial" w:cs="Arial" w:eastAsia="Arial" w:hAnsi="Arial"/>
          <w:sz w:val="17"/>
          <w:szCs w:val="17"/>
          <w:color w:val="auto"/>
        </w:rPr>
      </w:pPr>
    </w:p>
    <w:p>
      <w:pPr>
        <w:ind w:left="1080" w:right="160" w:firstLine="388"/>
        <w:spacing w:after="0" w:line="273" w:lineRule="auto"/>
        <w:tabs>
          <w:tab w:leader="none" w:pos="1709"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40"/>
          </w:cols>
          <w:pgMar w:left="240" w:top="410" w:right="111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left="1080" w:right="80"/>
        <w:spacing w:after="0" w:line="295" w:lineRule="auto"/>
        <w:rPr>
          <w:sz w:val="20"/>
          <w:szCs w:val="20"/>
          <w:color w:val="auto"/>
        </w:rPr>
      </w:pPr>
      <w:r>
        <w:rPr>
          <w:rFonts w:ascii="Arial" w:cs="Arial" w:eastAsia="Arial" w:hAnsi="Arial"/>
          <w:sz w:val="15"/>
          <w:szCs w:val="15"/>
          <w:color w:val="auto"/>
        </w:rPr>
        <w:t>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w:t>
      </w:r>
    </w:p>
    <w:p>
      <w:pPr>
        <w:spacing w:after="0" w:line="1" w:lineRule="exact"/>
        <w:rPr>
          <w:sz w:val="20"/>
          <w:szCs w:val="20"/>
          <w:color w:val="auto"/>
        </w:rPr>
      </w:pPr>
    </w:p>
    <w:p>
      <w:pPr>
        <w:ind w:left="1080"/>
        <w:spacing w:after="0" w:line="263" w:lineRule="auto"/>
        <w:rPr>
          <w:sz w:val="20"/>
          <w:szCs w:val="20"/>
          <w:color w:val="auto"/>
        </w:rPr>
      </w:pPr>
      <w:r>
        <w:rPr>
          <w:rFonts w:ascii="Arial" w:cs="Arial" w:eastAsia="Arial" w:hAnsi="Arial"/>
          <w:sz w:val="17"/>
          <w:szCs w:val="17"/>
          <w:color w:val="auto"/>
        </w:rPr>
        <w:t>$25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88" w:lineRule="exact"/>
        <w:rPr>
          <w:sz w:val="20"/>
          <w:szCs w:val="20"/>
          <w:color w:val="auto"/>
        </w:rPr>
      </w:pPr>
    </w:p>
    <w:p>
      <w:pPr>
        <w:ind w:left="1080" w:right="500" w:firstLine="388"/>
        <w:spacing w:after="0" w:line="289" w:lineRule="auto"/>
        <w:tabs>
          <w:tab w:leader="none" w:pos="17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specified events in bankruptcy, insolvency or reorganization of us or, so long as the notes are guaranteed by a subsidiary guarantor, by such subsidiary guarantor; or</w:t>
      </w:r>
    </w:p>
    <w:p>
      <w:pPr>
        <w:spacing w:after="0" w:line="66" w:lineRule="exact"/>
        <w:rPr>
          <w:rFonts w:ascii="Arial" w:cs="Arial" w:eastAsia="Arial" w:hAnsi="Arial"/>
          <w:sz w:val="17"/>
          <w:szCs w:val="17"/>
          <w:color w:val="auto"/>
        </w:rPr>
      </w:pPr>
    </w:p>
    <w:p>
      <w:pPr>
        <w:ind w:left="1720" w:hanging="252"/>
        <w:spacing w:after="0"/>
        <w:tabs>
          <w:tab w:leader="none" w:pos="1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so long as the notes are guaranteed by a subsidiary guarantor:</w:t>
      </w:r>
    </w:p>
    <w:p>
      <w:pPr>
        <w:spacing w:after="0" w:line="132" w:lineRule="exact"/>
        <w:rPr>
          <w:rFonts w:ascii="Arial" w:cs="Arial" w:eastAsia="Arial" w:hAnsi="Arial"/>
          <w:sz w:val="17"/>
          <w:szCs w:val="17"/>
          <w:color w:val="auto"/>
        </w:rPr>
      </w:pPr>
    </w:p>
    <w:p>
      <w:pPr>
        <w:ind w:left="1480" w:right="500" w:firstLine="370"/>
        <w:spacing w:after="0" w:line="289" w:lineRule="auto"/>
        <w:tabs>
          <w:tab w:leader="none" w:pos="2083"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guarantee by such subsidiary guarantor ceases to be in full force and effect, except as otherwise provided in the Indenture;</w:t>
      </w:r>
    </w:p>
    <w:p>
      <w:pPr>
        <w:spacing w:after="0" w:line="66" w:lineRule="exact"/>
        <w:rPr>
          <w:rFonts w:ascii="Arial" w:cs="Arial" w:eastAsia="Arial" w:hAnsi="Arial"/>
          <w:sz w:val="17"/>
          <w:szCs w:val="17"/>
          <w:color w:val="auto"/>
        </w:rPr>
      </w:pPr>
    </w:p>
    <w:p>
      <w:pPr>
        <w:ind w:left="2100" w:hanging="250"/>
        <w:spacing w:after="0"/>
        <w:tabs>
          <w:tab w:leader="none" w:pos="21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guarantee by such subsidiary guarantor is declared null and void in a judicial proceeding; or</w:t>
      </w:r>
    </w:p>
    <w:p>
      <w:pPr>
        <w:spacing w:after="0" w:line="132" w:lineRule="exact"/>
        <w:rPr>
          <w:rFonts w:ascii="Arial" w:cs="Arial" w:eastAsia="Arial" w:hAnsi="Arial"/>
          <w:sz w:val="17"/>
          <w:szCs w:val="17"/>
          <w:color w:val="auto"/>
        </w:rPr>
      </w:pPr>
    </w:p>
    <w:p>
      <w:pPr>
        <w:ind w:left="2080" w:hanging="230"/>
        <w:spacing w:after="0"/>
        <w:tabs>
          <w:tab w:leader="none" w:pos="20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such subsidiary guarantor denies or disaffirms its obligations under the indenture or its guarantee.</w:t>
      </w:r>
    </w:p>
    <w:p>
      <w:pPr>
        <w:spacing w:after="0" w:line="132" w:lineRule="exact"/>
        <w:rPr>
          <w:sz w:val="20"/>
          <w:szCs w:val="20"/>
          <w:color w:val="auto"/>
        </w:rPr>
      </w:pPr>
    </w:p>
    <w:p>
      <w:pPr>
        <w:ind w:left="680" w:right="160" w:firstLine="397"/>
        <w:spacing w:after="0" w:line="285" w:lineRule="auto"/>
        <w:rPr>
          <w:sz w:val="20"/>
          <w:szCs w:val="20"/>
          <w:color w:val="auto"/>
        </w:rPr>
      </w:pPr>
      <w:r>
        <w:rPr>
          <w:rFonts w:ascii="Arial" w:cs="Arial" w:eastAsia="Arial" w:hAnsi="Arial"/>
          <w:sz w:val="16"/>
          <w:szCs w:val="16"/>
          <w:color w:val="auto"/>
        </w:rPr>
        <w:t>An Event of Default for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Consolidation, Merger or Sale</w:t>
      </w:r>
    </w:p>
    <w:p>
      <w:pPr>
        <w:spacing w:after="0" w:line="138" w:lineRule="exact"/>
        <w:rPr>
          <w:sz w:val="20"/>
          <w:szCs w:val="20"/>
          <w:color w:val="auto"/>
        </w:rPr>
      </w:pPr>
    </w:p>
    <w:p>
      <w:pPr>
        <w:ind w:left="680" w:right="20" w:firstLine="397"/>
        <w:spacing w:after="0" w:line="273" w:lineRule="auto"/>
        <w:rPr>
          <w:sz w:val="20"/>
          <w:szCs w:val="20"/>
          <w:color w:val="auto"/>
        </w:rPr>
      </w:pPr>
      <w:r>
        <w:rPr>
          <w:rFonts w:ascii="Arial" w:cs="Arial" w:eastAsia="Arial" w:hAnsi="Arial"/>
          <w:sz w:val="17"/>
          <w:szCs w:val="17"/>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our partnership agreement, and unless:</w:t>
      </w:r>
    </w:p>
    <w:p>
      <w:pPr>
        <w:spacing w:after="0" w:line="80" w:lineRule="exact"/>
        <w:rPr>
          <w:sz w:val="20"/>
          <w:szCs w:val="20"/>
          <w:color w:val="auto"/>
        </w:rPr>
      </w:pPr>
    </w:p>
    <w:p>
      <w:pPr>
        <w:ind w:left="1180" w:hanging="97"/>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are the surviving Person in the case of a merger, or the surviving Person:</w:t>
      </w:r>
    </w:p>
    <w:p>
      <w:pPr>
        <w:spacing w:after="0" w:line="132" w:lineRule="exact"/>
        <w:rPr>
          <w:rFonts w:ascii="Arial" w:cs="Arial" w:eastAsia="Arial" w:hAnsi="Arial"/>
          <w:sz w:val="17"/>
          <w:szCs w:val="17"/>
          <w:color w:val="auto"/>
        </w:rPr>
      </w:pPr>
    </w:p>
    <w:p>
      <w:pPr>
        <w:ind w:left="1380" w:right="360" w:hanging="100"/>
        <w:spacing w:after="0" w:line="326" w:lineRule="auto"/>
        <w:tabs>
          <w:tab w:leader="none" w:pos="13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31" w:lineRule="exact"/>
        <w:rPr>
          <w:rFonts w:ascii="Arial" w:cs="Arial" w:eastAsia="Arial" w:hAnsi="Arial"/>
          <w:sz w:val="15"/>
          <w:szCs w:val="15"/>
          <w:color w:val="auto"/>
        </w:rPr>
      </w:pPr>
    </w:p>
    <w:p>
      <w:pPr>
        <w:jc w:val="both"/>
        <w:ind w:left="1380" w:right="180" w:hanging="100"/>
        <w:spacing w:after="0" w:line="273" w:lineRule="auto"/>
        <w:tabs>
          <w:tab w:leader="none" w:pos="13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80" w:lineRule="exact"/>
        <w:rPr>
          <w:rFonts w:ascii="Arial" w:cs="Arial" w:eastAsia="Arial" w:hAnsi="Arial"/>
          <w:sz w:val="17"/>
          <w:szCs w:val="17"/>
          <w:color w:val="auto"/>
        </w:rPr>
      </w:pPr>
    </w:p>
    <w:p>
      <w:pPr>
        <w:ind w:left="1180" w:right="700" w:hanging="97"/>
        <w:spacing w:after="0" w:line="289"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or series of transactions, no Default or Event of Default has occurred and is continuing;</w:t>
      </w:r>
    </w:p>
    <w:p>
      <w:pPr>
        <w:spacing w:after="0" w:line="53" w:lineRule="exact"/>
        <w:rPr>
          <w:rFonts w:ascii="Arial" w:cs="Arial" w:eastAsia="Arial" w:hAnsi="Arial"/>
          <w:sz w:val="17"/>
          <w:szCs w:val="17"/>
          <w:color w:val="auto"/>
        </w:rPr>
      </w:pPr>
    </w:p>
    <w:p>
      <w:pPr>
        <w:ind w:left="1180" w:right="100" w:hanging="97"/>
        <w:spacing w:after="0" w:line="289"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we are not the surviving Person, then each subsidiary guarantor, unless such subsidiary guarantor is the Person with which we have consummated a transaction under this provision, shall have confirmed</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that its guarantee of the notes shall continue to apply to the obligations under the notes and the Indenture; and</w:t>
      </w:r>
    </w:p>
    <w:p>
      <w:pPr>
        <w:spacing w:after="0" w:line="132" w:lineRule="exact"/>
        <w:rPr>
          <w:sz w:val="20"/>
          <w:szCs w:val="20"/>
          <w:color w:val="auto"/>
        </w:rPr>
      </w:pPr>
    </w:p>
    <w:p>
      <w:pPr>
        <w:ind w:left="1180" w:right="400" w:hanging="97"/>
        <w:spacing w:after="0" w:line="326" w:lineRule="auto"/>
        <w:tabs>
          <w:tab w:leader="none" w:pos="11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44" w:lineRule="exact"/>
        <w:rPr>
          <w:sz w:val="20"/>
          <w:szCs w:val="20"/>
          <w:color w:val="auto"/>
        </w:rPr>
      </w:pPr>
    </w:p>
    <w:p>
      <w:pPr>
        <w:jc w:val="both"/>
        <w:ind w:left="680" w:right="20" w:firstLine="397"/>
        <w:spacing w:after="0" w:line="298" w:lineRule="auto"/>
        <w:rPr>
          <w:sz w:val="20"/>
          <w:szCs w:val="20"/>
          <w:color w:val="auto"/>
        </w:rPr>
      </w:pPr>
      <w:r>
        <w:rPr>
          <w:rFonts w:ascii="Arial" w:cs="Arial" w:eastAsia="Arial" w:hAnsi="Arial"/>
          <w:sz w:val="16"/>
          <w:szCs w:val="16"/>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Modification of the Indenture</w:t>
      </w:r>
    </w:p>
    <w:p>
      <w:pPr>
        <w:spacing w:after="0" w:line="138" w:lineRule="exact"/>
        <w:rPr>
          <w:sz w:val="20"/>
          <w:szCs w:val="20"/>
          <w:color w:val="auto"/>
        </w:rPr>
      </w:pPr>
    </w:p>
    <w:p>
      <w:pPr>
        <w:jc w:val="both"/>
        <w:ind w:left="680" w:right="100" w:firstLine="397"/>
        <w:spacing w:after="0" w:line="298" w:lineRule="auto"/>
        <w:rPr>
          <w:sz w:val="20"/>
          <w:szCs w:val="20"/>
          <w:color w:val="auto"/>
        </w:rPr>
      </w:pPr>
      <w:r>
        <w:rPr>
          <w:rFonts w:ascii="Arial" w:cs="Arial" w:eastAsia="Arial" w:hAnsi="Arial"/>
          <w:sz w:val="16"/>
          <w:szCs w:val="16"/>
          <w:color w:val="auto"/>
        </w:rPr>
        <w:t>Generally, we, the subsidiary guarantors and the trustee may amend or supplement the Indenture, the guarantees and the notes with the written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62" w:lineRule="exact"/>
        <w:rPr>
          <w:sz w:val="20"/>
          <w:szCs w:val="20"/>
          <w:color w:val="auto"/>
        </w:rPr>
      </w:pPr>
    </w:p>
    <w:p>
      <w:pPr>
        <w:ind w:left="1180" w:hanging="97"/>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 the principal amount of notes whose holders must consent to an amendment, supplement or waiver;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 the principal of or change the fixed maturity of any note;</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provisions with respect to the redemption of any notes;</w:t>
      </w:r>
    </w:p>
    <w:p>
      <w:pPr>
        <w:spacing w:after="0" w:line="130" w:lineRule="exact"/>
        <w:rPr>
          <w:rFonts w:ascii="Arial" w:cs="Arial" w:eastAsia="Arial" w:hAnsi="Arial"/>
          <w:sz w:val="16"/>
          <w:szCs w:val="16"/>
          <w:color w:val="auto"/>
        </w:rPr>
      </w:pPr>
    </w:p>
    <w:p>
      <w:pPr>
        <w:ind w:left="1180" w:hanging="97"/>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 the rate of or change the time for payment of interest on any note;</w:t>
      </w:r>
    </w:p>
    <w:p>
      <w:pPr>
        <w:spacing w:after="0" w:line="250" w:lineRule="exact"/>
        <w:rPr>
          <w:rFonts w:ascii="Arial" w:cs="Arial" w:eastAsia="Arial" w:hAnsi="Arial"/>
          <w:sz w:val="17"/>
          <w:szCs w:val="17"/>
          <w:color w:val="auto"/>
        </w:rPr>
      </w:pPr>
    </w:p>
    <w:p>
      <w:pPr>
        <w:jc w:val="both"/>
        <w:ind w:left="1180" w:hanging="97"/>
        <w:spacing w:after="0" w:line="273" w:lineRule="auto"/>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67" w:lineRule="exact"/>
        <w:rPr>
          <w:rFonts w:ascii="Arial" w:cs="Arial" w:eastAsia="Arial" w:hAnsi="Arial"/>
          <w:sz w:val="17"/>
          <w:szCs w:val="17"/>
          <w:color w:val="auto"/>
        </w:rPr>
      </w:pPr>
    </w:p>
    <w:p>
      <w:pPr>
        <w:ind w:left="1180" w:hanging="97"/>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release any security that may have been granted with respect to the notes;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make any note payable in currency other than that stated in the notes;</w:t>
      </w:r>
    </w:p>
    <w:p>
      <w:pPr>
        <w:spacing w:after="0" w:line="119" w:lineRule="exact"/>
        <w:rPr>
          <w:rFonts w:ascii="Arial" w:cs="Arial" w:eastAsia="Arial" w:hAnsi="Arial"/>
          <w:sz w:val="17"/>
          <w:szCs w:val="17"/>
          <w:color w:val="auto"/>
        </w:rPr>
      </w:pPr>
    </w:p>
    <w:p>
      <w:pPr>
        <w:ind w:left="1180" w:right="380" w:hanging="97"/>
        <w:spacing w:after="0" w:line="289" w:lineRule="auto"/>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make any change in the provisions of the Indenture relating to waivers of past Defaults or the rights of holders of notes to receive payments of principal of or premium, if any, or interest on the notes;</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w:t>
      </w:r>
    </w:p>
    <w:p>
      <w:pPr>
        <w:spacing w:after="0" w:line="119" w:lineRule="exact"/>
        <w:rPr>
          <w:rFonts w:ascii="Arial" w:cs="Arial" w:eastAsia="Arial" w:hAnsi="Arial"/>
          <w:sz w:val="17"/>
          <w:szCs w:val="17"/>
          <w:color w:val="auto"/>
        </w:rPr>
      </w:pPr>
    </w:p>
    <w:p>
      <w:pPr>
        <w:ind w:left="1180" w:right="600" w:hanging="97"/>
        <w:spacing w:after="0" w:line="322"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30" w:lineRule="exact"/>
        <w:rPr>
          <w:rFonts w:ascii="Arial" w:cs="Arial" w:eastAsia="Arial" w:hAnsi="Arial"/>
          <w:sz w:val="16"/>
          <w:szCs w:val="16"/>
          <w:color w:val="auto"/>
        </w:rPr>
      </w:pPr>
    </w:p>
    <w:p>
      <w:pPr>
        <w:ind w:left="1180" w:hanging="97"/>
        <w:spacing w:after="0"/>
        <w:tabs>
          <w:tab w:leader="none" w:pos="11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w:t>
      </w:r>
    </w:p>
    <w:p>
      <w:pPr>
        <w:spacing w:after="0" w:line="155" w:lineRule="exact"/>
        <w:rPr>
          <w:sz w:val="20"/>
          <w:szCs w:val="20"/>
          <w:color w:val="auto"/>
        </w:rPr>
      </w:pPr>
    </w:p>
    <w:p>
      <w:pPr>
        <w:ind w:left="680" w:right="100" w:firstLine="397"/>
        <w:spacing w:after="0" w:line="289" w:lineRule="auto"/>
        <w:rPr>
          <w:sz w:val="20"/>
          <w:szCs w:val="20"/>
          <w:color w:val="auto"/>
        </w:rPr>
      </w:pPr>
      <w:r>
        <w:rPr>
          <w:rFonts w:ascii="Arial" w:cs="Arial" w:eastAsia="Arial" w:hAnsi="Arial"/>
          <w:sz w:val="17"/>
          <w:szCs w:val="17"/>
          <w:color w:val="auto"/>
        </w:rPr>
        <w:t>Notwithstanding the preceding, without the consent of any holder of notes, we and the trustee may amend or supplement the Indenture or the notes:</w:t>
      </w:r>
    </w:p>
    <w:p>
      <w:pPr>
        <w:spacing w:after="0" w:line="67" w:lineRule="exact"/>
        <w:rPr>
          <w:sz w:val="20"/>
          <w:szCs w:val="20"/>
          <w:color w:val="auto"/>
        </w:rPr>
      </w:pPr>
    </w:p>
    <w:p>
      <w:pPr>
        <w:ind w:left="1180" w:hanging="97"/>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cure any ambiguity, defect or inconsistency;</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provide for uncertificated notes in addition to or in place of certificated notes;</w:t>
      </w:r>
    </w:p>
    <w:p>
      <w:pPr>
        <w:spacing w:after="0" w:line="119" w:lineRule="exact"/>
        <w:rPr>
          <w:rFonts w:ascii="Arial" w:cs="Arial" w:eastAsia="Arial" w:hAnsi="Arial"/>
          <w:sz w:val="17"/>
          <w:szCs w:val="17"/>
          <w:color w:val="auto"/>
        </w:rPr>
      </w:pPr>
    </w:p>
    <w:p>
      <w:pPr>
        <w:ind w:left="1180" w:right="340" w:hanging="97"/>
        <w:spacing w:after="0" w:line="289" w:lineRule="auto"/>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provide for the assumption of our or the confirmation of a subsidiary guarantor’s obligations to holders of notes in the case of a merger or consolidation or sale of all or substantially all of our assets;</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add or release subsidiary guarantors as permitted pursuant to the terms of the Indenture (please read “— The Guarantees”);</w:t>
      </w: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0" w:right="10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180" w:right="640" w:hanging="97"/>
        <w:spacing w:after="0" w:line="289" w:lineRule="auto"/>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make any changes that would provide any additional rights or benefits to the holders of notes that do not, taken as a whole, adversely affect the rights under the Indenture of any holder of the notes;</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30" w:lineRule="exact"/>
        <w:rPr>
          <w:rFonts w:ascii="Arial" w:cs="Arial" w:eastAsia="Arial" w:hAnsi="Arial"/>
          <w:sz w:val="16"/>
          <w:szCs w:val="16"/>
          <w:color w:val="auto"/>
        </w:rPr>
      </w:pPr>
    </w:p>
    <w:p>
      <w:pPr>
        <w:ind w:left="1180" w:hanging="97"/>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evidence or provide for the acceptance of appointment under the Indenture of a successor trustee;</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add any additional Events of Default;</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secure the notes and/or the guarantees; or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establish the form or terms of any other series of debt securities under the Base Indenture.</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Covenants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Limitations on Liens</w:t>
      </w:r>
    </w:p>
    <w:p>
      <w:pPr>
        <w:spacing w:after="0" w:line="132" w:lineRule="exact"/>
        <w:rPr>
          <w:sz w:val="20"/>
          <w:szCs w:val="20"/>
          <w:color w:val="auto"/>
        </w:rPr>
      </w:pPr>
    </w:p>
    <w:p>
      <w:pPr>
        <w:ind w:left="680" w:firstLine="397"/>
        <w:spacing w:after="0" w:line="265" w:lineRule="auto"/>
        <w:rPr>
          <w:sz w:val="20"/>
          <w:szCs w:val="20"/>
          <w:color w:val="auto"/>
        </w:rPr>
      </w:pPr>
      <w:r>
        <w:rPr>
          <w:rFonts w:ascii="Arial" w:cs="Arial" w:eastAsia="Arial" w:hAnsi="Arial"/>
          <w:sz w:val="17"/>
          <w:szCs w:val="17"/>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88" w:lineRule="exact"/>
        <w:rPr>
          <w:sz w:val="20"/>
          <w:szCs w:val="20"/>
          <w:color w:val="auto"/>
        </w:rPr>
      </w:pPr>
    </w:p>
    <w:p>
      <w:pPr>
        <w:ind w:left="1180" w:hanging="97"/>
        <w:spacing w:after="0"/>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Permitted Liens;</w:t>
      </w:r>
    </w:p>
    <w:p>
      <w:pPr>
        <w:spacing w:after="0" w:line="119" w:lineRule="exact"/>
        <w:rPr>
          <w:rFonts w:ascii="Arial" w:cs="Arial" w:eastAsia="Arial" w:hAnsi="Arial"/>
          <w:sz w:val="17"/>
          <w:szCs w:val="17"/>
          <w:color w:val="auto"/>
        </w:rPr>
      </w:pPr>
    </w:p>
    <w:p>
      <w:pPr>
        <w:ind w:left="1180" w:right="100" w:hanging="97"/>
        <w:spacing w:after="0" w:line="326" w:lineRule="auto"/>
        <w:tabs>
          <w:tab w:leader="none" w:pos="11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1" w:lineRule="exact"/>
        <w:rPr>
          <w:rFonts w:ascii="Arial" w:cs="Arial" w:eastAsia="Arial" w:hAnsi="Arial"/>
          <w:sz w:val="15"/>
          <w:szCs w:val="15"/>
          <w:color w:val="auto"/>
        </w:rPr>
      </w:pPr>
    </w:p>
    <w:p>
      <w:pPr>
        <w:ind w:left="1180" w:right="160" w:hanging="97"/>
        <w:spacing w:after="0" w:line="298"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48" w:lineRule="exact"/>
        <w:rPr>
          <w:rFonts w:ascii="Arial" w:cs="Arial" w:eastAsia="Arial" w:hAnsi="Arial"/>
          <w:sz w:val="16"/>
          <w:szCs w:val="16"/>
          <w:color w:val="auto"/>
        </w:rPr>
      </w:pPr>
    </w:p>
    <w:p>
      <w:pPr>
        <w:ind w:left="1180" w:right="40" w:hanging="97"/>
        <w:spacing w:after="0" w:line="273"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67" w:lineRule="exact"/>
        <w:rPr>
          <w:rFonts w:ascii="Arial" w:cs="Arial" w:eastAsia="Arial" w:hAnsi="Arial"/>
          <w:sz w:val="17"/>
          <w:szCs w:val="17"/>
          <w:color w:val="auto"/>
        </w:rPr>
      </w:pPr>
    </w:p>
    <w:p>
      <w:pPr>
        <w:ind w:left="1180" w:right="200" w:hanging="97"/>
        <w:spacing w:after="0" w:line="273"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67" w:lineRule="exact"/>
        <w:rPr>
          <w:rFonts w:ascii="Arial" w:cs="Arial" w:eastAsia="Arial" w:hAnsi="Arial"/>
          <w:sz w:val="17"/>
          <w:szCs w:val="17"/>
          <w:color w:val="auto"/>
        </w:rPr>
      </w:pPr>
    </w:p>
    <w:p>
      <w:pPr>
        <w:ind w:left="1180" w:right="360" w:hanging="97"/>
        <w:spacing w:after="0" w:line="289"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lien upon any of our property or assets or the property or assets of any Restricted Subsidiary in existence on the Issue Date or provided for pursuant to agreements existing on the Issue Date;</w:t>
      </w:r>
    </w:p>
    <w:p>
      <w:pPr>
        <w:spacing w:after="0" w:line="53" w:lineRule="exact"/>
        <w:rPr>
          <w:rFonts w:ascii="Arial" w:cs="Arial" w:eastAsia="Arial" w:hAnsi="Arial"/>
          <w:sz w:val="17"/>
          <w:szCs w:val="17"/>
          <w:color w:val="auto"/>
        </w:rPr>
      </w:pPr>
    </w:p>
    <w:p>
      <w:pPr>
        <w:jc w:val="both"/>
        <w:ind w:left="1180" w:right="160" w:hanging="97"/>
        <w:spacing w:after="0" w:line="273"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liens imposed by law or order as a result of any proceeding before any court or regulatory body that is being contested in good faith, and liens which secure a judgment or other court-ordered award or settlement as to which we or the applicable Restricted Subsidiary has not exhausted its appellate rights;</w:t>
      </w:r>
    </w:p>
    <w:p>
      <w:pPr>
        <w:spacing w:after="0" w:line="67" w:lineRule="exact"/>
        <w:rPr>
          <w:rFonts w:ascii="Arial" w:cs="Arial" w:eastAsia="Arial" w:hAnsi="Arial"/>
          <w:sz w:val="17"/>
          <w:szCs w:val="17"/>
          <w:color w:val="auto"/>
        </w:rPr>
      </w:pPr>
    </w:p>
    <w:p>
      <w:pPr>
        <w:ind w:left="1180" w:right="60" w:hanging="97"/>
        <w:spacing w:after="0" w:line="265"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0" w:right="10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1180" w:right="360"/>
        <w:spacing w:after="0" w:line="289" w:lineRule="auto"/>
        <w:rPr>
          <w:sz w:val="20"/>
          <w:szCs w:val="20"/>
          <w:color w:val="auto"/>
        </w:rPr>
      </w:pPr>
      <w:r>
        <w:rPr>
          <w:rFonts w:ascii="Arial" w:cs="Arial" w:eastAsia="Arial" w:hAnsi="Arial"/>
          <w:sz w:val="17"/>
          <w:szCs w:val="17"/>
          <w:color w:val="auto"/>
        </w:rPr>
        <w:t>renewed, refinanced, refunded or replaced and any of our expenses and the expenses of the Restricted Subsidiaries (including any premium) incurred in connection with such extension, renewal, refinancing, refunding or replacement; or</w:t>
      </w:r>
    </w:p>
    <w:p>
      <w:pPr>
        <w:spacing w:after="0" w:line="67" w:lineRule="exact"/>
        <w:rPr>
          <w:sz w:val="20"/>
          <w:szCs w:val="20"/>
          <w:color w:val="auto"/>
        </w:rPr>
      </w:pPr>
    </w:p>
    <w:p>
      <w:pPr>
        <w:ind w:left="1180" w:right="80" w:hanging="97"/>
        <w:spacing w:after="0" w:line="289"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lien resulting from the deposit of moneys or evidence of indebtedness in trust for the purpose of defeasing our debt or debt of any Restricted Subsidiary.</w:t>
      </w:r>
    </w:p>
    <w:p>
      <w:pPr>
        <w:spacing w:after="0" w:line="67" w:lineRule="exact"/>
        <w:rPr>
          <w:sz w:val="20"/>
          <w:szCs w:val="20"/>
          <w:color w:val="auto"/>
        </w:rPr>
      </w:pPr>
    </w:p>
    <w:p>
      <w:pPr>
        <w:ind w:left="680" w:right="60" w:firstLine="397"/>
        <w:spacing w:after="0" w:line="263" w:lineRule="auto"/>
        <w:rPr>
          <w:sz w:val="20"/>
          <w:szCs w:val="20"/>
          <w:color w:val="auto"/>
        </w:rPr>
      </w:pPr>
      <w:r>
        <w:rPr>
          <w:rFonts w:ascii="Arial" w:cs="Arial" w:eastAsia="Arial" w:hAnsi="Arial"/>
          <w:sz w:val="17"/>
          <w:szCs w:val="17"/>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10% of Consolidated Net Tangible Assets.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Limitations on Sale-Leasebacks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will not, and will not permit any Subsidiary to, engage in a Sale-leaseback Transaction, unless:</w:t>
      </w:r>
    </w:p>
    <w:p>
      <w:pPr>
        <w:spacing w:after="0" w:line="132" w:lineRule="exact"/>
        <w:rPr>
          <w:sz w:val="20"/>
          <w:szCs w:val="20"/>
          <w:color w:val="auto"/>
        </w:rPr>
      </w:pPr>
    </w:p>
    <w:p>
      <w:pPr>
        <w:ind w:left="1180" w:right="100" w:hanging="97"/>
        <w:spacing w:after="0" w:line="273"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67" w:lineRule="exact"/>
        <w:rPr>
          <w:rFonts w:ascii="Arial" w:cs="Arial" w:eastAsia="Arial" w:hAnsi="Arial"/>
          <w:sz w:val="17"/>
          <w:szCs w:val="17"/>
          <w:color w:val="auto"/>
        </w:rPr>
      </w:pPr>
    </w:p>
    <w:p>
      <w:pPr>
        <w:ind w:left="1180" w:hanging="97"/>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Sale-leaseback Transaction involves a lease for a period, including renewals, of not more than three years;</w:t>
      </w:r>
    </w:p>
    <w:p>
      <w:pPr>
        <w:spacing w:after="0" w:line="119" w:lineRule="exact"/>
        <w:rPr>
          <w:rFonts w:ascii="Arial" w:cs="Arial" w:eastAsia="Arial" w:hAnsi="Arial"/>
          <w:sz w:val="17"/>
          <w:szCs w:val="17"/>
          <w:color w:val="auto"/>
        </w:rPr>
      </w:pPr>
    </w:p>
    <w:p>
      <w:pPr>
        <w:ind w:left="1180" w:right="240" w:hanging="97"/>
        <w:spacing w:after="0" w:line="273"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67" w:lineRule="exact"/>
        <w:rPr>
          <w:rFonts w:ascii="Arial" w:cs="Arial" w:eastAsia="Arial" w:hAnsi="Arial"/>
          <w:sz w:val="17"/>
          <w:szCs w:val="17"/>
          <w:color w:val="auto"/>
        </w:rPr>
      </w:pPr>
    </w:p>
    <w:p>
      <w:pPr>
        <w:ind w:left="1180" w:right="160" w:hanging="97"/>
        <w:spacing w:after="0" w:line="290"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68" w:lineRule="exact"/>
        <w:rPr>
          <w:sz w:val="20"/>
          <w:szCs w:val="20"/>
          <w:color w:val="auto"/>
        </w:rPr>
      </w:pPr>
    </w:p>
    <w:p>
      <w:pPr>
        <w:jc w:val="both"/>
        <w:ind w:left="680" w:right="160" w:firstLine="397"/>
        <w:spacing w:after="0" w:line="314" w:lineRule="auto"/>
        <w:rPr>
          <w:sz w:val="20"/>
          <w:szCs w:val="20"/>
          <w:color w:val="auto"/>
        </w:rPr>
      </w:pPr>
      <w:r>
        <w:rPr>
          <w:rFonts w:ascii="Arial" w:cs="Arial" w:eastAsia="Arial" w:hAnsi="Arial"/>
          <w:sz w:val="15"/>
          <w:szCs w:val="15"/>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SEC Reports</w:t>
      </w:r>
    </w:p>
    <w:p>
      <w:pPr>
        <w:spacing w:after="0" w:line="138" w:lineRule="exact"/>
        <w:rPr>
          <w:sz w:val="20"/>
          <w:szCs w:val="20"/>
          <w:color w:val="auto"/>
        </w:rPr>
      </w:pPr>
    </w:p>
    <w:p>
      <w:pPr>
        <w:ind w:left="680" w:firstLine="397"/>
        <w:spacing w:after="0" w:line="285" w:lineRule="auto"/>
        <w:rPr>
          <w:sz w:val="20"/>
          <w:szCs w:val="20"/>
          <w:color w:val="auto"/>
        </w:rPr>
      </w:pPr>
      <w:r>
        <w:rPr>
          <w:rFonts w:ascii="Arial" w:cs="Arial" w:eastAsia="Arial" w:hAnsi="Arial"/>
          <w:sz w:val="16"/>
          <w:szCs w:val="16"/>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74" w:lineRule="exact"/>
        <w:rPr>
          <w:sz w:val="20"/>
          <w:szCs w:val="20"/>
          <w:color w:val="auto"/>
        </w:rPr>
      </w:pPr>
    </w:p>
    <w:p>
      <w:pPr>
        <w:ind w:left="680" w:right="480" w:firstLine="397"/>
        <w:spacing w:after="0" w:line="289" w:lineRule="auto"/>
        <w:rPr>
          <w:sz w:val="20"/>
          <w:szCs w:val="20"/>
          <w:color w:val="auto"/>
        </w:rPr>
      </w:pPr>
      <w:r>
        <w:rPr>
          <w:rFonts w:ascii="Arial" w:cs="Arial" w:eastAsia="Arial" w:hAnsi="Arial"/>
          <w:sz w:val="17"/>
          <w:szCs w:val="17"/>
          <w:color w:val="auto"/>
        </w:rPr>
        <w:t>If such filings are not then permitted by the SEC, or such filings are not generally available on the Internet free of charge, we will provide the trustee with, and the trustee will mail to any holder of notes</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right="460"/>
        <w:spacing w:after="0" w:line="289" w:lineRule="auto"/>
        <w:rPr>
          <w:sz w:val="20"/>
          <w:szCs w:val="20"/>
          <w:color w:val="auto"/>
        </w:rPr>
      </w:pPr>
      <w:r>
        <w:rPr>
          <w:rFonts w:ascii="Arial" w:cs="Arial" w:eastAsia="Arial" w:hAnsi="Arial"/>
          <w:sz w:val="17"/>
          <w:szCs w:val="17"/>
          <w:color w:val="auto"/>
        </w:rPr>
        <w:t>requesting in writing to the trustee copies of, such annual, quarterly and other periodic reports specified in Sections 13 and 15(d) of the Exchange Act within 15 days after its Required Filing Date.</w:t>
      </w:r>
    </w:p>
    <w:p>
      <w:pPr>
        <w:spacing w:after="0" w:line="67" w:lineRule="exact"/>
        <w:rPr>
          <w:sz w:val="20"/>
          <w:szCs w:val="20"/>
          <w:color w:val="auto"/>
        </w:rPr>
      </w:pPr>
    </w:p>
    <w:p>
      <w:pPr>
        <w:ind w:left="680" w:right="120" w:firstLine="397"/>
        <w:spacing w:after="0" w:line="273" w:lineRule="auto"/>
        <w:rPr>
          <w:sz w:val="20"/>
          <w:szCs w:val="20"/>
          <w:color w:val="auto"/>
        </w:rPr>
      </w:pPr>
      <w:r>
        <w:rPr>
          <w:rFonts w:ascii="Arial" w:cs="Arial" w:eastAsia="Arial" w:hAnsi="Arial"/>
          <w:sz w:val="17"/>
          <w:szCs w:val="17"/>
          <w:color w:val="auto"/>
        </w:rPr>
        <w:t>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Defeasance and Discharge</w:t>
      </w:r>
    </w:p>
    <w:p>
      <w:pPr>
        <w:spacing w:after="0" w:line="138" w:lineRule="exact"/>
        <w:rPr>
          <w:sz w:val="20"/>
          <w:szCs w:val="20"/>
          <w:color w:val="auto"/>
        </w:rPr>
      </w:pPr>
    </w:p>
    <w:p>
      <w:pPr>
        <w:ind w:left="680" w:right="60" w:firstLine="397"/>
        <w:spacing w:after="0" w:line="326" w:lineRule="auto"/>
        <w:rPr>
          <w:sz w:val="20"/>
          <w:szCs w:val="20"/>
          <w:color w:val="auto"/>
        </w:rPr>
      </w:pPr>
      <w:r>
        <w:rPr>
          <w:rFonts w:ascii="Arial" w:cs="Arial" w:eastAsia="Arial" w:hAnsi="Arial"/>
          <w:sz w:val="15"/>
          <w:szCs w:val="15"/>
          <w:color w:val="auto"/>
        </w:rPr>
        <w:t>At any time we may terminate all our obligations under the Indenture as they relate to the notes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in respect of the notes.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Also, at any time we may terminate our obligations under covenants described in the last paragraph of “— The Guarantees,” under</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Covenants” and under “— SEC Reports” with respect to the notes (“covenant defeasance”), and thereafter our failure to comply with any</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of such covenants would not constitute an Event of Default.</w:t>
      </w:r>
    </w:p>
    <w:p>
      <w:pPr>
        <w:spacing w:after="0" w:line="120" w:lineRule="exact"/>
        <w:rPr>
          <w:sz w:val="20"/>
          <w:szCs w:val="20"/>
          <w:color w:val="auto"/>
        </w:rPr>
      </w:pPr>
    </w:p>
    <w:p>
      <w:pPr>
        <w:ind w:left="680" w:right="120" w:firstLine="397"/>
        <w:spacing w:after="0" w:line="322"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exercise our legal defeasance option, each guarantee obligation will be deemed to have been discharged with respect to the notes.</w:t>
      </w:r>
    </w:p>
    <w:p>
      <w:pPr>
        <w:spacing w:after="0" w:line="44" w:lineRule="exact"/>
        <w:rPr>
          <w:sz w:val="20"/>
          <w:szCs w:val="20"/>
          <w:color w:val="auto"/>
        </w:rPr>
      </w:pPr>
    </w:p>
    <w:p>
      <w:pPr>
        <w:ind w:left="680" w:right="40" w:firstLine="397"/>
        <w:spacing w:after="0" w:line="281" w:lineRule="auto"/>
        <w:rPr>
          <w:sz w:val="20"/>
          <w:szCs w:val="20"/>
          <w:color w:val="auto"/>
        </w:rPr>
      </w:pPr>
      <w:r>
        <w:rPr>
          <w:rFonts w:ascii="Arial" w:cs="Arial" w:eastAsia="Arial" w:hAnsi="Arial"/>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to the effect that holders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78" w:lineRule="exact"/>
        <w:rPr>
          <w:sz w:val="20"/>
          <w:szCs w:val="20"/>
          <w:color w:val="auto"/>
        </w:rPr>
      </w:pPr>
    </w:p>
    <w:p>
      <w:pPr>
        <w:ind w:left="680" w:right="60" w:firstLine="397"/>
        <w:spacing w:after="0" w:line="289" w:lineRule="auto"/>
        <w:rPr>
          <w:sz w:val="20"/>
          <w:szCs w:val="20"/>
          <w:color w:val="auto"/>
        </w:rPr>
      </w:pPr>
      <w:r>
        <w:rPr>
          <w:rFonts w:ascii="Arial" w:cs="Arial" w:eastAsia="Arial" w:hAnsi="Arial"/>
          <w:sz w:val="17"/>
          <w:szCs w:val="17"/>
          <w:color w:val="auto"/>
        </w:rPr>
        <w:t>In the event of any legal defeasance, holders of the notes would be entitled to look only to the trust for payment of principal of and any premium and interest on their notes until maturity.</w:t>
      </w:r>
    </w:p>
    <w:p>
      <w:pPr>
        <w:spacing w:after="0" w:line="67" w:lineRule="exact"/>
        <w:rPr>
          <w:sz w:val="20"/>
          <w:szCs w:val="20"/>
          <w:color w:val="auto"/>
        </w:rPr>
      </w:pPr>
    </w:p>
    <w:p>
      <w:pPr>
        <w:ind w:left="680" w:right="80" w:firstLine="397"/>
        <w:spacing w:after="0" w:line="314" w:lineRule="auto"/>
        <w:rPr>
          <w:sz w:val="20"/>
          <w:szCs w:val="20"/>
          <w:color w:val="auto"/>
        </w:rPr>
      </w:pPr>
      <w:r>
        <w:rPr>
          <w:rFonts w:ascii="Arial" w:cs="Arial" w:eastAsia="Arial" w:hAnsi="Arial"/>
          <w:sz w:val="15"/>
          <w:szCs w:val="15"/>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54" w:lineRule="exact"/>
        <w:rPr>
          <w:sz w:val="20"/>
          <w:szCs w:val="20"/>
          <w:color w:val="auto"/>
        </w:rPr>
      </w:pPr>
    </w:p>
    <w:p>
      <w:pPr>
        <w:ind w:left="680" w:right="360" w:firstLine="397"/>
        <w:spacing w:after="0" w:line="289" w:lineRule="auto"/>
        <w:rPr>
          <w:sz w:val="20"/>
          <w:szCs w:val="20"/>
          <w:color w:val="auto"/>
        </w:rPr>
      </w:pPr>
      <w:r>
        <w:rPr>
          <w:rFonts w:ascii="Arial" w:cs="Arial" w:eastAsia="Arial" w:hAnsi="Arial"/>
          <w:sz w:val="17"/>
          <w:szCs w:val="17"/>
          <w:color w:val="auto"/>
        </w:rPr>
        <w:t>In addition, we may discharge all our obligations under the Indenture with respect to the notes, other than certain obligations to the trustee and our obligation to register the transfer of and exchange notes, provided that we either:</w:t>
      </w:r>
    </w:p>
    <w:p>
      <w:pPr>
        <w:spacing w:after="0" w:line="67" w:lineRule="exact"/>
        <w:rPr>
          <w:sz w:val="20"/>
          <w:szCs w:val="20"/>
          <w:color w:val="auto"/>
        </w:rPr>
      </w:pPr>
    </w:p>
    <w:p>
      <w:pPr>
        <w:ind w:left="1180" w:hanging="97"/>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deliver all outstanding notes to the trustee for cancellation; or</w:t>
      </w:r>
    </w:p>
    <w:p>
      <w:pPr>
        <w:spacing w:after="0" w:line="119" w:lineRule="exact"/>
        <w:rPr>
          <w:rFonts w:ascii="Arial" w:cs="Arial" w:eastAsia="Arial" w:hAnsi="Arial"/>
          <w:sz w:val="17"/>
          <w:szCs w:val="17"/>
          <w:color w:val="auto"/>
        </w:rPr>
      </w:pPr>
    </w:p>
    <w:p>
      <w:pPr>
        <w:ind w:left="1180" w:right="40" w:hanging="97"/>
        <w:spacing w:after="0" w:line="290"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80"/>
          </w:cols>
          <w:pgMar w:left="240" w:top="410" w:right="10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Concerning the Trustee</w:t>
      </w:r>
    </w:p>
    <w:p>
      <w:pPr>
        <w:spacing w:after="0" w:line="138" w:lineRule="exact"/>
        <w:rPr>
          <w:sz w:val="20"/>
          <w:szCs w:val="20"/>
          <w:color w:val="auto"/>
        </w:rPr>
      </w:pPr>
    </w:p>
    <w:p>
      <w:pPr>
        <w:ind w:left="680" w:right="120" w:firstLine="397"/>
        <w:spacing w:after="0" w:line="268" w:lineRule="auto"/>
        <w:rPr>
          <w:sz w:val="20"/>
          <w:szCs w:val="20"/>
          <w:color w:val="auto"/>
        </w:rPr>
      </w:pPr>
      <w:r>
        <w:rPr>
          <w:rFonts w:ascii="Arial" w:cs="Arial" w:eastAsia="Arial" w:hAnsi="Arial"/>
          <w:sz w:val="17"/>
          <w:szCs w:val="17"/>
          <w:color w:val="auto"/>
        </w:rPr>
        <w:t>U.S. Bank National Association, as successor to Wachovia Bank, National Association, acts as indenture trustee, security registrar and paying agent with respect to the notes. The trustee makes no representation or warranty, express or implied, as to the accuracy or completeness of any information contained in this prospectus, except for such information that specifically pertains to the trustee, or any information incorporated by reference.</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Governing Law</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Indenture and the notes are governed by and will be construed in accordance with the laws of the State of New York.</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Definitions</w:t>
      </w:r>
    </w:p>
    <w:p>
      <w:pPr>
        <w:spacing w:after="0" w:line="138" w:lineRule="exact"/>
        <w:rPr>
          <w:sz w:val="20"/>
          <w:szCs w:val="20"/>
          <w:color w:val="auto"/>
        </w:rPr>
      </w:pPr>
    </w:p>
    <w:p>
      <w:pPr>
        <w:ind w:left="680" w:firstLine="397"/>
        <w:spacing w:after="0" w:line="279" w:lineRule="auto"/>
        <w:rPr>
          <w:sz w:val="20"/>
          <w:szCs w:val="20"/>
          <w:color w:val="auto"/>
        </w:rPr>
      </w:pPr>
      <w:r>
        <w:rPr>
          <w:rFonts w:ascii="Arial" w:cs="Arial" w:eastAsia="Arial" w:hAnsi="Arial"/>
          <w:sz w:val="16"/>
          <w:szCs w:val="16"/>
          <w:i w:val="1"/>
          <w:iCs w:val="1"/>
          <w:color w:val="auto"/>
        </w:rPr>
        <w:t xml:space="preserve">“Attributable Indebtedness,” </w:t>
      </w:r>
      <w:r>
        <w:rPr>
          <w:rFonts w:ascii="Arial" w:cs="Arial" w:eastAsia="Arial" w:hAnsi="Arial"/>
          <w:sz w:val="16"/>
          <w:szCs w:val="16"/>
          <w:color w:val="auto"/>
        </w:rPr>
        <w:t>when used with respect to any Sale-leaseback Transaction, means, as at the time of determination,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81" w:lineRule="exact"/>
        <w:rPr>
          <w:sz w:val="20"/>
          <w:szCs w:val="20"/>
          <w:color w:val="auto"/>
        </w:rPr>
      </w:pPr>
    </w:p>
    <w:p>
      <w:pPr>
        <w:ind w:left="680" w:right="20" w:firstLine="397"/>
        <w:spacing w:after="0" w:line="273" w:lineRule="auto"/>
        <w:rPr>
          <w:sz w:val="20"/>
          <w:szCs w:val="20"/>
          <w:color w:val="auto"/>
        </w:rPr>
      </w:pPr>
      <w:r>
        <w:rPr>
          <w:rFonts w:ascii="Arial" w:cs="Arial" w:eastAsia="Arial" w:hAnsi="Arial"/>
          <w:sz w:val="17"/>
          <w:szCs w:val="17"/>
          <w:i w:val="1"/>
          <w:iCs w:val="1"/>
          <w:color w:val="auto"/>
        </w:rPr>
        <w:t xml:space="preserve">“Board of Directors” </w:t>
      </w:r>
      <w:r>
        <w:rPr>
          <w:rFonts w:ascii="Arial" w:cs="Arial" w:eastAsia="Arial" w:hAnsi="Arial"/>
          <w:sz w:val="17"/>
          <w:szCs w:val="17"/>
          <w:color w:val="auto"/>
        </w:rPr>
        <w:t>means (a) with respect to Plains All American Pipeline, the board of directors of the Managing General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and (b) with respect to PAA Finance Corp., its board of directors or, in each case, with respect to any determination or resolution permitted to be made under the Indenture, any authorized committee or subcommittee of such board.</w:t>
      </w:r>
    </w:p>
    <w:p>
      <w:pPr>
        <w:spacing w:after="0" w:line="80" w:lineRule="exact"/>
        <w:rPr>
          <w:sz w:val="20"/>
          <w:szCs w:val="20"/>
          <w:color w:val="auto"/>
        </w:rPr>
      </w:pPr>
    </w:p>
    <w:p>
      <w:pPr>
        <w:ind w:left="680" w:right="40" w:firstLine="397"/>
        <w:spacing w:after="0" w:line="298" w:lineRule="auto"/>
        <w:rPr>
          <w:sz w:val="20"/>
          <w:szCs w:val="20"/>
          <w:color w:val="auto"/>
        </w:rPr>
      </w:pPr>
      <w:r>
        <w:rPr>
          <w:rFonts w:ascii="Arial" w:cs="Arial" w:eastAsia="Arial" w:hAnsi="Arial"/>
          <w:sz w:val="16"/>
          <w:szCs w:val="16"/>
          <w:i w:val="1"/>
          <w:iCs w:val="1"/>
          <w:color w:val="auto"/>
        </w:rPr>
        <w:t xml:space="preserve">“Capital Interests” </w:t>
      </w:r>
      <w:r>
        <w:rPr>
          <w:rFonts w:ascii="Arial" w:cs="Arial" w:eastAsia="Arial" w:hAnsi="Arial"/>
          <w:sz w:val="16"/>
          <w:szCs w:val="16"/>
          <w:color w:val="auto"/>
        </w:rPr>
        <w:t>means any and all shares, interests, participations, rights or other equivalents (however designated) of capital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“Consolidated Net Tangible Assets” </w:t>
      </w:r>
      <w:r>
        <w:rPr>
          <w:rFonts w:ascii="Arial" w:cs="Arial" w:eastAsia="Arial" w:hAnsi="Arial"/>
          <w:sz w:val="17"/>
          <w:szCs w:val="17"/>
          <w:color w:val="auto"/>
        </w:rPr>
        <w:t>means, at any date of determination, the total amount of assets after deducting therefrom:</w:t>
      </w:r>
    </w:p>
    <w:p>
      <w:pPr>
        <w:spacing w:after="0" w:line="132" w:lineRule="exact"/>
        <w:rPr>
          <w:sz w:val="20"/>
          <w:szCs w:val="20"/>
          <w:color w:val="auto"/>
        </w:rPr>
      </w:pPr>
    </w:p>
    <w:p>
      <w:pPr>
        <w:ind w:left="1720" w:hanging="252"/>
        <w:spacing w:after="0"/>
        <w:tabs>
          <w:tab w:leader="none" w:pos="1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current liabilities excluding:</w:t>
      </w:r>
    </w:p>
    <w:p>
      <w:pPr>
        <w:spacing w:after="0" w:line="132" w:lineRule="exact"/>
        <w:rPr>
          <w:rFonts w:ascii="Arial" w:cs="Arial" w:eastAsia="Arial" w:hAnsi="Arial"/>
          <w:sz w:val="17"/>
          <w:szCs w:val="17"/>
          <w:color w:val="auto"/>
        </w:rPr>
      </w:pPr>
    </w:p>
    <w:p>
      <w:pPr>
        <w:ind w:left="1480" w:right="200" w:firstLine="370"/>
        <w:spacing w:after="0" w:line="289" w:lineRule="auto"/>
        <w:tabs>
          <w:tab w:leader="none" w:pos="2083"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current liabilities that by their terms are extendible or renewable at the option of the obligor thereon to a time more than 12 months after the time as of which the amount thereof is being computed; and</w:t>
      </w:r>
    </w:p>
    <w:p>
      <w:pPr>
        <w:spacing w:after="0" w:line="66" w:lineRule="exact"/>
        <w:rPr>
          <w:rFonts w:ascii="Arial" w:cs="Arial" w:eastAsia="Arial" w:hAnsi="Arial"/>
          <w:sz w:val="17"/>
          <w:szCs w:val="17"/>
          <w:color w:val="auto"/>
        </w:rPr>
      </w:pPr>
    </w:p>
    <w:p>
      <w:pPr>
        <w:ind w:left="2100" w:hanging="250"/>
        <w:spacing w:after="0"/>
        <w:tabs>
          <w:tab w:leader="none" w:pos="2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current maturities of long-term debt; and</w:t>
      </w:r>
    </w:p>
    <w:p>
      <w:pPr>
        <w:spacing w:after="0" w:line="132" w:lineRule="exact"/>
        <w:rPr>
          <w:rFonts w:ascii="Arial" w:cs="Arial" w:eastAsia="Arial" w:hAnsi="Arial"/>
          <w:sz w:val="17"/>
          <w:szCs w:val="17"/>
          <w:color w:val="auto"/>
        </w:rPr>
      </w:pPr>
    </w:p>
    <w:p>
      <w:pPr>
        <w:ind w:left="1720" w:hanging="252"/>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 net of any applicable reserves, of all goodwill, trade names, trademarks, patents and other like intangible assets,</w:t>
      </w:r>
    </w:p>
    <w:p>
      <w:pPr>
        <w:spacing w:after="0" w:line="144" w:lineRule="exact"/>
        <w:rPr>
          <w:sz w:val="20"/>
          <w:szCs w:val="20"/>
          <w:color w:val="auto"/>
        </w:rPr>
      </w:pPr>
    </w:p>
    <w:p>
      <w:pPr>
        <w:ind w:left="1080"/>
        <w:spacing w:after="0" w:line="289" w:lineRule="auto"/>
        <w:rPr>
          <w:sz w:val="20"/>
          <w:szCs w:val="20"/>
          <w:color w:val="auto"/>
        </w:rPr>
      </w:pPr>
      <w:r>
        <w:rPr>
          <w:rFonts w:ascii="Arial" w:cs="Arial" w:eastAsia="Arial" w:hAnsi="Arial"/>
          <w:sz w:val="17"/>
          <w:szCs w:val="17"/>
          <w:color w:val="auto"/>
        </w:rPr>
        <w:t>all as set forth on the consolidated balance sheet of Plains All American Pipeline for its most recently completed fiscal quarter, prepared in accordance with generally accepted accounting principles.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“Exchange Act” </w:t>
      </w:r>
      <w:r>
        <w:rPr>
          <w:rFonts w:ascii="Arial" w:cs="Arial" w:eastAsia="Arial" w:hAnsi="Arial"/>
          <w:sz w:val="17"/>
          <w:szCs w:val="17"/>
          <w:color w:val="auto"/>
        </w:rPr>
        <w:t>means the Securities Exchange Act of 1934, as amended.</w:t>
      </w:r>
    </w:p>
    <w:p>
      <w:pPr>
        <w:spacing w:after="0" w:line="200" w:lineRule="exact"/>
        <w:rPr>
          <w:sz w:val="20"/>
          <w:szCs w:val="20"/>
          <w:color w:val="auto"/>
        </w:rPr>
      </w:pPr>
    </w:p>
    <w:p>
      <w:pPr>
        <w:spacing w:after="0" w:line="20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0" w:right="10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680" w:right="40" w:firstLine="397"/>
        <w:spacing w:after="0" w:line="268" w:lineRule="auto"/>
        <w:rPr>
          <w:sz w:val="20"/>
          <w:szCs w:val="20"/>
          <w:color w:val="auto"/>
        </w:rPr>
      </w:pPr>
      <w:r>
        <w:rPr>
          <w:rFonts w:ascii="Arial" w:cs="Arial" w:eastAsia="Arial" w:hAnsi="Arial"/>
          <w:sz w:val="17"/>
          <w:szCs w:val="17"/>
          <w:i w:val="1"/>
          <w:iCs w:val="1"/>
          <w:color w:val="auto"/>
        </w:rPr>
        <w:t xml:space="preserve">“Funded Debt” </w:t>
      </w:r>
      <w:r>
        <w:rPr>
          <w:rFonts w:ascii="Arial" w:cs="Arial" w:eastAsia="Arial" w:hAnsi="Arial"/>
          <w:sz w:val="17"/>
          <w:szCs w:val="17"/>
          <w:color w:val="auto"/>
        </w:rPr>
        <w:t>means all debt maturing one year or more from the date of the creation thereof, all debt directly or indirectly renewable</w:t>
      </w:r>
      <w:r>
        <w:rPr>
          <w:rFonts w:ascii="Arial" w:cs="Arial" w:eastAsia="Arial" w:hAnsi="Arial"/>
          <w:sz w:val="17"/>
          <w:szCs w:val="17"/>
          <w:i w:val="1"/>
          <w:iCs w:val="1"/>
          <w:color w:val="auto"/>
        </w:rPr>
        <w:t xml:space="preserve"> </w:t>
      </w:r>
      <w:r>
        <w:rPr>
          <w:rFonts w:ascii="Arial" w:cs="Arial" w:eastAsia="Arial" w:hAnsi="Arial"/>
          <w:sz w:val="17"/>
          <w:szCs w:val="17"/>
          <w:color w:val="auto"/>
        </w:rPr>
        <w:t>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“Issue Date” </w:t>
      </w:r>
      <w:r>
        <w:rPr>
          <w:rFonts w:ascii="Arial" w:cs="Arial" w:eastAsia="Arial" w:hAnsi="Arial"/>
          <w:sz w:val="17"/>
          <w:szCs w:val="17"/>
          <w:color w:val="auto"/>
        </w:rPr>
        <w:t>means with respect to the notes, the date on which the notes were initially issued, May 12, 2006.</w:t>
      </w:r>
    </w:p>
    <w:p>
      <w:pPr>
        <w:spacing w:after="0" w:line="132" w:lineRule="exact"/>
        <w:rPr>
          <w:sz w:val="20"/>
          <w:szCs w:val="20"/>
          <w:color w:val="auto"/>
        </w:rPr>
      </w:pPr>
    </w:p>
    <w:p>
      <w:pPr>
        <w:ind w:left="680" w:right="60" w:firstLine="397"/>
        <w:spacing w:after="0" w:line="268" w:lineRule="auto"/>
        <w:rPr>
          <w:sz w:val="20"/>
          <w:szCs w:val="20"/>
          <w:color w:val="auto"/>
        </w:rPr>
      </w:pPr>
      <w:r>
        <w:rPr>
          <w:rFonts w:ascii="Arial" w:cs="Arial" w:eastAsia="Arial" w:hAnsi="Arial"/>
          <w:sz w:val="17"/>
          <w:szCs w:val="17"/>
          <w:i w:val="1"/>
          <w:iCs w:val="1"/>
          <w:color w:val="auto"/>
        </w:rPr>
        <w:t xml:space="preserve">“Managing General Partner” </w:t>
      </w:r>
      <w:r>
        <w:rPr>
          <w:rFonts w:ascii="Arial" w:cs="Arial" w:eastAsia="Arial" w:hAnsi="Arial"/>
          <w:sz w:val="17"/>
          <w:szCs w:val="17"/>
          <w:color w:val="auto"/>
        </w:rPr>
        <w:t>means Plains All American GP LLC, a Delaware limited liability company, and its successors and</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w:t>
      </w:r>
    </w:p>
    <w:p>
      <w:pPr>
        <w:spacing w:after="0" w:line="84" w:lineRule="exact"/>
        <w:rPr>
          <w:sz w:val="20"/>
          <w:szCs w:val="20"/>
          <w:color w:val="auto"/>
        </w:rPr>
      </w:pPr>
    </w:p>
    <w:p>
      <w:pPr>
        <w:ind w:left="680" w:firstLine="397"/>
        <w:spacing w:after="0" w:line="273" w:lineRule="auto"/>
        <w:rPr>
          <w:sz w:val="20"/>
          <w:szCs w:val="20"/>
          <w:color w:val="auto"/>
        </w:rPr>
      </w:pPr>
      <w:r>
        <w:rPr>
          <w:rFonts w:ascii="Arial" w:cs="Arial" w:eastAsia="Arial" w:hAnsi="Arial"/>
          <w:sz w:val="17"/>
          <w:szCs w:val="17"/>
          <w:i w:val="1"/>
          <w:iCs w:val="1"/>
          <w:color w:val="auto"/>
        </w:rPr>
        <w:t xml:space="preserve">“Pari Passu Debt” </w:t>
      </w:r>
      <w:r>
        <w:rPr>
          <w:rFonts w:ascii="Arial" w:cs="Arial" w:eastAsia="Arial" w:hAnsi="Arial"/>
          <w:sz w:val="17"/>
          <w:szCs w:val="17"/>
          <w:color w:val="auto"/>
        </w:rPr>
        <w:t>means any of our Funded Debt, whether outstanding on the Issue Date or thereafter created, incurred or assumed,</w:t>
      </w:r>
      <w:r>
        <w:rPr>
          <w:rFonts w:ascii="Arial" w:cs="Arial" w:eastAsia="Arial" w:hAnsi="Arial"/>
          <w:sz w:val="17"/>
          <w:szCs w:val="17"/>
          <w:i w:val="1"/>
          <w:iCs w:val="1"/>
          <w:color w:val="auto"/>
        </w:rPr>
        <w:t xml:space="preserve"> </w:t>
      </w:r>
      <w:r>
        <w:rPr>
          <w:rFonts w:ascii="Arial" w:cs="Arial" w:eastAsia="Arial" w:hAnsi="Arial"/>
          <w:sz w:val="17"/>
          <w:szCs w:val="17"/>
          <w:color w:val="auto"/>
        </w:rPr>
        <w:t>unless, in the case of any particular Funded Debt, the instrument creating or evidencing the same or pursuant to which the same is outstanding expressly provides that such Funded Debt shall be subordinated in right of payment to the notes.</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“Permitted Liens” </w:t>
      </w:r>
      <w:r>
        <w:rPr>
          <w:rFonts w:ascii="Arial" w:cs="Arial" w:eastAsia="Arial" w:hAnsi="Arial"/>
          <w:sz w:val="17"/>
          <w:szCs w:val="17"/>
          <w:color w:val="auto"/>
        </w:rPr>
        <w:t>means:</w:t>
      </w:r>
    </w:p>
    <w:p>
      <w:pPr>
        <w:spacing w:after="0" w:line="132" w:lineRule="exact"/>
        <w:rPr>
          <w:sz w:val="20"/>
          <w:szCs w:val="20"/>
          <w:color w:val="auto"/>
        </w:rPr>
      </w:pPr>
    </w:p>
    <w:p>
      <w:pPr>
        <w:ind w:left="1720" w:hanging="252"/>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upon rights-of-way for pipeline purposes;</w:t>
      </w:r>
    </w:p>
    <w:p>
      <w:pPr>
        <w:spacing w:after="0" w:line="132" w:lineRule="exact"/>
        <w:rPr>
          <w:rFonts w:ascii="Arial" w:cs="Arial" w:eastAsia="Arial" w:hAnsi="Arial"/>
          <w:sz w:val="17"/>
          <w:szCs w:val="17"/>
          <w:color w:val="auto"/>
        </w:rPr>
      </w:pPr>
    </w:p>
    <w:p>
      <w:pPr>
        <w:ind w:left="1080" w:right="440" w:firstLine="388"/>
        <w:spacing w:after="0" w:line="268" w:lineRule="auto"/>
        <w:tabs>
          <w:tab w:leader="none" w:pos="17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83" w:lineRule="exact"/>
        <w:rPr>
          <w:rFonts w:ascii="Arial" w:cs="Arial" w:eastAsia="Arial" w:hAnsi="Arial"/>
          <w:sz w:val="17"/>
          <w:szCs w:val="17"/>
          <w:color w:val="auto"/>
        </w:rPr>
      </w:pPr>
    </w:p>
    <w:p>
      <w:pPr>
        <w:ind w:left="1080" w:right="480" w:firstLine="388"/>
        <w:spacing w:after="0" w:line="322" w:lineRule="auto"/>
        <w:tabs>
          <w:tab w:leader="none" w:pos="17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43" w:lineRule="exact"/>
        <w:rPr>
          <w:rFonts w:ascii="Arial" w:cs="Arial" w:eastAsia="Arial" w:hAnsi="Arial"/>
          <w:sz w:val="16"/>
          <w:szCs w:val="16"/>
          <w:color w:val="auto"/>
        </w:rPr>
      </w:pPr>
    </w:p>
    <w:p>
      <w:pPr>
        <w:ind w:left="1720" w:hanging="252"/>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of taxes and assessments which are:</w:t>
      </w:r>
    </w:p>
    <w:p>
      <w:pPr>
        <w:spacing w:after="0" w:line="132" w:lineRule="exact"/>
        <w:rPr>
          <w:rFonts w:ascii="Arial" w:cs="Arial" w:eastAsia="Arial" w:hAnsi="Arial"/>
          <w:sz w:val="17"/>
          <w:szCs w:val="17"/>
          <w:color w:val="auto"/>
        </w:rPr>
      </w:pPr>
    </w:p>
    <w:p>
      <w:pPr>
        <w:ind w:left="2080" w:hanging="230"/>
        <w:spacing w:after="0"/>
        <w:tabs>
          <w:tab w:leader="none" w:pos="20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for the then current year,</w:t>
      </w:r>
    </w:p>
    <w:p>
      <w:pPr>
        <w:spacing w:after="0" w:line="132" w:lineRule="exact"/>
        <w:rPr>
          <w:rFonts w:ascii="Arial" w:cs="Arial" w:eastAsia="Arial" w:hAnsi="Arial"/>
          <w:sz w:val="17"/>
          <w:szCs w:val="17"/>
          <w:color w:val="auto"/>
        </w:rPr>
      </w:pPr>
    </w:p>
    <w:p>
      <w:pPr>
        <w:ind w:left="2100" w:hanging="250"/>
        <w:spacing w:after="0"/>
        <w:tabs>
          <w:tab w:leader="none" w:pos="21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not at the time delinquent, or</w:t>
      </w:r>
    </w:p>
    <w:p>
      <w:pPr>
        <w:spacing w:after="0" w:line="132" w:lineRule="exact"/>
        <w:rPr>
          <w:rFonts w:ascii="Arial" w:cs="Arial" w:eastAsia="Arial" w:hAnsi="Arial"/>
          <w:sz w:val="17"/>
          <w:szCs w:val="17"/>
          <w:color w:val="auto"/>
        </w:rPr>
      </w:pPr>
    </w:p>
    <w:p>
      <w:pPr>
        <w:ind w:left="2080" w:hanging="230"/>
        <w:spacing w:after="0"/>
        <w:tabs>
          <w:tab w:leader="none" w:pos="20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delinquent but the validity of which is being contested at the time by us or any Restricted Subsidiary in good faith;</w:t>
      </w:r>
    </w:p>
    <w:p>
      <w:pPr>
        <w:spacing w:after="0" w:line="132" w:lineRule="exact"/>
        <w:rPr>
          <w:rFonts w:ascii="Arial" w:cs="Arial" w:eastAsia="Arial" w:hAnsi="Arial"/>
          <w:sz w:val="17"/>
          <w:szCs w:val="17"/>
          <w:color w:val="auto"/>
        </w:rPr>
      </w:pPr>
    </w:p>
    <w:p>
      <w:pPr>
        <w:ind w:left="1720" w:hanging="252"/>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of, or to secure performance of, leases, other than capital leases;</w:t>
      </w:r>
    </w:p>
    <w:p>
      <w:pPr>
        <w:spacing w:after="0" w:line="132" w:lineRule="exact"/>
        <w:rPr>
          <w:rFonts w:ascii="Arial" w:cs="Arial" w:eastAsia="Arial" w:hAnsi="Arial"/>
          <w:sz w:val="17"/>
          <w:szCs w:val="17"/>
          <w:color w:val="auto"/>
        </w:rPr>
      </w:pPr>
    </w:p>
    <w:p>
      <w:pPr>
        <w:ind w:left="1080" w:right="720" w:firstLine="388"/>
        <w:spacing w:after="0" w:line="289" w:lineRule="auto"/>
        <w:tabs>
          <w:tab w:leader="none" w:pos="17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upon, or deposits of, any assets in favor of any surety company or clerk of court for the purpose of obtaining indemnity or stay of judicial proceedings;</w:t>
      </w:r>
    </w:p>
    <w:p>
      <w:pPr>
        <w:spacing w:after="0" w:line="66" w:lineRule="exact"/>
        <w:rPr>
          <w:rFonts w:ascii="Arial" w:cs="Arial" w:eastAsia="Arial" w:hAnsi="Arial"/>
          <w:sz w:val="17"/>
          <w:szCs w:val="17"/>
          <w:color w:val="auto"/>
        </w:rPr>
      </w:pPr>
    </w:p>
    <w:p>
      <w:pPr>
        <w:ind w:left="1080" w:right="220" w:firstLine="388"/>
        <w:spacing w:after="0" w:line="289" w:lineRule="auto"/>
        <w:tabs>
          <w:tab w:leader="none" w:pos="17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upon property or assets acquired or sold by us or any Restricted Subsidiary resulting from the exercise of any rights arising out of defaults on receivables;</w:t>
      </w:r>
    </w:p>
    <w:p>
      <w:pPr>
        <w:spacing w:after="0" w:line="66" w:lineRule="exact"/>
        <w:rPr>
          <w:rFonts w:ascii="Arial" w:cs="Arial" w:eastAsia="Arial" w:hAnsi="Arial"/>
          <w:sz w:val="17"/>
          <w:szCs w:val="17"/>
          <w:color w:val="auto"/>
        </w:rPr>
      </w:pPr>
    </w:p>
    <w:p>
      <w:pPr>
        <w:ind w:left="1080" w:right="420" w:firstLine="388"/>
        <w:spacing w:after="0" w:line="273" w:lineRule="auto"/>
        <w:tabs>
          <w:tab w:leader="none" w:pos="17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80" w:lineRule="exact"/>
        <w:rPr>
          <w:rFonts w:ascii="Arial" w:cs="Arial" w:eastAsia="Arial" w:hAnsi="Arial"/>
          <w:sz w:val="17"/>
          <w:szCs w:val="17"/>
          <w:color w:val="auto"/>
        </w:rPr>
      </w:pPr>
    </w:p>
    <w:p>
      <w:pPr>
        <w:ind w:left="1720" w:hanging="252"/>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in favor of us or any Restricted Subsidiary;</w:t>
      </w:r>
    </w:p>
    <w:p>
      <w:pPr>
        <w:spacing w:after="0" w:line="132" w:lineRule="exact"/>
        <w:rPr>
          <w:rFonts w:ascii="Arial" w:cs="Arial" w:eastAsia="Arial" w:hAnsi="Arial"/>
          <w:sz w:val="17"/>
          <w:szCs w:val="17"/>
          <w:color w:val="auto"/>
        </w:rPr>
      </w:pPr>
    </w:p>
    <w:p>
      <w:pPr>
        <w:jc w:val="both"/>
        <w:ind w:left="1080" w:right="20" w:firstLine="388"/>
        <w:spacing w:after="0" w:line="268" w:lineRule="auto"/>
        <w:tabs>
          <w:tab w:leader="none" w:pos="17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0" w:right="10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price of, or the cost of constructing, developing, repairing or improving, the property or assets subject to such lien;</w:t>
      </w:r>
    </w:p>
    <w:p>
      <w:pPr>
        <w:spacing w:after="0" w:line="132" w:lineRule="exact"/>
        <w:rPr>
          <w:sz w:val="20"/>
          <w:szCs w:val="20"/>
          <w:color w:val="auto"/>
        </w:rPr>
      </w:pPr>
    </w:p>
    <w:p>
      <w:pPr>
        <w:ind w:left="1800" w:hanging="332"/>
        <w:spacing w:after="0"/>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lien securing industrial development, pollution control or similar revenue bonds;</w:t>
      </w:r>
    </w:p>
    <w:p>
      <w:pPr>
        <w:spacing w:after="0" w:line="132" w:lineRule="exact"/>
        <w:rPr>
          <w:rFonts w:ascii="Arial" w:cs="Arial" w:eastAsia="Arial" w:hAnsi="Arial"/>
          <w:sz w:val="17"/>
          <w:szCs w:val="17"/>
          <w:color w:val="auto"/>
        </w:rPr>
      </w:pPr>
    </w:p>
    <w:p>
      <w:pPr>
        <w:ind w:left="1080" w:firstLine="388"/>
        <w:spacing w:after="0" w:line="262" w:lineRule="auto"/>
        <w:tabs>
          <w:tab w:leader="none" w:pos="17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92" w:lineRule="exact"/>
        <w:rPr>
          <w:rFonts w:ascii="Arial" w:cs="Arial" w:eastAsia="Arial" w:hAnsi="Arial"/>
          <w:sz w:val="17"/>
          <w:szCs w:val="17"/>
          <w:color w:val="auto"/>
        </w:rPr>
      </w:pPr>
    </w:p>
    <w:p>
      <w:pPr>
        <w:ind w:left="1080" w:right="420" w:firstLine="388"/>
        <w:spacing w:after="0" w:line="322" w:lineRule="auto"/>
        <w:tabs>
          <w:tab w:leader="none" w:pos="17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43" w:lineRule="exact"/>
        <w:rPr>
          <w:rFonts w:ascii="Arial" w:cs="Arial" w:eastAsia="Arial" w:hAnsi="Arial"/>
          <w:sz w:val="16"/>
          <w:szCs w:val="16"/>
          <w:color w:val="auto"/>
        </w:rPr>
      </w:pPr>
    </w:p>
    <w:p>
      <w:pPr>
        <w:ind w:left="1800" w:hanging="332"/>
        <w:spacing w:after="0"/>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lien upon or deposits of any assets to secure performance of bids, trade contracts, leases or statutory obligations;</w:t>
      </w:r>
    </w:p>
    <w:p>
      <w:pPr>
        <w:spacing w:after="0" w:line="143" w:lineRule="exact"/>
        <w:rPr>
          <w:rFonts w:ascii="Arial" w:cs="Arial" w:eastAsia="Arial" w:hAnsi="Arial"/>
          <w:sz w:val="16"/>
          <w:szCs w:val="16"/>
          <w:color w:val="auto"/>
        </w:rPr>
      </w:pPr>
    </w:p>
    <w:p>
      <w:pPr>
        <w:ind w:left="1080" w:right="80" w:firstLine="388"/>
        <w:spacing w:after="0" w:line="265" w:lineRule="auto"/>
        <w:tabs>
          <w:tab w:leader="none" w:pos="17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87" w:lineRule="exact"/>
        <w:rPr>
          <w:rFonts w:ascii="Arial" w:cs="Arial" w:eastAsia="Arial" w:hAnsi="Arial"/>
          <w:sz w:val="17"/>
          <w:szCs w:val="17"/>
          <w:color w:val="auto"/>
        </w:rPr>
      </w:pPr>
    </w:p>
    <w:p>
      <w:pPr>
        <w:ind w:left="1080" w:right="20" w:firstLine="388"/>
        <w:spacing w:after="0" w:line="314" w:lineRule="auto"/>
        <w:tabs>
          <w:tab w:leader="none" w:pos="1796" w:val="left"/>
        </w:tabs>
        <w:numPr>
          <w:ilvl w:val="0"/>
          <w:numId w:val="37"/>
        </w:numPr>
        <w:rPr>
          <w:rFonts w:ascii="Arial" w:cs="Arial" w:eastAsia="Arial" w:hAnsi="Arial"/>
          <w:sz w:val="15"/>
          <w:szCs w:val="15"/>
          <w:color w:val="auto"/>
        </w:rPr>
      </w:pPr>
      <w:r>
        <w:rPr>
          <w:rFonts w:ascii="Arial" w:cs="Arial" w:eastAsia="Arial" w:hAnsi="Arial"/>
          <w:sz w:val="15"/>
          <w:szCs w:val="15"/>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54" w:lineRule="exact"/>
        <w:rPr>
          <w:rFonts w:ascii="Arial" w:cs="Arial" w:eastAsia="Arial" w:hAnsi="Arial"/>
          <w:sz w:val="15"/>
          <w:szCs w:val="15"/>
          <w:color w:val="auto"/>
        </w:rPr>
      </w:pPr>
    </w:p>
    <w:p>
      <w:pPr>
        <w:ind w:left="1080" w:right="240" w:firstLine="388"/>
        <w:spacing w:after="0" w:line="265" w:lineRule="auto"/>
        <w:tabs>
          <w:tab w:leader="none" w:pos="17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87" w:lineRule="exact"/>
        <w:rPr>
          <w:rFonts w:ascii="Arial" w:cs="Arial" w:eastAsia="Arial" w:hAnsi="Arial"/>
          <w:sz w:val="17"/>
          <w:szCs w:val="17"/>
          <w:color w:val="auto"/>
        </w:rPr>
      </w:pPr>
    </w:p>
    <w:p>
      <w:pPr>
        <w:ind w:left="1080" w:right="260" w:firstLine="388"/>
        <w:spacing w:after="0" w:line="289" w:lineRule="auto"/>
        <w:tabs>
          <w:tab w:leader="none" w:pos="17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obligations or duties to any municipality or public authority with respect to any lease, easement, right-of-way, license, franchise, privilege, permit or grant.</w:t>
      </w:r>
    </w:p>
    <w:p>
      <w:pPr>
        <w:spacing w:after="0" w:line="67" w:lineRule="exact"/>
        <w:rPr>
          <w:sz w:val="20"/>
          <w:szCs w:val="20"/>
          <w:color w:val="auto"/>
        </w:rPr>
      </w:pPr>
    </w:p>
    <w:p>
      <w:pPr>
        <w:ind w:left="680" w:right="280" w:firstLine="397"/>
        <w:spacing w:after="0" w:line="289" w:lineRule="auto"/>
        <w:rPr>
          <w:sz w:val="20"/>
          <w:szCs w:val="20"/>
          <w:color w:val="auto"/>
        </w:rPr>
      </w:pPr>
      <w:r>
        <w:rPr>
          <w:rFonts w:ascii="Arial" w:cs="Arial" w:eastAsia="Arial" w:hAnsi="Arial"/>
          <w:sz w:val="17"/>
          <w:szCs w:val="17"/>
          <w:i w:val="1"/>
          <w:iCs w:val="1"/>
          <w:color w:val="auto"/>
        </w:rPr>
        <w:t xml:space="preserve">“Person” </w:t>
      </w:r>
      <w:r>
        <w:rPr>
          <w:rFonts w:ascii="Arial" w:cs="Arial" w:eastAsia="Arial" w:hAnsi="Arial"/>
          <w:sz w:val="17"/>
          <w:szCs w:val="17"/>
          <w:color w:val="auto"/>
        </w:rPr>
        <w:t>means any individual, corporation, partnership, joint venture, limited liability company, association, joint-stock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trust, other entity, unincorporated organization or government or any agency or political subdivision thereof.</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“Principal Property” </w:t>
      </w:r>
      <w:r>
        <w:rPr>
          <w:rFonts w:ascii="Arial" w:cs="Arial" w:eastAsia="Arial" w:hAnsi="Arial"/>
          <w:sz w:val="17"/>
          <w:szCs w:val="17"/>
          <w:color w:val="auto"/>
        </w:rPr>
        <w:t>means, whether owned or leased on the Issue Date or thereafter acquired:</w:t>
      </w:r>
    </w:p>
    <w:p>
      <w:pPr>
        <w:spacing w:after="0" w:line="132" w:lineRule="exact"/>
        <w:rPr>
          <w:sz w:val="20"/>
          <w:szCs w:val="20"/>
          <w:color w:val="auto"/>
        </w:rPr>
      </w:pPr>
    </w:p>
    <w:p>
      <w:pPr>
        <w:jc w:val="both"/>
        <w:ind w:left="1080" w:right="200" w:firstLine="388"/>
        <w:spacing w:after="0" w:line="326" w:lineRule="auto"/>
        <w:tabs>
          <w:tab w:leader="none" w:pos="1709"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32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0" w:right="10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1080" w:right="420" w:firstLine="388"/>
        <w:spacing w:after="0" w:line="289" w:lineRule="auto"/>
        <w:tabs>
          <w:tab w:leader="none" w:pos="170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processing or manufacturing plant or terminal owned or leased by Plains All American Pipeline or any Subsidiary of Plains All American Pipeline; except, in either case above:</w:t>
      </w:r>
    </w:p>
    <w:p>
      <w:pPr>
        <w:spacing w:after="0" w:line="66" w:lineRule="exact"/>
        <w:rPr>
          <w:rFonts w:ascii="Arial" w:cs="Arial" w:eastAsia="Arial" w:hAnsi="Arial"/>
          <w:sz w:val="17"/>
          <w:szCs w:val="17"/>
          <w:color w:val="auto"/>
        </w:rPr>
      </w:pPr>
    </w:p>
    <w:p>
      <w:pPr>
        <w:ind w:left="1480" w:right="120" w:firstLine="370"/>
        <w:spacing w:after="0" w:line="289" w:lineRule="auto"/>
        <w:tabs>
          <w:tab w:leader="none" w:pos="208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such assets consisting of inventories, furniture, office fixtures and equipment, including data processing equipment, vehicles and equipment used on, or useful with, vehicles, and</w:t>
      </w:r>
    </w:p>
    <w:p>
      <w:pPr>
        <w:spacing w:after="0" w:line="66" w:lineRule="exact"/>
        <w:rPr>
          <w:rFonts w:ascii="Arial" w:cs="Arial" w:eastAsia="Arial" w:hAnsi="Arial"/>
          <w:sz w:val="17"/>
          <w:szCs w:val="17"/>
          <w:color w:val="auto"/>
        </w:rPr>
      </w:pPr>
    </w:p>
    <w:p>
      <w:pPr>
        <w:ind w:left="1480" w:right="60" w:firstLine="370"/>
        <w:spacing w:after="0" w:line="273" w:lineRule="auto"/>
        <w:tabs>
          <w:tab w:leader="none" w:pos="209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80" w:lineRule="exact"/>
        <w:rPr>
          <w:sz w:val="20"/>
          <w:szCs w:val="20"/>
          <w:color w:val="auto"/>
        </w:rPr>
      </w:pPr>
    </w:p>
    <w:p>
      <w:pPr>
        <w:ind w:left="680" w:right="540" w:firstLine="397"/>
        <w:spacing w:after="0" w:line="289"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of Plains All American Pipeline owning or leasing, directly or indirectly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in another Subsidiary, any Principal Property.</w:t>
      </w:r>
    </w:p>
    <w:p>
      <w:pPr>
        <w:spacing w:after="0" w:line="67" w:lineRule="exact"/>
        <w:rPr>
          <w:sz w:val="20"/>
          <w:szCs w:val="20"/>
          <w:color w:val="auto"/>
        </w:rPr>
      </w:pPr>
    </w:p>
    <w:p>
      <w:pPr>
        <w:ind w:left="680" w:firstLine="397"/>
        <w:spacing w:after="0" w:line="273" w:lineRule="auto"/>
        <w:rPr>
          <w:sz w:val="20"/>
          <w:szCs w:val="20"/>
          <w:color w:val="auto"/>
        </w:rPr>
      </w:pPr>
      <w:r>
        <w:rPr>
          <w:rFonts w:ascii="Arial" w:cs="Arial" w:eastAsia="Arial" w:hAnsi="Arial"/>
          <w:sz w:val="17"/>
          <w:szCs w:val="17"/>
          <w:i w:val="1"/>
          <w:iCs w:val="1"/>
          <w:color w:val="auto"/>
        </w:rPr>
        <w:t xml:space="preserve">“Sale-leaseback Transaction” </w:t>
      </w:r>
      <w:r>
        <w:rPr>
          <w:rFonts w:ascii="Arial" w:cs="Arial" w:eastAsia="Arial" w:hAnsi="Arial"/>
          <w:sz w:val="17"/>
          <w:szCs w:val="17"/>
          <w:color w:val="auto"/>
        </w:rPr>
        <w:t>means the sale or transfer by us or any Subsidiary of Plains All American Pipeline of any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to a Person (other than us or a Subsidiary of Plains All American Pipeline) and the taking back by us or any Subsidiary of Plains All American Pipeline, as the case may be, of a lease of such Principal Property.</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“Securities Act” </w:t>
      </w:r>
      <w:r>
        <w:rPr>
          <w:rFonts w:ascii="Arial" w:cs="Arial" w:eastAsia="Arial" w:hAnsi="Arial"/>
          <w:sz w:val="17"/>
          <w:szCs w:val="17"/>
          <w:color w:val="auto"/>
        </w:rPr>
        <w:t>means the Securities Act of 1933, as amended.</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with respect to any Person:</w:t>
      </w:r>
    </w:p>
    <w:p>
      <w:pPr>
        <w:spacing w:after="0" w:line="132" w:lineRule="exact"/>
        <w:rPr>
          <w:sz w:val="20"/>
          <w:szCs w:val="20"/>
          <w:color w:val="auto"/>
        </w:rPr>
      </w:pPr>
    </w:p>
    <w:p>
      <w:pPr>
        <w:ind w:left="1080" w:right="20" w:firstLine="388"/>
        <w:spacing w:after="0" w:line="268" w:lineRule="auto"/>
        <w:tabs>
          <w:tab w:leader="none" w:pos="1709"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83" w:lineRule="exact"/>
        <w:rPr>
          <w:rFonts w:ascii="Arial" w:cs="Arial" w:eastAsia="Arial" w:hAnsi="Arial"/>
          <w:sz w:val="17"/>
          <w:szCs w:val="17"/>
          <w:color w:val="auto"/>
        </w:rPr>
      </w:pPr>
    </w:p>
    <w:p>
      <w:pPr>
        <w:jc w:val="both"/>
        <w:ind w:left="1080" w:right="220" w:firstLine="388"/>
        <w:spacing w:after="0" w:line="273" w:lineRule="auto"/>
        <w:tabs>
          <w:tab w:leader="none" w:pos="1709"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284"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138" w:lineRule="exact"/>
        <w:rPr>
          <w:sz w:val="20"/>
          <w:szCs w:val="20"/>
          <w:color w:val="auto"/>
        </w:rPr>
      </w:pPr>
    </w:p>
    <w:p>
      <w:pPr>
        <w:ind w:left="680" w:firstLine="397"/>
        <w:spacing w:after="0" w:line="278" w:lineRule="auto"/>
        <w:rPr>
          <w:sz w:val="20"/>
          <w:szCs w:val="20"/>
          <w:color w:val="auto"/>
        </w:rPr>
      </w:pPr>
      <w:r>
        <w:rPr>
          <w:rFonts w:ascii="Arial" w:cs="Arial" w:eastAsia="Arial" w:hAnsi="Arial"/>
          <w:sz w:val="16"/>
          <w:szCs w:val="16"/>
          <w:color w:val="auto"/>
        </w:rPr>
        <w:t>The following is a summary of the material U.S. federal income tax consequences of the exchange of outstanding notes for new notes and is the opinion of Vinson &amp; Elkins L.L.P., counsel to the general partner and us, as it relates to legal conclusions with respect to matters of U.S. federal income tax law. In the opinion of Vinson &amp; Elkins L.L.P., the exchange of outstanding notes for new notes will not be an exchange or otherwise a taxable event to a holder for United States federal income tax purposes. Accordingly, a holder will have the same adjusted issue price, adjusted basis and holding period in the new notes as it had in the outstanding notes immediately before the exchange. The legal conclusions of Vinson &amp; Elkins L.L.P. are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new notes. The legal conclusions of Vinson &amp; Elkins L.L.P. do not consider the effect of any applicable foreign, state, local or other tax laws or estate or gift tax considerations. Each holder is encouraged to consult, and depend on, his own tax advisor in analyzing the particular tax consequences of exchanging such holder’s outstanding notes for new notes, including the applicability and effect of any federal, state, local and foreign tax laws.</w:t>
      </w:r>
    </w:p>
    <w:p>
      <w:pPr>
        <w:spacing w:after="0" w:line="281"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PLAN OF DISTRIBUTION</w:t>
      </w:r>
    </w:p>
    <w:p>
      <w:pPr>
        <w:spacing w:after="0" w:line="138" w:lineRule="exact"/>
        <w:rPr>
          <w:sz w:val="20"/>
          <w:szCs w:val="20"/>
          <w:color w:val="auto"/>
        </w:rPr>
      </w:pPr>
    </w:p>
    <w:p>
      <w:pPr>
        <w:ind w:left="680" w:right="140" w:firstLine="397"/>
        <w:spacing w:after="0" w:line="289" w:lineRule="auto"/>
        <w:rPr>
          <w:sz w:val="20"/>
          <w:szCs w:val="20"/>
          <w:color w:val="auto"/>
        </w:rPr>
      </w:pPr>
      <w:r>
        <w:rPr>
          <w:rFonts w:ascii="Arial" w:cs="Arial" w:eastAsia="Arial" w:hAnsi="Arial"/>
          <w:sz w:val="17"/>
          <w:szCs w:val="17"/>
          <w:color w:val="auto"/>
        </w:rPr>
        <w:t>Based on interpretations by the staff of the SEC in no-action letters issued to third parties, we believe that you may transfer new notes issued under the exchange offer in exchange for the outstanding notes if:</w:t>
      </w:r>
    </w:p>
    <w:p>
      <w:pPr>
        <w:spacing w:after="0" w:line="67" w:lineRule="exact"/>
        <w:rPr>
          <w:sz w:val="20"/>
          <w:szCs w:val="20"/>
          <w:color w:val="auto"/>
        </w:rPr>
      </w:pPr>
    </w:p>
    <w:p>
      <w:pPr>
        <w:ind w:left="5560" w:right="4460" w:hanging="4477"/>
        <w:spacing w:after="0" w:line="835" w:lineRule="auto"/>
        <w:tabs>
          <w:tab w:leader="none" w:pos="1179" w:val="left"/>
        </w:tabs>
        <w:numPr>
          <w:ilvl w:val="0"/>
          <w:numId w:val="41"/>
        </w:numPr>
        <w:rPr>
          <w:rFonts w:ascii="Arial" w:cs="Arial" w:eastAsia="Arial" w:hAnsi="Arial"/>
          <w:sz w:val="16"/>
          <w:szCs w:val="16"/>
          <w:color w:val="auto"/>
        </w:rPr>
      </w:pPr>
      <w:r>
        <w:rPr>
          <w:rFonts w:ascii="Arial" w:cs="Arial" w:eastAsia="Arial" w:hAnsi="Arial"/>
          <w:sz w:val="16"/>
          <w:szCs w:val="16"/>
          <w:color w:val="auto"/>
        </w:rPr>
        <w:t>you acquire the new notes in the ordinary course of your business;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-157480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80"/>
          </w:cols>
          <w:pgMar w:left="240" w:top="410" w:right="10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180" w:right="80" w:hanging="97"/>
        <w:spacing w:after="0" w:line="289" w:lineRule="auto"/>
        <w:tabs>
          <w:tab w:leader="none" w:pos="1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you are not engaged in, and do not intend to engage in, and have no arrangement or understanding with any person to participate in, a distribution of such new notes.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You may not participate in the exchange offer if you are:</w:t>
      </w:r>
    </w:p>
    <w:p>
      <w:pPr>
        <w:spacing w:after="0" w:line="132" w:lineRule="exact"/>
        <w:rPr>
          <w:sz w:val="20"/>
          <w:szCs w:val="20"/>
          <w:color w:val="auto"/>
        </w:rPr>
      </w:pPr>
    </w:p>
    <w:p>
      <w:pPr>
        <w:ind w:left="1180" w:hanging="97"/>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“affiliate” within the meaning of Rule 405 under the Securities Act; or</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broker-dealer that acquired outstanding notes directly from us.</w:t>
      </w:r>
    </w:p>
    <w:p>
      <w:pPr>
        <w:spacing w:after="0" w:line="132" w:lineRule="exact"/>
        <w:rPr>
          <w:sz w:val="20"/>
          <w:szCs w:val="20"/>
          <w:color w:val="auto"/>
        </w:rPr>
      </w:pPr>
    </w:p>
    <w:p>
      <w:pPr>
        <w:ind w:left="680" w:firstLine="397"/>
        <w:spacing w:after="0" w:line="261" w:lineRule="auto"/>
        <w:rPr>
          <w:sz w:val="20"/>
          <w:szCs w:val="20"/>
          <w:color w:val="auto"/>
        </w:rPr>
      </w:pPr>
      <w:r>
        <w:rPr>
          <w:rFonts w:ascii="Arial" w:cs="Arial" w:eastAsia="Arial" w:hAnsi="Arial"/>
          <w:sz w:val="17"/>
          <w:szCs w:val="17"/>
          <w:color w:val="auto"/>
        </w:rPr>
        <w:t>Each broker-dealer that receives new notes for its own account pursuant to the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outstanding notes, with a prospectus contained in a registration statement like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 we will make this prospectus, as amended or supplemented, promptly available to any broker-dealer for use in connection with any such resale.</w:t>
      </w:r>
    </w:p>
    <w:p>
      <w:pPr>
        <w:spacing w:after="0" w:line="93" w:lineRule="exact"/>
        <w:rPr>
          <w:sz w:val="20"/>
          <w:szCs w:val="20"/>
          <w:color w:val="auto"/>
        </w:rPr>
      </w:pPr>
    </w:p>
    <w:p>
      <w:pPr>
        <w:ind w:left="680" w:right="20" w:firstLine="397"/>
        <w:spacing w:after="0" w:line="285" w:lineRule="auto"/>
        <w:rPr>
          <w:sz w:val="20"/>
          <w:szCs w:val="20"/>
          <w:color w:val="auto"/>
        </w:rPr>
      </w:pPr>
      <w:r>
        <w:rPr>
          <w:rFonts w:ascii="Arial" w:cs="Arial" w:eastAsia="Arial" w:hAnsi="Arial"/>
          <w:sz w:val="16"/>
          <w:szCs w:val="16"/>
          <w:color w:val="auto"/>
        </w:rPr>
        <w:t>If you wish to exchange your outstanding notes for new notes in the exchange offer, you will be required to make representations to us as described in “Exchange Offer — Purpose and Effect of the Exchange Offer” and “— Procedures for Tendering — Your Representations to Us” in this prospectus and in the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w:t>
      </w:r>
    </w:p>
    <w:p>
      <w:pPr>
        <w:spacing w:after="0" w:line="74" w:lineRule="exact"/>
        <w:rPr>
          <w:sz w:val="20"/>
          <w:szCs w:val="20"/>
          <w:color w:val="auto"/>
        </w:rPr>
      </w:pPr>
    </w:p>
    <w:p>
      <w:pPr>
        <w:ind w:left="680" w:right="300" w:firstLine="397"/>
        <w:spacing w:after="0" w:line="289" w:lineRule="auto"/>
        <w:rPr>
          <w:sz w:val="20"/>
          <w:szCs w:val="20"/>
          <w:color w:val="auto"/>
        </w:rPr>
      </w:pPr>
      <w:r>
        <w:rPr>
          <w:rFonts w:ascii="Arial" w:cs="Arial" w:eastAsia="Arial" w:hAnsi="Arial"/>
          <w:sz w:val="17"/>
          <w:szCs w:val="17"/>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67" w:lineRule="exact"/>
        <w:rPr>
          <w:sz w:val="20"/>
          <w:szCs w:val="20"/>
          <w:color w:val="auto"/>
        </w:rPr>
      </w:pPr>
    </w:p>
    <w:p>
      <w:pPr>
        <w:ind w:left="1180" w:hanging="97"/>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over-the-counter market;</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negotiated transactions;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through the writing of options on the new notes or a combination of the preceding methods of resale;</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market prices prevailing at the time of resale; and</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prices related to such prevailing market prices or negotiated prices.</w:t>
      </w:r>
    </w:p>
    <w:p>
      <w:pPr>
        <w:spacing w:after="0" w:line="132" w:lineRule="exact"/>
        <w:rPr>
          <w:sz w:val="20"/>
          <w:szCs w:val="20"/>
          <w:color w:val="auto"/>
        </w:rPr>
      </w:pPr>
    </w:p>
    <w:p>
      <w:pPr>
        <w:jc w:val="both"/>
        <w:ind w:left="680" w:right="40" w:firstLine="397"/>
        <w:spacing w:after="0" w:line="295" w:lineRule="auto"/>
        <w:rPr>
          <w:sz w:val="20"/>
          <w:szCs w:val="20"/>
          <w:color w:val="auto"/>
        </w:rPr>
      </w:pPr>
      <w:r>
        <w:rPr>
          <w:rFonts w:ascii="Arial" w:cs="Arial" w:eastAsia="Arial" w:hAnsi="Arial"/>
          <w:sz w:val="15"/>
          <w:szCs w:val="15"/>
          <w:color w:val="auto"/>
        </w:rPr>
        <w:t>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w:t>
      </w:r>
    </w:p>
    <w:p>
      <w:pPr>
        <w:spacing w:after="0" w:line="1" w:lineRule="exact"/>
        <w:rPr>
          <w:sz w:val="20"/>
          <w:szCs w:val="20"/>
          <w:color w:val="auto"/>
        </w:rPr>
      </w:pPr>
    </w:p>
    <w:p>
      <w:pPr>
        <w:jc w:val="both"/>
        <w:ind w:left="680" w:right="20"/>
        <w:spacing w:after="0" w:line="275" w:lineRule="auto"/>
        <w:rPr>
          <w:sz w:val="20"/>
          <w:szCs w:val="20"/>
          <w:color w:val="auto"/>
        </w:rPr>
      </w:pPr>
      <w:r>
        <w:rPr>
          <w:rFonts w:ascii="Arial" w:cs="Arial" w:eastAsia="Arial" w:hAnsi="Arial"/>
          <w:sz w:val="17"/>
          <w:szCs w:val="17"/>
          <w:color w:val="auto"/>
        </w:rPr>
        <w:t>The letter of transmittal states that by acknowledging that it will deliver and by delivering a prospectus, a broker-dealer will not be deemed to admit that it is an “underwriter” within the meaning of the Securities Act.</w:t>
      </w:r>
    </w:p>
    <w:p>
      <w:pPr>
        <w:spacing w:after="0" w:line="78" w:lineRule="exact"/>
        <w:rPr>
          <w:sz w:val="20"/>
          <w:szCs w:val="20"/>
          <w:color w:val="auto"/>
        </w:rPr>
      </w:pPr>
    </w:p>
    <w:p>
      <w:pPr>
        <w:ind w:left="680" w:right="140" w:firstLine="397"/>
        <w:spacing w:after="0" w:line="265" w:lineRule="auto"/>
        <w:rPr>
          <w:sz w:val="20"/>
          <w:szCs w:val="20"/>
          <w:color w:val="auto"/>
        </w:rPr>
      </w:pPr>
      <w:r>
        <w:rPr>
          <w:rFonts w:ascii="Arial" w:cs="Arial" w:eastAsia="Arial" w:hAnsi="Arial"/>
          <w:sz w:val="17"/>
          <w:szCs w:val="17"/>
          <w:color w:val="auto"/>
        </w:rPr>
        <w:t>For a period of one year after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0" w:right="10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41"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LEGAL MATTERS</w:t>
      </w:r>
    </w:p>
    <w:p>
      <w:pPr>
        <w:spacing w:after="0" w:line="138" w:lineRule="exact"/>
        <w:rPr>
          <w:sz w:val="20"/>
          <w:szCs w:val="20"/>
          <w:color w:val="auto"/>
        </w:rPr>
      </w:pPr>
    </w:p>
    <w:p>
      <w:pPr>
        <w:ind w:left="680" w:right="180" w:firstLine="397"/>
        <w:spacing w:after="0" w:line="289" w:lineRule="auto"/>
        <w:rPr>
          <w:sz w:val="20"/>
          <w:szCs w:val="20"/>
          <w:color w:val="auto"/>
        </w:rPr>
      </w:pPr>
      <w:r>
        <w:rPr>
          <w:rFonts w:ascii="Arial" w:cs="Arial" w:eastAsia="Arial" w:hAnsi="Arial"/>
          <w:sz w:val="17"/>
          <w:szCs w:val="17"/>
          <w:color w:val="auto"/>
        </w:rPr>
        <w:t>The validity of the new notes offered in this exchange offer and the related guarantees will be passed upon for us by Vinson &amp; Elkins L.L.P., Houston, Texas.</w:t>
      </w:r>
    </w:p>
    <w:p>
      <w:pPr>
        <w:spacing w:after="0" w:line="270"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EXPERTS</w:t>
      </w:r>
    </w:p>
    <w:p>
      <w:pPr>
        <w:spacing w:after="0" w:line="138" w:lineRule="exact"/>
        <w:rPr>
          <w:sz w:val="20"/>
          <w:szCs w:val="20"/>
          <w:color w:val="auto"/>
        </w:rPr>
      </w:pPr>
    </w:p>
    <w:p>
      <w:pPr>
        <w:ind w:left="680" w:right="80" w:firstLine="397"/>
        <w:spacing w:after="0" w:line="314"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2005 have been so incorporated in reliance on the report of PricewaterhouseCoopers LLP, an independent registered public accounting firm, given on the authority of said firm as experts in auditing and accounting.</w:t>
      </w:r>
    </w:p>
    <w:p>
      <w:pPr>
        <w:spacing w:after="0" w:line="54" w:lineRule="exact"/>
        <w:rPr>
          <w:sz w:val="20"/>
          <w:szCs w:val="20"/>
          <w:color w:val="auto"/>
        </w:rPr>
      </w:pPr>
    </w:p>
    <w:p>
      <w:pPr>
        <w:ind w:left="680" w:firstLine="397"/>
        <w:spacing w:after="0" w:line="273" w:lineRule="auto"/>
        <w:rPr>
          <w:sz w:val="20"/>
          <w:szCs w:val="20"/>
          <w:color w:val="auto"/>
        </w:rPr>
      </w:pPr>
      <w:r>
        <w:rPr>
          <w:rFonts w:ascii="Arial" w:cs="Arial" w:eastAsia="Arial" w:hAnsi="Arial"/>
          <w:sz w:val="17"/>
          <w:szCs w:val="17"/>
          <w:color w:val="auto"/>
        </w:rPr>
        <w:t>The balance sheet of Plains AAP, L.P. incorporated in this prospectus by reference to Plains All American Pipeline, L.P.’s Current Report on Form 8-K filed March 21, 2006 has been so incorporated in reliance on the report of PricewaterhouseCoopers LLP, an independent registered public accounting firm, given on the authority of said firm as experts in auditing and accounting.</w:t>
      </w:r>
    </w:p>
    <w:p>
      <w:pPr>
        <w:spacing w:after="0" w:line="284"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38" w:lineRule="exact"/>
        <w:rPr>
          <w:sz w:val="20"/>
          <w:szCs w:val="20"/>
          <w:color w:val="auto"/>
        </w:rPr>
      </w:pPr>
    </w:p>
    <w:p>
      <w:pPr>
        <w:ind w:left="680" w:right="20" w:firstLine="397"/>
        <w:spacing w:after="0" w:line="263" w:lineRule="auto"/>
        <w:rPr>
          <w:sz w:val="20"/>
          <w:szCs w:val="20"/>
          <w:color w:val="auto"/>
        </w:rPr>
      </w:pPr>
      <w:r>
        <w:rPr>
          <w:rFonts w:ascii="Arial" w:cs="Arial" w:eastAsia="Arial" w:hAnsi="Arial"/>
          <w:sz w:val="17"/>
          <w:szCs w:val="17"/>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(Commission File No. 1-14569) with the SEC under Sections 13(a), 13(c), 14 or 15(d) of the Securities Exchange Act of 1934 (excluding any information furnished and not filed with the SEC) until the offering under this registration statement is completed:</w:t>
      </w:r>
    </w:p>
    <w:p>
      <w:pPr>
        <w:spacing w:after="0" w:line="91" w:lineRule="exact"/>
        <w:rPr>
          <w:sz w:val="20"/>
          <w:szCs w:val="20"/>
          <w:color w:val="auto"/>
        </w:rPr>
      </w:pPr>
    </w:p>
    <w:p>
      <w:pPr>
        <w:ind w:left="1180" w:hanging="97"/>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Annual Report on Form 10-K for the year ended December 31, 2005;</w:t>
      </w:r>
    </w:p>
    <w:p>
      <w:pPr>
        <w:spacing w:after="0" w:line="132" w:lineRule="exact"/>
        <w:rPr>
          <w:rFonts w:ascii="Arial" w:cs="Arial" w:eastAsia="Arial" w:hAnsi="Arial"/>
          <w:sz w:val="17"/>
          <w:szCs w:val="17"/>
          <w:color w:val="auto"/>
        </w:rPr>
      </w:pPr>
    </w:p>
    <w:p>
      <w:pPr>
        <w:ind w:left="1180" w:hanging="97"/>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Quarterly Report on Form 10-Q for the quarter ended March 31, 2006;</w:t>
      </w:r>
    </w:p>
    <w:p>
      <w:pPr>
        <w:spacing w:after="0" w:line="132" w:lineRule="exact"/>
        <w:rPr>
          <w:rFonts w:ascii="Arial" w:cs="Arial" w:eastAsia="Arial" w:hAnsi="Arial"/>
          <w:sz w:val="17"/>
          <w:szCs w:val="17"/>
          <w:color w:val="auto"/>
        </w:rPr>
      </w:pPr>
    </w:p>
    <w:p>
      <w:pPr>
        <w:ind w:left="1180" w:hanging="97"/>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Quarterly Report on Form 10-Q for the quarter ended June 30, 2006, as amended;</w:t>
      </w:r>
    </w:p>
    <w:p>
      <w:pPr>
        <w:spacing w:after="0" w:line="132" w:lineRule="exact"/>
        <w:rPr>
          <w:rFonts w:ascii="Arial" w:cs="Arial" w:eastAsia="Arial" w:hAnsi="Arial"/>
          <w:sz w:val="17"/>
          <w:szCs w:val="17"/>
          <w:color w:val="auto"/>
        </w:rPr>
      </w:pPr>
    </w:p>
    <w:p>
      <w:pPr>
        <w:ind w:left="1180" w:hanging="97"/>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March 16, 2006 (announcement of Andrews acquisition);</w:t>
      </w:r>
    </w:p>
    <w:p>
      <w:pPr>
        <w:spacing w:after="0" w:line="119" w:lineRule="exact"/>
        <w:rPr>
          <w:rFonts w:ascii="Arial" w:cs="Arial" w:eastAsia="Arial" w:hAnsi="Arial"/>
          <w:sz w:val="17"/>
          <w:szCs w:val="17"/>
          <w:color w:val="auto"/>
        </w:rPr>
      </w:pPr>
    </w:p>
    <w:p>
      <w:pPr>
        <w:ind w:left="1180" w:right="220" w:hanging="97"/>
        <w:spacing w:after="0" w:line="289"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 on Form 8-K filed (other than Item 7.01, which was furnished) with the Commission on March 21, 2006 (entry into direct placement unit purchase agreement);</w:t>
      </w:r>
    </w:p>
    <w:p>
      <w:pPr>
        <w:spacing w:after="0" w:line="53" w:lineRule="exact"/>
        <w:rPr>
          <w:rFonts w:ascii="Arial" w:cs="Arial" w:eastAsia="Arial" w:hAnsi="Arial"/>
          <w:sz w:val="17"/>
          <w:szCs w:val="17"/>
          <w:color w:val="auto"/>
        </w:rPr>
      </w:pPr>
    </w:p>
    <w:p>
      <w:pPr>
        <w:ind w:left="1180" w:right="740" w:hanging="97"/>
        <w:spacing w:after="0" w:line="289"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March 21, 2006 (audited balance sheet of Plains AAP, L.P. as of December 31, 2005);</w:t>
      </w:r>
    </w:p>
    <w:p>
      <w:pPr>
        <w:spacing w:after="0" w:line="53" w:lineRule="exact"/>
        <w:rPr>
          <w:rFonts w:ascii="Arial" w:cs="Arial" w:eastAsia="Arial" w:hAnsi="Arial"/>
          <w:sz w:val="17"/>
          <w:szCs w:val="17"/>
          <w:color w:val="auto"/>
        </w:rPr>
      </w:pPr>
    </w:p>
    <w:p>
      <w:pPr>
        <w:ind w:left="1180" w:hanging="97"/>
        <w:spacing w:after="0" w:line="289"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May 9, 2006 (announcement of private placement offering of $250 million notes);</w:t>
      </w:r>
    </w:p>
    <w:p>
      <w:pPr>
        <w:spacing w:after="0" w:line="53" w:lineRule="exact"/>
        <w:rPr>
          <w:rFonts w:ascii="Arial" w:cs="Arial" w:eastAsia="Arial" w:hAnsi="Arial"/>
          <w:sz w:val="17"/>
          <w:szCs w:val="17"/>
          <w:color w:val="auto"/>
        </w:rPr>
      </w:pPr>
    </w:p>
    <w:p>
      <w:pPr>
        <w:ind w:left="1180" w:right="20" w:hanging="97"/>
        <w:spacing w:after="0" w:line="289"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 on Form 8-K filed (other than Item 7.01, which was furnished) with the Commission on May 12, 2006 (entry into note purchase agreement, registration rights agreement and supplemental indentures);</w:t>
      </w:r>
    </w:p>
    <w:p>
      <w:pPr>
        <w:spacing w:after="0" w:line="53" w:lineRule="exact"/>
        <w:rPr>
          <w:rFonts w:ascii="Arial" w:cs="Arial" w:eastAsia="Arial" w:hAnsi="Arial"/>
          <w:sz w:val="17"/>
          <w:szCs w:val="17"/>
          <w:color w:val="auto"/>
        </w:rPr>
      </w:pPr>
    </w:p>
    <w:p>
      <w:pPr>
        <w:ind w:left="1180" w:right="420" w:hanging="97"/>
        <w:spacing w:after="0" w:line="289"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May 15, 2006 (amendment to PAA/Vulcan limited liability company agreement);</w:t>
      </w:r>
    </w:p>
    <w:p>
      <w:pPr>
        <w:spacing w:after="0" w:line="53" w:lineRule="exact"/>
        <w:rPr>
          <w:rFonts w:ascii="Arial" w:cs="Arial" w:eastAsia="Arial" w:hAnsi="Arial"/>
          <w:sz w:val="17"/>
          <w:szCs w:val="17"/>
          <w:color w:val="auto"/>
        </w:rPr>
      </w:pPr>
    </w:p>
    <w:p>
      <w:pPr>
        <w:ind w:left="1180" w:right="680" w:hanging="97"/>
        <w:spacing w:after="0" w:line="289"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June 12, 2006 (entry into Pacific merger agreement and purchase agreement with LB Pacific);</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80"/>
          </w:cols>
          <w:pgMar w:left="240" w:top="410" w:right="10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180" w:right="660" w:hanging="97"/>
        <w:spacing w:after="0" w:line="28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June 30, 2006 (unaudited balance sheet of Plains AAP, L.P. as of March 31, 2006);</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July 14, 2006 (pro forma financial statements);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July 20, 2006 (amendment to Pacific merger agreement);</w:t>
      </w:r>
    </w:p>
    <w:p>
      <w:pPr>
        <w:spacing w:after="0" w:line="119" w:lineRule="exact"/>
        <w:rPr>
          <w:rFonts w:ascii="Arial" w:cs="Arial" w:eastAsia="Arial" w:hAnsi="Arial"/>
          <w:sz w:val="17"/>
          <w:szCs w:val="17"/>
          <w:color w:val="auto"/>
        </w:rPr>
      </w:pPr>
    </w:p>
    <w:p>
      <w:pPr>
        <w:ind w:left="1180" w:right="340" w:hanging="97"/>
        <w:spacing w:after="0" w:line="28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(other than Item 7.01, which was furnished) with the Commission on July 25, 2006 (entry into direct placement unit purchase agreement);</w:t>
      </w:r>
    </w:p>
    <w:p>
      <w:pPr>
        <w:spacing w:after="0" w:line="53" w:lineRule="exact"/>
        <w:rPr>
          <w:rFonts w:ascii="Arial" w:cs="Arial" w:eastAsia="Arial" w:hAnsi="Arial"/>
          <w:sz w:val="17"/>
          <w:szCs w:val="17"/>
          <w:color w:val="auto"/>
        </w:rPr>
      </w:pPr>
    </w:p>
    <w:p>
      <w:pPr>
        <w:ind w:left="1180" w:right="260" w:hanging="97"/>
        <w:spacing w:after="0" w:line="28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August 4, 2006 (entry into amended and restated credit agreement and bridge loan agreement);</w:t>
      </w:r>
    </w:p>
    <w:p>
      <w:pPr>
        <w:spacing w:after="0" w:line="53" w:lineRule="exact"/>
        <w:rPr>
          <w:rFonts w:ascii="Arial" w:cs="Arial" w:eastAsia="Arial" w:hAnsi="Arial"/>
          <w:sz w:val="17"/>
          <w:szCs w:val="17"/>
          <w:color w:val="auto"/>
        </w:rPr>
      </w:pPr>
    </w:p>
    <w:p>
      <w:pPr>
        <w:ind w:left="1180" w:hanging="97"/>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August 23, 2006 (LTIP grants to audit committee members);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August 24, 2006 (pro forma financial statements);</w:t>
      </w:r>
    </w:p>
    <w:p>
      <w:pPr>
        <w:spacing w:after="0" w:line="119" w:lineRule="exact"/>
        <w:rPr>
          <w:rFonts w:ascii="Arial" w:cs="Arial" w:eastAsia="Arial" w:hAnsi="Arial"/>
          <w:sz w:val="17"/>
          <w:szCs w:val="17"/>
          <w:color w:val="auto"/>
        </w:rPr>
      </w:pPr>
    </w:p>
    <w:p>
      <w:pPr>
        <w:ind w:left="1180" w:hanging="97"/>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August 25, 2006 (execution of eighth supplemental indenture);</w:t>
      </w:r>
    </w:p>
    <w:p>
      <w:pPr>
        <w:spacing w:after="0" w:line="119" w:lineRule="exact"/>
        <w:rPr>
          <w:rFonts w:ascii="Arial" w:cs="Arial" w:eastAsia="Arial" w:hAnsi="Arial"/>
          <w:sz w:val="17"/>
          <w:szCs w:val="17"/>
          <w:color w:val="auto"/>
        </w:rPr>
      </w:pPr>
    </w:p>
    <w:p>
      <w:pPr>
        <w:ind w:left="1180" w:right="480" w:hanging="97"/>
        <w:spacing w:after="0" w:line="28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August 28, 2006 (unaudited balance sheet of Plains AAP, L.P. as of June 30, 2006);</w:t>
      </w:r>
    </w:p>
    <w:p>
      <w:pPr>
        <w:spacing w:after="0" w:line="53" w:lineRule="exact"/>
        <w:rPr>
          <w:rFonts w:ascii="Arial" w:cs="Arial" w:eastAsia="Arial" w:hAnsi="Arial"/>
          <w:sz w:val="17"/>
          <w:szCs w:val="17"/>
          <w:color w:val="auto"/>
        </w:rPr>
      </w:pPr>
    </w:p>
    <w:p>
      <w:pPr>
        <w:ind w:left="1180" w:right="360" w:hanging="97"/>
        <w:spacing w:after="0" w:line="28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October 23, 2006 (announcement of private placement offering of an aggregate of $1.0 billion of senior notes);</w:t>
      </w:r>
    </w:p>
    <w:p>
      <w:pPr>
        <w:spacing w:after="0" w:line="53" w:lineRule="exact"/>
        <w:rPr>
          <w:rFonts w:ascii="Arial" w:cs="Arial" w:eastAsia="Arial" w:hAnsi="Arial"/>
          <w:sz w:val="17"/>
          <w:szCs w:val="17"/>
          <w:color w:val="auto"/>
        </w:rPr>
      </w:pPr>
    </w:p>
    <w:p>
      <w:pPr>
        <w:ind w:left="1180" w:right="380" w:hanging="97"/>
        <w:spacing w:after="0" w:line="28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October 27, 2006 (entry into note purchase agreement relating to the aggregate of $1.0 billion of senior notes); and</w:t>
      </w:r>
    </w:p>
    <w:p>
      <w:pPr>
        <w:spacing w:after="0" w:line="53" w:lineRule="exact"/>
        <w:rPr>
          <w:rFonts w:ascii="Arial" w:cs="Arial" w:eastAsia="Arial" w:hAnsi="Arial"/>
          <w:sz w:val="17"/>
          <w:szCs w:val="17"/>
          <w:color w:val="auto"/>
        </w:rPr>
      </w:pPr>
    </w:p>
    <w:p>
      <w:pPr>
        <w:ind w:left="1180" w:right="480" w:hanging="97"/>
        <w:spacing w:after="0" w:line="28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Report on Form 8-K filed with the Commission on October 30, 2006 (execution of ninth supplemental indenture, tenth supplemental indenture and related registration rights agreements).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You may request a copy of these filings at no cost by making written or telephone requests for copies to:</w:t>
      </w:r>
    </w:p>
    <w:p>
      <w:pPr>
        <w:spacing w:after="0" w:line="132" w:lineRule="exact"/>
        <w:rPr>
          <w:sz w:val="20"/>
          <w:szCs w:val="20"/>
          <w:color w:val="auto"/>
        </w:rPr>
      </w:pPr>
    </w:p>
    <w:p>
      <w:pPr>
        <w:jc w:val="center"/>
        <w:ind w:right="-779"/>
        <w:spacing w:after="0"/>
        <w:rPr>
          <w:sz w:val="20"/>
          <w:szCs w:val="20"/>
          <w:color w:val="auto"/>
        </w:rPr>
      </w:pPr>
      <w:r>
        <w:rPr>
          <w:rFonts w:ascii="Arial" w:cs="Arial" w:eastAsia="Arial" w:hAnsi="Arial"/>
          <w:sz w:val="17"/>
          <w:szCs w:val="17"/>
          <w:color w:val="auto"/>
        </w:rPr>
        <w:t>Plains All American Pipeline, L.P.</w:t>
      </w:r>
    </w:p>
    <w:p>
      <w:pPr>
        <w:spacing w:after="0" w:line="26" w:lineRule="exact"/>
        <w:rPr>
          <w:sz w:val="20"/>
          <w:szCs w:val="20"/>
          <w:color w:val="auto"/>
        </w:rPr>
      </w:pPr>
    </w:p>
    <w:p>
      <w:pPr>
        <w:jc w:val="center"/>
        <w:ind w:right="-779"/>
        <w:spacing w:after="0"/>
        <w:rPr>
          <w:sz w:val="20"/>
          <w:szCs w:val="20"/>
          <w:color w:val="auto"/>
        </w:rPr>
      </w:pPr>
      <w:r>
        <w:rPr>
          <w:rFonts w:ascii="Arial" w:cs="Arial" w:eastAsia="Arial" w:hAnsi="Arial"/>
          <w:sz w:val="17"/>
          <w:szCs w:val="17"/>
          <w:color w:val="auto"/>
        </w:rPr>
        <w:t>333 Clay Street, Suite 1600</w:t>
      </w:r>
    </w:p>
    <w:p>
      <w:pPr>
        <w:spacing w:after="0" w:line="14" w:lineRule="exact"/>
        <w:rPr>
          <w:sz w:val="20"/>
          <w:szCs w:val="20"/>
          <w:color w:val="auto"/>
        </w:rPr>
      </w:pPr>
    </w:p>
    <w:p>
      <w:pPr>
        <w:jc w:val="center"/>
        <w:ind w:right="-779"/>
        <w:spacing w:after="0"/>
        <w:rPr>
          <w:sz w:val="20"/>
          <w:szCs w:val="20"/>
          <w:color w:val="auto"/>
        </w:rPr>
      </w:pPr>
      <w:r>
        <w:rPr>
          <w:rFonts w:ascii="Arial" w:cs="Arial" w:eastAsia="Arial" w:hAnsi="Arial"/>
          <w:sz w:val="17"/>
          <w:szCs w:val="17"/>
          <w:color w:val="auto"/>
        </w:rPr>
        <w:t>Houston, Texas 77002</w:t>
      </w:r>
    </w:p>
    <w:p>
      <w:pPr>
        <w:spacing w:after="0" w:line="14" w:lineRule="exact"/>
        <w:rPr>
          <w:sz w:val="20"/>
          <w:szCs w:val="20"/>
          <w:color w:val="auto"/>
        </w:rPr>
      </w:pPr>
    </w:p>
    <w:p>
      <w:pPr>
        <w:jc w:val="center"/>
        <w:ind w:right="-779"/>
        <w:spacing w:after="0"/>
        <w:rPr>
          <w:sz w:val="20"/>
          <w:szCs w:val="20"/>
          <w:color w:val="auto"/>
        </w:rPr>
      </w:pPr>
      <w:r>
        <w:rPr>
          <w:rFonts w:ascii="Arial" w:cs="Arial" w:eastAsia="Arial" w:hAnsi="Arial"/>
          <w:sz w:val="17"/>
          <w:szCs w:val="17"/>
          <w:color w:val="auto"/>
        </w:rPr>
        <w:t>Attention: Tim Moore</w:t>
      </w:r>
    </w:p>
    <w:p>
      <w:pPr>
        <w:spacing w:after="0" w:line="14" w:lineRule="exact"/>
        <w:rPr>
          <w:sz w:val="20"/>
          <w:szCs w:val="20"/>
          <w:color w:val="auto"/>
        </w:rPr>
      </w:pPr>
    </w:p>
    <w:p>
      <w:pPr>
        <w:jc w:val="center"/>
        <w:ind w:right="-779"/>
        <w:spacing w:after="0"/>
        <w:rPr>
          <w:sz w:val="20"/>
          <w:szCs w:val="20"/>
          <w:color w:val="auto"/>
        </w:rPr>
      </w:pPr>
      <w:r>
        <w:rPr>
          <w:rFonts w:ascii="Arial" w:cs="Arial" w:eastAsia="Arial" w:hAnsi="Arial"/>
          <w:sz w:val="17"/>
          <w:szCs w:val="17"/>
          <w:color w:val="auto"/>
        </w:rPr>
        <w:t>Telephone: (713) 646-4100</w:t>
      </w:r>
    </w:p>
    <w:p>
      <w:pPr>
        <w:spacing w:after="0" w:line="120" w:lineRule="exact"/>
        <w:rPr>
          <w:sz w:val="20"/>
          <w:szCs w:val="20"/>
          <w:color w:val="auto"/>
        </w:rPr>
      </w:pPr>
    </w:p>
    <w:p>
      <w:pPr>
        <w:ind w:left="680" w:right="180" w:firstLine="397"/>
        <w:spacing w:after="0" w:line="268" w:lineRule="auto"/>
        <w:rPr>
          <w:sz w:val="20"/>
          <w:szCs w:val="20"/>
          <w:color w:val="auto"/>
        </w:rPr>
      </w:pPr>
      <w:r>
        <w:rPr>
          <w:rFonts w:ascii="Arial" w:cs="Arial" w:eastAsia="Arial" w:hAnsi="Arial"/>
          <w:sz w:val="17"/>
          <w:szCs w:val="17"/>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7"/>
          <w:szCs w:val="17"/>
          <w:i w:val="1"/>
          <w:iCs w:val="1"/>
          <w:color w:val="auto"/>
        </w:rPr>
        <w:t>www.sec.gov.</w:t>
      </w:r>
    </w:p>
    <w:p>
      <w:pPr>
        <w:spacing w:after="0" w:line="84" w:lineRule="exact"/>
        <w:rPr>
          <w:sz w:val="20"/>
          <w:szCs w:val="20"/>
          <w:color w:val="auto"/>
        </w:rPr>
      </w:pPr>
    </w:p>
    <w:p>
      <w:pPr>
        <w:jc w:val="both"/>
        <w:ind w:left="680" w:right="60" w:firstLine="397"/>
        <w:spacing w:after="0" w:line="298" w:lineRule="auto"/>
        <w:rPr>
          <w:sz w:val="20"/>
          <w:szCs w:val="20"/>
          <w:color w:val="auto"/>
        </w:rPr>
      </w:pPr>
      <w:r>
        <w:rPr>
          <w:rFonts w:ascii="Arial" w:cs="Arial" w:eastAsia="Arial" w:hAnsi="Arial"/>
          <w:sz w:val="16"/>
          <w:szCs w:val="16"/>
          <w:color w:val="auto"/>
        </w:rPr>
        <w:t>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w:t>
      </w:r>
    </w:p>
    <w:p>
      <w:pPr>
        <w:spacing w:after="0" w:line="266" w:lineRule="exact"/>
        <w:rPr>
          <w:sz w:val="20"/>
          <w:szCs w:val="20"/>
          <w:color w:val="auto"/>
        </w:rPr>
      </w:pPr>
    </w:p>
    <w:p>
      <w:pPr>
        <w:jc w:val="center"/>
        <w:ind w:right="-779"/>
        <w:spacing w:after="0"/>
        <w:rPr>
          <w:sz w:val="20"/>
          <w:szCs w:val="20"/>
          <w:color w:val="auto"/>
        </w:rPr>
      </w:pPr>
      <w:r>
        <w:rPr>
          <w:rFonts w:ascii="Arial" w:cs="Arial" w:eastAsia="Arial" w:hAnsi="Arial"/>
          <w:sz w:val="17"/>
          <w:szCs w:val="17"/>
          <w:b w:val="1"/>
          <w:bCs w:val="1"/>
          <w:color w:val="auto"/>
        </w:rPr>
        <w:t>FORWARD-LOOKING STATEMENTS</w:t>
      </w:r>
    </w:p>
    <w:p>
      <w:pPr>
        <w:spacing w:after="0" w:line="138" w:lineRule="exact"/>
        <w:rPr>
          <w:sz w:val="20"/>
          <w:szCs w:val="20"/>
          <w:color w:val="auto"/>
        </w:rPr>
      </w:pPr>
    </w:p>
    <w:p>
      <w:pPr>
        <w:ind w:left="680" w:firstLine="397"/>
        <w:spacing w:after="0" w:line="273" w:lineRule="auto"/>
        <w:rPr>
          <w:sz w:val="20"/>
          <w:szCs w:val="20"/>
          <w:color w:val="auto"/>
        </w:rPr>
      </w:pPr>
      <w:r>
        <w:rPr>
          <w:rFonts w:ascii="Arial" w:cs="Arial" w:eastAsia="Arial" w:hAnsi="Arial"/>
          <w:sz w:val="17"/>
          <w:szCs w:val="17"/>
          <w:color w:val="auto"/>
        </w:rPr>
        <w:t>All statements included or incorporated by reference in this prospectus, other than statements of historical fact, are forward-looking statements, including but not limited to statements identified by the words “anticipate,” “believe,” “estimate,” “expect,” “plan,” “intend” and “forecast,” and similar expressions and</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40"/>
          </w:cols>
          <w:pgMar w:left="240" w:top="410" w:right="111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31" w:lineRule="exact"/>
        <w:rPr>
          <w:sz w:val="20"/>
          <w:szCs w:val="20"/>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success of our risk management activities;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78" w:lineRule="exact"/>
        <w:rPr>
          <w:rFonts w:ascii="Arial" w:cs="Arial" w:eastAsia="Arial" w:hAnsi="Arial"/>
          <w:sz w:val="16"/>
          <w:szCs w:val="16"/>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declines in volumes shipped on the Basin Pipeline, Capline Pipeline and our other pipelines by us and third party shippers;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availability of adequate third party production volumes for transportation and marketing in the areas in which we operate;</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transmission lines;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availability of, and our ability to consummate, acquisition or combination opportunities;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access to capital to fund additional acquisitions and our ability to obtain debt or equity financing on satisfactory terms;</w:t>
      </w:r>
    </w:p>
    <w:p>
      <w:pPr>
        <w:spacing w:after="0" w:line="66" w:lineRule="exact"/>
        <w:rPr>
          <w:rFonts w:ascii="Arial" w:cs="Arial" w:eastAsia="Arial" w:hAnsi="Arial"/>
          <w:sz w:val="17"/>
          <w:szCs w:val="17"/>
          <w:color w:val="auto"/>
        </w:rPr>
      </w:pPr>
    </w:p>
    <w:p>
      <w:pPr>
        <w:ind w:left="580" w:right="140" w:hanging="116"/>
        <w:spacing w:after="0" w:line="289"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successful integration and future performance of acquired assets or businesses and the risks associated with operating in lines of business that are distinct and separate from our historical operations;</w:t>
      </w:r>
    </w:p>
    <w:p>
      <w:pPr>
        <w:spacing w:after="0" w:line="1"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unanticipated changes in crude oil market structure and volatility (or lack thereof);</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impact of current and future laws, rulings and governmental regulations;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effects of competition;</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continued creditworthiness of, and performance by, our counterparties;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interruptions in service and fluctuations in rates of third party pipelines;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increased costs or lack of availability of insurance;</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currency exchange rate of the Canadian dollar;</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impact of crude oil and natural gas price fluctuations;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shortages or cost increases of power supplies, materials or labor;</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economic, market or business conditions;</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natural gas storage facilities; and</w:t>
      </w:r>
    </w:p>
    <w:p>
      <w:pPr>
        <w:spacing w:after="0" w:line="66" w:lineRule="exact"/>
        <w:rPr>
          <w:rFonts w:ascii="Arial" w:cs="Arial" w:eastAsia="Arial" w:hAnsi="Arial"/>
          <w:sz w:val="17"/>
          <w:szCs w:val="17"/>
          <w:color w:val="auto"/>
        </w:rPr>
      </w:pPr>
    </w:p>
    <w:p>
      <w:pPr>
        <w:ind w:left="580" w:hanging="11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91" w:lineRule="exact"/>
        <w:rPr>
          <w:sz w:val="20"/>
          <w:szCs w:val="20"/>
          <w:color w:val="auto"/>
        </w:rPr>
      </w:pPr>
    </w:p>
    <w:p>
      <w:pPr>
        <w:ind w:right="20" w:firstLine="457"/>
        <w:spacing w:after="0" w:line="290" w:lineRule="auto"/>
        <w:rPr>
          <w:sz w:val="20"/>
          <w:szCs w:val="20"/>
          <w:color w:val="auto"/>
        </w:rPr>
      </w:pPr>
      <w:r>
        <w:rPr>
          <w:rFonts w:ascii="Arial" w:cs="Arial" w:eastAsia="Arial" w:hAnsi="Arial"/>
          <w:sz w:val="16"/>
          <w:szCs w:val="16"/>
          <w:color w:val="auto"/>
        </w:rPr>
        <w:t>Other factors described herein or incorporated by reference, or factors that are unknown or unpredictable, could also have a material adverse effect on future results. Please read “Risk Factors” beginning on page 4 of this prospectus, in Item 1A. “Risk Factors” in our annual report on Form 10-K for the year ended December 31, 2005 and in Item 1a. “Risk Factors” in our quarterly report on Form 10-Q, as amended, for the quarter ended June 30, 2006. Except as required by securities laws applicable to the documents incorporated by reference, we do not intend to update these forward-looking statements and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ANNEX A</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28"/>
          <w:szCs w:val="28"/>
          <w:b w:val="1"/>
          <w:bCs w:val="1"/>
          <w:color w:val="auto"/>
        </w:rPr>
        <w:t>LETTER OF TRANSMITTAL</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TO TENDER</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OUTSTANDING 6.70% SENIOR NOTES DUE 2036</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OF</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PLAINS ALL AMERICAN PIPELINE, L.P.</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AND</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PAA FINANCE CORP.</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PURSUANT TO THE EXCHANGE OFFER AND PROSPECTUS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DATED NOVEMBER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314565" cy="737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4565" cy="737235"/>
                    </a:xfrm>
                    <a:prstGeom prst="rect">
                      <a:avLst/>
                    </a:prstGeom>
                    <a:noFill/>
                  </pic:spPr>
                </pic:pic>
              </a:graphicData>
            </a:graphic>
          </wp:anchor>
        </w:drawing>
      </w:r>
    </w:p>
    <w:p>
      <w:pPr>
        <w:spacing w:after="0" w:line="367" w:lineRule="exact"/>
        <w:rPr>
          <w:sz w:val="20"/>
          <w:szCs w:val="20"/>
          <w:color w:val="auto"/>
        </w:rPr>
      </w:pPr>
    </w:p>
    <w:p>
      <w:pPr>
        <w:ind w:left="220" w:right="140"/>
        <w:spacing w:after="0" w:line="250" w:lineRule="auto"/>
        <w:rPr>
          <w:sz w:val="20"/>
          <w:szCs w:val="20"/>
          <w:color w:val="auto"/>
        </w:rPr>
      </w:pPr>
      <w:r>
        <w:rPr>
          <w:rFonts w:ascii="Arial" w:cs="Arial" w:eastAsia="Arial" w:hAnsi="Arial"/>
          <w:sz w:val="21"/>
          <w:szCs w:val="21"/>
          <w:b w:val="1"/>
          <w:bCs w:val="1"/>
          <w:color w:val="auto"/>
        </w:rPr>
        <w:t>THE EXCHANGE OFFER AND WITHDRAWAL RIGHTS WILL EXPIRE AT 5:00 P.M., NEW YORK CITY TIME, ON DECEMBER 13, 2006 (THE “EXPIRATION DATE”), UNLESS THE EXCHANGE OFFER IS EXTENDED BY THE ISSUERS.</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The Exchange Agent for the Exchange Offer is: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U.S. Bank Corporate Trust Services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Specialized Finance Dept.</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 Livingston Avenue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St. Paul, MN 55107</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Attention: Brandi Steward</w:t>
      </w:r>
    </w:p>
    <w:p>
      <w:pPr>
        <w:spacing w:after="0" w:line="49" w:lineRule="exact"/>
        <w:rPr>
          <w:sz w:val="20"/>
          <w:szCs w:val="20"/>
          <w:color w:val="auto"/>
        </w:rPr>
      </w:pPr>
    </w:p>
    <w:p>
      <w:pPr>
        <w:ind w:right="200" w:firstLine="343"/>
        <w:spacing w:after="0" w:line="277" w:lineRule="auto"/>
        <w:rPr>
          <w:sz w:val="20"/>
          <w:szCs w:val="20"/>
          <w:color w:val="auto"/>
        </w:rPr>
      </w:pPr>
      <w:r>
        <w:rPr>
          <w:rFonts w:ascii="Arial" w:cs="Arial" w:eastAsia="Arial" w:hAnsi="Arial"/>
          <w:sz w:val="17"/>
          <w:szCs w:val="17"/>
          <w:b w:val="1"/>
          <w:bCs w:val="1"/>
          <w:color w:val="auto"/>
        </w:rPr>
        <w:t>If you wish to exchange currently outstanding 6.70% Senior Notes due 2036 (the “outstanding notes”) for an equal aggregate principal amount at maturity of new 6.70% Senior Notes due 2036 pursuant to the exchange offer, you must validly tender (and not withdraw) outstanding notes to the exchange agent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156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56" w:lineRule="exact"/>
        <w:rPr>
          <w:sz w:val="20"/>
          <w:szCs w:val="20"/>
          <w:color w:val="auto"/>
        </w:rPr>
      </w:pPr>
    </w:p>
    <w:p>
      <w:pPr>
        <w:ind w:firstLine="343"/>
        <w:spacing w:after="0" w:line="265" w:lineRule="auto"/>
        <w:rPr>
          <w:sz w:val="20"/>
          <w:szCs w:val="20"/>
          <w:color w:val="auto"/>
        </w:rPr>
      </w:pPr>
      <w:r>
        <w:rPr>
          <w:rFonts w:ascii="Arial" w:cs="Arial" w:eastAsia="Arial" w:hAnsi="Arial"/>
          <w:sz w:val="17"/>
          <w:szCs w:val="17"/>
          <w:color w:val="auto"/>
        </w:rPr>
        <w:t>The undersigned hereby acknowledges receipt of the Prospectus, dated November 3, 2006 (the “Prospectus”), of Plains All American Pipeline, L.P. and PAA Finance Corp. (the “Issuers”), and this Letter of Transmittal (the “Letter of Transmittal”), which together describe the Issuers’ offer (the “Exchange Offer”) to exchange their 6.70% Senior Notes due 2036 (the “New Notes”) that have been registered under the Securities Act of 1933, as amended (the “Securities Act”), for a like principal amount of their issued and outstanding 6.70% Senior Notes due 2036 (the “Outstanding Notes”). Capitalized terms used but not defined herein have the respective meaning given to them in the Prospectus.</w:t>
      </w:r>
    </w:p>
    <w:p>
      <w:pPr>
        <w:spacing w:after="0" w:line="9" w:lineRule="exact"/>
        <w:rPr>
          <w:sz w:val="20"/>
          <w:szCs w:val="20"/>
          <w:color w:val="auto"/>
        </w:rPr>
      </w:pPr>
    </w:p>
    <w:p>
      <w:pPr>
        <w:ind w:right="120" w:firstLine="343"/>
        <w:spacing w:after="0" w:line="316" w:lineRule="auto"/>
        <w:rPr>
          <w:sz w:val="20"/>
          <w:szCs w:val="20"/>
          <w:color w:val="auto"/>
        </w:rPr>
      </w:pPr>
      <w:r>
        <w:rPr>
          <w:rFonts w:ascii="Arial" w:cs="Arial" w:eastAsia="Arial" w:hAnsi="Arial"/>
          <w:sz w:val="15"/>
          <w:szCs w:val="15"/>
          <w:color w:val="auto"/>
        </w:rPr>
        <w:t>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w:t>
      </w:r>
    </w:p>
    <w:p>
      <w:pPr>
        <w:ind w:right="140" w:firstLine="343"/>
        <w:spacing w:after="0" w:line="283" w:lineRule="auto"/>
        <w:rPr>
          <w:sz w:val="20"/>
          <w:szCs w:val="20"/>
          <w:color w:val="auto"/>
        </w:rPr>
      </w:pPr>
      <w:r>
        <w:rPr>
          <w:rFonts w:ascii="Arial" w:cs="Arial" w:eastAsia="Arial" w:hAnsi="Arial"/>
          <w:sz w:val="16"/>
          <w:szCs w:val="16"/>
          <w:color w:val="auto"/>
        </w:rPr>
        <w:t>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“The Exchange Offer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your Outstanding Notes in the Exchange Offer, the Exchange Agent must receive, prior to the Expiration Date, an agent’s message under the ATOP procedures confirming that: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DTC has received your instructions to tender your Outstanding Notes; and</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You agree to be bound by the terms of this Letter of Transmittal.</w:t>
      </w:r>
    </w:p>
    <w:p>
      <w:pPr>
        <w:spacing w:after="0" w:line="67" w:lineRule="exact"/>
        <w:rPr>
          <w:sz w:val="20"/>
          <w:szCs w:val="20"/>
          <w:color w:val="auto"/>
        </w:rPr>
      </w:pPr>
    </w:p>
    <w:p>
      <w:pPr>
        <w:ind w:right="60" w:firstLine="343"/>
        <w:spacing w:after="0" w:line="273" w:lineRule="auto"/>
        <w:rPr>
          <w:sz w:val="20"/>
          <w:szCs w:val="20"/>
          <w:color w:val="auto"/>
        </w:rPr>
      </w:pPr>
      <w:r>
        <w:rPr>
          <w:rFonts w:ascii="Arial" w:cs="Arial" w:eastAsia="Arial" w:hAnsi="Arial"/>
          <w:sz w:val="17"/>
          <w:szCs w:val="17"/>
          <w:color w:val="auto"/>
        </w:rPr>
        <w:t>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410" w:right="2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4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SIGNATURES MUST BE PROVIDED</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PLEASE READ THE ACCOMPANYING INSTRUCTIONS CAREFULLY.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Ladies and Gentlemen:</w:t>
      </w:r>
    </w:p>
    <w:p>
      <w:pPr>
        <w:spacing w:after="0" w:line="138" w:lineRule="exact"/>
        <w:rPr>
          <w:sz w:val="20"/>
          <w:szCs w:val="20"/>
          <w:color w:val="auto"/>
        </w:rPr>
      </w:pPr>
    </w:p>
    <w:p>
      <w:pPr>
        <w:ind w:left="940" w:hanging="167"/>
        <w:spacing w:after="0"/>
        <w:tabs>
          <w:tab w:leader="none" w:pos="9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tendering Outstanding Notes in the Exchange Offer, you acknowledge receipt of the Prospectus and this Letter of Transmittal.</w:t>
      </w:r>
    </w:p>
    <w:p>
      <w:pPr>
        <w:spacing w:after="0" w:line="132" w:lineRule="exact"/>
        <w:rPr>
          <w:rFonts w:ascii="Arial" w:cs="Arial" w:eastAsia="Arial" w:hAnsi="Arial"/>
          <w:sz w:val="17"/>
          <w:szCs w:val="17"/>
          <w:color w:val="auto"/>
        </w:rPr>
      </w:pPr>
    </w:p>
    <w:p>
      <w:pPr>
        <w:ind w:left="460" w:right="180" w:firstLine="313"/>
        <w:spacing w:after="0" w:line="273" w:lineRule="auto"/>
        <w:tabs>
          <w:tab w:leader="none" w:pos="9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w:t>
      </w:r>
    </w:p>
    <w:p>
      <w:pPr>
        <w:spacing w:after="0" w:line="80" w:lineRule="exact"/>
        <w:rPr>
          <w:rFonts w:ascii="Arial" w:cs="Arial" w:eastAsia="Arial" w:hAnsi="Arial"/>
          <w:sz w:val="17"/>
          <w:szCs w:val="17"/>
          <w:color w:val="auto"/>
        </w:rPr>
      </w:pPr>
    </w:p>
    <w:p>
      <w:pPr>
        <w:ind w:left="460" w:right="560" w:firstLine="313"/>
        <w:spacing w:after="0" w:line="289" w:lineRule="auto"/>
        <w:tabs>
          <w:tab w:leader="none" w:pos="9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You understand that the tender of the Outstanding Notes pursuant to all of the procedures set forth in the Prospectus will constitute an agreement between the undersigned and the Issuers as to the terms and conditions set forth in the Prospectus.</w:t>
      </w:r>
    </w:p>
    <w:p>
      <w:pPr>
        <w:spacing w:after="0" w:line="66" w:lineRule="exact"/>
        <w:rPr>
          <w:rFonts w:ascii="Arial" w:cs="Arial" w:eastAsia="Arial" w:hAnsi="Arial"/>
          <w:sz w:val="17"/>
          <w:szCs w:val="17"/>
          <w:color w:val="auto"/>
        </w:rPr>
      </w:pPr>
    </w:p>
    <w:p>
      <w:pPr>
        <w:ind w:left="460" w:right="60" w:firstLine="313"/>
        <w:spacing w:after="0" w:line="279" w:lineRule="auto"/>
        <w:tabs>
          <w:tab w:leader="none" w:pos="94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w:t>
      </w:r>
    </w:p>
    <w:p>
      <w:pPr>
        <w:spacing w:after="0" w:line="76" w:lineRule="exact"/>
        <w:rPr>
          <w:rFonts w:ascii="Arial" w:cs="Arial" w:eastAsia="Arial" w:hAnsi="Arial"/>
          <w:sz w:val="16"/>
          <w:szCs w:val="16"/>
          <w:color w:val="auto"/>
        </w:rPr>
      </w:pPr>
    </w:p>
    <w:p>
      <w:pPr>
        <w:ind w:left="940" w:hanging="167"/>
        <w:spacing w:after="0"/>
        <w:tabs>
          <w:tab w:leader="none" w:pos="9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tendering Outstanding Notes in the Exchange Offer, you hereby represent and warrant that:</w:t>
      </w:r>
    </w:p>
    <w:p>
      <w:pPr>
        <w:spacing w:after="0" w:line="132" w:lineRule="exact"/>
        <w:rPr>
          <w:rFonts w:ascii="Arial" w:cs="Arial" w:eastAsia="Arial" w:hAnsi="Arial"/>
          <w:sz w:val="17"/>
          <w:szCs w:val="17"/>
          <w:color w:val="auto"/>
        </w:rPr>
      </w:pPr>
    </w:p>
    <w:p>
      <w:pPr>
        <w:ind w:left="780" w:right="180" w:firstLine="295"/>
        <w:spacing w:after="0" w:line="289" w:lineRule="auto"/>
        <w:tabs>
          <w:tab w:leader="none" w:pos="1247"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New Notes acquired pursuant to the Exchange Offer are being obtained in the ordinary course of your business, whether or not you are the holder;</w:t>
      </w:r>
    </w:p>
    <w:p>
      <w:pPr>
        <w:spacing w:after="0" w:line="66" w:lineRule="exact"/>
        <w:rPr>
          <w:rFonts w:ascii="Arial" w:cs="Arial" w:eastAsia="Arial" w:hAnsi="Arial"/>
          <w:sz w:val="17"/>
          <w:szCs w:val="17"/>
          <w:color w:val="auto"/>
        </w:rPr>
      </w:pPr>
    </w:p>
    <w:p>
      <w:pPr>
        <w:ind w:left="780" w:right="140" w:firstLine="295"/>
        <w:spacing w:after="0" w:line="289" w:lineRule="auto"/>
        <w:tabs>
          <w:tab w:leader="none" w:pos="1257" w:val="left"/>
        </w:tabs>
        <w:numPr>
          <w:ilvl w:val="1"/>
          <w:numId w:val="49"/>
        </w:numPr>
        <w:rPr>
          <w:rFonts w:ascii="Arial" w:cs="Arial" w:eastAsia="Arial" w:hAnsi="Arial"/>
          <w:sz w:val="17"/>
          <w:szCs w:val="17"/>
          <w:color w:val="auto"/>
        </w:rPr>
      </w:pPr>
      <w:r>
        <w:rPr>
          <w:rFonts w:ascii="Arial" w:cs="Arial" w:eastAsia="Arial" w:hAnsi="Arial"/>
          <w:sz w:val="17"/>
          <w:szCs w:val="17"/>
          <w:color w:val="auto"/>
        </w:rPr>
        <w:t>you have no arrangement or understanding with any person to participate in the distribution of Outstanding Notes or New Notes within the meaning of the Securities Act;</w:t>
      </w:r>
    </w:p>
    <w:p>
      <w:pPr>
        <w:spacing w:after="0" w:line="66" w:lineRule="exact"/>
        <w:rPr>
          <w:rFonts w:ascii="Arial" w:cs="Arial" w:eastAsia="Arial" w:hAnsi="Arial"/>
          <w:sz w:val="17"/>
          <w:szCs w:val="17"/>
          <w:color w:val="auto"/>
        </w:rPr>
      </w:pPr>
    </w:p>
    <w:p>
      <w:pPr>
        <w:ind w:left="1240" w:hanging="165"/>
        <w:spacing w:after="0"/>
        <w:tabs>
          <w:tab w:leader="none" w:pos="12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you are not an “affiliate,” as such term is defined under Rule 405 promulgated under the Securities Act, of the Issuers;</w:t>
      </w:r>
    </w:p>
    <w:p>
      <w:pPr>
        <w:spacing w:after="0" w:line="132" w:lineRule="exact"/>
        <w:rPr>
          <w:rFonts w:ascii="Arial" w:cs="Arial" w:eastAsia="Arial" w:hAnsi="Arial"/>
          <w:sz w:val="17"/>
          <w:szCs w:val="17"/>
          <w:color w:val="auto"/>
        </w:rPr>
      </w:pPr>
    </w:p>
    <w:p>
      <w:pPr>
        <w:ind w:left="1260" w:hanging="185"/>
        <w:spacing w:after="0"/>
        <w:tabs>
          <w:tab w:leader="none" w:pos="12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you are not a broker-dealer, that you are not engaged in, and do not intend to engage in, the distribution of the New Notes; and</w:t>
      </w:r>
    </w:p>
    <w:p>
      <w:pPr>
        <w:spacing w:after="0" w:line="143" w:lineRule="exact"/>
        <w:rPr>
          <w:rFonts w:ascii="Arial" w:cs="Arial" w:eastAsia="Arial" w:hAnsi="Arial"/>
          <w:sz w:val="16"/>
          <w:szCs w:val="16"/>
          <w:color w:val="auto"/>
        </w:rPr>
      </w:pPr>
    </w:p>
    <w:p>
      <w:pPr>
        <w:jc w:val="both"/>
        <w:ind w:left="780" w:right="520" w:firstLine="295"/>
        <w:spacing w:after="0" w:line="273" w:lineRule="auto"/>
        <w:tabs>
          <w:tab w:leader="none" w:pos="1247"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w:t>
      </w:r>
    </w:p>
    <w:p>
      <w:pPr>
        <w:spacing w:after="0" w:line="80" w:lineRule="exact"/>
        <w:rPr>
          <w:rFonts w:ascii="Arial" w:cs="Arial" w:eastAsia="Arial" w:hAnsi="Arial"/>
          <w:sz w:val="17"/>
          <w:szCs w:val="17"/>
          <w:color w:val="auto"/>
        </w:rPr>
      </w:pPr>
    </w:p>
    <w:p>
      <w:pPr>
        <w:ind w:left="460" w:right="140" w:firstLine="313"/>
        <w:spacing w:after="0" w:line="296" w:lineRule="auto"/>
        <w:tabs>
          <w:tab w:leader="none" w:pos="9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May 12, 2006 (the “Registration Rights Agreement”), by and among the Issuers, the Guarantors (as defined therein) and the Initial Purchasers (as defined therein). Such election may be made by notifying the Issuers in writing at</w:t>
      </w:r>
    </w:p>
    <w:p>
      <w:pPr>
        <w:ind w:left="460"/>
        <w:spacing w:after="0" w:line="304" w:lineRule="auto"/>
        <w:rPr>
          <w:rFonts w:ascii="Arial" w:cs="Arial" w:eastAsia="Arial" w:hAnsi="Arial"/>
          <w:sz w:val="15"/>
          <w:szCs w:val="15"/>
          <w:color w:val="auto"/>
        </w:rPr>
      </w:pPr>
      <w:r>
        <w:rPr>
          <w:rFonts w:ascii="Arial" w:cs="Arial" w:eastAsia="Arial" w:hAnsi="Arial"/>
          <w:sz w:val="15"/>
          <w:szCs w:val="15"/>
          <w:color w:val="auto"/>
        </w:rPr>
        <w:t>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w:t>
      </w:r>
    </w:p>
    <w:p>
      <w:pPr>
        <w:spacing w:after="0" w:line="33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40"/>
          </w:cols>
          <w:pgMar w:left="240" w:top="410" w:right="8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w:t>
      </w:r>
    </w:p>
    <w:p>
      <w:pPr>
        <w:spacing w:after="0" w:line="78" w:lineRule="exact"/>
        <w:rPr>
          <w:sz w:val="20"/>
          <w:szCs w:val="20"/>
          <w:color w:val="auto"/>
        </w:rPr>
      </w:pPr>
    </w:p>
    <w:p>
      <w:pPr>
        <w:ind w:left="460" w:right="20" w:firstLine="313"/>
        <w:spacing w:after="0" w:line="263" w:lineRule="auto"/>
        <w:tabs>
          <w:tab w:leader="none" w:pos="946"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w:t>
      </w:r>
    </w:p>
    <w:p>
      <w:pPr>
        <w:spacing w:after="0" w:line="91" w:lineRule="exact"/>
        <w:rPr>
          <w:rFonts w:ascii="Arial" w:cs="Arial" w:eastAsia="Arial" w:hAnsi="Arial"/>
          <w:sz w:val="17"/>
          <w:szCs w:val="17"/>
          <w:color w:val="auto"/>
        </w:rPr>
      </w:pPr>
    </w:p>
    <w:p>
      <w:pPr>
        <w:ind w:left="460" w:right="40" w:firstLine="313"/>
        <w:spacing w:after="0" w:line="289" w:lineRule="auto"/>
        <w:tabs>
          <w:tab w:leader="none" w:pos="93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of your obligations hereunder shall be binding upon your successors, assigns, executors, administrators, trustees in bankruptcy and legal and personal representatives.</w:t>
      </w:r>
    </w:p>
    <w:p>
      <w:pPr>
        <w:spacing w:after="0" w:line="34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40"/>
          </w:cols>
          <w:pgMar w:left="240" w:top="410" w:right="81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5"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INSTRUCTIONS</w:t>
      </w:r>
    </w:p>
    <w:p>
      <w:pPr>
        <w:spacing w:after="0" w:line="132"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FORMING PART OF THE TERMS AND CONDITIONS OF THE EXCHANGE OFFER</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1. Book-Entry Confirmations.</w:t>
      </w:r>
    </w:p>
    <w:p>
      <w:pPr>
        <w:spacing w:after="0" w:line="67" w:lineRule="exact"/>
        <w:rPr>
          <w:sz w:val="20"/>
          <w:szCs w:val="20"/>
          <w:color w:val="auto"/>
        </w:rPr>
      </w:pPr>
    </w:p>
    <w:p>
      <w:pPr>
        <w:ind w:left="460" w:firstLine="312"/>
        <w:spacing w:after="0" w:line="273" w:lineRule="auto"/>
        <w:rPr>
          <w:sz w:val="20"/>
          <w:szCs w:val="20"/>
          <w:color w:val="auto"/>
        </w:rPr>
      </w:pPr>
      <w:r>
        <w:rPr>
          <w:rFonts w:ascii="Arial" w:cs="Arial" w:eastAsia="Arial" w:hAnsi="Arial"/>
          <w:sz w:val="17"/>
          <w:szCs w:val="17"/>
          <w:color w:val="auto"/>
        </w:rPr>
        <w:t>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2. Partial Tenders.</w:t>
      </w:r>
    </w:p>
    <w:p>
      <w:pPr>
        <w:spacing w:after="0" w:line="67" w:lineRule="exact"/>
        <w:rPr>
          <w:sz w:val="20"/>
          <w:szCs w:val="20"/>
          <w:color w:val="auto"/>
        </w:rPr>
      </w:pPr>
    </w:p>
    <w:p>
      <w:pPr>
        <w:ind w:left="460" w:firstLine="312"/>
        <w:spacing w:after="0" w:line="265" w:lineRule="auto"/>
        <w:rPr>
          <w:sz w:val="20"/>
          <w:szCs w:val="20"/>
          <w:color w:val="auto"/>
        </w:rPr>
      </w:pPr>
      <w:r>
        <w:rPr>
          <w:rFonts w:ascii="Arial" w:cs="Arial" w:eastAsia="Arial" w:hAnsi="Arial"/>
          <w:sz w:val="17"/>
          <w:szCs w:val="17"/>
          <w:color w:val="auto"/>
        </w:rPr>
        <w:t>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3. Validity of Tenders.</w:t>
      </w:r>
    </w:p>
    <w:p>
      <w:pPr>
        <w:spacing w:after="0" w:line="54" w:lineRule="exact"/>
        <w:rPr>
          <w:sz w:val="20"/>
          <w:szCs w:val="20"/>
          <w:color w:val="auto"/>
        </w:rPr>
      </w:pPr>
    </w:p>
    <w:p>
      <w:pPr>
        <w:ind w:left="460" w:right="40" w:firstLine="312"/>
        <w:spacing w:after="0" w:line="278" w:lineRule="auto"/>
        <w:rPr>
          <w:sz w:val="20"/>
          <w:szCs w:val="20"/>
          <w:color w:val="auto"/>
        </w:rPr>
      </w:pPr>
      <w:r>
        <w:rPr>
          <w:rFonts w:ascii="Arial" w:cs="Arial" w:eastAsia="Arial" w:hAnsi="Arial"/>
          <w:sz w:val="16"/>
          <w:szCs w:val="16"/>
          <w:color w:val="auto"/>
        </w:rPr>
        <w:t>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4. Waiver of Conditions.</w:t>
      </w:r>
    </w:p>
    <w:p>
      <w:pPr>
        <w:spacing w:after="0" w:line="67" w:lineRule="exact"/>
        <w:rPr>
          <w:sz w:val="20"/>
          <w:szCs w:val="20"/>
          <w:color w:val="auto"/>
        </w:rPr>
      </w:pPr>
    </w:p>
    <w:p>
      <w:pPr>
        <w:ind w:left="460" w:right="560" w:firstLine="312"/>
        <w:spacing w:after="0" w:line="281" w:lineRule="auto"/>
        <w:rPr>
          <w:sz w:val="20"/>
          <w:szCs w:val="20"/>
          <w:color w:val="auto"/>
        </w:rPr>
      </w:pPr>
      <w:r>
        <w:rPr>
          <w:rFonts w:ascii="Arial" w:cs="Arial" w:eastAsia="Arial" w:hAnsi="Arial"/>
          <w:sz w:val="17"/>
          <w:szCs w:val="17"/>
          <w:color w:val="auto"/>
        </w:rPr>
        <w:t>The Issuers reserve the absolute right to waive, in whole or part, up to the expiration of the Exchange Offer, any of the conditions to the Exchange Offer set forth in the Prospectus or in this Letter of Transmittal.</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5. No Conditional Tender.</w:t>
      </w:r>
    </w:p>
    <w:p>
      <w:pPr>
        <w:spacing w:after="0" w:line="6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No alternative, conditional, irregular or contingent tender of Outstanding Notes will be accepted.</w:t>
      </w:r>
    </w:p>
    <w:p>
      <w:pPr>
        <w:spacing w:after="0" w:line="6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6. Request for Assistance or Additional Copies.</w:t>
      </w:r>
    </w:p>
    <w:p>
      <w:pPr>
        <w:spacing w:after="0" w:line="54" w:lineRule="exact"/>
        <w:rPr>
          <w:sz w:val="20"/>
          <w:szCs w:val="20"/>
          <w:color w:val="auto"/>
        </w:rPr>
      </w:pPr>
    </w:p>
    <w:p>
      <w:pPr>
        <w:jc w:val="both"/>
        <w:ind w:left="460" w:right="300" w:firstLine="312"/>
        <w:spacing w:after="0" w:line="273" w:lineRule="auto"/>
        <w:rPr>
          <w:sz w:val="20"/>
          <w:szCs w:val="20"/>
          <w:color w:val="auto"/>
        </w:rPr>
      </w:pPr>
      <w:r>
        <w:rPr>
          <w:rFonts w:ascii="Arial" w:cs="Arial" w:eastAsia="Arial" w:hAnsi="Arial"/>
          <w:sz w:val="17"/>
          <w:szCs w:val="17"/>
          <w:color w:val="auto"/>
        </w:rPr>
        <w:t>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7. Withdrawal.</w:t>
      </w:r>
    </w:p>
    <w:p>
      <w:pPr>
        <w:spacing w:after="0" w:line="67" w:lineRule="exact"/>
        <w:rPr>
          <w:sz w:val="20"/>
          <w:szCs w:val="20"/>
          <w:color w:val="auto"/>
        </w:rPr>
      </w:pPr>
    </w:p>
    <w:p>
      <w:pPr>
        <w:ind w:left="460" w:right="340" w:firstLine="312"/>
        <w:spacing w:after="0" w:line="281" w:lineRule="auto"/>
        <w:rPr>
          <w:sz w:val="20"/>
          <w:szCs w:val="20"/>
          <w:color w:val="auto"/>
        </w:rPr>
      </w:pPr>
      <w:r>
        <w:rPr>
          <w:rFonts w:ascii="Arial" w:cs="Arial" w:eastAsia="Arial" w:hAnsi="Arial"/>
          <w:sz w:val="17"/>
          <w:szCs w:val="17"/>
          <w:color w:val="auto"/>
        </w:rPr>
        <w:t>Tenders may be withdrawn only pursuant to the limited withdrawal rights set forth in the Prospectus under the caption “Exchange Offer — Withdrawal of Tenders.”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8. No Guarantee of Late Delivery.</w:t>
      </w:r>
    </w:p>
    <w:p>
      <w:pPr>
        <w:spacing w:after="0" w:line="6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There is no procedure for guarantee of late delivery in the Exchange Offer.</w:t>
      </w:r>
    </w:p>
    <w:p>
      <w:pPr>
        <w:spacing w:after="0" w:line="67" w:lineRule="exact"/>
        <w:rPr>
          <w:sz w:val="20"/>
          <w:szCs w:val="20"/>
          <w:color w:val="auto"/>
        </w:rPr>
      </w:pPr>
    </w:p>
    <w:p>
      <w:pPr>
        <w:ind w:left="460" w:right="100" w:firstLine="312"/>
        <w:spacing w:after="0" w:line="268" w:lineRule="auto"/>
        <w:rPr>
          <w:sz w:val="20"/>
          <w:szCs w:val="20"/>
          <w:color w:val="auto"/>
        </w:rPr>
      </w:pPr>
      <w:r>
        <w:rPr>
          <w:rFonts w:ascii="Arial" w:cs="Arial" w:eastAsia="Arial" w:hAnsi="Arial"/>
          <w:sz w:val="17"/>
          <w:szCs w:val="17"/>
          <w:color w:val="auto"/>
        </w:rPr>
        <w:t>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w:t>
      </w:r>
    </w:p>
    <w:p>
      <w:pPr>
        <w:spacing w:after="0" w:line="3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A-4</w:t>
      </w:r>
    </w:p>
    <w:sectPr>
      <w:pgSz w:w="11900" w:h="16838" w:orient="portrait"/>
      <w:cols w:equalWidth="0" w:num="1">
        <w:col w:w="10820"/>
      </w:cols>
      <w:pgMar w:left="240" w:top="41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lvl w:ilvl="1">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5"/>
    </w:lvl>
    <w:lvl w:ilvl="1">
      <w:lvlJc w:val="left"/>
      <w:lvlText w:val="(%2)"/>
      <w:numFmt w:val="lowerLetter"/>
      <w:start w:val="1"/>
    </w:lvl>
  </w:abstractNum>
  <w:abstractNum w:abstractNumId="25">
    <w:nsid w:val="5C482A97"/>
    <w:multiLevelType w:val="hybridMultilevel"/>
    <w:lvl w:ilvl="0">
      <w:lvlJc w:val="left"/>
      <w:lvlText w:val="•"/>
      <w:numFmt w:val="bullet"/>
      <w:start w:val="1"/>
    </w:lvl>
    <w:lvl w:ilvl="1">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lvl w:ilvl="1">
      <w:lvlJc w:val="left"/>
      <w:lvlText w:val="(%2)"/>
      <w:numFmt w:val="lowerLetter"/>
      <w:start w:val="1"/>
    </w:lvl>
  </w:abstractNum>
  <w:abstractNum w:abstractNumId="35">
    <w:nsid w:val="2A487CB0"/>
    <w:multiLevelType w:val="hybridMultilevel"/>
    <w:lvl w:ilvl="0">
      <w:lvlJc w:val="left"/>
      <w:lvlText w:val="(%1)"/>
      <w:numFmt w:val="decimal"/>
      <w:start w:val="1"/>
    </w:lvl>
    <w:lvl w:ilvl="1">
      <w:lvlJc w:val="left"/>
      <w:lvlText w:val="(%2)"/>
      <w:numFmt w:val="lowerLetter"/>
      <w:start w:val="1"/>
    </w:lvl>
  </w:abstractNum>
  <w:abstractNum w:abstractNumId="36">
    <w:nsid w:val="1D4ED43B"/>
    <w:multiLevelType w:val="hybridMultilevel"/>
    <w:lvl w:ilvl="0">
      <w:lvlJc w:val="left"/>
      <w:lvlText w:val="(%1)"/>
      <w:numFmt w:val="decimal"/>
      <w:start w:val="1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2"/>
    </w:lvl>
    <w:lvl w:ilvl="1">
      <w:lvlJc w:val="left"/>
      <w:lvlText w:val="(%2)"/>
      <w:numFmt w:val="lowerLetter"/>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emdash "/>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2020-02-13T07:30:58Z</dcterms:created>
  <dcterms:modified xsi:type="dcterms:W3CDTF">2020-02-13T07:30:58Z</dcterms:modified>
</cp:coreProperties>
</file>