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6998335" cy="4858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485838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60" w:space="50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Chandler Chris R.</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333 CLAY STREET</w:t>
            </w:r>
          </w:p>
        </w:tc>
        <w:tc>
          <w:tcPr>
            <w:tcW w:w="162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1"/>
        </w:trPr>
        <w:tc>
          <w:tcPr>
            <w:tcW w:w="10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143"/>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3780" w:type="dxa"/>
            <w:vAlign w:val="bottom"/>
            <w:gridSpan w:val="2"/>
          </w:tcPr>
          <w:p>
            <w:pPr>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21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21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160" w:type="dxa"/>
            <w:vAlign w:val="bottom"/>
          </w:tcPr>
          <w:p>
            <w:pPr>
              <w:ind w:left="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20"/>
        </w:trPr>
        <w:tc>
          <w:tcPr>
            <w:tcW w:w="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1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57"/>
        </w:trPr>
        <w:tc>
          <w:tcPr>
            <w:tcW w:w="60" w:type="dxa"/>
            <w:vAlign w:val="bottom"/>
            <w:tcBorders>
              <w:bottom w:val="single" w:sz="8" w:color="808080"/>
            </w:tcBorders>
          </w:tcPr>
          <w:p>
            <w:pPr>
              <w:spacing w:after="0"/>
              <w:rPr>
                <w:sz w:val="4"/>
                <w:szCs w:val="4"/>
                <w:color w:val="auto"/>
              </w:rPr>
            </w:pPr>
          </w:p>
        </w:tc>
        <w:tc>
          <w:tcPr>
            <w:tcW w:w="34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1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2120" w:type="dxa"/>
            <w:vAlign w:val="bottom"/>
          </w:tcPr>
          <w:p>
            <w:pPr>
              <w:ind w:left="580"/>
              <w:spacing w:after="0" w:line="120" w:lineRule="exact"/>
              <w:rPr>
                <w:sz w:val="20"/>
                <w:szCs w:val="20"/>
                <w:color w:val="auto"/>
              </w:rPr>
            </w:pPr>
            <w:r>
              <w:rPr>
                <w:rFonts w:ascii="Arial" w:cs="Arial" w:eastAsia="Arial" w:hAnsi="Arial"/>
                <w:sz w:val="12"/>
                <w:szCs w:val="12"/>
                <w:color w:val="auto"/>
              </w:rPr>
              <w:t>below)</w:t>
            </w:r>
          </w:p>
        </w:tc>
        <w:tc>
          <w:tcPr>
            <w:tcW w:w="1160" w:type="dxa"/>
            <w:vAlign w:val="bottom"/>
          </w:tcPr>
          <w:p>
            <w:pPr>
              <w:ind w:left="40"/>
              <w:spacing w:after="0" w:line="12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7"/>
        </w:trPr>
        <w:tc>
          <w:tcPr>
            <w:tcW w:w="3840" w:type="dxa"/>
            <w:vAlign w:val="bottom"/>
            <w:gridSpan w:val="3"/>
            <w:vMerge w:val="continue"/>
          </w:tcPr>
          <w:p>
            <w:pPr>
              <w:spacing w:after="0"/>
              <w:rPr>
                <w:sz w:val="4"/>
                <w:szCs w:val="4"/>
                <w:color w:val="auto"/>
              </w:rPr>
            </w:pPr>
          </w:p>
        </w:tc>
        <w:tc>
          <w:tcPr>
            <w:tcW w:w="212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color w:val="0000FF"/>
              </w:rPr>
              <w:t>EVP &amp; COO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08/14/2024</w:t>
            </w:r>
          </w:p>
        </w:tc>
        <w:tc>
          <w:tcPr>
            <w:tcW w:w="34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167,378</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11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421,569</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0000FF"/>
                <w:w w:val="98"/>
              </w:rPr>
              <w:t>08/14/2024</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65,864</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17.05</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355,705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08/14/2024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167,378</w:t>
            </w:r>
          </w:p>
        </w:tc>
        <w:tc>
          <w:tcPr>
            <w:tcW w:w="760" w:type="dxa"/>
            <w:vAlign w:val="bottom"/>
            <w:vMerge w:val="restart"/>
          </w:tcPr>
          <w:p>
            <w:pPr>
              <w:jc w:val="right"/>
              <w:ind w:right="43"/>
              <w:spacing w:after="0"/>
              <w:rPr>
                <w:sz w:val="20"/>
                <w:szCs w:val="20"/>
                <w:color w:val="auto"/>
              </w:rPr>
            </w:pPr>
            <w:r>
              <w:rPr>
                <w:rFonts w:ascii="Times New Roman" w:cs="Times New Roman" w:eastAsia="Times New Roman" w:hAnsi="Times New Roman"/>
                <w:sz w:val="12"/>
                <w:szCs w:val="12"/>
                <w:color w:val="0000FF"/>
              </w:rPr>
              <w:t>08/14/2024</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08/14/2024</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167,378</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08/15/2024</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143,100</w:t>
            </w:r>
          </w:p>
        </w:tc>
        <w:tc>
          <w:tcPr>
            <w:tcW w:w="480" w:type="dxa"/>
            <w:vAlign w:val="bottom"/>
          </w:tcPr>
          <w:p>
            <w:pPr>
              <w:spacing w:after="0"/>
              <w:rPr>
                <w:sz w:val="15"/>
                <w:szCs w:val="15"/>
                <w:color w:val="auto"/>
              </w:rPr>
            </w:pP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143,100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143,100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-1820545</wp:posOffset>
            </wp:positionV>
            <wp:extent cx="28575" cy="1825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256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24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71,550 phantom units, will vest on the August 2027 distribution date assuming continued service through such date; (b) Tranche 2, consisting of 35,775 phantom units (assuming 100% payout at target), will potentially vest on the August 2027 distribution date at a scaled payout range of between 0% to 200% based on PAA's total shareholder return (TSR) over the three-year period ending June 30, 2027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160" w:hanging="3"/>
        <w:spacing w:after="0" w:line="24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35,775 phantom units (assuming 100% payout at target), will potentially vest on the Aug. 2027 distribution date at a scaled payout range of between 0% and 200% based on PAA achieving cumul. distributable cash flow (DCF) per common unit equivalent (CUE) of $7.75 over the 3-year period ending 6/30/27 (with payout equaling 100% at cumul. DCF/CUE over such period of $7.75 and being equal to 0% for cumul. DCF/CUE over such period of $6.975 or lower and 200% for cumul. DCF/CUE over such period of $8.71875 or higher, with interpolation btw. such points, and with payout being subject to reduction by</w:t>
      </w:r>
    </w:p>
    <w:p>
      <w:pPr>
        <w:ind w:left="40" w:right="200" w:hanging="3"/>
        <w:spacing w:after="0" w:line="256" w:lineRule="auto"/>
        <w:tabs>
          <w:tab w:leader="none" w:pos="19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basis pts. if PAA's leverage ratio (long term debt to adj. EBITDA as calculated pursuant to PAA's sr. unsecured revolving credit facility) as of 6/30/27 is greater than the leverage ratio that equals the upper end of our then applicable target leverage ratio range (e.g., 3.0x is the upper end of PAA's current target leverage ratio range of 2.5x to 3.0x).</w:t>
      </w:r>
    </w:p>
    <w:p>
      <w:pPr>
        <w:spacing w:after="0" w:line="14"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2025 distribution date; beginning in November 2025, DERs associated with Tranche 1 will be paid quarterly until the phantom units vest or terminate. DERs associated with Tranches 2 and 3 will accrue during the three-year vesting period and be paid in cash in a lump sum on the August 2027 distribution date with respect to each phantom unit that vests, if any, on such date. Any Tranche 2 or Tranche 3 phantom units that are determined to not have vested as of the August 2027 distribution date shall expire as of such date.</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Ann F. Gullion, as attorney-</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08/16/2024</w:t>
            </w:r>
          </w:p>
        </w:tc>
        <w:tc>
          <w:tcPr>
            <w:tcW w:w="0" w:type="dxa"/>
            <w:vAlign w:val="bottom"/>
          </w:tcPr>
          <w:p>
            <w:pPr>
              <w:spacing w:after="0"/>
              <w:rPr>
                <w:sz w:val="1"/>
                <w:szCs w:val="1"/>
                <w:color w:val="auto"/>
              </w:rPr>
            </w:pPr>
          </w:p>
        </w:tc>
      </w:tr>
      <w:tr>
        <w:trPr>
          <w:trHeight w:val="84"/>
        </w:trPr>
        <w:tc>
          <w:tcPr>
            <w:tcW w:w="186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9"/>
              </w:rPr>
              <w:t>in-fact for Chris R. Chandler</w:t>
            </w:r>
          </w:p>
        </w:tc>
        <w:tc>
          <w:tcPr>
            <w:tcW w:w="340" w:type="dxa"/>
            <w:vAlign w:val="bottom"/>
            <w:gridSpan w:val="2"/>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860" w:type="dxa"/>
            <w:vAlign w:val="bottom"/>
            <w:tcBorders>
              <w:bottom w:val="single" w:sz="8" w:color="auto"/>
            </w:tcBorders>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5"/>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24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2024-08-16T14:49:04Z</dcterms:created>
  <dcterms:modified xsi:type="dcterms:W3CDTF">2024-08-16T14:49:04Z</dcterms:modified>
</cp:coreProperties>
</file>