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2025</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4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Final Term Sheet</w:t>
            </w:r>
          </w:p>
        </w:tc>
      </w:tr>
      <w:tr>
        <w:trPr>
          <w:trHeight w:val="216"/>
        </w:trPr>
        <w:tc>
          <w:tcPr>
            <w:tcW w:w="2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$700,000,000 4.700% Senior Notes due 2031</w:t>
            </w:r>
          </w:p>
        </w:tc>
      </w:tr>
      <w:tr>
        <w:trPr>
          <w:trHeight w:val="238"/>
        </w:trPr>
        <w:tc>
          <w:tcPr>
            <w:tcW w:w="2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$550,000,000 5.600% Senior Notes due 2036</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6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$1,250,000,000</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$700,000,000 aggregate principal amount of 4.700% Senior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w:t>
            </w:r>
          </w:p>
        </w:tc>
      </w:tr>
      <w:tr>
        <w:trPr>
          <w:trHeight w:val="20"/>
        </w:trPr>
        <w:tc>
          <w:tcPr>
            <w:tcW w:w="264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8600" w:type="dxa"/>
            <w:vAlign w:val="bottom"/>
            <w:gridSpan w:val="5"/>
          </w:tcPr>
          <w:p>
            <w:pPr>
              <w:ind w:left="520"/>
              <w:spacing w:after="0" w:line="196" w:lineRule="exact"/>
              <w:rPr>
                <w:sz w:val="20"/>
                <w:szCs w:val="20"/>
                <w:color w:val="auto"/>
              </w:rPr>
            </w:pPr>
            <w:r>
              <w:rPr>
                <w:rFonts w:ascii="Times New Roman" w:cs="Times New Roman" w:eastAsia="Times New Roman" w:hAnsi="Times New Roman"/>
                <w:sz w:val="18"/>
                <w:szCs w:val="18"/>
                <w:color w:val="auto"/>
              </w:rPr>
              <w:t>$550,000,000 aggregate principal amount of 5.600% Senior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w:t>
            </w:r>
          </w:p>
        </w:tc>
      </w:tr>
      <w:tr>
        <w:trPr>
          <w:trHeight w:val="4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Moody’s:</w:t>
            </w:r>
          </w:p>
        </w:tc>
        <w:tc>
          <w:tcPr>
            <w:tcW w:w="5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Baa2 (stable outlook)</w:t>
            </w:r>
          </w:p>
        </w:tc>
      </w:tr>
      <w:tr>
        <w:trPr>
          <w:trHeight w:val="216"/>
        </w:trPr>
        <w:tc>
          <w:tcPr>
            <w:tcW w:w="26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Baa2 (stable outlook)</w:t>
            </w:r>
          </w:p>
        </w:tc>
      </w:tr>
      <w:tr>
        <w:trPr>
          <w:trHeight w:val="216"/>
        </w:trPr>
        <w:tc>
          <w:tcPr>
            <w:tcW w:w="264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S&amp;P:</w:t>
            </w:r>
          </w:p>
        </w:tc>
        <w:tc>
          <w:tcPr>
            <w:tcW w:w="5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16"/>
        </w:trPr>
        <w:tc>
          <w:tcPr>
            <w:tcW w:w="26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16"/>
        </w:trPr>
        <w:tc>
          <w:tcPr>
            <w:tcW w:w="264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Fitch:</w:t>
            </w:r>
          </w:p>
        </w:tc>
        <w:tc>
          <w:tcPr>
            <w:tcW w:w="5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234"/>
        </w:trPr>
        <w:tc>
          <w:tcPr>
            <w:tcW w:w="2640" w:type="dxa"/>
            <w:vAlign w:val="bottom"/>
          </w:tcPr>
          <w:p>
            <w:pPr>
              <w:spacing w:after="0"/>
              <w:rPr>
                <w:sz w:val="20"/>
                <w:szCs w:val="20"/>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BBB (stable outlook)</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September 3, 2025</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(T+3):</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41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2031 Notes: January 15, 2031</w:t>
            </w:r>
          </w:p>
        </w:tc>
      </w:tr>
      <w:tr>
        <w:trPr>
          <w:trHeight w:val="234"/>
        </w:trPr>
        <w:tc>
          <w:tcPr>
            <w:tcW w:w="2640" w:type="dxa"/>
            <w:vAlign w:val="bottom"/>
          </w:tcPr>
          <w:p>
            <w:pPr>
              <w:spacing w:after="0"/>
              <w:rPr>
                <w:sz w:val="20"/>
                <w:szCs w:val="20"/>
                <w:color w:val="auto"/>
              </w:rPr>
            </w:pP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2036 Notes: January 15, 2036</w:t>
            </w:r>
          </w:p>
        </w:tc>
      </w:tr>
      <w:tr>
        <w:trPr>
          <w:trHeight w:val="41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2031 Notes: UST 3.625% due August 31, 2030</w:t>
            </w:r>
          </w:p>
        </w:tc>
      </w:tr>
      <w:tr>
        <w:trPr>
          <w:trHeight w:val="234"/>
        </w:trPr>
        <w:tc>
          <w:tcPr>
            <w:tcW w:w="2640" w:type="dxa"/>
            <w:vAlign w:val="bottom"/>
          </w:tcPr>
          <w:p>
            <w:pPr>
              <w:spacing w:after="0"/>
              <w:rPr>
                <w:sz w:val="20"/>
                <w:szCs w:val="20"/>
                <w:color w:val="auto"/>
              </w:rPr>
            </w:pPr>
          </w:p>
        </w:tc>
        <w:tc>
          <w:tcPr>
            <w:tcW w:w="8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2036 Notes: UST 4.250% due August 15, 2035</w:t>
            </w:r>
          </w:p>
        </w:tc>
      </w:tr>
      <w:tr>
        <w:trPr>
          <w:trHeight w:val="702"/>
        </w:trPr>
        <w:tc>
          <w:tcPr>
            <w:tcW w:w="2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3.680%</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4.207%</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+105 bps</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+142 bps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4.730%</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5.627%</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4.700%</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5.600%</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99.865%</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99.798%</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$694,855,000</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$545,314,000</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U.S. Treasury + 20 bps</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U.S. Treasury + 25 bps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On or after December 15, 2030</w:t>
            </w:r>
          </w:p>
        </w:tc>
      </w:tr>
      <w:tr>
        <w:trPr>
          <w:trHeight w:val="234"/>
        </w:trPr>
        <w:tc>
          <w:tcPr>
            <w:tcW w:w="27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2036</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On or after October 15, 2035</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January 15 and July 15, beginning on January 15, 2026</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2031 Notes: 72650R BR2 / US72650RBR21</w:t>
            </w:r>
          </w:p>
        </w:tc>
      </w:tr>
      <w:tr>
        <w:trPr>
          <w:trHeight w:val="234"/>
        </w:trPr>
        <w:tc>
          <w:tcPr>
            <w:tcW w:w="2780" w:type="dxa"/>
            <w:vAlign w:val="bottom"/>
          </w:tcPr>
          <w:p>
            <w:pPr>
              <w:spacing w:after="0"/>
              <w:rPr>
                <w:sz w:val="20"/>
                <w:szCs w:val="20"/>
                <w:color w:val="auto"/>
              </w:rPr>
            </w:pPr>
          </w:p>
        </w:tc>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2036 Notes: 72650R BS0 / US72650RBS04</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34"/>
        </w:trPr>
        <w:tc>
          <w:tcPr>
            <w:tcW w:w="2780" w:type="dxa"/>
            <w:vAlign w:val="bottom"/>
          </w:tcPr>
          <w:p>
            <w:pPr>
              <w:spacing w:after="0"/>
              <w:rPr>
                <w:sz w:val="20"/>
                <w:szCs w:val="20"/>
                <w:color w:val="auto"/>
              </w:rPr>
            </w:pPr>
          </w:p>
        </w:tc>
        <w:tc>
          <w:tcPr>
            <w:tcW w:w="4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Barclays Capital Inc.</w:t>
            </w:r>
          </w:p>
        </w:tc>
      </w:tr>
    </w:tbl>
    <w:p>
      <w:pPr>
        <w:ind w:left="316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200" w:lineRule="exact"/>
        <w:rPr>
          <w:sz w:val="20"/>
          <w:szCs w:val="20"/>
          <w:color w:val="auto"/>
        </w:rPr>
      </w:pPr>
    </w:p>
    <w:p>
      <w:pPr>
        <w:sectPr>
          <w:pgSz w:w="11900" w:h="16838" w:orient="portrait"/>
          <w:cols w:equalWidth="0" w:num="2">
            <w:col w:w="2440" w:space="720"/>
            <w:col w:w="8080"/>
          </w:cols>
          <w:pgMar w:left="320" w:top="931" w:right="339" w:bottom="1440" w:gutter="0" w:footer="0" w:header="0"/>
        </w:sectPr>
      </w:pPr>
    </w:p>
    <w:p>
      <w:pPr>
        <w:spacing w:after="0" w:line="34"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September 8, 2025, which is the third business day following the date of pricing of the notes (such settlement being referred to as “T+3”).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BofA Securities, Inc. at 1-800-294-1322, Barclays Capital Inc. at 1-888-603-5847, PNC Capital Markets LLC at 1-855-881-0697, TD Securities (USA) LLC at 1-855-495-9846 or Wells Fargo Securities, LLC at 1-800-645-3751.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2025-09-03T16:37:07Z</dcterms:created>
  <dcterms:modified xsi:type="dcterms:W3CDTF">2025-09-03T16:37:07Z</dcterms:modified>
</cp:coreProperties>
</file>