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OMB APPROVAL</w:t>
      </w:r>
    </w:p>
    <w:p>
      <w:pPr>
        <w:spacing w:after="0" w:line="23" w:lineRule="exact"/>
        <w:rPr>
          <w:sz w:val="24"/>
          <w:szCs w:val="24"/>
          <w:color w:val="auto"/>
        </w:rPr>
      </w:pPr>
    </w:p>
    <w:p>
      <w:pPr>
        <w:ind w:left="5720"/>
        <w:spacing w:after="0"/>
        <w:tabs>
          <w:tab w:leader="none" w:pos="6980" w:val="left"/>
        </w:tabs>
        <w:rPr>
          <w:sz w:val="20"/>
          <w:szCs w:val="20"/>
          <w:color w:val="auto"/>
        </w:rPr>
      </w:pPr>
      <w:r>
        <w:rPr>
          <w:rFonts w:ascii="Arial" w:cs="Arial" w:eastAsia="Arial" w:hAnsi="Arial"/>
          <w:sz w:val="18"/>
          <w:szCs w:val="18"/>
          <w:color w:val="auto"/>
        </w:rPr>
        <w:t>OMB Number:</w:t>
      </w:r>
      <w:r>
        <w:rPr>
          <w:sz w:val="20"/>
          <w:szCs w:val="20"/>
          <w:color w:val="auto"/>
        </w:rPr>
        <w:tab/>
      </w:r>
      <w:r>
        <w:rPr>
          <w:rFonts w:ascii="Arial" w:cs="Arial" w:eastAsia="Arial" w:hAnsi="Arial"/>
          <w:sz w:val="16"/>
          <w:szCs w:val="16"/>
          <w:color w:val="auto"/>
        </w:rPr>
        <w:t>3235-0145</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Expires: October 31, 2002</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Estimated average burden</w:t>
      </w:r>
    </w:p>
    <w:p>
      <w:pPr>
        <w:spacing w:after="0" w:line="9" w:lineRule="exact"/>
        <w:rPr>
          <w:sz w:val="24"/>
          <w:szCs w:val="24"/>
          <w:color w:val="auto"/>
        </w:rPr>
      </w:pPr>
    </w:p>
    <w:p>
      <w:pPr>
        <w:ind w:left="5720"/>
        <w:spacing w:after="0"/>
        <w:tabs>
          <w:tab w:leader="none" w:pos="7320" w:val="left"/>
        </w:tabs>
        <w:rPr>
          <w:sz w:val="20"/>
          <w:szCs w:val="20"/>
          <w:color w:val="auto"/>
        </w:rPr>
      </w:pPr>
      <w:r>
        <w:rPr>
          <w:rFonts w:ascii="Arial" w:cs="Arial" w:eastAsia="Arial" w:hAnsi="Arial"/>
          <w:sz w:val="18"/>
          <w:szCs w:val="18"/>
          <w:color w:val="auto"/>
        </w:rPr>
        <w:t>Hours per response</w:t>
      </w:r>
      <w:r>
        <w:rPr>
          <w:sz w:val="20"/>
          <w:szCs w:val="20"/>
          <w:color w:val="auto"/>
        </w:rPr>
        <w:tab/>
      </w:r>
      <w:r>
        <w:rPr>
          <w:rFonts w:ascii="Arial" w:cs="Arial" w:eastAsia="Arial" w:hAnsi="Arial"/>
          <w:sz w:val="15"/>
          <w:szCs w:val="15"/>
          <w:color w:val="auto"/>
        </w:rPr>
        <w:t>14.90</w:t>
      </w:r>
    </w:p>
    <w:p>
      <w:pPr>
        <w:spacing w:after="0" w:line="235" w:lineRule="exact"/>
        <w:rPr>
          <w:sz w:val="24"/>
          <w:szCs w:val="24"/>
          <w:color w:val="auto"/>
        </w:rPr>
      </w:pPr>
    </w:p>
    <w:p>
      <w:pPr>
        <w:jc w:val="center"/>
        <w:ind w:right="-119"/>
        <w:spacing w:after="0"/>
        <w:rPr>
          <w:sz w:val="20"/>
          <w:szCs w:val="20"/>
          <w:color w:val="auto"/>
        </w:rPr>
      </w:pPr>
      <w:r>
        <w:rPr>
          <w:rFonts w:ascii="Arial" w:cs="Arial" w:eastAsia="Arial" w:hAnsi="Arial"/>
          <w:sz w:val="25"/>
          <w:szCs w:val="25"/>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119"/>
        <w:spacing w:after="0"/>
        <w:rPr>
          <w:sz w:val="20"/>
          <w:szCs w:val="20"/>
          <w:color w:val="auto"/>
        </w:rPr>
      </w:pPr>
      <w:r>
        <w:rPr>
          <w:rFonts w:ascii="Arial" w:cs="Arial" w:eastAsia="Arial" w:hAnsi="Arial"/>
          <w:sz w:val="32"/>
          <w:szCs w:val="32"/>
          <w:color w:val="auto"/>
        </w:rPr>
        <w:t>SCHEDULE 13D</w:t>
      </w:r>
    </w:p>
    <w:p>
      <w:pPr>
        <w:spacing w:after="0" w:line="25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NO.6)</w:t>
      </w:r>
    </w:p>
    <w:p>
      <w:pPr>
        <w:spacing w:after="0" w:line="221" w:lineRule="exact"/>
        <w:rPr>
          <w:sz w:val="24"/>
          <w:szCs w:val="24"/>
          <w:color w:val="auto"/>
        </w:rPr>
      </w:pPr>
    </w:p>
    <w:p>
      <w:pPr>
        <w:jc w:val="center"/>
        <w:ind w:right="-139"/>
        <w:spacing w:after="0"/>
        <w:rPr>
          <w:sz w:val="20"/>
          <w:szCs w:val="20"/>
          <w:color w:val="auto"/>
        </w:rPr>
      </w:pPr>
      <w:r>
        <w:rPr>
          <w:rFonts w:ascii="Arial" w:cs="Arial" w:eastAsia="Arial" w:hAnsi="Arial"/>
          <w:sz w:val="43"/>
          <w:szCs w:val="43"/>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23495</wp:posOffset>
            </wp:positionV>
            <wp:extent cx="57975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3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COMMON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7975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726503105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7975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left="380" w:right="2520"/>
        <w:spacing w:after="0" w:line="260" w:lineRule="auto"/>
        <w:rPr>
          <w:sz w:val="20"/>
          <w:szCs w:val="20"/>
          <w:color w:val="auto"/>
        </w:rPr>
      </w:pPr>
      <w:r>
        <w:rPr>
          <w:rFonts w:ascii="Arial" w:cs="Arial" w:eastAsia="Arial" w:hAnsi="Arial"/>
          <w:sz w:val="18"/>
          <w:szCs w:val="18"/>
          <w:color w:val="auto"/>
        </w:rPr>
        <w:t>DAVID J. SHLADOVSKY, C/O KAYNE ANDERSON CAPITAL ADVISORS, L.P. 1800 AVENUE OF THE STARS, SECOND FLOOR, LOS ANGELES, CA 90067 (310) 556-2721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57975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12-02-08</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57975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245"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Rule 13d-1(e), 13d-1(f) or 13d-1(g), check the following box o.</w:t>
      </w:r>
    </w:p>
    <w:p>
      <w:pPr>
        <w:spacing w:after="0" w:line="197"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 13d-7(b) for other parties to whom copies are to be sent.</w:t>
      </w:r>
    </w:p>
    <w:p>
      <w:pPr>
        <w:spacing w:after="0" w:line="19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316"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Page 1 of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14" w:right="359" w:bottom="1440" w:gutter="0" w:footer="0" w:header="0"/>
        </w:sectPr>
      </w:pPr>
    </w:p>
    <w:bookmarkStart w:id="1" w:name="page2"/>
    <w:bookmarkEnd w:id="1"/>
    <w:p>
      <w:pPr>
        <w:spacing w:after="0"/>
        <w:tabs>
          <w:tab w:leader="none" w:pos="5060" w:val="left"/>
          <w:tab w:leader="none" w:pos="9800" w:val="left"/>
        </w:tabs>
        <w:rPr>
          <w:sz w:val="20"/>
          <w:szCs w:val="20"/>
          <w:color w:val="auto"/>
        </w:rPr>
      </w:pPr>
      <w:r>
        <w:rPr>
          <w:rFonts w:ascii="Arial" w:cs="Arial" w:eastAsia="Arial" w:hAnsi="Arial"/>
          <w:sz w:val="18"/>
          <w:szCs w:val="18"/>
          <w:color w:val="auto"/>
        </w:rPr>
        <w:t>CUSIP NO. 726503105</w:t>
      </w:r>
      <w:r>
        <w:rPr>
          <w:sz w:val="20"/>
          <w:szCs w:val="20"/>
          <w:color w:val="auto"/>
        </w:rPr>
        <w:tab/>
      </w:r>
      <w:r>
        <w:rPr>
          <w:rFonts w:ascii="Arial" w:cs="Arial" w:eastAsia="Arial" w:hAnsi="Arial"/>
          <w:sz w:val="18"/>
          <w:szCs w:val="18"/>
          <w:color w:val="auto"/>
        </w:rPr>
        <w:t>SCHEDULE 13D</w:t>
      </w:r>
      <w:r>
        <w:rPr>
          <w:sz w:val="20"/>
          <w:szCs w:val="20"/>
          <w:color w:val="auto"/>
        </w:rPr>
        <w:tab/>
      </w:r>
      <w:r>
        <w:rPr>
          <w:rFonts w:ascii="Arial" w:cs="Arial" w:eastAsia="Arial" w:hAnsi="Arial"/>
          <w:sz w:val="16"/>
          <w:szCs w:val="16"/>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20" w:hanging="8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80" w:type="dxa"/>
            <w:vAlign w:val="bottom"/>
          </w:tcPr>
          <w:p>
            <w:pPr>
              <w:ind w:left="360"/>
              <w:spacing w:after="0"/>
              <w:rPr>
                <w:sz w:val="20"/>
                <w:szCs w:val="20"/>
                <w:color w:val="auto"/>
              </w:rPr>
            </w:pPr>
            <w:r>
              <w:rPr>
                <w:rFonts w:ascii="Arial" w:cs="Arial" w:eastAsia="Arial" w:hAnsi="Arial"/>
                <w:sz w:val="18"/>
                <w:szCs w:val="18"/>
                <w:color w:val="auto"/>
              </w:rPr>
              <w:t>RICHARD A. KAYNE</w:t>
            </w:r>
          </w:p>
        </w:tc>
        <w:tc>
          <w:tcPr>
            <w:tcW w:w="4500" w:type="dxa"/>
            <w:vAlign w:val="bottom"/>
          </w:tcPr>
          <w:p>
            <w:pPr>
              <w:jc w:val="right"/>
              <w:ind w:right="2910"/>
              <w:spacing w:after="0"/>
              <w:rPr>
                <w:sz w:val="20"/>
                <w:szCs w:val="20"/>
                <w:color w:val="auto"/>
              </w:rPr>
            </w:pPr>
            <w:r>
              <w:rPr>
                <w:rFonts w:ascii="Arial" w:cs="Arial" w:eastAsia="Arial" w:hAnsi="Arial"/>
                <w:sz w:val="18"/>
                <w:szCs w:val="18"/>
                <w:color w:val="auto"/>
              </w:rPr>
              <w:t>-</w:t>
            </w:r>
          </w:p>
        </w:tc>
        <w:tc>
          <w:tcPr>
            <w:tcW w:w="2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60" w:type="dxa"/>
            <w:vAlign w:val="bottom"/>
            <w:gridSpan w:val="2"/>
          </w:tcPr>
          <w:p>
            <w:pPr>
              <w:spacing w:after="0"/>
              <w:rPr>
                <w:sz w:val="19"/>
                <w:szCs w:val="19"/>
                <w:color w:val="auto"/>
              </w:rPr>
            </w:pPr>
          </w:p>
        </w:tc>
        <w:tc>
          <w:tcPr>
            <w:tcW w:w="7980" w:type="dxa"/>
            <w:vAlign w:val="bottom"/>
            <w:gridSpan w:val="2"/>
          </w:tcPr>
          <w:p>
            <w:pPr>
              <w:spacing w:after="0"/>
              <w:rPr>
                <w:sz w:val="19"/>
                <w:szCs w:val="19"/>
                <w:color w:val="auto"/>
              </w:rPr>
            </w:pPr>
          </w:p>
        </w:tc>
        <w:tc>
          <w:tcPr>
            <w:tcW w:w="3000" w:type="dxa"/>
            <w:vAlign w:val="bottom"/>
            <w:gridSpan w:val="2"/>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440" w:type="dxa"/>
            <w:vAlign w:val="bottom"/>
            <w:tcBorders>
              <w:top w:val="single" w:sz="8" w:color="auto"/>
            </w:tcBorders>
          </w:tcPr>
          <w:p>
            <w:pPr>
              <w:jc w:val="right"/>
              <w:ind w:right="285"/>
              <w:spacing w:after="0"/>
              <w:rPr>
                <w:sz w:val="20"/>
                <w:szCs w:val="20"/>
                <w:color w:val="auto"/>
              </w:rPr>
            </w:pPr>
            <w:r>
              <w:rPr>
                <w:rFonts w:ascii="Arial" w:cs="Arial" w:eastAsia="Arial" w:hAnsi="Arial"/>
                <w:sz w:val="15"/>
                <w:szCs w:val="15"/>
                <w:color w:val="auto"/>
                <w:w w:val="71"/>
              </w:rPr>
              <w:t>2</w:t>
            </w:r>
          </w:p>
        </w:tc>
        <w:tc>
          <w:tcPr>
            <w:tcW w:w="7980" w:type="dxa"/>
            <w:vAlign w:val="bottom"/>
            <w:tcBorders>
              <w:top w:val="single" w:sz="8" w:color="auto"/>
            </w:tcBorders>
            <w:gridSpan w:val="2"/>
          </w:tcPr>
          <w:p>
            <w:pPr>
              <w:ind w:left="360"/>
              <w:spacing w:after="0" w:line="201" w:lineRule="exact"/>
              <w:rPr>
                <w:sz w:val="20"/>
                <w:szCs w:val="20"/>
                <w:color w:val="auto"/>
              </w:rPr>
            </w:pPr>
            <w:r>
              <w:rPr>
                <w:rFonts w:ascii="Arial" w:cs="Arial" w:eastAsia="Arial" w:hAnsi="Arial"/>
                <w:sz w:val="18"/>
                <w:szCs w:val="18"/>
                <w:color w:val="auto"/>
              </w:rPr>
              <w:t>CHECK THE APPROPRIATE BOX IF A MEMBER OF A GROUP</w:t>
            </w:r>
          </w:p>
        </w:tc>
        <w:tc>
          <w:tcPr>
            <w:tcW w:w="2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(a) o</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000" w:type="dxa"/>
            <w:vAlign w:val="bottom"/>
            <w:gridSpan w:val="2"/>
          </w:tcPr>
          <w:p>
            <w:pPr>
              <w:jc w:val="right"/>
              <w:ind w:right="20"/>
              <w:spacing w:after="0"/>
              <w:rPr>
                <w:sz w:val="20"/>
                <w:szCs w:val="20"/>
                <w:color w:val="auto"/>
              </w:rPr>
            </w:pPr>
            <w:r>
              <w:rPr>
                <w:rFonts w:ascii="Arial" w:cs="Arial" w:eastAsia="Arial" w:hAnsi="Arial"/>
                <w:sz w:val="18"/>
                <w:szCs w:val="18"/>
                <w:color w:val="auto"/>
              </w:rPr>
              <w:t>(b) 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0"/>
          <w:szCs w:val="20"/>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20" w:right="8980" w:hanging="812"/>
        <w:spacing w:after="0" w:line="516"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AF 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tabs>
          <w:tab w:leader="none" w:pos="800" w:val="left"/>
          <w:tab w:leader="none" w:pos="113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BOX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20" w:right="6940" w:hanging="812"/>
        <w:spacing w:after="0" w:line="525"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A U.S. CITIZEN</w:t>
      </w:r>
    </w:p>
    <w:tbl>
      <w:tblPr>
        <w:tblLayout w:type="fixed"/>
        <w:tblInd w:w="0" w:type="dxa"/>
        <w:tblCellMar>
          <w:top w:w="0" w:type="dxa"/>
          <w:left w:w="0" w:type="dxa"/>
          <w:bottom w:w="0" w:type="dxa"/>
          <w:right w:w="0" w:type="dxa"/>
        </w:tblCellMar>
      </w:tblPr>
      <w:tr>
        <w:trPr>
          <w:trHeight w:val="238"/>
        </w:trPr>
        <w:tc>
          <w:tcPr>
            <w:tcW w:w="2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ind w:left="600"/>
              <w:spacing w:after="0"/>
              <w:rPr>
                <w:sz w:val="20"/>
                <w:szCs w:val="20"/>
                <w:color w:val="auto"/>
              </w:rPr>
            </w:pPr>
            <w:r>
              <w:rPr>
                <w:rFonts w:ascii="Arial" w:cs="Arial" w:eastAsia="Arial" w:hAnsi="Arial"/>
                <w:sz w:val="18"/>
                <w:szCs w:val="18"/>
                <w:color w:val="auto"/>
              </w:rPr>
              <w:t>7</w:t>
            </w:r>
          </w:p>
        </w:tc>
        <w:tc>
          <w:tcPr>
            <w:tcW w:w="818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VOTING POWER</w:t>
            </w:r>
          </w:p>
        </w:tc>
      </w:tr>
      <w:tr>
        <w:trPr>
          <w:trHeight w:val="404"/>
        </w:trPr>
        <w:tc>
          <w:tcPr>
            <w:tcW w:w="2140" w:type="dxa"/>
            <w:vAlign w:val="bottom"/>
          </w:tcPr>
          <w:p>
            <w:pPr>
              <w:spacing w:after="0"/>
              <w:rPr>
                <w:sz w:val="20"/>
                <w:szCs w:val="20"/>
                <w:color w:val="auto"/>
              </w:rPr>
            </w:pPr>
            <w:r>
              <w:rPr>
                <w:rFonts w:ascii="Arial" w:cs="Arial" w:eastAsia="Arial" w:hAnsi="Arial"/>
                <w:sz w:val="18"/>
                <w:szCs w:val="18"/>
                <w:color w:val="auto"/>
              </w:rPr>
              <w:t>NUMBER OF</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180" w:type="dxa"/>
            <w:vAlign w:val="bottom"/>
          </w:tcPr>
          <w:p>
            <w:pPr>
              <w:ind w:left="300"/>
              <w:spacing w:after="0"/>
              <w:rPr>
                <w:sz w:val="20"/>
                <w:szCs w:val="20"/>
                <w:color w:val="auto"/>
              </w:rPr>
            </w:pPr>
            <w:r>
              <w:rPr>
                <w:rFonts w:ascii="Arial" w:cs="Arial" w:eastAsia="Arial" w:hAnsi="Arial"/>
                <w:sz w:val="18"/>
                <w:szCs w:val="18"/>
                <w:color w:val="auto"/>
              </w:rPr>
              <w:t>226,165</w:t>
            </w:r>
          </w:p>
        </w:tc>
      </w:tr>
      <w:tr>
        <w:trPr>
          <w:trHeight w:val="237"/>
        </w:trPr>
        <w:tc>
          <w:tcPr>
            <w:tcW w:w="2140" w:type="dxa"/>
            <w:vAlign w:val="bottom"/>
          </w:tcPr>
          <w:p>
            <w:pPr>
              <w:spacing w:after="0"/>
              <w:rPr>
                <w:sz w:val="20"/>
                <w:szCs w:val="20"/>
                <w:color w:val="auto"/>
              </w:rPr>
            </w:pPr>
            <w:r>
              <w:rPr>
                <w:rFonts w:ascii="Arial" w:cs="Arial" w:eastAsia="Arial" w:hAnsi="Arial"/>
                <w:sz w:val="18"/>
                <w:szCs w:val="18"/>
                <w:color w:val="auto"/>
              </w:rPr>
              <w:t>SHARES</w:t>
            </w:r>
          </w:p>
        </w:tc>
        <w:tc>
          <w:tcPr>
            <w:tcW w:w="6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180" w:type="dxa"/>
            <w:vAlign w:val="bottom"/>
            <w:tcBorders>
              <w:bottom w:val="single" w:sz="8" w:color="auto"/>
            </w:tcBorders>
          </w:tcPr>
          <w:p>
            <w:pPr>
              <w:spacing w:after="0"/>
              <w:rPr>
                <w:sz w:val="20"/>
                <w:szCs w:val="20"/>
                <w:color w:val="auto"/>
              </w:rPr>
            </w:pPr>
          </w:p>
        </w:tc>
      </w:tr>
      <w:tr>
        <w:trPr>
          <w:trHeight w:val="175"/>
        </w:trPr>
        <w:tc>
          <w:tcPr>
            <w:tcW w:w="2140" w:type="dxa"/>
            <w:vAlign w:val="bottom"/>
          </w:tcPr>
          <w:p>
            <w:pPr>
              <w:spacing w:after="0" w:line="175" w:lineRule="exact"/>
              <w:rPr>
                <w:sz w:val="20"/>
                <w:szCs w:val="20"/>
                <w:color w:val="auto"/>
              </w:rPr>
            </w:pPr>
            <w:r>
              <w:rPr>
                <w:rFonts w:ascii="Arial" w:cs="Arial" w:eastAsia="Arial" w:hAnsi="Arial"/>
                <w:sz w:val="18"/>
                <w:szCs w:val="18"/>
                <w:color w:val="auto"/>
              </w:rPr>
              <w:t>BENEFICIALLY</w:t>
            </w:r>
          </w:p>
        </w:tc>
        <w:tc>
          <w:tcPr>
            <w:tcW w:w="600" w:type="dxa"/>
            <w:vAlign w:val="bottom"/>
          </w:tcPr>
          <w:p>
            <w:pPr>
              <w:spacing w:after="0"/>
              <w:rPr>
                <w:sz w:val="15"/>
                <w:szCs w:val="15"/>
                <w:color w:val="auto"/>
              </w:rPr>
            </w:pPr>
          </w:p>
        </w:tc>
        <w:tc>
          <w:tcPr>
            <w:tcW w:w="500" w:type="dxa"/>
            <w:vAlign w:val="bottom"/>
          </w:tcPr>
          <w:p>
            <w:pPr>
              <w:spacing w:after="0" w:line="175" w:lineRule="exact"/>
              <w:rPr>
                <w:sz w:val="20"/>
                <w:szCs w:val="20"/>
                <w:color w:val="auto"/>
              </w:rPr>
            </w:pPr>
            <w:r>
              <w:rPr>
                <w:rFonts w:ascii="Arial" w:cs="Arial" w:eastAsia="Arial" w:hAnsi="Arial"/>
                <w:sz w:val="18"/>
                <w:szCs w:val="18"/>
                <w:color w:val="auto"/>
              </w:rPr>
              <w:t>8</w:t>
            </w:r>
          </w:p>
        </w:tc>
        <w:tc>
          <w:tcPr>
            <w:tcW w:w="8180" w:type="dxa"/>
            <w:vAlign w:val="bottom"/>
          </w:tcPr>
          <w:p>
            <w:pPr>
              <w:ind w:left="300"/>
              <w:spacing w:after="0" w:line="175" w:lineRule="exact"/>
              <w:rPr>
                <w:sz w:val="20"/>
                <w:szCs w:val="20"/>
                <w:color w:val="auto"/>
              </w:rPr>
            </w:pPr>
            <w:r>
              <w:rPr>
                <w:rFonts w:ascii="Arial" w:cs="Arial" w:eastAsia="Arial" w:hAnsi="Arial"/>
                <w:sz w:val="18"/>
                <w:szCs w:val="18"/>
                <w:color w:val="auto"/>
              </w:rPr>
              <w:t>SHARED VOTING POWER</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OWNED BY</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18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EACH REPORTING</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180" w:type="dxa"/>
            <w:vAlign w:val="bottom"/>
          </w:tcPr>
          <w:p>
            <w:pPr>
              <w:ind w:left="300"/>
              <w:spacing w:after="0"/>
              <w:rPr>
                <w:sz w:val="20"/>
                <w:szCs w:val="20"/>
                <w:color w:val="auto"/>
              </w:rPr>
            </w:pPr>
            <w:r>
              <w:rPr>
                <w:rFonts w:ascii="Arial" w:cs="Arial" w:eastAsia="Arial" w:hAnsi="Arial"/>
                <w:sz w:val="18"/>
                <w:szCs w:val="18"/>
                <w:color w:val="auto"/>
              </w:rPr>
              <w:t>8,449,418</w:t>
            </w: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PERSON WITH</w:t>
            </w: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180" w:type="dxa"/>
            <w:vAlign w:val="bottom"/>
          </w:tcPr>
          <w:p>
            <w:pPr>
              <w:spacing w:after="0"/>
              <w:rPr>
                <w:sz w:val="20"/>
                <w:szCs w:val="20"/>
                <w:color w:val="auto"/>
              </w:rPr>
            </w:pPr>
          </w:p>
        </w:tc>
      </w:tr>
      <w:tr>
        <w:trPr>
          <w:trHeight w:val="34"/>
        </w:trPr>
        <w:tc>
          <w:tcPr>
            <w:tcW w:w="2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8180" w:type="dxa"/>
            <w:vAlign w:val="bottom"/>
          </w:tcPr>
          <w:p>
            <w:pPr>
              <w:spacing w:after="0"/>
              <w:rPr>
                <w:sz w:val="2"/>
                <w:szCs w:val="2"/>
                <w:color w:val="auto"/>
              </w:rPr>
            </w:pPr>
          </w:p>
        </w:tc>
      </w:tr>
      <w:tr>
        <w:trPr>
          <w:trHeight w:val="230"/>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w:t>
            </w:r>
          </w:p>
        </w:tc>
        <w:tc>
          <w:tcPr>
            <w:tcW w:w="818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DISPOSITIVE POWER</w:t>
            </w:r>
          </w:p>
        </w:tc>
      </w:tr>
      <w:tr>
        <w:trPr>
          <w:trHeight w:val="418"/>
        </w:trPr>
        <w:tc>
          <w:tcPr>
            <w:tcW w:w="2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180" w:type="dxa"/>
            <w:vAlign w:val="bottom"/>
          </w:tcPr>
          <w:p>
            <w:pPr>
              <w:ind w:left="300"/>
              <w:spacing w:after="0"/>
              <w:rPr>
                <w:sz w:val="20"/>
                <w:szCs w:val="20"/>
                <w:color w:val="auto"/>
              </w:rPr>
            </w:pPr>
            <w:r>
              <w:rPr>
                <w:rFonts w:ascii="Arial" w:cs="Arial" w:eastAsia="Arial" w:hAnsi="Arial"/>
                <w:sz w:val="18"/>
                <w:szCs w:val="18"/>
                <w:color w:val="auto"/>
              </w:rPr>
              <w:t>226,165</w:t>
            </w:r>
          </w:p>
        </w:tc>
      </w:tr>
      <w:tr>
        <w:trPr>
          <w:trHeight w:val="223"/>
        </w:trPr>
        <w:tc>
          <w:tcPr>
            <w:tcW w:w="214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8180" w:type="dxa"/>
            <w:vAlign w:val="bottom"/>
          </w:tcPr>
          <w:p>
            <w:pPr>
              <w:spacing w:after="0"/>
              <w:rPr>
                <w:sz w:val="19"/>
                <w:szCs w:val="19"/>
                <w:color w:val="auto"/>
              </w:rPr>
            </w:pPr>
          </w:p>
        </w:tc>
      </w:tr>
      <w:tr>
        <w:trPr>
          <w:trHeight w:val="230"/>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w:t>
            </w:r>
          </w:p>
        </w:tc>
        <w:tc>
          <w:tcPr>
            <w:tcW w:w="818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SHARED DISPOSITIVE POWER</w:t>
            </w:r>
          </w:p>
        </w:tc>
      </w:tr>
      <w:tr>
        <w:trPr>
          <w:trHeight w:val="418"/>
        </w:trPr>
        <w:tc>
          <w:tcPr>
            <w:tcW w:w="2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180" w:type="dxa"/>
            <w:vAlign w:val="bottom"/>
          </w:tcPr>
          <w:p>
            <w:pPr>
              <w:ind w:left="300"/>
              <w:spacing w:after="0"/>
              <w:rPr>
                <w:sz w:val="20"/>
                <w:szCs w:val="20"/>
                <w:color w:val="auto"/>
              </w:rPr>
            </w:pPr>
            <w:r>
              <w:rPr>
                <w:rFonts w:ascii="Arial" w:cs="Arial" w:eastAsia="Arial" w:hAnsi="Arial"/>
                <w:sz w:val="18"/>
                <w:szCs w:val="18"/>
                <w:color w:val="auto"/>
              </w:rPr>
              <w:t>8,449,418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ind w:left="820" w:right="4040" w:hanging="812"/>
        <w:spacing w:after="0" w:line="516"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8,675,583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tabs>
          <w:tab w:leader="none" w:pos="800" w:val="left"/>
          <w:tab w:leader="none" w:pos="113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BOX IF THE AGGREGATE AMOUNT IN ROW (11) EXCLUDES CERTAIN SHARES</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20" w:right="5580" w:hanging="812"/>
        <w:spacing w:after="0" w:line="516"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20" w:right="8100" w:hanging="812"/>
        <w:spacing w:after="0" w:line="528"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spacing w:after="0"/>
        <w:tabs>
          <w:tab w:leader="none" w:pos="5060" w:val="left"/>
          <w:tab w:leader="none" w:pos="9800" w:val="left"/>
        </w:tabs>
        <w:rPr>
          <w:sz w:val="20"/>
          <w:szCs w:val="20"/>
          <w:color w:val="auto"/>
        </w:rPr>
      </w:pPr>
      <w:r>
        <w:rPr>
          <w:rFonts w:ascii="Arial" w:cs="Arial" w:eastAsia="Arial" w:hAnsi="Arial"/>
          <w:sz w:val="18"/>
          <w:szCs w:val="18"/>
          <w:color w:val="auto"/>
        </w:rPr>
        <w:t>CUSIP NO. 726503105</w:t>
      </w:r>
      <w:r>
        <w:rPr>
          <w:sz w:val="20"/>
          <w:szCs w:val="20"/>
          <w:color w:val="auto"/>
        </w:rPr>
        <w:tab/>
      </w:r>
      <w:r>
        <w:rPr>
          <w:rFonts w:ascii="Arial" w:cs="Arial" w:eastAsia="Arial" w:hAnsi="Arial"/>
          <w:sz w:val="18"/>
          <w:szCs w:val="18"/>
          <w:color w:val="auto"/>
        </w:rPr>
        <w:t>SCHEDULE 13D</w:t>
      </w:r>
      <w:r>
        <w:rPr>
          <w:sz w:val="20"/>
          <w:szCs w:val="20"/>
          <w:color w:val="auto"/>
        </w:rPr>
        <w:tab/>
      </w:r>
      <w:r>
        <w:rPr>
          <w:rFonts w:ascii="Arial" w:cs="Arial" w:eastAsia="Arial" w:hAnsi="Arial"/>
          <w:sz w:val="16"/>
          <w:szCs w:val="16"/>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520" w:type="dxa"/>
            <w:vAlign w:val="bottom"/>
          </w:tcPr>
          <w:p>
            <w:pPr>
              <w:ind w:left="360"/>
              <w:spacing w:after="0"/>
              <w:rPr>
                <w:sz w:val="20"/>
                <w:szCs w:val="20"/>
                <w:color w:val="auto"/>
              </w:rPr>
            </w:pPr>
            <w:r>
              <w:rPr>
                <w:rFonts w:ascii="Arial" w:cs="Arial" w:eastAsia="Arial" w:hAnsi="Arial"/>
                <w:sz w:val="18"/>
                <w:szCs w:val="18"/>
                <w:color w:val="auto"/>
              </w:rPr>
              <w:t>KAYNE ANDERSON CAPITAL ADVISORS, L.P.</w:t>
            </w:r>
          </w:p>
        </w:tc>
        <w:tc>
          <w:tcPr>
            <w:tcW w:w="3740" w:type="dxa"/>
            <w:vAlign w:val="bottom"/>
          </w:tcPr>
          <w:p>
            <w:pPr>
              <w:jc w:val="right"/>
              <w:ind w:right="2270"/>
              <w:spacing w:after="0"/>
              <w:rPr>
                <w:sz w:val="20"/>
                <w:szCs w:val="20"/>
                <w:color w:val="auto"/>
              </w:rPr>
            </w:pPr>
            <w:r>
              <w:rPr>
                <w:rFonts w:ascii="Arial" w:cs="Arial" w:eastAsia="Arial" w:hAnsi="Arial"/>
                <w:sz w:val="18"/>
                <w:szCs w:val="18"/>
                <w:color w:val="auto"/>
              </w:rPr>
              <w:t>- 95-4486379</w:t>
            </w:r>
          </w:p>
        </w:tc>
        <w:tc>
          <w:tcPr>
            <w:tcW w:w="2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60" w:type="dxa"/>
            <w:vAlign w:val="bottom"/>
            <w:gridSpan w:val="2"/>
          </w:tcPr>
          <w:p>
            <w:pPr>
              <w:spacing w:after="0"/>
              <w:rPr>
                <w:sz w:val="19"/>
                <w:szCs w:val="19"/>
                <w:color w:val="auto"/>
              </w:rPr>
            </w:pPr>
          </w:p>
        </w:tc>
        <w:tc>
          <w:tcPr>
            <w:tcW w:w="8260" w:type="dxa"/>
            <w:vAlign w:val="bottom"/>
            <w:gridSpan w:val="2"/>
          </w:tcPr>
          <w:p>
            <w:pPr>
              <w:spacing w:after="0"/>
              <w:rPr>
                <w:sz w:val="19"/>
                <w:szCs w:val="19"/>
                <w:color w:val="auto"/>
              </w:rPr>
            </w:pPr>
          </w:p>
        </w:tc>
        <w:tc>
          <w:tcPr>
            <w:tcW w:w="2720" w:type="dxa"/>
            <w:vAlign w:val="bottom"/>
            <w:gridSpan w:val="2"/>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440" w:type="dxa"/>
            <w:vAlign w:val="bottom"/>
            <w:tcBorders>
              <w:top w:val="single" w:sz="8" w:color="auto"/>
            </w:tcBorders>
          </w:tcPr>
          <w:p>
            <w:pPr>
              <w:jc w:val="right"/>
              <w:ind w:right="285"/>
              <w:spacing w:after="0"/>
              <w:rPr>
                <w:sz w:val="20"/>
                <w:szCs w:val="20"/>
                <w:color w:val="auto"/>
              </w:rPr>
            </w:pPr>
            <w:r>
              <w:rPr>
                <w:rFonts w:ascii="Arial" w:cs="Arial" w:eastAsia="Arial" w:hAnsi="Arial"/>
                <w:sz w:val="15"/>
                <w:szCs w:val="15"/>
                <w:color w:val="auto"/>
                <w:w w:val="71"/>
              </w:rPr>
              <w:t>2</w:t>
            </w:r>
          </w:p>
        </w:tc>
        <w:tc>
          <w:tcPr>
            <w:tcW w:w="8260" w:type="dxa"/>
            <w:vAlign w:val="bottom"/>
            <w:tcBorders>
              <w:top w:val="single" w:sz="8" w:color="auto"/>
            </w:tcBorders>
            <w:gridSpan w:val="2"/>
          </w:tcPr>
          <w:p>
            <w:pPr>
              <w:ind w:left="360"/>
              <w:spacing w:after="0" w:line="201" w:lineRule="exact"/>
              <w:rPr>
                <w:sz w:val="20"/>
                <w:szCs w:val="20"/>
                <w:color w:val="auto"/>
              </w:rPr>
            </w:pPr>
            <w:r>
              <w:rPr>
                <w:rFonts w:ascii="Arial" w:cs="Arial" w:eastAsia="Arial" w:hAnsi="Arial"/>
                <w:sz w:val="18"/>
                <w:szCs w:val="18"/>
                <w:color w:val="auto"/>
              </w:rPr>
              <w:t>CHECK THE APPROPRIATE BOX IF A MEMBER OF A GROUP</w:t>
            </w:r>
          </w:p>
        </w:tc>
        <w:tc>
          <w:tcPr>
            <w:tcW w:w="27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(a) o</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720" w:type="dxa"/>
            <w:vAlign w:val="bottom"/>
            <w:gridSpan w:val="2"/>
          </w:tcPr>
          <w:p>
            <w:pPr>
              <w:jc w:val="right"/>
              <w:ind w:right="20"/>
              <w:spacing w:after="0"/>
              <w:rPr>
                <w:sz w:val="20"/>
                <w:szCs w:val="20"/>
                <w:color w:val="auto"/>
              </w:rPr>
            </w:pPr>
            <w:r>
              <w:rPr>
                <w:rFonts w:ascii="Arial" w:cs="Arial" w:eastAsia="Arial" w:hAnsi="Arial"/>
                <w:sz w:val="18"/>
                <w:szCs w:val="18"/>
                <w:color w:val="auto"/>
              </w:rPr>
              <w:t>(b) 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0"/>
          <w:szCs w:val="20"/>
          <w:color w:val="auto"/>
        </w:rPr>
      </w:pPr>
    </w:p>
    <w:p>
      <w:pPr>
        <w:ind w:left="820" w:hanging="81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20" w:right="8980" w:hanging="812"/>
        <w:spacing w:after="0" w:line="516"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SOURCE OF FUNDS AF 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tabs>
          <w:tab w:leader="none" w:pos="800" w:val="left"/>
          <w:tab w:leader="none" w:pos="113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BOX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20" w:right="6940" w:hanging="812"/>
        <w:spacing w:after="0" w:line="555" w:lineRule="auto"/>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CITIZENSHIP OR PLACE OF ORGANIZATION A CALIFORNIA LIMITED PARTNERSHIP</w:t>
      </w:r>
    </w:p>
    <w:tbl>
      <w:tblPr>
        <w:tblLayout w:type="fixed"/>
        <w:tblInd w:w="0" w:type="dxa"/>
        <w:tblCellMar>
          <w:top w:w="0" w:type="dxa"/>
          <w:left w:w="0" w:type="dxa"/>
          <w:bottom w:w="0" w:type="dxa"/>
          <w:right w:w="0" w:type="dxa"/>
        </w:tblCellMar>
      </w:tblPr>
      <w:tr>
        <w:trPr>
          <w:trHeight w:val="239"/>
        </w:trPr>
        <w:tc>
          <w:tcPr>
            <w:tcW w:w="2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ind w:left="600"/>
              <w:spacing w:after="0"/>
              <w:rPr>
                <w:sz w:val="20"/>
                <w:szCs w:val="20"/>
                <w:color w:val="auto"/>
              </w:rPr>
            </w:pPr>
            <w:r>
              <w:rPr>
                <w:rFonts w:ascii="Arial" w:cs="Arial" w:eastAsia="Arial" w:hAnsi="Arial"/>
                <w:sz w:val="18"/>
                <w:szCs w:val="18"/>
                <w:color w:val="auto"/>
              </w:rPr>
              <w:t>7</w:t>
            </w:r>
          </w:p>
        </w:tc>
        <w:tc>
          <w:tcPr>
            <w:tcW w:w="818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VOTING POWER</w:t>
            </w:r>
          </w:p>
        </w:tc>
      </w:tr>
      <w:tr>
        <w:trPr>
          <w:trHeight w:val="404"/>
        </w:trPr>
        <w:tc>
          <w:tcPr>
            <w:tcW w:w="2140" w:type="dxa"/>
            <w:vAlign w:val="bottom"/>
          </w:tcPr>
          <w:p>
            <w:pPr>
              <w:spacing w:after="0"/>
              <w:rPr>
                <w:sz w:val="20"/>
                <w:szCs w:val="20"/>
                <w:color w:val="auto"/>
              </w:rPr>
            </w:pPr>
            <w:r>
              <w:rPr>
                <w:rFonts w:ascii="Arial" w:cs="Arial" w:eastAsia="Arial" w:hAnsi="Arial"/>
                <w:sz w:val="18"/>
                <w:szCs w:val="18"/>
                <w:color w:val="auto"/>
              </w:rPr>
              <w:t>NUMBER OF</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180" w:type="dxa"/>
            <w:vAlign w:val="bottom"/>
          </w:tcPr>
          <w:p>
            <w:pPr>
              <w:ind w:left="300"/>
              <w:spacing w:after="0"/>
              <w:rPr>
                <w:sz w:val="20"/>
                <w:szCs w:val="20"/>
                <w:color w:val="auto"/>
              </w:rPr>
            </w:pPr>
            <w:r>
              <w:rPr>
                <w:rFonts w:ascii="Arial" w:cs="Arial" w:eastAsia="Arial" w:hAnsi="Arial"/>
                <w:sz w:val="18"/>
                <w:szCs w:val="18"/>
                <w:color w:val="auto"/>
              </w:rPr>
              <w:t>0</w:t>
            </w:r>
          </w:p>
        </w:tc>
      </w:tr>
      <w:tr>
        <w:trPr>
          <w:trHeight w:val="237"/>
        </w:trPr>
        <w:tc>
          <w:tcPr>
            <w:tcW w:w="2140" w:type="dxa"/>
            <w:vAlign w:val="bottom"/>
          </w:tcPr>
          <w:p>
            <w:pPr>
              <w:spacing w:after="0"/>
              <w:rPr>
                <w:sz w:val="20"/>
                <w:szCs w:val="20"/>
                <w:color w:val="auto"/>
              </w:rPr>
            </w:pPr>
            <w:r>
              <w:rPr>
                <w:rFonts w:ascii="Arial" w:cs="Arial" w:eastAsia="Arial" w:hAnsi="Arial"/>
                <w:sz w:val="18"/>
                <w:szCs w:val="18"/>
                <w:color w:val="auto"/>
              </w:rPr>
              <w:t>SHARES</w:t>
            </w:r>
          </w:p>
        </w:tc>
        <w:tc>
          <w:tcPr>
            <w:tcW w:w="6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180" w:type="dxa"/>
            <w:vAlign w:val="bottom"/>
            <w:tcBorders>
              <w:bottom w:val="single" w:sz="8" w:color="auto"/>
            </w:tcBorders>
          </w:tcPr>
          <w:p>
            <w:pPr>
              <w:spacing w:after="0"/>
              <w:rPr>
                <w:sz w:val="20"/>
                <w:szCs w:val="20"/>
                <w:color w:val="auto"/>
              </w:rPr>
            </w:pPr>
          </w:p>
        </w:tc>
      </w:tr>
      <w:tr>
        <w:trPr>
          <w:trHeight w:val="175"/>
        </w:trPr>
        <w:tc>
          <w:tcPr>
            <w:tcW w:w="2140" w:type="dxa"/>
            <w:vAlign w:val="bottom"/>
          </w:tcPr>
          <w:p>
            <w:pPr>
              <w:spacing w:after="0" w:line="175" w:lineRule="exact"/>
              <w:rPr>
                <w:sz w:val="20"/>
                <w:szCs w:val="20"/>
                <w:color w:val="auto"/>
              </w:rPr>
            </w:pPr>
            <w:r>
              <w:rPr>
                <w:rFonts w:ascii="Arial" w:cs="Arial" w:eastAsia="Arial" w:hAnsi="Arial"/>
                <w:sz w:val="18"/>
                <w:szCs w:val="18"/>
                <w:color w:val="auto"/>
              </w:rPr>
              <w:t>BENEFICIALLY</w:t>
            </w:r>
          </w:p>
        </w:tc>
        <w:tc>
          <w:tcPr>
            <w:tcW w:w="600" w:type="dxa"/>
            <w:vAlign w:val="bottom"/>
          </w:tcPr>
          <w:p>
            <w:pPr>
              <w:spacing w:after="0"/>
              <w:rPr>
                <w:sz w:val="15"/>
                <w:szCs w:val="15"/>
                <w:color w:val="auto"/>
              </w:rPr>
            </w:pPr>
          </w:p>
        </w:tc>
        <w:tc>
          <w:tcPr>
            <w:tcW w:w="500" w:type="dxa"/>
            <w:vAlign w:val="bottom"/>
          </w:tcPr>
          <w:p>
            <w:pPr>
              <w:spacing w:after="0" w:line="175" w:lineRule="exact"/>
              <w:rPr>
                <w:sz w:val="20"/>
                <w:szCs w:val="20"/>
                <w:color w:val="auto"/>
              </w:rPr>
            </w:pPr>
            <w:r>
              <w:rPr>
                <w:rFonts w:ascii="Arial" w:cs="Arial" w:eastAsia="Arial" w:hAnsi="Arial"/>
                <w:sz w:val="18"/>
                <w:szCs w:val="18"/>
                <w:color w:val="auto"/>
              </w:rPr>
              <w:t>8</w:t>
            </w:r>
          </w:p>
        </w:tc>
        <w:tc>
          <w:tcPr>
            <w:tcW w:w="8180" w:type="dxa"/>
            <w:vAlign w:val="bottom"/>
          </w:tcPr>
          <w:p>
            <w:pPr>
              <w:ind w:left="300"/>
              <w:spacing w:after="0" w:line="175" w:lineRule="exact"/>
              <w:rPr>
                <w:sz w:val="20"/>
                <w:szCs w:val="20"/>
                <w:color w:val="auto"/>
              </w:rPr>
            </w:pPr>
            <w:r>
              <w:rPr>
                <w:rFonts w:ascii="Arial" w:cs="Arial" w:eastAsia="Arial" w:hAnsi="Arial"/>
                <w:sz w:val="18"/>
                <w:szCs w:val="18"/>
                <w:color w:val="auto"/>
              </w:rPr>
              <w:t>SHARED VOTING POWER</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OWNED BY</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18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EACH REPORTING</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180" w:type="dxa"/>
            <w:vAlign w:val="bottom"/>
          </w:tcPr>
          <w:p>
            <w:pPr>
              <w:ind w:left="300"/>
              <w:spacing w:after="0"/>
              <w:rPr>
                <w:sz w:val="20"/>
                <w:szCs w:val="20"/>
                <w:color w:val="auto"/>
              </w:rPr>
            </w:pPr>
            <w:r>
              <w:rPr>
                <w:rFonts w:ascii="Arial" w:cs="Arial" w:eastAsia="Arial" w:hAnsi="Arial"/>
                <w:sz w:val="18"/>
                <w:szCs w:val="18"/>
                <w:color w:val="auto"/>
              </w:rPr>
              <w:t>8,449,418</w:t>
            </w: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PERSON WITH</w:t>
            </w: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180" w:type="dxa"/>
            <w:vAlign w:val="bottom"/>
          </w:tcPr>
          <w:p>
            <w:pPr>
              <w:spacing w:after="0"/>
              <w:rPr>
                <w:sz w:val="20"/>
                <w:szCs w:val="20"/>
                <w:color w:val="auto"/>
              </w:rPr>
            </w:pPr>
          </w:p>
        </w:tc>
      </w:tr>
      <w:tr>
        <w:trPr>
          <w:trHeight w:val="34"/>
        </w:trPr>
        <w:tc>
          <w:tcPr>
            <w:tcW w:w="2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8180" w:type="dxa"/>
            <w:vAlign w:val="bottom"/>
          </w:tcPr>
          <w:p>
            <w:pPr>
              <w:spacing w:after="0"/>
              <w:rPr>
                <w:sz w:val="2"/>
                <w:szCs w:val="2"/>
                <w:color w:val="auto"/>
              </w:rPr>
            </w:pPr>
          </w:p>
        </w:tc>
      </w:tr>
      <w:tr>
        <w:trPr>
          <w:trHeight w:val="230"/>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w:t>
            </w:r>
          </w:p>
        </w:tc>
        <w:tc>
          <w:tcPr>
            <w:tcW w:w="818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SOLE DISPOSITIVE POWER</w:t>
            </w:r>
          </w:p>
        </w:tc>
      </w:tr>
      <w:tr>
        <w:trPr>
          <w:trHeight w:val="418"/>
        </w:trPr>
        <w:tc>
          <w:tcPr>
            <w:tcW w:w="2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180" w:type="dxa"/>
            <w:vAlign w:val="bottom"/>
          </w:tcPr>
          <w:p>
            <w:pPr>
              <w:ind w:left="300"/>
              <w:spacing w:after="0"/>
              <w:rPr>
                <w:sz w:val="20"/>
                <w:szCs w:val="20"/>
                <w:color w:val="auto"/>
              </w:rPr>
            </w:pPr>
            <w:r>
              <w:rPr>
                <w:rFonts w:ascii="Arial" w:cs="Arial" w:eastAsia="Arial" w:hAnsi="Arial"/>
                <w:sz w:val="18"/>
                <w:szCs w:val="18"/>
                <w:color w:val="auto"/>
              </w:rPr>
              <w:t>0</w:t>
            </w:r>
          </w:p>
        </w:tc>
      </w:tr>
      <w:tr>
        <w:trPr>
          <w:trHeight w:val="223"/>
        </w:trPr>
        <w:tc>
          <w:tcPr>
            <w:tcW w:w="214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8180" w:type="dxa"/>
            <w:vAlign w:val="bottom"/>
          </w:tcPr>
          <w:p>
            <w:pPr>
              <w:spacing w:after="0"/>
              <w:rPr>
                <w:sz w:val="19"/>
                <w:szCs w:val="19"/>
                <w:color w:val="auto"/>
              </w:rPr>
            </w:pPr>
          </w:p>
        </w:tc>
      </w:tr>
      <w:tr>
        <w:trPr>
          <w:trHeight w:val="230"/>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w:t>
            </w:r>
          </w:p>
        </w:tc>
        <w:tc>
          <w:tcPr>
            <w:tcW w:w="818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SHARED DISPOSITIVE POWER</w:t>
            </w:r>
          </w:p>
        </w:tc>
      </w:tr>
      <w:tr>
        <w:trPr>
          <w:trHeight w:val="418"/>
        </w:trPr>
        <w:tc>
          <w:tcPr>
            <w:tcW w:w="2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180" w:type="dxa"/>
            <w:vAlign w:val="bottom"/>
          </w:tcPr>
          <w:p>
            <w:pPr>
              <w:ind w:left="300"/>
              <w:spacing w:after="0"/>
              <w:rPr>
                <w:sz w:val="20"/>
                <w:szCs w:val="20"/>
                <w:color w:val="auto"/>
              </w:rPr>
            </w:pPr>
            <w:r>
              <w:rPr>
                <w:rFonts w:ascii="Arial" w:cs="Arial" w:eastAsia="Arial" w:hAnsi="Arial"/>
                <w:sz w:val="18"/>
                <w:szCs w:val="18"/>
                <w:color w:val="auto"/>
              </w:rPr>
              <w:t>8,449,418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ind w:left="820" w:right="4040" w:hanging="812"/>
        <w:spacing w:after="0" w:line="516"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8,449,418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tabs>
          <w:tab w:leader="none" w:pos="800" w:val="left"/>
          <w:tab w:leader="none" w:pos="113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BOX IF THE AGGREGATE AMOUNT IN ROW (11) EXCLUDES CERTAIN SHARES</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20" w:right="5580" w:hanging="812"/>
        <w:spacing w:after="0" w:line="516"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20" w:right="8100" w:hanging="812"/>
        <w:spacing w:after="0" w:line="528"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Securities and Exchange Commission</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Common Units, $0.10 par value.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23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include Kayne Anderson Capital Advisors, L.P. and Richard A. Kayne.</w:t>
      </w:r>
    </w:p>
    <w:p>
      <w:pPr>
        <w:spacing w:after="0" w:line="24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Kayne Anderson Capital Advisors, L.P.</w:t>
      </w:r>
    </w:p>
    <w:p>
      <w:pPr>
        <w:spacing w:after="0" w:line="256" w:lineRule="exact"/>
        <w:rPr>
          <w:rFonts w:ascii="Arial" w:cs="Arial" w:eastAsia="Arial" w:hAnsi="Arial"/>
          <w:sz w:val="18"/>
          <w:szCs w:val="18"/>
          <w:color w:val="auto"/>
        </w:rPr>
      </w:pPr>
    </w:p>
    <w:p>
      <w:pPr>
        <w:ind w:left="660"/>
        <w:spacing w:after="0" w:line="276" w:lineRule="auto"/>
        <w:rPr>
          <w:rFonts w:ascii="Arial" w:cs="Arial" w:eastAsia="Arial" w:hAnsi="Arial"/>
          <w:sz w:val="18"/>
          <w:szCs w:val="18"/>
          <w:color w:val="auto"/>
        </w:rPr>
      </w:pPr>
      <w:r>
        <w:rPr>
          <w:rFonts w:ascii="Arial" w:cs="Arial" w:eastAsia="Arial" w:hAnsi="Arial"/>
          <w:sz w:val="17"/>
          <w:szCs w:val="17"/>
          <w:color w:val="auto"/>
        </w:rPr>
        <w:t>Kayne Anderson Capital Advisors, L.P. (“KACALP”), a California limited partnership, is an investment adviser registered with the Securities and Exchange Commission under the Investment Advisers Act of 1940. It serves as sole general partner of and investment adviser to various investment partnerships holding the issuer’s Common Units. KACALP also serves as investment adviser to Kayne Anderson MLP Investment Company (“KAMIC”), Kayne Anderson Energy Total Return Fund (“KATRF”), and Kayne Anderson Energy Development Company (“KED”), publicly traded closed-end funds, and a small number of separate account clients which hold the issuer’s Common Stock.</w:t>
      </w:r>
    </w:p>
    <w:p>
      <w:pPr>
        <w:spacing w:after="0" w:line="199" w:lineRule="exact"/>
        <w:rPr>
          <w:rFonts w:ascii="Arial" w:cs="Arial" w:eastAsia="Arial" w:hAnsi="Arial"/>
          <w:sz w:val="18"/>
          <w:szCs w:val="18"/>
          <w:color w:val="auto"/>
        </w:rPr>
      </w:pPr>
    </w:p>
    <w:p>
      <w:pPr>
        <w:ind w:left="660" w:right="180"/>
        <w:spacing w:after="0" w:line="312" w:lineRule="auto"/>
        <w:rPr>
          <w:rFonts w:ascii="Arial" w:cs="Arial" w:eastAsia="Arial" w:hAnsi="Arial"/>
          <w:sz w:val="18"/>
          <w:szCs w:val="18"/>
          <w:color w:val="auto"/>
        </w:rPr>
      </w:pPr>
      <w:r>
        <w:rPr>
          <w:rFonts w:ascii="Arial" w:cs="Arial" w:eastAsia="Arial" w:hAnsi="Arial"/>
          <w:sz w:val="16"/>
          <w:szCs w:val="16"/>
          <w:color w:val="auto"/>
        </w:rPr>
        <w:t>Kayne Anderson Investment Management, Inc. (“KAIM”), a Nevada corporation, is the sole general partner of KACALP. KAIM is owned by KA Holdings, Inc. (“KA Holdings”), a California corporation, the shareholders of which are Richard A. Kayne and John E. Anderson. The principal business address of the Reporting Persons, KAIM and KA Holdings is 1800 Avenue of the Stars, Second Floor, Los Angeles, California 90067.</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Richard A. Kayne</w:t>
      </w:r>
    </w:p>
    <w:p>
      <w:pPr>
        <w:spacing w:after="0" w:line="25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Mr. Kayne, a U.S. citizen, is President, Chief Executive Officer and Director of KAIM and KA Holdings.</w:t>
      </w:r>
    </w:p>
    <w:p>
      <w:pPr>
        <w:spacing w:after="0" w:line="252" w:lineRule="exact"/>
        <w:rPr>
          <w:rFonts w:ascii="Arial" w:cs="Arial" w:eastAsia="Arial" w:hAnsi="Arial"/>
          <w:sz w:val="18"/>
          <w:szCs w:val="18"/>
          <w:color w:val="auto"/>
        </w:rPr>
      </w:pPr>
    </w:p>
    <w:p>
      <w:pPr>
        <w:ind w:left="660" w:right="60"/>
        <w:spacing w:after="0" w:line="259" w:lineRule="auto"/>
        <w:rPr>
          <w:rFonts w:ascii="Arial" w:cs="Arial" w:eastAsia="Arial" w:hAnsi="Arial"/>
          <w:sz w:val="18"/>
          <w:szCs w:val="18"/>
          <w:color w:val="auto"/>
        </w:rPr>
      </w:pPr>
      <w:r>
        <w:rPr>
          <w:rFonts w:ascii="Arial" w:cs="Arial" w:eastAsia="Arial" w:hAnsi="Arial"/>
          <w:sz w:val="18"/>
          <w:szCs w:val="18"/>
          <w:color w:val="auto"/>
        </w:rPr>
        <w:t>Mr. Kayne also serves as Co-Management Chair and Chief Executive Officer of Kayne Anderson Rudnick Investment Management, LLC, a California limited liability company (“KARIM”), and President and Director of KA Associates, Inc., a Nevada corporation (“KAA”). KARIM is a registered investment adviser. KAA is a registered broker/dealer. The principal business address of KARIM and KAA is 1800 Avenue of the Stars, Second Floor, Los Angeles, CA 90067.</w:t>
      </w: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660" w:right="440" w:hanging="652"/>
        <w:spacing w:after="0" w:line="279"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None of the Reporting Persons, KAIM or KA Holdings has been convicted in a criminal proceeding (excluding traffic violations or similar misdemeanors) in the past five years, nor has any of them been a party to a civil proceeding of a judicial or administrative body of competent jurisdiction, which resulted in a judgment, decree or final order enjoining future violations of, or prohibiting or mandating activities subject to, federal or state securities laws or finding any violation with respect to such law during the last five years.</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4" w:name="page5"/>
    <w:bookmarkEnd w:id="4"/>
    <w:p>
      <w:pPr>
        <w:ind w:left="660" w:hanging="652"/>
        <w:spacing w:after="0" w:line="273"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following additional persons are officers and/or directors of one or more of KAIM and KA Holdings. (KACALP, a limited partnership, does not have any officers or directors.) Each such person is a U.S. citizen whose address is, unless noted otherwise, 1800 Avenue of the Stars, Second Floor, Los Angeles, California 90067. None of such persons has been convicted in a criminal proceeding (excluding traffic violations or similar misdemeanors) in the past five years, nor has any of them been a party to a civil proceeding of a judicial or administrative body of competent jurisdiction, which resulted in a judgment, decree or final order enjoining future violations of, or prohibiting or mandating activities subject to, federal or state securities laws or finding any violation with respect to such law during the last five years.</w:t>
      </w:r>
    </w:p>
    <w:p>
      <w:pPr>
        <w:spacing w:after="0" w:line="201" w:lineRule="exact"/>
        <w:rPr>
          <w:sz w:val="20"/>
          <w:szCs w:val="20"/>
          <w:color w:val="auto"/>
        </w:rPr>
      </w:pPr>
    </w:p>
    <w:p>
      <w:pPr>
        <w:ind w:left="2600" w:right="120" w:hanging="1944"/>
        <w:spacing w:after="0" w:line="277" w:lineRule="auto"/>
        <w:tabs>
          <w:tab w:leader="none" w:pos="2580" w:val="left"/>
        </w:tabs>
        <w:rPr>
          <w:sz w:val="20"/>
          <w:szCs w:val="20"/>
          <w:color w:val="auto"/>
        </w:rPr>
      </w:pPr>
      <w:r>
        <w:rPr>
          <w:rFonts w:ascii="Arial" w:cs="Arial" w:eastAsia="Arial" w:hAnsi="Arial"/>
          <w:sz w:val="18"/>
          <w:szCs w:val="18"/>
          <w:b w:val="1"/>
          <w:bCs w:val="1"/>
          <w:color w:val="auto"/>
        </w:rPr>
        <w:t>John E. Anderson</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Chairman of Topa Equities, Ltd., a diversified investment company located at 1800 Avenue of the Stars, Suite 1400, Los Angeles, California 90067. Mr. Anderson is Director of KAIM and KA Holdings.</w:t>
      </w:r>
    </w:p>
    <w:p>
      <w:pPr>
        <w:spacing w:after="0" w:line="197"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b w:val="1"/>
          <w:bCs w:val="1"/>
          <w:color w:val="auto"/>
        </w:rPr>
        <w:t>Howard M. Zelikow</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Vice President and Director of KAIM</w:t>
      </w:r>
    </w:p>
    <w:p>
      <w:pPr>
        <w:spacing w:after="0" w:line="252"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b w:val="1"/>
          <w:bCs w:val="1"/>
          <w:color w:val="auto"/>
        </w:rPr>
        <w:t>Robert V. Sinnott</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President of KAIM</w:t>
      </w:r>
    </w:p>
    <w:p>
      <w:pPr>
        <w:spacing w:after="0" w:line="252"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b w:val="1"/>
          <w:bCs w:val="1"/>
          <w:color w:val="auto"/>
        </w:rPr>
        <w:t>David J. Shladovsky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General Counsel and Secretary of KAIM and KA Holdings.</w:t>
      </w:r>
    </w:p>
    <w:p>
      <w:pPr>
        <w:spacing w:after="0" w:line="252"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b w:val="1"/>
          <w:bCs w:val="1"/>
          <w:color w:val="auto"/>
        </w:rPr>
        <w:t>John F. Daley.</w:t>
      </w:r>
      <w:r>
        <w:rPr>
          <w:sz w:val="20"/>
          <w:szCs w:val="20"/>
          <w:color w:val="auto"/>
        </w:rPr>
        <w:tab/>
      </w:r>
      <w:r>
        <w:rPr>
          <w:rFonts w:ascii="Arial" w:cs="Arial" w:eastAsia="Arial" w:hAnsi="Arial"/>
          <w:sz w:val="16"/>
          <w:szCs w:val="16"/>
          <w:color w:val="auto"/>
        </w:rPr>
        <w:t>Chief Financial Officer and Treasurer of KAIM and KA Holdings.</w:t>
      </w:r>
    </w:p>
    <w:p>
      <w:pPr>
        <w:spacing w:after="0" w:line="200" w:lineRule="exact"/>
        <w:rPr>
          <w:sz w:val="20"/>
          <w:szCs w:val="20"/>
          <w:color w:val="auto"/>
        </w:rPr>
      </w:pPr>
    </w:p>
    <w:p>
      <w:pPr>
        <w:spacing w:after="0" w:line="29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00" w:lineRule="exact"/>
        <w:rPr>
          <w:sz w:val="20"/>
          <w:szCs w:val="20"/>
          <w:color w:val="auto"/>
        </w:rPr>
      </w:pPr>
    </w:p>
    <w:p>
      <w:pPr>
        <w:spacing w:after="0" w:line="29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Schedule 13D is filed for purposes of disclosing that the Reporting Persons have sold shares of Issuer’s outstanding Common Units.</w:t>
      </w:r>
    </w:p>
    <w:p>
      <w:pPr>
        <w:spacing w:after="0" w:line="200" w:lineRule="exact"/>
        <w:rPr>
          <w:sz w:val="20"/>
          <w:szCs w:val="20"/>
          <w:color w:val="auto"/>
        </w:rPr>
      </w:pPr>
    </w:p>
    <w:p>
      <w:pPr>
        <w:spacing w:after="0" w:line="29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56" w:lineRule="exact"/>
        <w:rPr>
          <w:sz w:val="20"/>
          <w:szCs w:val="20"/>
          <w:color w:val="auto"/>
        </w:rPr>
      </w:pPr>
    </w:p>
    <w:p>
      <w:pPr>
        <w:ind w:right="160" w:firstLine="8"/>
        <w:spacing w:after="0" w:line="264" w:lineRule="auto"/>
        <w:tabs>
          <w:tab w:leader="none" w:pos="7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December 3, 2008, Mr. Kayne beneficially owns 8,675,583 Common Units, or approximately 7.06% of the outstanding Common Units. Of those Common Units, KACALP, as general partner of or investment adviser to investment funds accounts, beneficially owns 8,449,418 Common Units, or approximately 6.87% of the outstanding Common Units.</w:t>
      </w:r>
    </w:p>
    <w:p>
      <w:pPr>
        <w:spacing w:after="0" w:line="208" w:lineRule="exact"/>
        <w:rPr>
          <w:rFonts w:ascii="Arial" w:cs="Arial" w:eastAsia="Arial" w:hAnsi="Arial"/>
          <w:sz w:val="18"/>
          <w:szCs w:val="18"/>
          <w:color w:val="auto"/>
        </w:rPr>
      </w:pPr>
    </w:p>
    <w:p>
      <w:pPr>
        <w:ind w:right="180" w:firstLine="8"/>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Mr. Kayne has the sole power to vote and dispose, or direct the disposition, of 226,165 Common Units, and (ii) Mr. Kayne and KACALP have the shared power to vote and dispose, or direct the disposition, of 8,675,583 Common Units.</w:t>
      </w:r>
    </w:p>
    <w:p>
      <w:pPr>
        <w:spacing w:after="0" w:line="19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Common Units over which Mr. Kayne has sole voting and dispositive power are held by him directly or by accounts for which he serves as trustee or custodian. The Common Units over which Mr. Kayne and KACALP have shared voting and dispositive power are held by accounts for which KACALP serves as general partner or investment adviser.</w:t>
      </w:r>
    </w:p>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KACALP disclaims beneficial ownership of the Common Units reported, except those Common Units attributable to it by virtue of its general partner interests in the limited partnerships holding such shares. Mr. Kayne disclaims beneficial ownership of the Common Units reported, except those Common Units held by him or attributable to him by virtue of his limited partner interests in such limited partnerships, by virtue of his indirect interest in the interest of KACALP in such limited partnerships and by his ownership of shares in KAMIC.</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5" w:name="page6"/>
    <w:bookmarkEnd w:id="5"/>
    <w:p>
      <w:pPr>
        <w:ind w:left="720" w:hanging="71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transactions in the Common Units beneficially owned by the Reporting Persons were effected in the last 60 days: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w w:val="92"/>
              </w:rPr>
              <w:t>Common Stock # of</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37"/>
        </w:trPr>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Date</w:t>
            </w:r>
          </w:p>
        </w:tc>
        <w:tc>
          <w:tcPr>
            <w:tcW w:w="34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Type</w:t>
            </w:r>
          </w:p>
        </w:tc>
        <w:tc>
          <w:tcPr>
            <w:tcW w:w="340" w:type="dxa"/>
            <w:vAlign w:val="bottom"/>
          </w:tcPr>
          <w:p>
            <w:pPr>
              <w:spacing w:after="0"/>
              <w:rPr>
                <w:sz w:val="20"/>
                <w:szCs w:val="20"/>
                <w:color w:val="auto"/>
              </w:rPr>
            </w:pPr>
          </w:p>
        </w:tc>
        <w:tc>
          <w:tcPr>
            <w:tcW w:w="14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shares</w:t>
            </w:r>
          </w:p>
        </w:tc>
        <w:tc>
          <w:tcPr>
            <w:tcW w:w="34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Stock Price</w:t>
            </w:r>
          </w:p>
        </w:tc>
        <w:tc>
          <w:tcPr>
            <w:tcW w:w="340" w:type="dxa"/>
            <w:vAlign w:val="bottom"/>
          </w:tcPr>
          <w:p>
            <w:pPr>
              <w:spacing w:after="0"/>
              <w:rPr>
                <w:sz w:val="20"/>
                <w:szCs w:val="20"/>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Where/how transaction effected</w:t>
            </w:r>
          </w:p>
        </w:tc>
      </w:tr>
      <w:tr>
        <w:trPr>
          <w:trHeight w:val="216"/>
        </w:trPr>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1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11/4/2008</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sell</w:t>
            </w:r>
          </w:p>
        </w:tc>
        <w:tc>
          <w:tcPr>
            <w:tcW w:w="18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29,330</w:t>
            </w:r>
          </w:p>
        </w:tc>
        <w:tc>
          <w:tcPr>
            <w:tcW w:w="18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8"/>
              </w:rPr>
              <w:t>41.57</w:t>
            </w:r>
          </w:p>
        </w:tc>
        <w:tc>
          <w:tcPr>
            <w:tcW w:w="3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Open Market</w:t>
            </w:r>
          </w:p>
        </w:tc>
      </w:tr>
      <w:tr>
        <w:trPr>
          <w:trHeight w:val="216"/>
        </w:trPr>
        <w:tc>
          <w:tcPr>
            <w:tcW w:w="1500" w:type="dxa"/>
            <w:vAlign w:val="bottom"/>
          </w:tcPr>
          <w:p>
            <w:pPr>
              <w:jc w:val="right"/>
              <w:ind w:right="250"/>
              <w:spacing w:after="0"/>
              <w:rPr>
                <w:sz w:val="20"/>
                <w:szCs w:val="20"/>
                <w:color w:val="auto"/>
              </w:rPr>
            </w:pPr>
            <w:r>
              <w:rPr>
                <w:rFonts w:ascii="Arial" w:cs="Arial" w:eastAsia="Arial" w:hAnsi="Arial"/>
                <w:sz w:val="18"/>
                <w:szCs w:val="18"/>
                <w:color w:val="auto"/>
              </w:rPr>
              <w:t>11/14/2008</w:t>
            </w:r>
          </w:p>
        </w:tc>
        <w:tc>
          <w:tcPr>
            <w:tcW w:w="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6"/>
              </w:rPr>
              <w:t>sell</w:t>
            </w:r>
          </w:p>
        </w:tc>
        <w:tc>
          <w:tcPr>
            <w:tcW w:w="1820" w:type="dxa"/>
            <w:vAlign w:val="bottom"/>
            <w:gridSpan w:val="2"/>
          </w:tcPr>
          <w:p>
            <w:pPr>
              <w:jc w:val="right"/>
              <w:ind w:right="370"/>
              <w:spacing w:after="0"/>
              <w:rPr>
                <w:sz w:val="20"/>
                <w:szCs w:val="20"/>
                <w:color w:val="auto"/>
              </w:rPr>
            </w:pPr>
            <w:r>
              <w:rPr>
                <w:rFonts w:ascii="Arial" w:cs="Arial" w:eastAsia="Arial" w:hAnsi="Arial"/>
                <w:sz w:val="18"/>
                <w:szCs w:val="18"/>
                <w:color w:val="auto"/>
              </w:rPr>
              <w:t>1056</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Option exercise by Issuer</w:t>
            </w:r>
          </w:p>
        </w:tc>
      </w:tr>
      <w:tr>
        <w:trPr>
          <w:trHeight w:val="216"/>
        </w:trPr>
        <w:tc>
          <w:tcPr>
            <w:tcW w:w="1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11/19/2008</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sell</w:t>
            </w:r>
          </w:p>
        </w:tc>
        <w:tc>
          <w:tcPr>
            <w:tcW w:w="18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9780</w:t>
            </w:r>
          </w:p>
        </w:tc>
        <w:tc>
          <w:tcPr>
            <w:tcW w:w="18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8"/>
              </w:rPr>
              <w:t>31.29</w:t>
            </w:r>
          </w:p>
        </w:tc>
        <w:tc>
          <w:tcPr>
            <w:tcW w:w="3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Open Market</w:t>
            </w:r>
          </w:p>
        </w:tc>
      </w:tr>
      <w:tr>
        <w:trPr>
          <w:trHeight w:val="216"/>
        </w:trPr>
        <w:tc>
          <w:tcPr>
            <w:tcW w:w="1500" w:type="dxa"/>
            <w:vAlign w:val="bottom"/>
          </w:tcPr>
          <w:p>
            <w:pPr>
              <w:jc w:val="right"/>
              <w:ind w:right="250"/>
              <w:spacing w:after="0"/>
              <w:rPr>
                <w:sz w:val="20"/>
                <w:szCs w:val="20"/>
                <w:color w:val="auto"/>
              </w:rPr>
            </w:pPr>
            <w:r>
              <w:rPr>
                <w:rFonts w:ascii="Arial" w:cs="Arial" w:eastAsia="Arial" w:hAnsi="Arial"/>
                <w:sz w:val="18"/>
                <w:szCs w:val="18"/>
                <w:color w:val="auto"/>
              </w:rPr>
              <w:t>11/20/2008</w:t>
            </w:r>
          </w:p>
        </w:tc>
        <w:tc>
          <w:tcPr>
            <w:tcW w:w="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6"/>
              </w:rPr>
              <w:t>sell</w:t>
            </w:r>
          </w:p>
        </w:tc>
        <w:tc>
          <w:tcPr>
            <w:tcW w:w="1820" w:type="dxa"/>
            <w:vAlign w:val="bottom"/>
            <w:gridSpan w:val="2"/>
          </w:tcPr>
          <w:p>
            <w:pPr>
              <w:jc w:val="right"/>
              <w:ind w:right="370"/>
              <w:spacing w:after="0"/>
              <w:rPr>
                <w:sz w:val="20"/>
                <w:szCs w:val="20"/>
                <w:color w:val="auto"/>
              </w:rPr>
            </w:pPr>
            <w:r>
              <w:rPr>
                <w:rFonts w:ascii="Arial" w:cs="Arial" w:eastAsia="Arial" w:hAnsi="Arial"/>
                <w:sz w:val="18"/>
                <w:szCs w:val="18"/>
                <w:color w:val="auto"/>
              </w:rPr>
              <w:t>2900</w:t>
            </w:r>
          </w:p>
        </w:tc>
        <w:tc>
          <w:tcPr>
            <w:tcW w:w="182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29.25</w:t>
            </w: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Open Market</w:t>
            </w:r>
          </w:p>
        </w:tc>
      </w:tr>
      <w:tr>
        <w:trPr>
          <w:trHeight w:val="216"/>
        </w:trPr>
        <w:tc>
          <w:tcPr>
            <w:tcW w:w="1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11/21/2008</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sell</w:t>
            </w:r>
          </w:p>
        </w:tc>
        <w:tc>
          <w:tcPr>
            <w:tcW w:w="18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100000</w:t>
            </w:r>
          </w:p>
        </w:tc>
        <w:tc>
          <w:tcPr>
            <w:tcW w:w="18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8"/>
              </w:rPr>
              <w:t>26.06</w:t>
            </w:r>
          </w:p>
        </w:tc>
        <w:tc>
          <w:tcPr>
            <w:tcW w:w="3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Open Market</w:t>
            </w:r>
          </w:p>
        </w:tc>
      </w:tr>
      <w:tr>
        <w:trPr>
          <w:trHeight w:val="216"/>
        </w:trPr>
        <w:tc>
          <w:tcPr>
            <w:tcW w:w="1500" w:type="dxa"/>
            <w:vAlign w:val="bottom"/>
          </w:tcPr>
          <w:p>
            <w:pPr>
              <w:jc w:val="right"/>
              <w:ind w:right="250"/>
              <w:spacing w:after="0"/>
              <w:rPr>
                <w:sz w:val="20"/>
                <w:szCs w:val="20"/>
                <w:color w:val="auto"/>
              </w:rPr>
            </w:pPr>
            <w:r>
              <w:rPr>
                <w:rFonts w:ascii="Arial" w:cs="Arial" w:eastAsia="Arial" w:hAnsi="Arial"/>
                <w:sz w:val="18"/>
                <w:szCs w:val="18"/>
                <w:color w:val="auto"/>
              </w:rPr>
              <w:t>11/21/2008</w:t>
            </w:r>
          </w:p>
        </w:tc>
        <w:tc>
          <w:tcPr>
            <w:tcW w:w="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6"/>
              </w:rPr>
              <w:t>sell</w:t>
            </w:r>
          </w:p>
        </w:tc>
        <w:tc>
          <w:tcPr>
            <w:tcW w:w="1820" w:type="dxa"/>
            <w:vAlign w:val="bottom"/>
            <w:gridSpan w:val="2"/>
          </w:tcPr>
          <w:p>
            <w:pPr>
              <w:jc w:val="right"/>
              <w:ind w:right="370"/>
              <w:spacing w:after="0"/>
              <w:rPr>
                <w:sz w:val="20"/>
                <w:szCs w:val="20"/>
                <w:color w:val="auto"/>
              </w:rPr>
            </w:pPr>
            <w:r>
              <w:rPr>
                <w:rFonts w:ascii="Arial" w:cs="Arial" w:eastAsia="Arial" w:hAnsi="Arial"/>
                <w:sz w:val="18"/>
                <w:szCs w:val="18"/>
                <w:color w:val="auto"/>
              </w:rPr>
              <w:t>50000</w:t>
            </w:r>
          </w:p>
        </w:tc>
        <w:tc>
          <w:tcPr>
            <w:tcW w:w="182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25.25</w:t>
            </w: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Open Market</w:t>
            </w:r>
          </w:p>
        </w:tc>
      </w:tr>
      <w:tr>
        <w:trPr>
          <w:trHeight w:val="216"/>
        </w:trPr>
        <w:tc>
          <w:tcPr>
            <w:tcW w:w="1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11/26/2008</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sell</w:t>
            </w:r>
          </w:p>
        </w:tc>
        <w:tc>
          <w:tcPr>
            <w:tcW w:w="18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500</w:t>
            </w:r>
          </w:p>
        </w:tc>
        <w:tc>
          <w:tcPr>
            <w:tcW w:w="18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8"/>
              </w:rPr>
              <w:t>32.43</w:t>
            </w:r>
          </w:p>
        </w:tc>
        <w:tc>
          <w:tcPr>
            <w:tcW w:w="3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Open Market</w:t>
            </w:r>
          </w:p>
        </w:tc>
      </w:tr>
      <w:tr>
        <w:trPr>
          <w:trHeight w:val="216"/>
        </w:trPr>
        <w:tc>
          <w:tcPr>
            <w:tcW w:w="1500" w:type="dxa"/>
            <w:vAlign w:val="bottom"/>
          </w:tcPr>
          <w:p>
            <w:pPr>
              <w:jc w:val="right"/>
              <w:ind w:right="250"/>
              <w:spacing w:after="0"/>
              <w:rPr>
                <w:sz w:val="20"/>
                <w:szCs w:val="20"/>
                <w:color w:val="auto"/>
              </w:rPr>
            </w:pPr>
            <w:r>
              <w:rPr>
                <w:rFonts w:ascii="Arial" w:cs="Arial" w:eastAsia="Arial" w:hAnsi="Arial"/>
                <w:sz w:val="18"/>
                <w:szCs w:val="18"/>
                <w:color w:val="auto"/>
              </w:rPr>
              <w:t>11/28/2008</w:t>
            </w:r>
          </w:p>
        </w:tc>
        <w:tc>
          <w:tcPr>
            <w:tcW w:w="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6"/>
              </w:rPr>
              <w:t>sell</w:t>
            </w:r>
          </w:p>
        </w:tc>
        <w:tc>
          <w:tcPr>
            <w:tcW w:w="1820" w:type="dxa"/>
            <w:vAlign w:val="bottom"/>
            <w:gridSpan w:val="2"/>
          </w:tcPr>
          <w:p>
            <w:pPr>
              <w:jc w:val="right"/>
              <w:ind w:right="370"/>
              <w:spacing w:after="0"/>
              <w:rPr>
                <w:sz w:val="20"/>
                <w:szCs w:val="20"/>
                <w:color w:val="auto"/>
              </w:rPr>
            </w:pPr>
            <w:r>
              <w:rPr>
                <w:rFonts w:ascii="Arial" w:cs="Arial" w:eastAsia="Arial" w:hAnsi="Arial"/>
                <w:sz w:val="18"/>
                <w:szCs w:val="18"/>
                <w:color w:val="auto"/>
              </w:rPr>
              <w:t>7300</w:t>
            </w:r>
          </w:p>
        </w:tc>
        <w:tc>
          <w:tcPr>
            <w:tcW w:w="182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34.06</w:t>
            </w:r>
          </w:p>
        </w:tc>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Open Market</w:t>
            </w:r>
          </w:p>
        </w:tc>
      </w:tr>
      <w:tr>
        <w:trPr>
          <w:trHeight w:val="216"/>
        </w:trPr>
        <w:tc>
          <w:tcPr>
            <w:tcW w:w="1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12/2/2008</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sell</w:t>
            </w:r>
          </w:p>
        </w:tc>
        <w:tc>
          <w:tcPr>
            <w:tcW w:w="18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50,000</w:t>
            </w:r>
          </w:p>
        </w:tc>
        <w:tc>
          <w:tcPr>
            <w:tcW w:w="1820" w:type="dxa"/>
            <w:vAlign w:val="bottom"/>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88"/>
              </w:rPr>
              <w:t>32.36</w:t>
            </w:r>
          </w:p>
        </w:tc>
        <w:tc>
          <w:tcPr>
            <w:tcW w:w="34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Open Market</w:t>
            </w:r>
          </w:p>
        </w:tc>
      </w:tr>
      <w:tr>
        <w:trPr>
          <w:trHeight w:val="230"/>
        </w:trPr>
        <w:tc>
          <w:tcPr>
            <w:tcW w:w="1500" w:type="dxa"/>
            <w:vAlign w:val="bottom"/>
          </w:tcPr>
          <w:p>
            <w:pPr>
              <w:jc w:val="right"/>
              <w:ind w:right="250"/>
              <w:spacing w:after="0"/>
              <w:rPr>
                <w:sz w:val="20"/>
                <w:szCs w:val="20"/>
                <w:color w:val="auto"/>
              </w:rPr>
            </w:pPr>
            <w:r>
              <w:rPr>
                <w:rFonts w:ascii="Arial" w:cs="Arial" w:eastAsia="Arial" w:hAnsi="Arial"/>
                <w:sz w:val="18"/>
                <w:szCs w:val="18"/>
                <w:color w:val="auto"/>
              </w:rPr>
              <w:t>12/3/2008</w:t>
            </w:r>
          </w:p>
        </w:tc>
        <w:tc>
          <w:tcPr>
            <w:tcW w:w="3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6"/>
              </w:rPr>
              <w:t>sell</w:t>
            </w:r>
          </w:p>
        </w:tc>
        <w:tc>
          <w:tcPr>
            <w:tcW w:w="1820" w:type="dxa"/>
            <w:vAlign w:val="bottom"/>
            <w:gridSpan w:val="2"/>
          </w:tcPr>
          <w:p>
            <w:pPr>
              <w:jc w:val="right"/>
              <w:ind w:right="370"/>
              <w:spacing w:after="0"/>
              <w:rPr>
                <w:sz w:val="20"/>
                <w:szCs w:val="20"/>
                <w:color w:val="auto"/>
              </w:rPr>
            </w:pPr>
            <w:r>
              <w:rPr>
                <w:rFonts w:ascii="Arial" w:cs="Arial" w:eastAsia="Arial" w:hAnsi="Arial"/>
                <w:sz w:val="18"/>
                <w:szCs w:val="18"/>
                <w:color w:val="auto"/>
              </w:rPr>
              <w:t>50,000</w:t>
            </w:r>
          </w:p>
        </w:tc>
        <w:tc>
          <w:tcPr>
            <w:tcW w:w="182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32.11</w:t>
            </w:r>
          </w:p>
        </w:tc>
        <w:tc>
          <w:tcPr>
            <w:tcW w:w="34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Open Market</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 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 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00" w:lineRule="exact"/>
        <w:rPr>
          <w:sz w:val="20"/>
          <w:szCs w:val="20"/>
          <w:color w:val="auto"/>
        </w:rPr>
      </w:pPr>
    </w:p>
    <w:p>
      <w:pPr>
        <w:spacing w:after="0" w:line="29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18"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December 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Richard A. Kayne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KAYNE ANDERSON CAPITAL ADVISORS,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rPr>
              <w:t>Kayne Anderson Investment Management, Inc.</w:t>
            </w:r>
          </w:p>
        </w:tc>
      </w:tr>
      <w:tr>
        <w:trPr>
          <w:trHeight w:val="655"/>
        </w:trPr>
        <w:tc>
          <w:tcPr>
            <w:tcW w:w="540" w:type="dxa"/>
            <w:vAlign w:val="bottom"/>
          </w:tcPr>
          <w:p>
            <w:pPr>
              <w:spacing w:after="0"/>
              <w:rPr>
                <w:sz w:val="24"/>
                <w:szCs w:val="24"/>
                <w:color w:val="auto"/>
              </w:rPr>
            </w:pPr>
          </w:p>
        </w:tc>
        <w:tc>
          <w:tcPr>
            <w:tcW w:w="840" w:type="dxa"/>
            <w:vAlign w:val="bottom"/>
          </w:tcPr>
          <w:p>
            <w:pPr>
              <w:ind w:left="280"/>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J. Shladovsky</w:t>
            </w:r>
          </w:p>
        </w:tc>
      </w:tr>
      <w:tr>
        <w:trPr>
          <w:trHeight w:val="230"/>
        </w:trPr>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David J. Shladovsky, Secretary</w:t>
            </w:r>
          </w:p>
        </w:tc>
      </w:tr>
    </w:tbl>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ind w:left="3240"/>
        <w:spacing w:after="0"/>
        <w:rPr>
          <w:sz w:val="20"/>
          <w:szCs w:val="20"/>
          <w:color w:val="auto"/>
        </w:rPr>
      </w:pPr>
      <w:r>
        <w:rPr>
          <w:rFonts w:ascii="Arial" w:cs="Arial" w:eastAsia="Arial" w:hAnsi="Arial"/>
          <w:sz w:val="18"/>
          <w:szCs w:val="18"/>
          <w:u w:val="single" w:color="auto"/>
          <w:color w:val="auto"/>
        </w:rPr>
        <w:t>JOINT FILING AGREEMENT PURSUANT TO RULE 13d-1(f)(1)</w:t>
      </w:r>
    </w:p>
    <w:p>
      <w:pPr>
        <w:spacing w:after="0" w:line="200" w:lineRule="exact"/>
        <w:rPr>
          <w:sz w:val="20"/>
          <w:szCs w:val="20"/>
          <w:color w:val="auto"/>
        </w:rPr>
      </w:pPr>
    </w:p>
    <w:p>
      <w:pPr>
        <w:spacing w:after="0" w:line="29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This agreement is made pursuant to Rule 13d-1(f)(1) under the Securities Exchange Act of 1934 (the "Act") by and between the parties listed below, each referred to herein as a "Joint Filer." The Joint Filers agree that a statement of beneficial ownership as required by Section 13(d) of the Act and the Rules thereunder may be filed on each of their behalf on Schedule 13D or Schedule 13G, as appropriate, and that said joint filing may thereafter be amended by further joint filings. The Joint Filers state that they each satisfy the requirements for making a joint filing under Rule 13d-1.</w:t>
      </w:r>
    </w:p>
    <w:p>
      <w:pPr>
        <w:spacing w:after="0" w:line="200" w:lineRule="exact"/>
        <w:rPr>
          <w:sz w:val="20"/>
          <w:szCs w:val="20"/>
          <w:color w:val="auto"/>
        </w:rPr>
      </w:pPr>
    </w:p>
    <w:p>
      <w:pPr>
        <w:spacing w:after="0" w:line="22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31127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1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Richard A. Kayne</w:t>
      </w:r>
    </w:p>
    <w:p>
      <w:pPr>
        <w:spacing w:after="0" w:line="200" w:lineRule="exact"/>
        <w:rPr>
          <w:sz w:val="20"/>
          <w:szCs w:val="20"/>
          <w:color w:val="auto"/>
        </w:rPr>
      </w:pPr>
    </w:p>
    <w:p>
      <w:pPr>
        <w:spacing w:after="0" w:line="24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 David J.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31127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1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Kayne Anderson Capital Advisors, L.P., by</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David J. Shladovsky, Secretary of</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Kayne Anderson Investment Management, Inc.,</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77"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080"/>
      </w:cols>
      <w:pgMar w:left="240" w:top="51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4"/>
      <w:numFmt w:val="bullet"/>
      <w:start w:val="1"/>
    </w:lvl>
  </w:abstractNum>
  <w:abstractNum w:abstractNumId="3">
    <w:nsid w:val="1F16E9E8"/>
    <w:multiLevelType w:val="hybridMultilevel"/>
    <w:lvl w:ilvl="0">
      <w:lvlJc w:val="left"/>
      <w:lvlText w:val="6"/>
      <w:numFmt w:val="bullet"/>
      <w:start w:val="1"/>
    </w:lvl>
  </w:abstractNum>
  <w:abstractNum w:abstractNumId="4">
    <w:nsid w:val="1190CDE7"/>
    <w:multiLevelType w:val="hybridMultilevel"/>
    <w:lvl w:ilvl="0">
      <w:lvlJc w:val="left"/>
      <w:lvlText w:val="%1"/>
      <w:numFmt w:val="decimal"/>
      <w:start w:val="11"/>
    </w:lvl>
  </w:abstractNum>
  <w:abstractNum w:abstractNumId="5">
    <w:nsid w:val="66EF438D"/>
    <w:multiLevelType w:val="hybridMultilevel"/>
    <w:lvl w:ilvl="0">
      <w:lvlJc w:val="left"/>
      <w:lvlText w:val="%1"/>
      <w:numFmt w:val="decimal"/>
      <w:start w:val="13"/>
    </w:lvl>
  </w:abstractNum>
  <w:abstractNum w:abstractNumId="6">
    <w:nsid w:val="140E0F76"/>
    <w:multiLevelType w:val="hybridMultilevel"/>
    <w:lvl w:ilvl="0">
      <w:lvlJc w:val="left"/>
      <w:lvlText w:val="%1"/>
      <w:numFmt w:val="decimal"/>
      <w:start w:val="12"/>
    </w:lvl>
  </w:abstractNum>
  <w:abstractNum w:abstractNumId="7">
    <w:nsid w:val="3352255A"/>
    <w:multiLevelType w:val="hybridMultilevel"/>
    <w:lvl w:ilvl="0">
      <w:lvlJc w:val="left"/>
      <w:lvlText w:val="1"/>
      <w:numFmt w:val="bullet"/>
      <w:start w:val="1"/>
    </w:lvl>
  </w:abstractNum>
  <w:abstractNum w:abstractNumId="8">
    <w:nsid w:val="109CF92E"/>
    <w:multiLevelType w:val="hybridMultilevel"/>
    <w:lvl w:ilvl="0">
      <w:lvlJc w:val="left"/>
      <w:lvlText w:val="3"/>
      <w:numFmt w:val="bullet"/>
      <w:start w:val="1"/>
    </w:lvl>
  </w:abstractNum>
  <w:abstractNum w:abstractNumId="9">
    <w:nsid w:val="DED7263"/>
    <w:multiLevelType w:val="hybridMultilevel"/>
    <w:lvl w:ilvl="0">
      <w:lvlJc w:val="left"/>
      <w:lvlText w:val="4"/>
      <w:numFmt w:val="bullet"/>
      <w:start w:val="1"/>
    </w:lvl>
  </w:abstractNum>
  <w:abstractNum w:abstractNumId="10">
    <w:nsid w:val="7FDCC233"/>
    <w:multiLevelType w:val="hybridMultilevel"/>
    <w:lvl w:ilvl="0">
      <w:lvlJc w:val="left"/>
      <w:lvlText w:val="6"/>
      <w:numFmt w:val="bullet"/>
      <w:start w:val="1"/>
    </w:lvl>
  </w:abstractNum>
  <w:abstractNum w:abstractNumId="11">
    <w:nsid w:val="1BEFD79F"/>
    <w:multiLevelType w:val="hybridMultilevel"/>
    <w:lvl w:ilvl="0">
      <w:lvlJc w:val="left"/>
      <w:lvlText w:val="%1"/>
      <w:numFmt w:val="decimal"/>
      <w:start w:val="11"/>
    </w:lvl>
  </w:abstractNum>
  <w:abstractNum w:abstractNumId="12">
    <w:nsid w:val="41A7C4C9"/>
    <w:multiLevelType w:val="hybridMultilevel"/>
    <w:lvl w:ilvl="0">
      <w:lvlJc w:val="left"/>
      <w:lvlText w:val="%1"/>
      <w:numFmt w:val="decimal"/>
      <w:start w:val="13"/>
    </w:lvl>
  </w:abstractNum>
  <w:abstractNum w:abstractNumId="13">
    <w:nsid w:val="6B68079A"/>
    <w:multiLevelType w:val="hybridMultilevel"/>
    <w:lvl w:ilvl="0">
      <w:lvlJc w:val="left"/>
      <w:lvlText w:val="%1"/>
      <w:numFmt w:val="decimal"/>
      <w:start w:val="12"/>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4"/>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2019-12-17T03:47:16Z</dcterms:created>
  <dcterms:modified xsi:type="dcterms:W3CDTF">2019-12-17T03:47:16Z</dcterms:modified>
</cp:coreProperties>
</file>