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7"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1-14569</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PLAINS ALL AMERICAN PIPELINE, L.P.</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300" w:type="dxa"/>
        <w:tblCellMar>
          <w:top w:w="0" w:type="dxa"/>
          <w:left w:w="0" w:type="dxa"/>
          <w:bottom w:w="0" w:type="dxa"/>
          <w:right w:w="0" w:type="dxa"/>
        </w:tblCellMar>
      </w:tblPr>
      <w:tr>
        <w:trPr>
          <w:trHeight w:val="186"/>
        </w:trPr>
        <w:tc>
          <w:tcPr>
            <w:tcW w:w="5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Delaware</w:t>
            </w:r>
          </w:p>
        </w:tc>
        <w:tc>
          <w:tcPr>
            <w:tcW w:w="5180" w:type="dxa"/>
            <w:vAlign w:val="bottom"/>
          </w:tcPr>
          <w:p>
            <w:pPr>
              <w:jc w:val="right"/>
              <w:ind w:right="2171"/>
              <w:spacing w:after="0"/>
              <w:rPr>
                <w:sz w:val="20"/>
                <w:szCs w:val="20"/>
                <w:color w:val="auto"/>
              </w:rPr>
            </w:pPr>
            <w:r>
              <w:rPr>
                <w:rFonts w:ascii="Arial" w:cs="Arial" w:eastAsia="Arial" w:hAnsi="Arial"/>
                <w:sz w:val="14"/>
                <w:szCs w:val="14"/>
                <w:b w:val="1"/>
                <w:bCs w:val="1"/>
                <w:color w:val="auto"/>
              </w:rPr>
              <w:t>76-0582150</w:t>
            </w:r>
          </w:p>
        </w:tc>
      </w:tr>
      <w:tr>
        <w:trPr>
          <w:trHeight w:val="270"/>
        </w:trPr>
        <w:tc>
          <w:tcPr>
            <w:tcW w:w="564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(State or other jurisdiction of</w:t>
            </w:r>
          </w:p>
        </w:tc>
        <w:tc>
          <w:tcPr>
            <w:tcW w:w="5180" w:type="dxa"/>
            <w:vAlign w:val="bottom"/>
          </w:tcPr>
          <w:p>
            <w:pPr>
              <w:jc w:val="center"/>
              <w:spacing w:after="0"/>
              <w:rPr>
                <w:sz w:val="20"/>
                <w:szCs w:val="20"/>
                <w:color w:val="auto"/>
              </w:rPr>
            </w:pPr>
            <w:r>
              <w:rPr>
                <w:rFonts w:ascii="Arial" w:cs="Arial" w:eastAsia="Arial" w:hAnsi="Arial"/>
                <w:sz w:val="14"/>
                <w:szCs w:val="14"/>
                <w:color w:val="auto"/>
                <w:w w:val="95"/>
              </w:rPr>
              <w:t>(I.R.S. Employer</w:t>
            </w:r>
          </w:p>
        </w:tc>
      </w:tr>
      <w:tr>
        <w:trPr>
          <w:trHeight w:val="270"/>
        </w:trPr>
        <w:tc>
          <w:tcPr>
            <w:tcW w:w="564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incorporation or organization)</w:t>
            </w:r>
          </w:p>
        </w:tc>
        <w:tc>
          <w:tcPr>
            <w:tcW w:w="518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05"/>
        </w:trPr>
        <w:tc>
          <w:tcPr>
            <w:tcW w:w="5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5180" w:type="dxa"/>
            <w:vAlign w:val="bottom"/>
          </w:tcPr>
          <w:p>
            <w:pPr>
              <w:jc w:val="right"/>
              <w:ind w:right="2351"/>
              <w:spacing w:after="0"/>
              <w:rPr>
                <w:sz w:val="20"/>
                <w:szCs w:val="20"/>
                <w:color w:val="auto"/>
              </w:rPr>
            </w:pPr>
            <w:r>
              <w:rPr>
                <w:rFonts w:ascii="Arial" w:cs="Arial" w:eastAsia="Arial" w:hAnsi="Arial"/>
                <w:sz w:val="14"/>
                <w:szCs w:val="14"/>
                <w:b w:val="1"/>
                <w:bCs w:val="1"/>
                <w:color w:val="auto"/>
              </w:rPr>
              <w:t>77002</w:t>
            </w:r>
          </w:p>
        </w:tc>
      </w:tr>
      <w:tr>
        <w:trPr>
          <w:trHeight w:val="270"/>
        </w:trPr>
        <w:tc>
          <w:tcPr>
            <w:tcW w:w="564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4"/>
                <w:szCs w:val="14"/>
                <w:color w:val="auto"/>
                <w:w w:val="93"/>
              </w:rPr>
              <w:t>(Zip Code)</w:t>
            </w:r>
          </w:p>
        </w:tc>
      </w:tr>
      <w:tr>
        <w:trPr>
          <w:trHeight w:val="365"/>
        </w:trPr>
        <w:tc>
          <w:tcPr>
            <w:tcW w:w="10820" w:type="dxa"/>
            <w:vAlign w:val="bottom"/>
            <w:gridSpan w:val="3"/>
          </w:tcPr>
          <w:p>
            <w:pPr>
              <w:ind w:left="34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tc>
      </w:tr>
      <w:tr>
        <w:trPr>
          <w:trHeight w:val="284"/>
        </w:trPr>
        <w:tc>
          <w:tcPr>
            <w:tcW w:w="5640" w:type="dxa"/>
            <w:vAlign w:val="bottom"/>
            <w:gridSpan w:val="2"/>
          </w:tcPr>
          <w:p>
            <w:pPr>
              <w:ind w:left="40"/>
              <w:spacing w:after="0"/>
              <w:rPr>
                <w:sz w:val="20"/>
                <w:szCs w:val="20"/>
                <w:color w:val="auto"/>
              </w:rPr>
            </w:pPr>
            <w:r>
              <w:rPr>
                <w:rFonts w:ascii="Arial" w:cs="Arial" w:eastAsia="Arial" w:hAnsi="Arial"/>
                <w:sz w:val="14"/>
                <w:szCs w:val="14"/>
                <w:color w:val="auto"/>
              </w:rPr>
              <w:t>Securities registered pursuant to Section 12(b) of the Act:</w:t>
            </w:r>
          </w:p>
        </w:tc>
        <w:tc>
          <w:tcPr>
            <w:tcW w:w="5180" w:type="dxa"/>
            <w:vAlign w:val="bottom"/>
          </w:tcPr>
          <w:p>
            <w:pPr>
              <w:spacing w:after="0"/>
              <w:rPr>
                <w:sz w:val="24"/>
                <w:szCs w:val="24"/>
                <w:color w:val="auto"/>
              </w:rPr>
            </w:pPr>
          </w:p>
        </w:tc>
      </w:tr>
      <w:tr>
        <w:trPr>
          <w:trHeight w:val="382"/>
        </w:trPr>
        <w:tc>
          <w:tcPr>
            <w:tcW w:w="56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7"/>
              </w:rPr>
              <w:t>Title of Each Class</w:t>
            </w:r>
          </w:p>
        </w:tc>
        <w:tc>
          <w:tcPr>
            <w:tcW w:w="5180" w:type="dxa"/>
            <w:vAlign w:val="bottom"/>
          </w:tcPr>
          <w:p>
            <w:pPr>
              <w:jc w:val="center"/>
              <w:spacing w:after="0"/>
              <w:rPr>
                <w:sz w:val="20"/>
                <w:szCs w:val="20"/>
                <w:color w:val="auto"/>
              </w:rPr>
            </w:pPr>
            <w:r>
              <w:rPr>
                <w:rFonts w:ascii="Arial" w:cs="Arial" w:eastAsia="Arial" w:hAnsi="Arial"/>
                <w:sz w:val="11"/>
                <w:szCs w:val="11"/>
                <w:b w:val="1"/>
                <w:bCs w:val="1"/>
                <w:color w:val="auto"/>
                <w:w w:val="87"/>
              </w:rPr>
              <w:t>Name of Each Exchange on Which Registered</w:t>
            </w: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564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Common Units</w:t>
            </w:r>
          </w:p>
        </w:tc>
        <w:tc>
          <w:tcPr>
            <w:tcW w:w="518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16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2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w:t>
      </w:r>
    </w:p>
    <w:p>
      <w:pPr>
        <w:spacing w:after="0" w:line="1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 x</w:t>
      </w:r>
    </w:p>
    <w:p>
      <w:pPr>
        <w:spacing w:after="0" w:line="123"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79"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9"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120" w:lineRule="exact"/>
        <w:rPr>
          <w:sz w:val="24"/>
          <w:szCs w:val="24"/>
          <w:color w:val="auto"/>
        </w:rPr>
      </w:pPr>
    </w:p>
    <w:p>
      <w:pPr>
        <w:ind w:left="218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175" w:lineRule="exact"/>
        <w:rPr>
          <w:sz w:val="24"/>
          <w:szCs w:val="24"/>
          <w:color w:val="auto"/>
        </w:rPr>
      </w:pPr>
    </w:p>
    <w:p>
      <w:pPr>
        <w:sectPr>
          <w:pgSz w:w="11900" w:h="16838" w:orient="portrait"/>
          <w:cols w:equalWidth="0" w:num="2">
            <w:col w:w="7260" w:space="720"/>
            <w:col w:w="3380"/>
          </w:cols>
          <w:pgMar w:left="240" w:top="233" w:right="299" w:bottom="1440" w:gutter="0" w:footer="0" w:header="0"/>
          <w:type w:val="continuous"/>
        </w:sectPr>
      </w:pPr>
    </w:p>
    <w:p>
      <w:pPr>
        <w:ind w:left="220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2">
            <w:col w:w="6920" w:space="720"/>
            <w:col w:w="3720"/>
          </w:cols>
          <w:pgMar w:left="240" w:top="233" w:right="299" w:bottom="1440" w:gutter="0" w:footer="0" w:header="0"/>
          <w:type w:val="continuous"/>
        </w:sectPr>
      </w:pPr>
    </w:p>
    <w:p>
      <w:pPr>
        <w:ind w:left="156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360"/>
          </w:cols>
          <w:pgMar w:left="240" w:top="233" w:right="299" w:bottom="1440" w:gutter="0" w:footer="0" w:header="0"/>
          <w:type w:val="continuous"/>
        </w:sectPr>
      </w:pPr>
    </w:p>
    <w:p>
      <w:pPr>
        <w:spacing w:after="0" w:line="14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23" w:lineRule="exact"/>
        <w:rPr>
          <w:sz w:val="24"/>
          <w:szCs w:val="24"/>
          <w:color w:val="auto"/>
        </w:rPr>
      </w:pPr>
    </w:p>
    <w:p>
      <w:pPr>
        <w:ind w:firstLine="324"/>
        <w:spacing w:after="0" w:line="257" w:lineRule="auto"/>
        <w:rPr>
          <w:sz w:val="20"/>
          <w:szCs w:val="20"/>
          <w:color w:val="auto"/>
        </w:rPr>
      </w:pPr>
      <w:r>
        <w:rPr>
          <w:rFonts w:ascii="Arial" w:cs="Arial" w:eastAsia="Arial" w:hAnsi="Arial"/>
          <w:sz w:val="14"/>
          <w:szCs w:val="14"/>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$10.8 billion on June 30, 2016, based on a closing price of $27.49 per Common Unit as reported on the New York Stock Exchange on such date.</w:t>
      </w:r>
    </w:p>
    <w:p>
      <w:pPr>
        <w:spacing w:after="0" w:line="9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10, 2017, there were 675,097,184 Common Units outstanding.</w:t>
      </w:r>
    </w:p>
    <w:p>
      <w:pPr>
        <w:spacing w:after="0" w:line="11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10-K—2016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2"/>
          </w:tcPr>
          <w:p>
            <w:pPr>
              <w:jc w:val="center"/>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920" w:type="dxa"/>
            <w:vAlign w:val="bottom"/>
            <w:gridSpan w:val="10"/>
          </w:tcPr>
          <w:p>
            <w:pPr>
              <w:spacing w:after="0"/>
              <w:rPr>
                <w:sz w:val="16"/>
                <w:szCs w:val="16"/>
                <w:color w:val="auto"/>
              </w:rPr>
            </w:pPr>
          </w:p>
        </w:tc>
        <w:tc>
          <w:tcPr>
            <w:tcW w:w="1480" w:type="dxa"/>
            <w:vAlign w:val="bottom"/>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588"/>
        </w:trPr>
        <w:tc>
          <w:tcPr>
            <w:tcW w:w="1020" w:type="dxa"/>
            <w:vAlign w:val="bottom"/>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Items 1 and 2.</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 and Properties</w:t>
              </w:r>
            </w:hyperlink>
          </w:p>
        </w:tc>
        <w:tc>
          <w:tcPr>
            <w:tcW w:w="148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1A.</w:t>
              </w:r>
            </w:hyperlink>
          </w:p>
        </w:tc>
        <w:tc>
          <w:tcPr>
            <w:tcW w:w="3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700" w:type="dxa"/>
            <w:vAlign w:val="bottom"/>
            <w:gridSpan w:val="22"/>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1B.</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gridSpan w:val="2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Unresolved Staff Comments</w:t>
              </w:r>
            </w:hyperlink>
          </w:p>
        </w:tc>
        <w:tc>
          <w:tcPr>
            <w:tcW w:w="1480" w:type="dxa"/>
            <w:vAlign w:val="bottom"/>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3.</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6380" w:type="dxa"/>
            <w:vAlign w:val="bottom"/>
            <w:gridSpan w:val="19"/>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w:t>
              </w:r>
            </w:hyperlink>
          </w:p>
        </w:tc>
        <w:tc>
          <w:tcPr>
            <w:tcW w:w="8660" w:type="dxa"/>
            <w:vAlign w:val="bottom"/>
            <w:gridSpan w:val="28"/>
          </w:tcPr>
          <w:p>
            <w:pPr>
              <w:ind w:left="240"/>
              <w:spacing w:after="0"/>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1480" w:type="dxa"/>
            <w:vAlign w:val="bottom"/>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3900"/>
              <w:spacing w:after="0"/>
              <w:rPr>
                <w:rFonts w:ascii="Arial" w:cs="Arial" w:eastAsia="Arial" w:hAnsi="Arial"/>
                <w:sz w:val="18"/>
                <w:szCs w:val="18"/>
                <w:b w:val="1"/>
                <w:bCs w:val="1"/>
                <w:color w:val="0000EE"/>
                <w:w w:val="99"/>
              </w:rPr>
            </w:pPr>
            <w:hyperlink w:anchor="page70">
              <w:r>
                <w:rPr>
                  <w:rFonts w:ascii="Arial" w:cs="Arial" w:eastAsia="Arial" w:hAnsi="Arial"/>
                  <w:sz w:val="18"/>
                  <w:szCs w:val="18"/>
                  <w:b w:val="1"/>
                  <w:bCs w:val="1"/>
                  <w:color w:val="0000EE"/>
                  <w:w w:val="99"/>
                </w:rPr>
                <w:t>PART II</w:t>
              </w:r>
            </w:hyperlink>
          </w:p>
        </w:tc>
        <w:tc>
          <w:tcPr>
            <w:tcW w:w="148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74"/>
        </w:trPr>
        <w:tc>
          <w:tcPr>
            <w:tcW w:w="124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5.</w:t>
              </w:r>
            </w:hyperlink>
          </w:p>
        </w:tc>
        <w:tc>
          <w:tcPr>
            <w:tcW w:w="8660" w:type="dxa"/>
            <w:vAlign w:val="bottom"/>
            <w:gridSpan w:val="28"/>
          </w:tcPr>
          <w:p>
            <w:pPr>
              <w:ind w:left="240"/>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Market for Registrant’s Common Units, Related Unitholder Matters and Issuer Purchases of Equity Securities</w:t>
              </w:r>
            </w:hyperlink>
          </w:p>
        </w:tc>
        <w:tc>
          <w:tcPr>
            <w:tcW w:w="148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6.</w:t>
              </w:r>
            </w:hyperlink>
          </w:p>
        </w:tc>
        <w:tc>
          <w:tcPr>
            <w:tcW w:w="8660" w:type="dxa"/>
            <w:vAlign w:val="bottom"/>
            <w:gridSpan w:val="28"/>
          </w:tcPr>
          <w:p>
            <w:pPr>
              <w:ind w:left="240"/>
              <w:spacing w:after="0"/>
              <w:rPr>
                <w:rFonts w:ascii="Arial" w:cs="Arial" w:eastAsia="Arial" w:hAnsi="Arial"/>
                <w:sz w:val="18"/>
                <w:szCs w:val="18"/>
                <w:color w:val="0000EE"/>
              </w:rPr>
            </w:pPr>
            <w:hyperlink w:anchor="page71">
              <w:r>
                <w:rPr>
                  <w:rFonts w:ascii="Arial" w:cs="Arial" w:eastAsia="Arial" w:hAnsi="Arial"/>
                  <w:sz w:val="18"/>
                  <w:szCs w:val="18"/>
                  <w:color w:val="0000EE"/>
                </w:rPr>
                <w:t>Selected Financial Data</w:t>
              </w:r>
            </w:hyperlink>
          </w:p>
        </w:tc>
        <w:tc>
          <w:tcPr>
            <w:tcW w:w="148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7.</w:t>
              </w:r>
            </w:hyperlink>
          </w:p>
        </w:tc>
        <w:tc>
          <w:tcPr>
            <w:tcW w:w="8660" w:type="dxa"/>
            <w:vAlign w:val="bottom"/>
            <w:gridSpan w:val="28"/>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7A.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Quantitative and Qualitative Disclosures About Market Risk</w:t>
              </w:r>
            </w:hyperlink>
          </w:p>
        </w:tc>
        <w:tc>
          <w:tcPr>
            <w:tcW w:w="4060" w:type="dxa"/>
            <w:vAlign w:val="bottom"/>
            <w:gridSpan w:val="11"/>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104</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8.</w:t>
              </w:r>
            </w:hyperlink>
          </w:p>
        </w:tc>
        <w:tc>
          <w:tcPr>
            <w:tcW w:w="8660" w:type="dxa"/>
            <w:vAlign w:val="bottom"/>
            <w:gridSpan w:val="28"/>
          </w:tcPr>
          <w:p>
            <w:pPr>
              <w:ind w:left="240"/>
              <w:spacing w:after="0"/>
              <w:rPr>
                <w:rFonts w:ascii="Arial" w:cs="Arial" w:eastAsia="Arial" w:hAnsi="Arial"/>
                <w:sz w:val="18"/>
                <w:szCs w:val="18"/>
                <w:color w:val="0000EE"/>
              </w:rPr>
            </w:pPr>
            <w:hyperlink w:anchor="page106">
              <w:r>
                <w:rPr>
                  <w:rFonts w:ascii="Arial" w:cs="Arial" w:eastAsia="Arial" w:hAnsi="Arial"/>
                  <w:sz w:val="18"/>
                  <w:szCs w:val="18"/>
                  <w:color w:val="0000EE"/>
                </w:rPr>
                <w:t>Financial Statements and Supplementary Data</w:t>
              </w:r>
            </w:hyperlink>
          </w:p>
        </w:tc>
        <w:tc>
          <w:tcPr>
            <w:tcW w:w="1480" w:type="dxa"/>
            <w:vAlign w:val="bottom"/>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9.</w:t>
              </w:r>
            </w:hyperlink>
          </w:p>
        </w:tc>
        <w:tc>
          <w:tcPr>
            <w:tcW w:w="8660" w:type="dxa"/>
            <w:vAlign w:val="bottom"/>
            <w:gridSpan w:val="28"/>
          </w:tcPr>
          <w:p>
            <w:pPr>
              <w:ind w:left="240"/>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1480" w:type="dxa"/>
            <w:vAlign w:val="bottom"/>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Item 9A.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Controls and Procedures</w:t>
              </w:r>
            </w:hyperlink>
          </w:p>
        </w:tc>
        <w:tc>
          <w:tcPr>
            <w:tcW w:w="6640" w:type="dxa"/>
            <w:vAlign w:val="bottom"/>
            <w:gridSpan w:val="21"/>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9B.</w:t>
              </w:r>
            </w:hyperlink>
          </w:p>
        </w:tc>
        <w:tc>
          <w:tcPr>
            <w:tcW w:w="8660" w:type="dxa"/>
            <w:vAlign w:val="bottom"/>
            <w:gridSpan w:val="28"/>
          </w:tcPr>
          <w:p>
            <w:pPr>
              <w:ind w:left="240"/>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1480" w:type="dxa"/>
            <w:vAlign w:val="bottom"/>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III</w:t>
              </w:r>
            </w:hyperlink>
          </w:p>
        </w:tc>
        <w:tc>
          <w:tcPr>
            <w:tcW w:w="384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10.</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Directors and Executive Officers of Our General Partner and Corporate Governance</w:t>
              </w:r>
            </w:hyperlink>
          </w:p>
        </w:tc>
        <w:tc>
          <w:tcPr>
            <w:tcW w:w="236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Item 11.</w:t>
              </w:r>
            </w:hyperlink>
          </w:p>
        </w:tc>
        <w:tc>
          <w:tcPr>
            <w:tcW w:w="8660" w:type="dxa"/>
            <w:vAlign w:val="bottom"/>
            <w:gridSpan w:val="28"/>
          </w:tcPr>
          <w:p>
            <w:pPr>
              <w:ind w:left="240"/>
              <w:spacing w:after="0"/>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1480" w:type="dxa"/>
            <w:vAlign w:val="bottom"/>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121</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Item 12.</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gridSpan w:val="27"/>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Security Ownership of Certain Beneficial Owners and Management and Related Unitholder Matters</w:t>
              </w:r>
            </w:hyperlink>
          </w:p>
        </w:tc>
        <w:tc>
          <w:tcPr>
            <w:tcW w:w="1480" w:type="dxa"/>
            <w:vAlign w:val="bottom"/>
          </w:tcPr>
          <w:p>
            <w:pPr>
              <w:jc w:val="right"/>
              <w:spacing w:after="0"/>
              <w:rPr>
                <w:rFonts w:ascii="Arial" w:cs="Arial" w:eastAsia="Arial" w:hAnsi="Arial"/>
                <w:sz w:val="18"/>
                <w:szCs w:val="18"/>
                <w:color w:val="0000EE"/>
              </w:rPr>
            </w:pPr>
            <w:hyperlink w:anchor="page141">
              <w:r>
                <w:rPr>
                  <w:rFonts w:ascii="Arial" w:cs="Arial" w:eastAsia="Arial" w:hAnsi="Arial"/>
                  <w:sz w:val="18"/>
                  <w:szCs w:val="18"/>
                  <w:color w:val="0000EE"/>
                </w:rPr>
                <w:t>141</w:t>
              </w:r>
            </w:hyperlink>
          </w:p>
        </w:tc>
      </w:tr>
      <w:tr>
        <w:trPr>
          <w:trHeight w:val="250"/>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Item 13.</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Certain Relationships and Related Transactions, and Director Independence</w:t>
              </w:r>
            </w:hyperlink>
          </w:p>
        </w:tc>
        <w:tc>
          <w:tcPr>
            <w:tcW w:w="1740" w:type="dxa"/>
            <w:vAlign w:val="bottom"/>
            <w:tcBorders>
              <w:top w:val="single" w:sz="8" w:color="0000EE"/>
            </w:tcBorders>
            <w:gridSpan w:val="4"/>
          </w:tcPr>
          <w:p>
            <w:pPr>
              <w:spacing w:after="0"/>
              <w:rPr>
                <w:sz w:val="21"/>
                <w:szCs w:val="21"/>
                <w:color w:val="auto"/>
              </w:rPr>
            </w:pPr>
          </w:p>
        </w:tc>
        <w:tc>
          <w:tcPr>
            <w:tcW w:w="1220" w:type="dxa"/>
            <w:vAlign w:val="bottom"/>
            <w:gridSpan w:val="2"/>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45">
              <w:r>
                <w:rPr>
                  <w:rFonts w:ascii="Arial" w:cs="Arial" w:eastAsia="Arial" w:hAnsi="Arial"/>
                  <w:sz w:val="18"/>
                  <w:szCs w:val="18"/>
                  <w:color w:val="0000EE"/>
                </w:rPr>
                <w:t>145</w:t>
              </w:r>
            </w:hyperlink>
          </w:p>
        </w:tc>
      </w:tr>
      <w:tr>
        <w:trPr>
          <w:trHeight w:val="250"/>
        </w:trPr>
        <w:tc>
          <w:tcPr>
            <w:tcW w:w="1240" w:type="dxa"/>
            <w:vAlign w:val="bottom"/>
            <w:gridSpan w:val="6"/>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14.</w:t>
              </w:r>
            </w:hyperlink>
          </w:p>
        </w:tc>
        <w:tc>
          <w:tcPr>
            <w:tcW w:w="8660" w:type="dxa"/>
            <w:vAlign w:val="bottom"/>
            <w:gridSpan w:val="28"/>
          </w:tcPr>
          <w:p>
            <w:pPr>
              <w:ind w:left="240"/>
              <w:spacing w:after="0"/>
              <w:rPr>
                <w:rFonts w:ascii="Arial" w:cs="Arial" w:eastAsia="Arial" w:hAnsi="Arial"/>
                <w:sz w:val="18"/>
                <w:szCs w:val="18"/>
                <w:color w:val="0000EE"/>
              </w:rPr>
            </w:pPr>
            <w:hyperlink w:anchor="page150">
              <w:r>
                <w:rPr>
                  <w:rFonts w:ascii="Arial" w:cs="Arial" w:eastAsia="Arial" w:hAnsi="Arial"/>
                  <w:sz w:val="18"/>
                  <w:szCs w:val="18"/>
                  <w:color w:val="0000EE"/>
                </w:rPr>
                <w:t>Principal Accountant Fees and Services</w:t>
              </w:r>
            </w:hyperlink>
          </w:p>
        </w:tc>
        <w:tc>
          <w:tcPr>
            <w:tcW w:w="1480" w:type="dxa"/>
            <w:vAlign w:val="bottom"/>
          </w:tcPr>
          <w:p>
            <w:pPr>
              <w:jc w:val="right"/>
              <w:spacing w:after="0"/>
              <w:rPr>
                <w:rFonts w:ascii="Arial" w:cs="Arial" w:eastAsia="Arial" w:hAnsi="Arial"/>
                <w:sz w:val="18"/>
                <w:szCs w:val="18"/>
                <w:color w:val="0000EE"/>
              </w:rPr>
            </w:pPr>
            <w:hyperlink w:anchor="page150">
              <w:r>
                <w:rPr>
                  <w:rFonts w:ascii="Arial" w:cs="Arial" w:eastAsia="Arial" w:hAnsi="Arial"/>
                  <w:sz w:val="18"/>
                  <w:szCs w:val="18"/>
                  <w:color w:val="0000EE"/>
                </w:rPr>
                <w:t>150</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PART IV</w:t>
              </w:r>
            </w:hyperlink>
          </w:p>
        </w:tc>
        <w:tc>
          <w:tcPr>
            <w:tcW w:w="3860" w:type="dxa"/>
            <w:vAlign w:val="bottom"/>
            <w:gridSpan w:val="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51">
              <w:r>
                <w:rPr>
                  <w:rFonts w:ascii="Arial" w:cs="Arial" w:eastAsia="Arial" w:hAnsi="Arial"/>
                  <w:sz w:val="18"/>
                  <w:szCs w:val="18"/>
                  <w:color w:val="0000EE"/>
                </w:rPr>
                <w:t>151</w:t>
              </w:r>
            </w:hyperlink>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Item 15.</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Exhibits and Financial Statement Schedules</w:t>
              </w:r>
            </w:hyperlink>
          </w:p>
        </w:tc>
        <w:tc>
          <w:tcPr>
            <w:tcW w:w="5260" w:type="dxa"/>
            <w:vAlign w:val="bottom"/>
            <w:gridSpan w:val="1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0000EE"/>
              </w:rPr>
            </w:pPr>
            <w:hyperlink w:anchor="page151">
              <w:r>
                <w:rPr>
                  <w:rFonts w:ascii="Arial" w:cs="Arial" w:eastAsia="Arial" w:hAnsi="Arial"/>
                  <w:sz w:val="18"/>
                  <w:szCs w:val="18"/>
                  <w:color w:val="0000EE"/>
                </w:rPr>
                <w:t>151</w:t>
              </w:r>
            </w:hyperlink>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Item 16.</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51">
              <w:r>
                <w:rPr>
                  <w:rFonts w:ascii="Arial" w:cs="Arial" w:eastAsia="Arial" w:hAnsi="Arial"/>
                  <w:sz w:val="18"/>
                  <w:szCs w:val="18"/>
                  <w:color w:val="0000EE"/>
                  <w:w w:val="92"/>
                </w:rPr>
                <w:t>Form 10-K Summary</w:t>
              </w:r>
            </w:hyperlink>
          </w:p>
        </w:tc>
        <w:tc>
          <w:tcPr>
            <w:tcW w:w="6860" w:type="dxa"/>
            <w:vAlign w:val="bottom"/>
            <w:gridSpan w:val="24"/>
          </w:tcPr>
          <w:p>
            <w:pPr>
              <w:spacing w:after="0"/>
              <w:rPr>
                <w:sz w:val="21"/>
                <w:szCs w:val="21"/>
                <w:color w:val="auto"/>
              </w:rPr>
            </w:pPr>
          </w:p>
        </w:tc>
        <w:tc>
          <w:tcPr>
            <w:tcW w:w="1480" w:type="dxa"/>
            <w:vAlign w:val="bottom"/>
          </w:tcPr>
          <w:p>
            <w:pPr>
              <w:jc w:val="right"/>
              <w:spacing w:after="0"/>
              <w:rPr>
                <w:rFonts w:ascii="Arial" w:cs="Arial" w:eastAsia="Arial" w:hAnsi="Arial"/>
                <w:sz w:val="18"/>
                <w:szCs w:val="18"/>
                <w:color w:val="0000EE"/>
              </w:rPr>
            </w:pPr>
            <w:hyperlink w:anchor="page151">
              <w:r>
                <w:rPr>
                  <w:rFonts w:ascii="Arial" w:cs="Arial" w:eastAsia="Arial" w:hAnsi="Arial"/>
                  <w:sz w:val="18"/>
                  <w:szCs w:val="18"/>
                  <w:color w:val="0000EE"/>
                </w:rPr>
                <w:t>151</w:t>
              </w:r>
            </w:hyperlink>
          </w:p>
        </w:tc>
      </w:tr>
      <w:tr>
        <w:trPr>
          <w:trHeight w:val="72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7"/>
          </w:tcPr>
          <w:p>
            <w:pPr>
              <w:jc w:val="center"/>
              <w:ind w:left="41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0" w:lineRule="exact"/>
        <w:rPr>
          <w:sz w:val="20"/>
          <w:szCs w:val="20"/>
          <w:color w:val="auto"/>
        </w:rPr>
      </w:pPr>
    </w:p>
    <w:p>
      <w:pPr>
        <w:ind w:left="980" w:right="32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38"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38"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were formed as a master limited partnership to acquire and operate the midstream crude oil businesses and assets of a predecessor entity and completed our initial public offering in 1998. From an economic perspective, we are owned 100% by our limited partners, which include Series A preferred unitholders and common unitholders. Our common units are publicly traded on the New York Stock Exchange (“NYSE”) under the ticker symbol “PAA”. Our non-economic general partner interest is held by PAA GP LLC (“PAA GP”), a Delaware limited liability company, whose sole member is Plains AAP, L.P. (“AAP”), a Delaware limited partnership. In addition to its ownership of PAA GP, as of December 31, 2016, AAP also owned an approximate 33% limited partner interest in us represented by 241.7 million of our common units.</w:t>
      </w:r>
    </w:p>
    <w:p>
      <w:pPr>
        <w:spacing w:after="0" w:line="178"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Plains All American GP LLC (“GP LLC”), a Delaware limited liability company, is AAP’s general partner. Plains GP Holdings, L.P. (“PAGP”), a Delaware limited partnership that completed its initial public offering in October 2013, is the sole and managing member of GP LLC. Both PAGP and GP LLC have elected to be treated as a corporation for United States federal income tax purposes, and, at December 31, 2016, owned a combined 42% limited partner and economic interest in AAP. PAA GP Holdings LLC (“PAGP GP”), a Delaware limited liability company, is the general partner of PAGP.</w:t>
      </w:r>
    </w:p>
    <w:p>
      <w:pPr>
        <w:spacing w:after="0" w:line="154"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 the permanent elimination of our incentive distribution rights (“IDRs”) and the economic rights associated with our 2% general partner interest in exchange for the issuance by us to AAP of 245.5 million PAA common units (including approximately 0.8 million common units to be issued in the future) and the assumption by us of all of AAP’s outstanding debt ($642 million); the implementation of a unified governance structure pursuant to which the board of directors of our general partner was eliminated and an expanded board of directors of PAGP GP (the “PAGP GP Board”) assumed oversight responsibility over both us and PAGP; and provision for annual PAGP shareholder elections beginning in 2018 with certain directors with expiring terms in 2018, and the participation of our common unitholders in such elections through our ownership of newly issued Class C shares in PAGP, which provide us, as the sole holder, the right to vote in elections of eligible PAGP GP directors together with the holders of PAGP Class A and Class B shares. In addition, we entered into an Omnibus Agreement with AAP and PAGP to promote economic alignment between our common unitholders and PAGP’s Class A shareholders by, among other measures, maintaining a one-to-one relationship between the number of outstanding PAGP Class A shares and the number of our common units indirectly owned by PAGP through AAP.</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our Consolidated Financial Statements for further discussion of the Simplification Transactions.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operations are conducted directly and indirectly through, and our operating assets are owned by, our subsidiaries. As the sole member of GP LLC, PAGP has responsibility for conducting our business and managing our operations; however, the PAGP GP Board has ultimate responsibility for managing the business and affairs of PAGP, AAP and us. As the sole holder of Class C shares of PAGP, we have the right to vote in elections of eligible directors, together with the holders of PAGP’s Class A and Class B shares.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2016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4322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140" w:hanging="652"/>
        <w:spacing w:after="0" w:line="245"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PAGP will hold an annual meeting for the election of eligible PAGP GP directors beginning in 2018. Through our ownership of Class C shares of PAGP, our common unitholders have the right to vote, pro rata with the holders of Class A and Class B shares of PAGP, for the election of eligible PAGP GP directors. See Item 10. “Directors and Executive Officers of our General Partner and Corporate Governance” for further information regarding governance of the Plains Entities, including changes as a result of the Simplification Transactions.</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5"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7134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200" w:hanging="652"/>
        <w:spacing w:after="0" w:line="264"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8"/>
          <w:szCs w:val="18"/>
          <w:color w:val="auto"/>
        </w:rPr>
        <w:t>As of December 31, 2016, the PAGP GP Board consisted of 10 members. In February 2017, the limited liability agreement of PAGP GP was amended and restated to provide for two additional directors. See Item 10. “Directors and Executive Officers of our General Partner and Corporate Governance” for further information regarding governance of the Plains Entities.</w:t>
      </w:r>
    </w:p>
    <w:p>
      <w:pPr>
        <w:spacing w:after="0" w:line="181" w:lineRule="exact"/>
        <w:rPr>
          <w:rFonts w:ascii="Arial" w:cs="Arial" w:eastAsia="Arial" w:hAnsi="Arial"/>
          <w:sz w:val="13"/>
          <w:szCs w:val="13"/>
          <w:color w:val="auto"/>
        </w:rPr>
      </w:pPr>
    </w:p>
    <w:p>
      <w:pPr>
        <w:jc w:val="both"/>
        <w:ind w:left="660" w:right="440" w:hanging="652"/>
        <w:spacing w:after="0" w:line="264"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8"/>
          <w:szCs w:val="18"/>
          <w:color w:val="auto"/>
        </w:rPr>
        <w:t>Represents the number of Class A units of AAP (“AAP units”) for which the outstanding Class B units of AAP (referred to herein as the “AAP Management Units”) will be exchangeable, assuming the conversion of all such units at a rate of approximately 0.941 AAP units for each AAP Management Unit.</w:t>
      </w:r>
    </w:p>
    <w:p>
      <w:pPr>
        <w:spacing w:after="0" w:line="181" w:lineRule="exact"/>
        <w:rPr>
          <w:rFonts w:ascii="Arial" w:cs="Arial" w:eastAsia="Arial" w:hAnsi="Arial"/>
          <w:sz w:val="13"/>
          <w:szCs w:val="13"/>
          <w:color w:val="auto"/>
        </w:rPr>
      </w:pPr>
    </w:p>
    <w:p>
      <w:pPr>
        <w:ind w:left="660" w:hanging="652"/>
        <w:spacing w:after="0"/>
        <w:tabs>
          <w:tab w:leader="none" w:pos="660" w:val="left"/>
        </w:tabs>
        <w:numPr>
          <w:ilvl w:val="0"/>
          <w:numId w:val="6"/>
        </w:numPr>
        <w:rPr>
          <w:rFonts w:ascii="Arial" w:cs="Arial" w:eastAsia="Arial" w:hAnsi="Arial"/>
          <w:sz w:val="13"/>
          <w:szCs w:val="13"/>
          <w:color w:val="auto"/>
        </w:rPr>
      </w:pPr>
      <w:r>
        <w:rPr>
          <w:rFonts w:ascii="Arial" w:cs="Arial" w:eastAsia="Arial" w:hAnsi="Arial"/>
          <w:sz w:val="18"/>
          <w:szCs w:val="18"/>
          <w:color w:val="auto"/>
        </w:rPr>
        <w:t>Assumes conversion of all outstanding AAP Management Units into AAP units.</w:t>
      </w:r>
    </w:p>
    <w:p>
      <w:pPr>
        <w:spacing w:after="0" w:line="117" w:lineRule="exact"/>
        <w:rPr>
          <w:rFonts w:ascii="Arial" w:cs="Arial" w:eastAsia="Arial" w:hAnsi="Arial"/>
          <w:sz w:val="13"/>
          <w:szCs w:val="13"/>
          <w:color w:val="auto"/>
        </w:rPr>
      </w:pPr>
    </w:p>
    <w:p>
      <w:pPr>
        <w:ind w:left="660" w:right="4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Each Class C share represents a non-economic limited partner interest in PAGP and carries with it the right to vote, pro rata with the holders of Class A and Class B shares of PAGP, for the election of eligible PAGP GP directors.</w:t>
      </w:r>
    </w:p>
    <w:p>
      <w:pPr>
        <w:spacing w:after="0" w:line="95" w:lineRule="exact"/>
        <w:rPr>
          <w:rFonts w:ascii="Arial" w:cs="Arial" w:eastAsia="Arial" w:hAnsi="Arial"/>
          <w:sz w:val="25"/>
          <w:szCs w:val="25"/>
          <w:color w:val="auto"/>
          <w:vertAlign w:val="superscript"/>
        </w:rPr>
      </w:pPr>
    </w:p>
    <w:p>
      <w:pPr>
        <w:ind w:left="660" w:hanging="652"/>
        <w:spacing w:after="0" w:line="227"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Amount does not include 792,074 common units that will become issuable to AAP that relate to AAP Management Units that are outstanding but not earned. See Note 16 to our Consolidated Financial Statements for additional discussion of the AAP Management Units.</w:t>
      </w:r>
    </w:p>
    <w:p>
      <w:pPr>
        <w:spacing w:after="0" w:line="94" w:lineRule="exact"/>
        <w:rPr>
          <w:rFonts w:ascii="Arial" w:cs="Arial" w:eastAsia="Arial" w:hAnsi="Arial"/>
          <w:sz w:val="24"/>
          <w:szCs w:val="24"/>
          <w:color w:val="auto"/>
          <w:vertAlign w:val="superscript"/>
        </w:rPr>
      </w:pPr>
    </w:p>
    <w:p>
      <w:pPr>
        <w:ind w:left="660" w:right="104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Partnership holds direct and indirect ownership interests in consolidated operating subsidiaries including, but not limited to, Plains Marketing, L.P., Plains Pipeline, L.P. and Plains Midstream Canada ULC (“PMC”).</w:t>
      </w:r>
    </w:p>
    <w:p>
      <w:pPr>
        <w:spacing w:after="0" w:line="95" w:lineRule="exact"/>
        <w:rPr>
          <w:rFonts w:ascii="Arial" w:cs="Arial" w:eastAsia="Arial" w:hAnsi="Arial"/>
          <w:sz w:val="25"/>
          <w:szCs w:val="25"/>
          <w:color w:val="auto"/>
          <w:vertAlign w:val="superscript"/>
        </w:rPr>
      </w:pPr>
    </w:p>
    <w:p>
      <w:pPr>
        <w:ind w:left="660" w:right="40" w:hanging="652"/>
        <w:spacing w:after="0" w:line="23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Partnership holds indirect equity interests in unconsolidated entities including BridgeTex Pipeline Company, LLC (“BridgeTex”), Butte Pipe Line Company (“Butte”), Caddo Pipeline LLC (“Caddo”), Cheyenne Pipeline LLC (“Cheyenne”), Diamond Pipeline LLC (“Diamond”), Eagle Ford Pipeline LLC (“Eagle Ford Pipeline”), Eagle Ford Terminals Corpus Christi LLC (“Eagle Ford Terminals”), Frontier Aspen LLC (“Frontier”), Saddlehorn Pipeline Company, LLC (“Saddlehorn”), Settoon Towing, LLC (“Settoon Towing”), STACK Pipeline LLC (“STACK”) and White Cliffs Pipeline LLC (“White Cliffs”).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supply, logistics and distribution expertise. We believe successful execution of this strategy will enable us to generate sustainable earnings and cash flow. We intend to manage and grow our business by:</w:t>
      </w:r>
    </w:p>
    <w:p>
      <w:pPr>
        <w:spacing w:after="0" w:line="173" w:lineRule="exact"/>
        <w:rPr>
          <w:sz w:val="20"/>
          <w:szCs w:val="20"/>
          <w:color w:val="auto"/>
        </w:rPr>
      </w:pPr>
    </w:p>
    <w:p>
      <w:pPr>
        <w:ind w:left="1060" w:hanging="40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optimizing our existing assets and realizing cost efficiencies through operational improvements;</w:t>
      </w:r>
    </w:p>
    <w:p>
      <w:pPr>
        <w:spacing w:after="0" w:line="117" w:lineRule="exact"/>
        <w:rPr>
          <w:rFonts w:ascii="Arial" w:cs="Arial" w:eastAsia="Arial" w:hAnsi="Arial"/>
          <w:sz w:val="18"/>
          <w:szCs w:val="18"/>
          <w:color w:val="auto"/>
        </w:rPr>
      </w:pPr>
    </w:p>
    <w:p>
      <w:pPr>
        <w:ind w:left="1060" w:right="380" w:hanging="40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our transportation, terminalling, storage, processing and fractionation assets in conjunction with our supply and logistics activities to capture inefficiencies, address physical market imbalances, mitigate inherent risks and increase margin;</w:t>
      </w:r>
    </w:p>
    <w:p>
      <w:pPr>
        <w:spacing w:after="0" w:line="62" w:lineRule="exact"/>
        <w:rPr>
          <w:rFonts w:ascii="Arial" w:cs="Arial" w:eastAsia="Arial" w:hAnsi="Arial"/>
          <w:sz w:val="18"/>
          <w:szCs w:val="18"/>
          <w:color w:val="auto"/>
        </w:rPr>
      </w:pPr>
    </w:p>
    <w:p>
      <w:pPr>
        <w:ind w:left="1060" w:right="800" w:hanging="404"/>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and implementing growth projects that (i) address evolving crude oil and NGL needs in the midstream transportation and infrastructure sector and (ii) are well positioned to benefit from long-term industry trends and opportunities; and</w:t>
      </w:r>
    </w:p>
    <w:p>
      <w:pPr>
        <w:spacing w:after="0" w:line="15" w:lineRule="exact"/>
        <w:rPr>
          <w:rFonts w:ascii="Arial" w:cs="Arial" w:eastAsia="Arial" w:hAnsi="Arial"/>
          <w:sz w:val="16"/>
          <w:szCs w:val="16"/>
          <w:color w:val="auto"/>
        </w:rPr>
      </w:pPr>
    </w:p>
    <w:p>
      <w:pPr>
        <w:ind w:left="1060" w:hanging="40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225" w:lineRule="exact"/>
        <w:rPr>
          <w:sz w:val="20"/>
          <w:szCs w:val="20"/>
          <w:color w:val="auto"/>
        </w:rPr>
      </w:pPr>
    </w:p>
    <w:p>
      <w:pPr>
        <w:ind w:left="980" w:right="160" w:hanging="324"/>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Many of our assets are strategically located and operationally flexible. </w:t>
      </w:r>
      <w:r>
        <w:rPr>
          <w:rFonts w:ascii="Arial" w:cs="Arial" w:eastAsia="Arial" w:hAnsi="Arial"/>
          <w:sz w:val="17"/>
          <w:szCs w:val="17"/>
          <w:color w:val="auto"/>
        </w:rPr>
        <w:t>The majority of our primary Transportation segment assets are in crude</w:t>
      </w:r>
      <w:r>
        <w:rPr>
          <w:rFonts w:ascii="Arial" w:cs="Arial" w:eastAsia="Arial" w:hAnsi="Arial"/>
          <w:sz w:val="17"/>
          <w:szCs w:val="17"/>
          <w:i w:val="1"/>
          <w:iCs w:val="1"/>
          <w:color w:val="auto"/>
        </w:rPr>
        <w:t xml:space="preserve"> </w:t>
      </w:r>
      <w:r>
        <w:rPr>
          <w:rFonts w:ascii="Arial" w:cs="Arial" w:eastAsia="Arial" w:hAnsi="Arial"/>
          <w:sz w:val="17"/>
          <w:szCs w:val="17"/>
          <w:color w:val="auto"/>
        </w:rPr>
        <w:t>oil service, are located in well-established crude oil producing regions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assets include pipeline, rail, barge, truck and storage assets, which provide our customers and us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320"/>
        <w:spacing w:after="0" w:line="324" w:lineRule="auto"/>
        <w:rPr>
          <w:sz w:val="20"/>
          <w:szCs w:val="20"/>
          <w:color w:val="auto"/>
        </w:rPr>
      </w:pPr>
      <w:r>
        <w:rPr>
          <w:rFonts w:ascii="Arial" w:cs="Arial" w:eastAsia="Arial" w:hAnsi="Arial"/>
          <w:sz w:val="18"/>
          <w:szCs w:val="18"/>
          <w:color w:val="auto"/>
        </w:rPr>
        <w:t>with significant flexibility and optionality to satisfy demand and balance markets, particularly during a dynamic period of changing product flows.</w:t>
      </w:r>
    </w:p>
    <w:p>
      <w:pPr>
        <w:spacing w:after="0" w:line="35" w:lineRule="exact"/>
        <w:rPr>
          <w:sz w:val="20"/>
          <w:szCs w:val="20"/>
          <w:color w:val="auto"/>
        </w:rPr>
      </w:pPr>
    </w:p>
    <w:p>
      <w:pPr>
        <w:ind w:left="980" w:right="140" w:hanging="324"/>
        <w:spacing w:after="0" w:line="312" w:lineRule="auto"/>
        <w:tabs>
          <w:tab w:leader="none" w:pos="9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We possess specialized crude oil and NGL market knowledge. </w:t>
      </w:r>
      <w:r>
        <w:rPr>
          <w:rFonts w:ascii="Arial" w:cs="Arial" w:eastAsia="Arial" w:hAnsi="Arial"/>
          <w:sz w:val="16"/>
          <w:szCs w:val="16"/>
          <w:color w:val="auto"/>
        </w:rPr>
        <w:t>We believe our business relationships with participants in various phases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and NGL distribution chain, from producers to refiners, as well as our own industry expertise (including our knowledge of North American crude oil and NGL flows), provide us with an extensive understanding of the North American physical crude oil and NGL markets.</w:t>
      </w:r>
    </w:p>
    <w:p>
      <w:pPr>
        <w:spacing w:after="0" w:line="38" w:lineRule="exact"/>
        <w:rPr>
          <w:rFonts w:ascii="Arial" w:cs="Arial" w:eastAsia="Arial" w:hAnsi="Arial"/>
          <w:sz w:val="16"/>
          <w:szCs w:val="16"/>
          <w:i w:val="1"/>
          <w:iCs w:val="1"/>
          <w:color w:val="auto"/>
        </w:rPr>
      </w:pPr>
    </w:p>
    <w:p>
      <w:pPr>
        <w:ind w:left="980" w:hanging="324"/>
        <w:spacing w:after="0" w:line="257" w:lineRule="auto"/>
        <w:tabs>
          <w:tab w:leader="none" w:pos="9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Our supply and logistics activities typically generate a base level of margin with the opportunity to realize incremental margins. </w:t>
      </w:r>
      <w:r>
        <w:rPr>
          <w:rFonts w:ascii="Arial" w:cs="Arial" w:eastAsia="Arial" w:hAnsi="Arial"/>
          <w:sz w:val="18"/>
          <w:szCs w:val="18"/>
          <w:color w:val="auto"/>
        </w:rPr>
        <w:t>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activities executed within our Supply and Logistics segment in combination with our risk management strategies provides us with a low risk opportunity to generate a base level of margin, the amount of which may vary depending on market conditions (such as commodity price levels, differentials and certain competitive factors). In certain market scenarios, we may be able to realize incremental margins that meaningfully exceed such base levels.</w:t>
      </w:r>
    </w:p>
    <w:p>
      <w:pPr>
        <w:spacing w:after="0" w:line="80" w:lineRule="exact"/>
        <w:rPr>
          <w:rFonts w:ascii="Arial" w:cs="Arial" w:eastAsia="Arial" w:hAnsi="Arial"/>
          <w:sz w:val="18"/>
          <w:szCs w:val="18"/>
          <w:i w:val="1"/>
          <w:iCs w:val="1"/>
          <w:color w:val="auto"/>
        </w:rPr>
      </w:pPr>
    </w:p>
    <w:p>
      <w:pPr>
        <w:ind w:left="980" w:right="60" w:hanging="324"/>
        <w:spacing w:after="0" w:line="272" w:lineRule="auto"/>
        <w:tabs>
          <w:tab w:leader="none" w:pos="9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7"/>
          <w:szCs w:val="17"/>
          <w:color w:val="auto"/>
        </w:rPr>
        <w:t>Since 1998, we have completed and integrated over 90 acquisitions with an aggregate purchase price of approximately $13.2</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including our February 2017 acquisition of the Alpha Crude Connector gathering system. Since 1998, we have also implemented expansion capital projects totaling approximately $11.4 billion. In addition, considering our investment grade credit rating, liquidity and capital structure, we believe we have the financial resources and strength necessary to finance future strategic expansion and acquisition opportunities. As of December 31, 2016, we had approximately $2.4 billion of liquidity available, including cash and cash equivalents and availability under our committed credit facilities, subject to continued covenant compliance.</w:t>
      </w:r>
    </w:p>
    <w:p>
      <w:pPr>
        <w:spacing w:after="0" w:line="69" w:lineRule="exact"/>
        <w:rPr>
          <w:rFonts w:ascii="Arial" w:cs="Arial" w:eastAsia="Arial" w:hAnsi="Arial"/>
          <w:sz w:val="17"/>
          <w:szCs w:val="17"/>
          <w:i w:val="1"/>
          <w:iCs w:val="1"/>
          <w:color w:val="auto"/>
        </w:rPr>
      </w:pPr>
    </w:p>
    <w:p>
      <w:pPr>
        <w:ind w:left="980" w:right="180" w:hanging="324"/>
        <w:spacing w:after="0" w:line="279" w:lineRule="auto"/>
        <w:tabs>
          <w:tab w:leader="none" w:pos="9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We have an experienced management team whose interests are aligned with those of our unitholders. </w:t>
      </w:r>
      <w:r>
        <w:rPr>
          <w:rFonts w:ascii="Arial" w:cs="Arial" w:eastAsia="Arial" w:hAnsi="Arial"/>
          <w:sz w:val="17"/>
          <w:szCs w:val="17"/>
          <w:color w:val="auto"/>
        </w:rPr>
        <w:t>Our executive management team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of 31 years of industry experience, and an average of 19 years with us or our predecessors and affiliates. In addition, through their ownership of common units, grants of phantom units and interests in our general partner, including interests in PAGP, AAP units and AAP Management Units, our management team has a vested interest in our continued success.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investment grade credit ratings. We have targeted a general credit profile with the following attributes:</w:t>
      </w:r>
    </w:p>
    <w:p>
      <w:pPr>
        <w:spacing w:after="0" w:line="18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3"/>
          <w:szCs w:val="13"/>
          <w:color w:val="auto"/>
        </w:rPr>
      </w:pPr>
    </w:p>
    <w:p>
      <w:pPr>
        <w:ind w:left="980" w:right="200" w:hanging="324"/>
        <w:spacing w:after="0" w:line="259" w:lineRule="auto"/>
        <w:tabs>
          <w:tab w:leader="none" w:pos="9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and further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78" w:lineRule="exact"/>
        <w:rPr>
          <w:rFonts w:ascii="Arial" w:cs="Arial" w:eastAsia="Arial" w:hAnsi="Arial"/>
          <w:sz w:val="13"/>
          <w:szCs w:val="13"/>
          <w:color w:val="auto"/>
        </w:rPr>
      </w:pPr>
    </w:p>
    <w:p>
      <w:pPr>
        <w:ind w:left="980" w:hanging="324"/>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3"/>
          <w:szCs w:val="13"/>
          <w:color w:val="auto"/>
        </w:rPr>
      </w:pPr>
    </w:p>
    <w:p>
      <w:pPr>
        <w:ind w:left="980" w:hanging="324"/>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first two of these four metrics include long-term debt as a critical measure. We also incur short-term debt in connection with our supply and logistics activities that involve the simultaneous purchase and forward sale of crude oil, NGL and natural gas. The crude oil, NGL and natural gas purchased in these transactions are hedged. We do not consider the working capital borrowings associated with these activities to be part of our long-term capital structure.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significantly above baseline levels. For example, our short-term debt levels at December 31, 2016 included borrowings for $410 million of margin requirements, which is significantly elevated from historical levels primarily due to the increase in crude oil prices at the end of the year. For the years ended December 31, 2015 and 2014, we had positive cash flow associated with such margin balance activities at the end of the year of $157 million and $133 million, respectively.</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Typically, to maintain our targeted credit profile and achieve growth through acquisitions and expansion capital, we fund approximately 55% of the capital requirements associated with these activities with equity and cash flow in excess of distributions. From time to time, we may be outside the parameters of our targeted credit profile as, in certain cases, capital expenditures and acquisitions may be financed initially using debt or there may be delays in realizing anticipated synergies from acquisitions or contributions from expansion capital projects to adjusted EBITDA. As a result of the challenging environment and the impact of the gap in the timing between funding our capital program and the time the assets are placed in service and begin to generate cash flow, we expect our long-term debt-to-adjusted EBITDA to be above our target range for the near-term. We expect this leverage ratio will improve and return to our targeted levels as we execute our 2017 funding plan, complete the 2017 asset sales, and as the industry recovers and we realize EBITDA growth from our capital investments.</w:t>
      </w:r>
    </w:p>
    <w:p>
      <w:pPr>
        <w:spacing w:after="0" w:line="19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To improve our ability to manage through the industry downturn and to position for a recovery, we completed a number of initiatives during 2016 to maintain a solid capital structure, significant liquidity and overall financial flexibility. Such initiatives included (i) executing the Simplification Transactions in November 2016, which lowered our incremental cost of equity through the elimination of our IDRs, and in connection therewith resetting our distribution level, which resulted in an annual reduction in cash distributions of approximately $320 million, (ii) securing approximately $1.6 billion of equity capital through the sale of new Series A preferred units in January 2016, (iii) selectively utilizing our continuous offering program to raise approximately $805 million of net proceeds, (iv) selling non-core assets and entering into strategic joint ventures, which raised approximately $550 million of net cash proceeds while reducing our capital commitments, and (v) entering into a definitive agreement to sell additional assets for approximately $290 million that is expected to close in the first half of 2017, subject to regulatory approvals. See Note 6 and Note 11 to our Consolidated Financial Statements for additional discussion of these transactions.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intend to end 2017 with a long-term debt balance at or below levels at December 31, 2016. To that end, we expect that our 2017 acquisition and expansion capital will be funded with proceeds from asset sales, equity issuances and retained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acquisition of midstream assets and businesses that are strategic and complementary to our existing operations constitutes an integral component of our business strategy and growth objectives. Such assets and businesses include crude oil and NGL logistics assets as well as other energy assets that have characteristics and provide opportunities similar to our existing business lines and enable us to leverage our assets, knowledge and skill 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we have completed over the past five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left="97"/>
              <w:spacing w:after="0"/>
              <w:rPr>
                <w:sz w:val="20"/>
                <w:szCs w:val="20"/>
                <w:color w:val="auto"/>
              </w:rPr>
            </w:pPr>
            <w:r>
              <w:rPr>
                <w:rFonts w:ascii="Arial" w:cs="Arial" w:eastAsia="Arial" w:hAnsi="Arial"/>
                <w:sz w:val="14"/>
                <w:szCs w:val="14"/>
                <w:b w:val="1"/>
                <w:bCs w:val="1"/>
                <w:color w:val="auto"/>
                <w:w w:val="93"/>
              </w:rPr>
              <w:t>Approximate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vMerge w:val="restart"/>
          </w:tcPr>
          <w:p>
            <w:pPr>
              <w:spacing w:after="0"/>
              <w:rPr>
                <w:sz w:val="12"/>
                <w:szCs w:val="12"/>
                <w:color w:val="auto"/>
              </w:rPr>
            </w:pPr>
          </w:p>
        </w:tc>
        <w:tc>
          <w:tcPr>
            <w:tcW w:w="45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122"/>
              <w:spacing w:after="0" w:line="149" w:lineRule="exact"/>
              <w:rPr>
                <w:sz w:val="20"/>
                <w:szCs w:val="20"/>
                <w:color w:val="auto"/>
              </w:rPr>
            </w:pPr>
            <w:r>
              <w:rPr>
                <w:rFonts w:ascii="Arial" w:cs="Arial" w:eastAsia="Arial" w:hAnsi="Arial"/>
                <w:sz w:val="14"/>
                <w:szCs w:val="14"/>
                <w:b w:val="1"/>
                <w:bCs w:val="1"/>
                <w:color w:val="auto"/>
                <w:w w:val="92"/>
              </w:rPr>
              <w:t xml:space="preserve">Purchase Price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Feb-2017</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Recently constructed gathering system located in the Northern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1,215</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 Basin</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Spectra Energy Partners Western Canada NGL</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Aug-2016</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w w:val="95"/>
              </w:rPr>
              <w:t>Integrated system of NGL assets located in Western Canada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204</w:t>
            </w:r>
          </w:p>
        </w:tc>
        <w:tc>
          <w:tcPr>
            <w:tcW w:w="340" w:type="dxa"/>
            <w:vAlign w:val="bottom"/>
          </w:tcPr>
          <w:p>
            <w:pPr>
              <w:jc w:val="right"/>
              <w:ind w:right="122"/>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50% Interest in BridgeTex Pipeline Company, LLC</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Nov-2014</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BridgeTex owns a crude oil pipeline that extends from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1,088</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(“BridgeTex”)</w:t>
            </w: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Colorado City, Texas to East Houston</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Development Group Crude Oil Rail Terminals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Dec-2012</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w w:val="94"/>
              </w:rPr>
              <w:t>Four operating crude oil rail terminals and one terminal under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503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BP Canada Energy Company</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Apr-2012</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NGL assets located in Canada and the upper-Midwest United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1,683</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80" w:hanging="652"/>
        <w:spacing w:after="0" w:line="245"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Excludes our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we issued approximately 14.7 million PAA common units with a value of approximately $760 million.</w:t>
      </w:r>
    </w:p>
    <w:p>
      <w:pPr>
        <w:spacing w:after="0" w:line="46"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As applicable, the approximate purchase price includes total cash paid and debt assumed, including amounts for working capital and inventory.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32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price subject to working capital and other adjustments. See Note 6 to our Consolidated Financial Statements for additional information regarding this acquisition.</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$180 million, net of cash, inventory and other working capital acquired.</w:t>
      </w:r>
    </w:p>
    <w:p>
      <w:pPr>
        <w:spacing w:after="0" w:line="98" w:lineRule="exact"/>
        <w:rPr>
          <w:rFonts w:ascii="Arial" w:cs="Arial" w:eastAsia="Arial" w:hAnsi="Arial"/>
          <w:sz w:val="25"/>
          <w:szCs w:val="25"/>
          <w:color w:val="auto"/>
          <w:vertAlign w:val="superscript"/>
        </w:rPr>
      </w:pPr>
    </w:p>
    <w:p>
      <w:pPr>
        <w:ind w:left="660" w:right="480" w:hanging="652"/>
        <w:spacing w:after="0" w:line="214"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$1.075 billion, net of working capital acquired. We account for our 50% interest in BridgeTex under the equity method of accounting.</w:t>
      </w:r>
    </w:p>
    <w:p>
      <w:pPr>
        <w:spacing w:after="0" w:line="94"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price includes approximately $17 million of imputed interest. A prepayment of $50 million was made during 2011. Approximate purchase price of $1.192 billion, net of working capital, linefill and long-term inventory acquired.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During 2016, we initiated a program to evaluate potential sales of non-core assets and/or sales of partial interests in assets to strategic joint venture partners to optimize our asset portfolio and strengthen our balance sheet and leverage metrics. This program currently totals approximately $1.2 billion of asset sales, of which approximately $550 million closed in 2016, with the remaining $670 million either already closed or expected to close during the first half of 2017. See Note 6 to our Consolidated Financial Statements for additional discussion of our dispositions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Divestiture and Investment Activities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In addition, we continue to evaluate our asset portfolio to determine whether additional sales of non-core assets would further optimize our portfolio and strengthen our balance sheet. As a part of these efforts, we often engage in discussions with potential third parties regarding the possible purchase of or investment in assets and operations that are strategic and complementary to our existing operations, or the potential sale of assets that we believe might have more value to a third-party buyer.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With respect to a potential divestiture, we may also conduct an auction process or may negotiate a transaction with one or a limited number of potential buyers. These acquisition and investment efforts often involve assets which, if acquired, constructed or sold, as applicable, could have a material effect on our financial condition and results of operations.</w:t>
      </w:r>
    </w:p>
    <w:p>
      <w:pPr>
        <w:spacing w:after="0" w:line="17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investments we make to be accretive in the long term, we can provide no assurance that our expectations will ultimately be realized. See Item 1A. “Risk Factors—Risks Related to Our Business—If we do not make acquisitions or if we make acquisitions that fail to perform as anticipated, our future growth may be limited” and “—Acquisitions involve risks that may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extensive asset base and our relationships with customers provide us with opportunities for organic growth through the construction of additional assets that are complementary to, and expand or extend, our existing asset base. Our 2017 expansion capital plan is representative of the diversity and balance of our overall project portfolio. The following expansion capital projects are included in our 2017 capital plan as of February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2017 Plan</w:t>
            </w:r>
          </w:p>
        </w:tc>
        <w:tc>
          <w:tcPr>
            <w:tcW w:w="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Basin/Region</w:t>
            </w:r>
          </w:p>
        </w:tc>
        <w:tc>
          <w:tcPr>
            <w:tcW w:w="120" w:type="dxa"/>
            <w:vAlign w:val="bottom"/>
          </w:tcPr>
          <w:p>
            <w:pPr>
              <w:spacing w:after="0"/>
              <w:rPr>
                <w:sz w:val="12"/>
                <w:szCs w:val="12"/>
                <w:color w:val="auto"/>
              </w:rPr>
            </w:pPr>
          </w:p>
        </w:tc>
        <w:tc>
          <w:tcPr>
            <w:tcW w:w="20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2"/>
                <w:szCs w:val="12"/>
                <w:color w:val="auto"/>
              </w:rPr>
            </w:pPr>
          </w:p>
        </w:tc>
        <w:tc>
          <w:tcPr>
            <w:tcW w:w="1360" w:type="dxa"/>
            <w:vAlign w:val="bottom"/>
            <w:gridSpan w:val="2"/>
          </w:tcPr>
          <w:p>
            <w:pPr>
              <w:jc w:val="right"/>
              <w:ind w:right="274"/>
              <w:spacing w:after="0" w:line="149"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00" w:type="dxa"/>
            <w:vAlign w:val="bottom"/>
          </w:tcPr>
          <w:p>
            <w:pPr>
              <w:spacing w:after="0"/>
              <w:rPr>
                <w:sz w:val="12"/>
                <w:szCs w:val="12"/>
                <w:color w:val="auto"/>
              </w:rPr>
            </w:pPr>
          </w:p>
        </w:tc>
        <w:tc>
          <w:tcPr>
            <w:tcW w:w="44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In-Service Date</w:t>
            </w:r>
          </w:p>
        </w:tc>
        <w:tc>
          <w:tcPr>
            <w:tcW w:w="0" w:type="dxa"/>
            <w:vAlign w:val="bottom"/>
          </w:tcPr>
          <w:p>
            <w:pPr>
              <w:spacing w:after="0"/>
              <w:rPr>
                <w:sz w:val="1"/>
                <w:szCs w:val="1"/>
                <w:color w:val="auto"/>
              </w:rPr>
            </w:pPr>
          </w:p>
        </w:tc>
      </w:tr>
      <w:tr>
        <w:trPr>
          <w:trHeight w:val="228"/>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Permian</w:t>
            </w:r>
          </w:p>
        </w:tc>
        <w:tc>
          <w:tcPr>
            <w:tcW w:w="1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Permian Basin Area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Multiple projects to increase and expand our pipeline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Q1 2017 - 2018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Gathering System Projects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infrastructure in the Delaware Basin, including planned</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interconnects associated with the recently acquired Alpha</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Connector gathering system</w:t>
            </w: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Central / Mid-</w:t>
            </w:r>
          </w:p>
        </w:tc>
        <w:tc>
          <w:tcPr>
            <w:tcW w:w="12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Diamond Pipeline</w:t>
            </w:r>
          </w:p>
        </w:tc>
        <w:tc>
          <w:tcPr>
            <w:tcW w:w="3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50% interest in approximately 440 miles of new crude oil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Q4 2017</w:t>
            </w:r>
          </w:p>
        </w:tc>
        <w:tc>
          <w:tcPr>
            <w:tcW w:w="0" w:type="dxa"/>
            <w:vAlign w:val="bottom"/>
          </w:tcPr>
          <w:p>
            <w:pPr>
              <w:spacing w:after="0"/>
              <w:rPr>
                <w:sz w:val="1"/>
                <w:szCs w:val="1"/>
                <w:color w:val="auto"/>
              </w:rPr>
            </w:pP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color w:val="auto"/>
              </w:rPr>
              <w:t>Continent</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pipeline; 200,000 Bbls/d capacity from Cushing, OK to</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Valero’s refinery in Memphis, TN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Cushing Terminal</w:t>
            </w:r>
          </w:p>
        </w:tc>
        <w:tc>
          <w:tcPr>
            <w:tcW w:w="38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Addition of approximately 2.1 million barrels of storage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Q2 2017 - Q4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Expansions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capacity and additional</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Fort Saskatchewan Facility</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Multi-phase project, remaining Phase I project includes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Q1 2017 - 2018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Projects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conversion of service of approximately 3 million barrels of</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existing caverns</w:t>
            </w: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Remaining Phase II projects include (i) adding a merox</w:t>
            </w: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sweetening unit that will increase our ability to handle a</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variety of feed streams providing more flexibility and flow</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assurance, (ii) development of two new ethane caverns with</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 million barrels of capacity and a utility cavern and</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(iii) the addition of 2.7 million barrels of brine capacity</w:t>
            </w: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Phase III includes a six-spot rail rack expansion for</w:t>
            </w: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condensate service and adding butane service to four</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existing propane spots</w:t>
            </w: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Q1 2017 - 2018+</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Projected</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Expansion Capital</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2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The health of the global petroleum market is dependent on the relative supply and demand of hydrocarbons, including crude oil and NGL. These supply and demand economics are greatly influenced by the broader global economic climate, exposing the petroleum market to the challenges and volatility associated with global economic development. For the period from 2004 through 2013, global liquids production increased 7.6 million barrels per day while global liquids consumption increased 8.4 million barrels per day. For the period from 2013 through 2015, global production growth outpaced global consumption growth by 2.5 million barrels per day resulting in a cumulative imbalance of 2.3 million barrels per day. In 2016, the market remained oversupplied, but global demand growth began to outpace global supply growth as non-OPEC production declined 0.6 million barrels per day. The table below depicts historical OPEC and non-OPEC liquids production and global liquids consumption and is derived from the EIA Short-Term Energy Outlook, January 2017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ind w:left="420"/>
              <w:spacing w:after="0"/>
              <w:rPr>
                <w:sz w:val="20"/>
                <w:szCs w:val="20"/>
                <w:color w:val="auto"/>
              </w:rPr>
            </w:pPr>
            <w:r>
              <w:rPr>
                <w:rFonts w:ascii="Arial" w:cs="Arial" w:eastAsia="Arial" w:hAnsi="Arial"/>
                <w:sz w:val="14"/>
                <w:szCs w:val="14"/>
                <w:b w:val="1"/>
                <w:bCs w:val="1"/>
                <w:color w:val="auto"/>
              </w:rPr>
              <w:t xml:space="preserve">Annual Liquids Production </w:t>
            </w:r>
            <w:r>
              <w:rPr>
                <w:rFonts w:ascii="Arial" w:cs="Arial" w:eastAsia="Arial" w:hAnsi="Arial"/>
                <w:sz w:val="8"/>
                <w:szCs w:val="8"/>
                <w:b w:val="1"/>
                <w:bCs w:val="1"/>
                <w:color w:val="auto"/>
              </w:rPr>
              <w:t>(1)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 from</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 from</w:t>
            </w: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rPr>
              <w:t>∆ from</w:t>
            </w:r>
          </w:p>
        </w:tc>
      </w:tr>
      <w:tr>
        <w:trPr>
          <w:trHeight w:val="264"/>
        </w:trPr>
        <w:tc>
          <w:tcPr>
            <w:tcW w:w="34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2004-2013</w:t>
            </w: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2013-2015</w:t>
            </w: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2015-2016</w:t>
            </w:r>
          </w:p>
        </w:tc>
      </w:tr>
      <w:tr>
        <w:trPr>
          <w:trHeight w:val="250"/>
        </w:trPr>
        <w:tc>
          <w:tcPr>
            <w:tcW w:w="3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7"/>
          </w:tcPr>
          <w:p>
            <w:pPr>
              <w:ind w:left="200"/>
              <w:spacing w:after="0"/>
              <w:rPr>
                <w:sz w:val="20"/>
                <w:szCs w:val="20"/>
                <w:color w:val="auto"/>
              </w:rPr>
            </w:pPr>
            <w:r>
              <w:rPr>
                <w:rFonts w:ascii="Arial" w:cs="Arial" w:eastAsia="Arial" w:hAnsi="Arial"/>
                <w:sz w:val="14"/>
                <w:szCs w:val="14"/>
                <w:b w:val="1"/>
                <w:bCs w:val="1"/>
                <w:color w:val="auto"/>
              </w:rPr>
              <w:t xml:space="preserve">(in millions of barrels per day) </w:t>
            </w:r>
            <w:r>
              <w:rPr>
                <w:rFonts w:ascii="Arial" w:cs="Arial" w:eastAsia="Arial" w:hAnsi="Arial"/>
                <w:sz w:val="8"/>
                <w:szCs w:val="8"/>
                <w:b w:val="1"/>
                <w:bCs w:val="1"/>
                <w:color w:val="auto"/>
              </w:rPr>
              <w:t>(2)</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(Supply)</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OPEC</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0.9</w:t>
            </w:r>
          </w:p>
        </w:tc>
      </w:tr>
      <w:tr>
        <w:trPr>
          <w:trHeight w:val="27"/>
        </w:trPr>
        <w:tc>
          <w:tcPr>
            <w:tcW w:w="3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Non-OPEC</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3460" w:type="dxa"/>
            <w:vAlign w:val="bottom"/>
          </w:tcPr>
          <w:p>
            <w:pPr>
              <w:ind w:left="28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3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Consumption (Demand)</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w:t>
            </w:r>
          </w:p>
        </w:tc>
      </w:tr>
      <w:tr>
        <w:trPr>
          <w:trHeight w:val="27"/>
        </w:trPr>
        <w:tc>
          <w:tcPr>
            <w:tcW w:w="3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Global Supply / Demand Balance</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are derived from the EIA’s Short-Term Energy Outlook.</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This surge in liquids production without a commensurate increase in demand has led to a near-to-medium-term supply imbalance and increase in inventory, which has resulted in a reduction to benchmark petroleum prices. Producers, in turn, scaled back capital programs, which ultimately reduced supply. These outcomes are expected to lead to underinvestment in long lead time projects and additionally stimulate petroleum demand growth, which ultimately should lead to an environment where prices will recover to a level to support future production growth in the U.S.</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2016, OPEC indicated a desire to return to its historical strategy of managing crude oil production levels. Joined by certain non-OPEC countries such as Russia and Mexico, OPEC and non-OPEC participants have targeted to cut output by approximately 1.8 million barrels per day in the first of half of 2017. This decision drove a significant increase in crude oil prices during the fourth quarter of 2016. To the extent the production cut is executed and demand growth stays on trend, accumulated inventories should begin to decline, prices should remain firm and potentially rise, ultimately leading to increased activity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disasters and geopolitical factors such as hurricanes, earthquakes, tsunamis, inclement weather, labor strikes, refinery disruptions, embargoes and armed conflicts may impact supply, demand, transportation and storage logistics.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From 2011 through 2014,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came from mature producing areas such as the Rockies, the Permian Basin in West Texas and the Mid-Continent region, as well as from less mature, but rapidly growing areas such as the Eagle Ford Shale in South Texas and the Williston Basin in North Dakota. As a result, North American crude oil production increased 3.7 million barrels per day, or 33% between 2011 and 2014, with the increases coming primarily from Canada, the Eagle Ford Shale, the Permian Basin and the Williston Basin. Production increases in all of these regions strained existing transportation, terminalling and downstream infrastructure. This opportunity for new crude oil infrastructure attracted significant investment in midstream oil assets, resulting in excess midstream capacity in the Permian, Eagle Ford, Williston, Mid-continent and DJ basins. The combination of the slowdown in U.S. crude oil production growth and significant commitments for new infrastructure created an environment in which margins have compressed and differentials are less than transportation cost in some cases. As production growth resumes and pipeline utilizations increase, differentials should approach transportation cost parity. The improvement is expected to occur on a regional basis subject to reductions in excess capacity.</w:t>
      </w:r>
    </w:p>
    <w:p>
      <w:pPr>
        <w:spacing w:after="0" w:line="16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significant shifts in the type and location of crude oil being produced in North America, relative to the types and location of crude oil being produced five years ago, have led to changes in the utilization of downstream infrastructure. From 2009 through 2015, refiners increased throughputs to take advantage of discounted domestic production, which led to lower use of imported crude oil by U.S. refineries. This decline in imports was a meaningful change in a multi-year trend where foreign imports of crude oil tripled over an approximately 23-year period from 1985 to 2007. However, in 2016, this more recent trend reversed as a result of lower 48 onshore production declines. In 2016, U.S. refinery inputs reached historically high levels fueled by price driven demand growth and exports, and U.S. petroleum consumption increased to 19.6 million barrels per day. The table below shows the overall domestic petroleum consumption projected through 2018 and is derived from the EIA Short-Term Energy Outlook, January 2017 (see EIA website at </w:t>
      </w:r>
      <w:r>
        <w:rPr>
          <w:rFonts w:ascii="Arial" w:cs="Arial" w:eastAsia="Arial" w:hAnsi="Arial"/>
          <w:sz w:val="16"/>
          <w:szCs w:val="16"/>
          <w:i w:val="1"/>
          <w:iCs w:val="1"/>
          <w:color w:val="auto"/>
        </w:rPr>
        <w:t>www.eia.doe.gov</w:t>
      </w:r>
      <w:r>
        <w:rPr>
          <w:rFonts w:ascii="Arial" w:cs="Arial" w:eastAsia="Arial" w:hAnsi="Arial"/>
          <w:sz w:val="16"/>
          <w:szCs w:val="16"/>
          <w:color w:val="auto"/>
        </w:rPr>
        <w:t>). This forecast shows increasing domestic production, decreasing foreign imports and steady levels of product exports.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5"/>
              </w:rPr>
              <w:t xml:space="preserve">Actual </w:t>
            </w:r>
            <w:r>
              <w:rPr>
                <w:rFonts w:ascii="Arial" w:cs="Arial" w:eastAsia="Arial" w:hAnsi="Arial"/>
                <w:sz w:val="8"/>
                <w:szCs w:val="8"/>
                <w:b w:val="1"/>
                <w:bCs w:val="1"/>
                <w:color w:val="auto"/>
                <w:w w:val="95"/>
              </w:rPr>
              <w:t>(1)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10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40" w:type="dxa"/>
            <w:vAlign w:val="bottom"/>
            <w:gridSpan w:val="4"/>
          </w:tcPr>
          <w:p>
            <w:pPr>
              <w:ind w:left="7200"/>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 millions of barrels per day)</w:t>
            </w:r>
          </w:p>
        </w:tc>
        <w:tc>
          <w:tcPr>
            <w:tcW w:w="1020" w:type="dxa"/>
            <w:vAlign w:val="bottom"/>
            <w:tcBorders>
              <w:top w:val="single" w:sz="8" w:color="auto"/>
            </w:tcBorders>
          </w:tcPr>
          <w:p>
            <w:pPr>
              <w:spacing w:after="0"/>
              <w:rPr>
                <w:sz w:val="21"/>
                <w:szCs w:val="21"/>
                <w:color w:val="auto"/>
              </w:rPr>
            </w:pPr>
          </w:p>
        </w:tc>
      </w:tr>
      <w:tr>
        <w:trPr>
          <w:trHeight w:val="209"/>
        </w:trPr>
        <w:tc>
          <w:tcPr>
            <w:tcW w:w="780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Supply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Domestic Crude Oil Production</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Imports - Crude Oil</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Other - (Supply Adjustment/Stock Change)</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Crude Oil Input to Domestic Refineries</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1"/>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r>
      <w:tr>
        <w:trPr>
          <w:trHeight w:val="29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Net Product Imports / (Exports)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Supply from Renewable Sources</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Other - (NGL Production, Refinery Processing Gain)</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Total Domestic Petroleum Consumption</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1"/>
              </w:rPr>
              <w:t>19.6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412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18"/>
        </w:trPr>
        <w:tc>
          <w:tcPr>
            <w:tcW w:w="160" w:type="dxa"/>
            <w:vAlign w:val="bottom"/>
            <w:gridSpan w:val="2"/>
          </w:tcPr>
          <w:p>
            <w:pPr>
              <w:jc w:val="right"/>
              <w:spacing w:after="0"/>
              <w:rPr>
                <w:sz w:val="20"/>
                <w:szCs w:val="20"/>
                <w:color w:val="auto"/>
              </w:rPr>
            </w:pPr>
            <w:r>
              <w:rPr>
                <w:rFonts w:ascii="Arial" w:cs="Arial" w:eastAsia="Arial" w:hAnsi="Arial"/>
                <w:sz w:val="13"/>
                <w:szCs w:val="13"/>
                <w:color w:val="auto"/>
                <w:w w:val="87"/>
              </w:rPr>
              <w:t>(1)</w:t>
            </w:r>
          </w:p>
        </w:tc>
        <w:tc>
          <w:tcPr>
            <w:tcW w:w="420" w:type="dxa"/>
            <w:vAlign w:val="bottom"/>
          </w:tcPr>
          <w:p>
            <w:pPr>
              <w:spacing w:after="0"/>
              <w:rPr>
                <w:sz w:val="24"/>
                <w:szCs w:val="24"/>
                <w:color w:val="auto"/>
              </w:rPr>
            </w:pPr>
          </w:p>
        </w:tc>
        <w:tc>
          <w:tcPr>
            <w:tcW w:w="7220" w:type="dxa"/>
            <w:vAlign w:val="bottom"/>
            <w:gridSpan w:val="3"/>
          </w:tcPr>
          <w:p>
            <w:pPr>
              <w:ind w:left="80"/>
              <w:spacing w:after="0"/>
              <w:rPr>
                <w:sz w:val="20"/>
                <w:szCs w:val="20"/>
                <w:color w:val="auto"/>
              </w:rPr>
            </w:pPr>
            <w:r>
              <w:rPr>
                <w:rFonts w:ascii="Arial" w:cs="Arial" w:eastAsia="Arial" w:hAnsi="Arial"/>
                <w:sz w:val="18"/>
                <w:szCs w:val="18"/>
                <w:color w:val="auto"/>
              </w:rPr>
              <w:t>Amounts may not recalculate due to rounding.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gridSpan w:val="3"/>
          </w:tcPr>
          <w:p>
            <w:pPr>
              <w:ind w:left="546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00" w:hanging="324"/>
        <w:spacing w:after="0" w:line="286" w:lineRule="auto"/>
        <w:tabs>
          <w:tab w:leader="none" w:pos="98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i w:val="1"/>
          <w:iCs w:val="1"/>
          <w:color w:val="auto"/>
        </w:rPr>
      </w:pPr>
    </w:p>
    <w:p>
      <w:pPr>
        <w:ind w:left="980" w:hanging="324"/>
        <w:spacing w:after="0" w:line="277"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62" w:lineRule="exact"/>
        <w:rPr>
          <w:rFonts w:ascii="Arial" w:cs="Arial" w:eastAsia="Arial" w:hAnsi="Arial"/>
          <w:sz w:val="18"/>
          <w:szCs w:val="18"/>
          <w:i w:val="1"/>
          <w:iCs w:val="1"/>
          <w:color w:val="auto"/>
        </w:rPr>
      </w:pPr>
    </w:p>
    <w:p>
      <w:pPr>
        <w:ind w:left="980" w:right="60" w:hanging="324"/>
        <w:spacing w:after="0" w:line="286" w:lineRule="auto"/>
        <w:tabs>
          <w:tab w:leader="none" w:pos="98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57" w:lineRule="exact"/>
        <w:rPr>
          <w:rFonts w:ascii="Arial" w:cs="Arial" w:eastAsia="Arial" w:hAnsi="Arial"/>
          <w:sz w:val="17"/>
          <w:szCs w:val="17"/>
          <w:i w:val="1"/>
          <w:iCs w:val="1"/>
          <w:color w:val="auto"/>
        </w:rPr>
      </w:pPr>
    </w:p>
    <w:p>
      <w:pPr>
        <w:ind w:left="980" w:hanging="324"/>
        <w:spacing w:after="0"/>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117" w:lineRule="exact"/>
        <w:rPr>
          <w:rFonts w:ascii="Arial" w:cs="Arial" w:eastAsia="Arial" w:hAnsi="Arial"/>
          <w:sz w:val="18"/>
          <w:szCs w:val="18"/>
          <w:i w:val="1"/>
          <w:iCs w:val="1"/>
          <w:color w:val="auto"/>
        </w:rPr>
      </w:pPr>
    </w:p>
    <w:p>
      <w:pPr>
        <w:ind w:left="980" w:right="820" w:hanging="324"/>
        <w:spacing w:after="0" w:line="277"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82%)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This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NGL products from refineries represent approximately 14%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4% of total supply). NGL (primarily propane and butane) is also exported from certain regions of the United States.</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NGL Storage. </w:t>
      </w:r>
      <w:r>
        <w:rPr>
          <w:rFonts w:ascii="Arial" w:cs="Arial" w:eastAsia="Arial" w:hAnsi="Arial"/>
          <w:sz w:val="18"/>
          <w:szCs w:val="18"/>
          <w:color w:val="auto"/>
        </w:rPr>
        <w:t>NGL must be stored under pressure to maintain a liquid state. The lighter the product (e.g., ethane), the greater the pressure that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maintained. Large volumes of NGL are stored in underground caverns constructed in salt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growth of production in non-traditional producing regions has shifted regional basis relationships and created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8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While a low price environment may stunt production growth, we believe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8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weather related demand;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80" w:firstLine="8"/>
        <w:spacing w:after="0" w:line="255"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disruptions from tropical weather and (iii) lower basis differentials in certain regions due to expansion and improved connectivity of natural gas transportation infrastructure.</w:t>
      </w:r>
    </w:p>
    <w:p>
      <w:pPr>
        <w:spacing w:after="0" w:line="9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 (ii) increased exports of natural gas to Mexico, (iii) construction of new gas-fired power plants, (iv) sustained fuel switching from coal to natural gas among existing power plants and (v) growth in base-level industrial demand. As a result, we remain optimistic about the intermediate- to long-term intrinsic value of our natural gas storage assets.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and descriptions below highlights our more significant assets (including certain assets under construction or development)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848985" cy="5034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503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entities that own the BridgeTex, Cheyenne, Eagle Ford, White Cliffs, Frontier, Saddlehorn, STACK and Butte pipeline systems, as well as Settoon Towing. We account for these investments under the equity method of accounting.</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2016,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19,200 miles of active crude oil and NGL pipelines and gathering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31 million barrels of active, above-ground tank capacity used primarily to facilitate pipeline throughput;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810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120 transport and storage barges and 60 transport tugs through our interest in Settoon Towing.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2016, grouped by geographic location: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9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System Miles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2016 Average Net</w:t>
            </w:r>
          </w:p>
        </w:tc>
        <w:tc>
          <w:tcPr>
            <w:tcW w:w="0" w:type="dxa"/>
            <w:vAlign w:val="bottom"/>
          </w:tcPr>
          <w:p>
            <w:pPr>
              <w:spacing w:after="0"/>
              <w:rPr>
                <w:sz w:val="1"/>
                <w:szCs w:val="1"/>
                <w:color w:val="auto"/>
              </w:rPr>
            </w:pPr>
          </w:p>
        </w:tc>
      </w:tr>
      <w:tr>
        <w:trPr>
          <w:trHeight w:val="192"/>
        </w:trPr>
        <w:tc>
          <w:tcPr>
            <w:tcW w:w="7660" w:type="dxa"/>
            <w:vAlign w:val="bottom"/>
            <w:gridSpan w:val="4"/>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Barrels per Day </w:t>
            </w:r>
            <w:r>
              <w:rPr>
                <w:rFonts w:ascii="Arial" w:cs="Arial" w:eastAsia="Arial" w:hAnsi="Arial"/>
                <w:sz w:val="8"/>
                <w:szCs w:val="8"/>
                <w:b w:val="1"/>
                <w:bCs w:val="1"/>
                <w:color w:val="auto"/>
                <w:w w:val="95"/>
              </w:rPr>
              <w:t>(2)</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4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76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 Crude Oil Pipelines</w:t>
            </w: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4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Permian Basin</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340"/>
              <w:spacing w:after="0"/>
              <w:rPr>
                <w:sz w:val="20"/>
                <w:szCs w:val="20"/>
                <w:color w:val="auto"/>
              </w:rPr>
            </w:pPr>
            <w:r>
              <w:rPr>
                <w:rFonts w:ascii="Arial" w:cs="Arial" w:eastAsia="Arial" w:hAnsi="Arial"/>
                <w:sz w:val="18"/>
                <w:szCs w:val="18"/>
                <w:color w:val="auto"/>
              </w:rPr>
              <w:t>Basin / Mesa / Sunrise</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BridgeTex </w:t>
            </w:r>
            <w:r>
              <w:rPr>
                <w:rFonts w:ascii="Arial" w:cs="Arial" w:eastAsia="Arial" w:hAnsi="Arial"/>
                <w:sz w:val="25"/>
                <w:szCs w:val="25"/>
                <w:color w:val="auto"/>
                <w:vertAlign w:val="superscript"/>
              </w:rPr>
              <w:t>(3) (4)</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340"/>
              <w:spacing w:after="0"/>
              <w:rPr>
                <w:sz w:val="20"/>
                <w:szCs w:val="20"/>
                <w:color w:val="auto"/>
              </w:rPr>
            </w:pPr>
            <w:r>
              <w:rPr>
                <w:rFonts w:ascii="Arial" w:cs="Arial" w:eastAsia="Arial" w:hAnsi="Arial"/>
                <w:sz w:val="18"/>
                <w:szCs w:val="18"/>
                <w:color w:val="auto"/>
              </w:rPr>
              <w:t>Cactus</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3"/>
          </w:tcPr>
          <w:p>
            <w:pPr>
              <w:ind w:left="560"/>
              <w:spacing w:after="0"/>
              <w:rPr>
                <w:sz w:val="20"/>
                <w:szCs w:val="20"/>
                <w:color w:val="auto"/>
              </w:rPr>
            </w:pPr>
            <w:r>
              <w:rPr>
                <w:rFonts w:ascii="Arial" w:cs="Arial" w:eastAsia="Arial" w:hAnsi="Arial"/>
                <w:sz w:val="18"/>
                <w:szCs w:val="18"/>
                <w:b w:val="1"/>
                <w:bCs w:val="1"/>
                <w:color w:val="auto"/>
              </w:rPr>
              <w:t>Permian Basin Subtotal</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b w:val="1"/>
                <w:bCs w:val="1"/>
                <w:color w:val="auto"/>
              </w:rPr>
              <w:t>South Texas/Eagle Ford</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5"/>
                <w:szCs w:val="25"/>
                <w:color w:val="auto"/>
                <w:vertAlign w:val="superscript"/>
              </w:rPr>
              <w:t>(4)</w:t>
            </w:r>
          </w:p>
        </w:tc>
        <w:tc>
          <w:tcPr>
            <w:tcW w:w="1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3"/>
          </w:tcPr>
          <w:p>
            <w:pPr>
              <w:ind w:left="560"/>
              <w:spacing w:after="0"/>
              <w:rPr>
                <w:sz w:val="20"/>
                <w:szCs w:val="20"/>
                <w:color w:val="auto"/>
              </w:rPr>
            </w:pPr>
            <w:r>
              <w:rPr>
                <w:rFonts w:ascii="Arial" w:cs="Arial" w:eastAsia="Arial" w:hAnsi="Arial"/>
                <w:sz w:val="18"/>
                <w:szCs w:val="18"/>
                <w:b w:val="1"/>
                <w:bCs w:val="1"/>
                <w:color w:val="auto"/>
              </w:rPr>
              <w:t>South Texas/Eagle Ford Subtotal</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b w:val="1"/>
                <w:bCs w:val="1"/>
                <w:color w:val="auto"/>
              </w:rPr>
              <w:t>Western</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All American </w:t>
            </w:r>
            <w:r>
              <w:rPr>
                <w:rFonts w:ascii="Arial" w:cs="Arial" w:eastAsia="Arial" w:hAnsi="Arial"/>
                <w:sz w:val="25"/>
                <w:szCs w:val="25"/>
                <w:color w:val="auto"/>
                <w:vertAlign w:val="superscript"/>
              </w:rPr>
              <w:t>(5)</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340"/>
              <w:spacing w:after="0"/>
              <w:rPr>
                <w:sz w:val="20"/>
                <w:szCs w:val="20"/>
                <w:color w:val="auto"/>
              </w:rPr>
            </w:pPr>
            <w:r>
              <w:rPr>
                <w:rFonts w:ascii="Arial" w:cs="Arial" w:eastAsia="Arial" w:hAnsi="Arial"/>
                <w:sz w:val="18"/>
                <w:szCs w:val="18"/>
                <w:color w:val="auto"/>
              </w:rPr>
              <w:t>Line 63 / Line 2000</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3"/>
          </w:tcPr>
          <w:p>
            <w:pPr>
              <w:ind w:left="560"/>
              <w:spacing w:after="0"/>
              <w:rPr>
                <w:sz w:val="20"/>
                <w:szCs w:val="20"/>
                <w:color w:val="auto"/>
              </w:rPr>
            </w:pPr>
            <w:r>
              <w:rPr>
                <w:rFonts w:ascii="Arial" w:cs="Arial" w:eastAsia="Arial" w:hAnsi="Arial"/>
                <w:sz w:val="18"/>
                <w:szCs w:val="18"/>
                <w:b w:val="1"/>
                <w:bCs w:val="1"/>
                <w:color w:val="auto"/>
              </w:rPr>
              <w:t>Western Subtotal</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b w:val="1"/>
                <w:bCs w:val="1"/>
                <w:color w:val="auto"/>
              </w:rPr>
              <w:t>Rocky Mountain</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5"/>
                <w:szCs w:val="25"/>
                <w:color w:val="auto"/>
                <w:vertAlign w:val="superscript"/>
              </w:rPr>
              <w:t>(4)</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 xml:space="preserve">Cheyenne </w:t>
            </w:r>
            <w:r>
              <w:rPr>
                <w:rFonts w:ascii="Arial" w:cs="Arial" w:eastAsia="Arial" w:hAnsi="Arial"/>
                <w:sz w:val="25"/>
                <w:szCs w:val="25"/>
                <w:color w:val="auto"/>
                <w:vertAlign w:val="superscript"/>
              </w:rPr>
              <w:t>(4)</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Saddlehorn </w:t>
            </w:r>
            <w:r>
              <w:rPr>
                <w:rFonts w:ascii="Arial" w:cs="Arial" w:eastAsia="Arial" w:hAnsi="Arial"/>
                <w:sz w:val="25"/>
                <w:szCs w:val="25"/>
                <w:color w:val="auto"/>
                <w:vertAlign w:val="superscript"/>
              </w:rPr>
              <w:t>(3) (4)</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5"/>
                <w:szCs w:val="25"/>
                <w:color w:val="auto"/>
                <w:vertAlign w:val="superscript"/>
              </w:rPr>
              <w:t>(4)</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3"/>
                <w:szCs w:val="23"/>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5"/>
                <w:szCs w:val="25"/>
                <w:color w:val="auto"/>
                <w:vertAlign w:val="superscript"/>
              </w:rPr>
              <w:t>(3) (4)</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Rocky Mountain Subtotal</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9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System Miles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2016 Average Net</w:t>
            </w:r>
          </w:p>
        </w:tc>
        <w:tc>
          <w:tcPr>
            <w:tcW w:w="0" w:type="dxa"/>
            <w:vAlign w:val="bottom"/>
          </w:tcPr>
          <w:p>
            <w:pPr>
              <w:spacing w:after="0"/>
              <w:rPr>
                <w:sz w:val="1"/>
                <w:szCs w:val="1"/>
                <w:color w:val="auto"/>
              </w:rPr>
            </w:pPr>
          </w:p>
        </w:tc>
      </w:tr>
      <w:tr>
        <w:trPr>
          <w:trHeight w:val="192"/>
        </w:trPr>
        <w:tc>
          <w:tcPr>
            <w:tcW w:w="7660" w:type="dxa"/>
            <w:vAlign w:val="bottom"/>
            <w:gridSpan w:val="5"/>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Barrels per Day </w:t>
            </w:r>
            <w:r>
              <w:rPr>
                <w:rFonts w:ascii="Arial" w:cs="Arial" w:eastAsia="Arial" w:hAnsi="Arial"/>
                <w:sz w:val="8"/>
                <w:szCs w:val="8"/>
                <w:b w:val="1"/>
                <w:bCs w:val="1"/>
                <w:color w:val="auto"/>
                <w:w w:val="95"/>
              </w:rPr>
              <w:t>(2)</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5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Gulf Coast</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gridSpan w:val="4"/>
          </w:tcPr>
          <w:p>
            <w:pPr>
              <w:ind w:left="340"/>
              <w:spacing w:after="0" w:line="270"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5"/>
                <w:szCs w:val="25"/>
                <w:color w:val="auto"/>
                <w:vertAlign w:val="superscript"/>
              </w:rPr>
              <w:t>(3)</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Pascagoula</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8"/>
                <w:szCs w:val="18"/>
                <w:b w:val="1"/>
                <w:bCs w:val="1"/>
                <w:color w:val="auto"/>
              </w:rPr>
              <w:t>Gulf Coast Subtotal</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Central</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gridSpan w:val="4"/>
          </w:tcPr>
          <w:p>
            <w:pPr>
              <w:ind w:left="340"/>
              <w:spacing w:after="0" w:line="270" w:lineRule="exact"/>
              <w:rPr>
                <w:sz w:val="20"/>
                <w:szCs w:val="20"/>
                <w:color w:val="auto"/>
              </w:rPr>
            </w:pPr>
            <w:r>
              <w:rPr>
                <w:rFonts w:ascii="Arial" w:cs="Arial" w:eastAsia="Arial" w:hAnsi="Arial"/>
                <w:sz w:val="18"/>
                <w:szCs w:val="18"/>
                <w:color w:val="auto"/>
              </w:rPr>
              <w:t xml:space="preserve">Mid-Continent Area Systems </w:t>
            </w:r>
            <w:r>
              <w:rPr>
                <w:rFonts w:ascii="Arial" w:cs="Arial" w:eastAsia="Arial" w:hAnsi="Arial"/>
                <w:sz w:val="25"/>
                <w:szCs w:val="25"/>
                <w:color w:val="auto"/>
                <w:vertAlign w:val="superscript"/>
              </w:rPr>
              <w:t>(4)</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4"/>
          </w:tcPr>
          <w:p>
            <w:pPr>
              <w:ind w:left="560"/>
              <w:spacing w:after="0"/>
              <w:rPr>
                <w:sz w:val="20"/>
                <w:szCs w:val="20"/>
                <w:color w:val="auto"/>
              </w:rPr>
            </w:pPr>
            <w:r>
              <w:rPr>
                <w:rFonts w:ascii="Arial" w:cs="Arial" w:eastAsia="Arial" w:hAnsi="Arial"/>
                <w:sz w:val="18"/>
                <w:szCs w:val="18"/>
                <w:b w:val="1"/>
                <w:bCs w:val="1"/>
                <w:color w:val="auto"/>
              </w:rPr>
              <w:t>Central Subtotal</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4"/>
          </w:tcPr>
          <w:p>
            <w:pPr>
              <w:ind w:left="140"/>
              <w:spacing w:after="0"/>
              <w:rPr>
                <w:sz w:val="20"/>
                <w:szCs w:val="20"/>
                <w:color w:val="auto"/>
              </w:rPr>
            </w:pPr>
            <w:r>
              <w:rPr>
                <w:rFonts w:ascii="Arial" w:cs="Arial" w:eastAsia="Arial" w:hAnsi="Arial"/>
                <w:sz w:val="18"/>
                <w:szCs w:val="18"/>
                <w:b w:val="1"/>
                <w:bCs w:val="1"/>
                <w:color w:val="auto"/>
              </w:rPr>
              <w:t>United States Crude Oil Pipelines Total</w:t>
            </w:r>
          </w:p>
        </w:tc>
        <w:tc>
          <w:tcPr>
            <w:tcW w:w="1840" w:type="dxa"/>
            <w:vAlign w:val="bottom"/>
          </w:tcPr>
          <w:p>
            <w:pPr>
              <w:jc w:val="right"/>
              <w:ind w:right="31"/>
              <w:spacing w:after="0"/>
              <w:rPr>
                <w:sz w:val="20"/>
                <w:szCs w:val="20"/>
                <w:color w:val="auto"/>
              </w:rPr>
            </w:pPr>
            <w:r>
              <w:rPr>
                <w:rFonts w:ascii="Arial" w:cs="Arial" w:eastAsia="Arial" w:hAnsi="Arial"/>
                <w:sz w:val="18"/>
                <w:szCs w:val="18"/>
                <w:b w:val="1"/>
                <w:bCs w:val="1"/>
                <w:color w:val="auto"/>
              </w:rPr>
              <w:t>14,535</w:t>
            </w:r>
          </w:p>
        </w:tc>
        <w:tc>
          <w:tcPr>
            <w:tcW w:w="12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b w:val="1"/>
                <w:bCs w:val="1"/>
                <w:color w:val="auto"/>
              </w:rPr>
              <w:t>3,958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Canada Crude Oil Pipelines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5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Rainbow</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South Saskatchewan</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4"/>
          </w:tcPr>
          <w:p>
            <w:pPr>
              <w:ind w:left="560"/>
              <w:spacing w:after="0"/>
              <w:rPr>
                <w:sz w:val="20"/>
                <w:szCs w:val="20"/>
                <w:color w:val="auto"/>
              </w:rPr>
            </w:pPr>
            <w:r>
              <w:rPr>
                <w:rFonts w:ascii="Arial" w:cs="Arial" w:eastAsia="Arial" w:hAnsi="Arial"/>
                <w:sz w:val="18"/>
                <w:szCs w:val="18"/>
                <w:b w:val="1"/>
                <w:bCs w:val="1"/>
                <w:color w:val="auto"/>
              </w:rPr>
              <w:t>Canada Crude Oil Pipelines Total</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4"/>
          </w:tcPr>
          <w:p>
            <w:pPr>
              <w:ind w:left="560"/>
              <w:spacing w:after="0"/>
              <w:rPr>
                <w:sz w:val="20"/>
                <w:szCs w:val="20"/>
                <w:color w:val="auto"/>
              </w:rPr>
            </w:pPr>
            <w:r>
              <w:rPr>
                <w:rFonts w:ascii="Arial" w:cs="Arial" w:eastAsia="Arial" w:hAnsi="Arial"/>
                <w:sz w:val="18"/>
                <w:szCs w:val="18"/>
                <w:b w:val="1"/>
                <w:bCs w:val="1"/>
                <w:color w:val="auto"/>
              </w:rPr>
              <w:t>Crude Oil Pipelines Total</w:t>
            </w:r>
          </w:p>
        </w:tc>
        <w:tc>
          <w:tcPr>
            <w:tcW w:w="1840" w:type="dxa"/>
            <w:vAlign w:val="bottom"/>
          </w:tcPr>
          <w:p>
            <w:pPr>
              <w:jc w:val="right"/>
              <w:ind w:right="31"/>
              <w:spacing w:after="0"/>
              <w:rPr>
                <w:sz w:val="20"/>
                <w:szCs w:val="20"/>
                <w:color w:val="auto"/>
              </w:rPr>
            </w:pPr>
            <w:r>
              <w:rPr>
                <w:rFonts w:ascii="Arial" w:cs="Arial" w:eastAsia="Arial" w:hAnsi="Arial"/>
                <w:sz w:val="18"/>
                <w:szCs w:val="18"/>
                <w:b w:val="1"/>
                <w:bCs w:val="1"/>
                <w:color w:val="auto"/>
              </w:rPr>
              <w:t>17,429</w:t>
            </w:r>
          </w:p>
        </w:tc>
        <w:tc>
          <w:tcPr>
            <w:tcW w:w="12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b w:val="1"/>
                <w:bCs w:val="1"/>
                <w:color w:val="auto"/>
              </w:rPr>
              <w:t>4,339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Canada NGL Pipelines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PPTC</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4"/>
          </w:tcPr>
          <w:p>
            <w:pPr>
              <w:ind w:left="560"/>
              <w:spacing w:after="0"/>
              <w:rPr>
                <w:sz w:val="20"/>
                <w:szCs w:val="20"/>
                <w:color w:val="auto"/>
              </w:rPr>
            </w:pPr>
            <w:r>
              <w:rPr>
                <w:rFonts w:ascii="Arial" w:cs="Arial" w:eastAsia="Arial" w:hAnsi="Arial"/>
                <w:sz w:val="18"/>
                <w:szCs w:val="18"/>
                <w:b w:val="1"/>
                <w:bCs w:val="1"/>
                <w:color w:val="auto"/>
              </w:rPr>
              <w:t>Canada NGL Pipelines Total</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gridSpan w:val="5"/>
          </w:tcPr>
          <w:p>
            <w:pPr>
              <w:ind w:left="40"/>
              <w:spacing w:after="0"/>
              <w:rPr>
                <w:sz w:val="20"/>
                <w:szCs w:val="20"/>
                <w:color w:val="auto"/>
              </w:rPr>
            </w:pPr>
            <w:r>
              <w:rPr>
                <w:rFonts w:ascii="Arial" w:cs="Arial" w:eastAsia="Arial" w:hAnsi="Arial"/>
                <w:sz w:val="18"/>
                <w:szCs w:val="18"/>
                <w:b w:val="1"/>
                <w:bCs w:val="1"/>
                <w:color w:val="auto"/>
              </w:rPr>
              <w:t>Grand Total</w:t>
            </w:r>
          </w:p>
        </w:tc>
        <w:tc>
          <w:tcPr>
            <w:tcW w:w="1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19,165</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Ownership percentage varies on each pipeline and gathering system ranging from approximately 20% to 100%.</w:t>
      </w:r>
    </w:p>
    <w:p>
      <w:pPr>
        <w:spacing w:after="0" w:line="98" w:lineRule="exact"/>
        <w:rPr>
          <w:rFonts w:ascii="Arial" w:cs="Arial" w:eastAsia="Arial" w:hAnsi="Arial"/>
          <w:sz w:val="25"/>
          <w:szCs w:val="25"/>
          <w:color w:val="auto"/>
          <w:vertAlign w:val="superscript"/>
        </w:rPr>
      </w:pPr>
    </w:p>
    <w:p>
      <w:pPr>
        <w:ind w:left="660" w:right="380" w:hanging="652"/>
        <w:spacing w:after="0" w:line="225"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might be included multiple times as volumes move through our integrated system.</w:t>
      </w:r>
    </w:p>
    <w:p>
      <w:pPr>
        <w:spacing w:after="0" w:line="3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Pipelines operated by a third party.</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total mileage and volumes (attributable to our interest) from pipelines owned by unconsolidated entities.</w:t>
      </w:r>
    </w:p>
    <w:p>
      <w:pPr>
        <w:spacing w:after="0" w:line="98" w:lineRule="exact"/>
        <w:rPr>
          <w:rFonts w:ascii="Arial" w:cs="Arial" w:eastAsia="Arial" w:hAnsi="Arial"/>
          <w:sz w:val="25"/>
          <w:szCs w:val="25"/>
          <w:color w:val="auto"/>
          <w:vertAlign w:val="superscript"/>
        </w:rPr>
      </w:pPr>
    </w:p>
    <w:p>
      <w:pPr>
        <w:ind w:left="660" w:right="120" w:hanging="652"/>
        <w:spacing w:after="0" w:line="214"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Except for the segment of the All American Pipeline between Pentland and Emidio, the pipeline has been shut down since May 19, 2015, following the Line 901 incident.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 Pipelines</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significant portion of our U.S. pipeline assets are interconnected and are operated as a contiguous system. The following descriptions are based on geographic location.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Basin Pipeline. </w:t>
      </w:r>
      <w:r>
        <w:rPr>
          <w:rFonts w:ascii="Arial" w:cs="Arial" w:eastAsia="Arial" w:hAnsi="Arial"/>
          <w:sz w:val="17"/>
          <w:szCs w:val="17"/>
          <w:color w:val="auto"/>
        </w:rPr>
        <w:t>We own an 87% undivided joint interest in and are the operator of Basin Pipeline. Basin Pipeline is a 607-mile mainline, and is the</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route for transporting crude oil from the Permian Basin (in west Texas and southern New Mexico) to Cushing, Oklahoma, for further delivery to Mid-Continent and Midwest refining centers. Basin Pipeline also serves as the initial movement for transporting crude oil from the Permian Basin to the Gulf Coast through connections to other carriers at Colorado City, Texas and Wichita Falls, Texas.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segment of the pipeline from Wink to Midland, Texas includes both a 24-inch pipeline and a 20-inch pipeline; together these lines have a capacity of approximately 600,000 barrels per day. The segment of the pipeline from Midland, Texas to Cushing, Oklahoma is a 22-inch to 24-inch telescoping pipeline with capacity ranging from 400,000 barrels per day to 460,000 barrels per day. The pipeline also includes approximately 6 million barrels of storage tankage, as well as a receipt facility in southern Oklahoma to aggregate South Central Oklahoma Oil Province (SCOOP) production.</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to a refinery at</w:t>
      </w:r>
      <w:r>
        <w:rPr>
          <w:rFonts w:ascii="Arial" w:cs="Arial" w:eastAsia="Arial" w:hAnsi="Arial"/>
          <w:sz w:val="18"/>
          <w:szCs w:val="18"/>
          <w:i w:val="1"/>
          <w:iCs w:val="1"/>
          <w:color w:val="auto"/>
        </w:rPr>
        <w:t xml:space="preserve"> </w:t>
      </w:r>
      <w:r>
        <w:rPr>
          <w:rFonts w:ascii="Arial" w:cs="Arial" w:eastAsia="Arial" w:hAnsi="Arial"/>
          <w:sz w:val="18"/>
          <w:szCs w:val="18"/>
          <w:color w:val="auto"/>
        </w:rPr>
        <w:t>Big Spring, Texas, and to connecting carriers at Colorado City. Mesa Pipeline is an 80-mile mainline with capacity of up to 400,000 barrels per day (approximately 252,000 barrels per day attributable to our interest).</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We own and operate the Sunrise Pipeline, an 84-mile pipeline with a capacity of approximately 250,000 barrels per day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extends from Midland to connecting carriers at Colorado City.</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BridgeTex Pipeline</w:t>
      </w:r>
      <w:r>
        <w:rPr>
          <w:rFonts w:ascii="Arial" w:cs="Arial" w:eastAsia="Arial" w:hAnsi="Arial"/>
          <w:sz w:val="16"/>
          <w:szCs w:val="16"/>
          <w:color w:val="auto"/>
        </w:rPr>
        <w:t>. We own a 50% interest in BridgeTex, a joint venture with a subsidiary of Magellan Midstream Partners, L.P. (“Magellan”).</w:t>
      </w:r>
      <w:r>
        <w:rPr>
          <w:rFonts w:ascii="Arial" w:cs="Arial" w:eastAsia="Arial" w:hAnsi="Arial"/>
          <w:sz w:val="16"/>
          <w:szCs w:val="16"/>
          <w:i w:val="1"/>
          <w:iCs w:val="1"/>
          <w:color w:val="auto"/>
        </w:rPr>
        <w:t xml:space="preserve"> </w:t>
      </w:r>
      <w:r>
        <w:rPr>
          <w:rFonts w:ascii="Arial" w:cs="Arial" w:eastAsia="Arial" w:hAnsi="Arial"/>
          <w:sz w:val="16"/>
          <w:szCs w:val="16"/>
          <w:color w:val="auto"/>
        </w:rPr>
        <w:t>BridgeTex owns a 20-inch crude oil pipeline that extends from Colorado City to East Houston, Texas. At Colorado City, the BridgeTex pipeline is connected to our Basin and Sunrise pipelines. The BridgeTex pipeline has a current capacity of 300,000 barrels per day, and will be expanded to 400,000 barrels per day when pumping equipment enhancements are completed in the second quarter of 2017. BridgeTex holds a long-term capacity lease agreement with Magellan whereby its shippers have access to capacity on Magellan’s pipeline from Houston to Texas City. Magellan serves as the operator of the BridgeTex pipeline.</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Cactus Pipeline. </w:t>
      </w:r>
      <w:r>
        <w:rPr>
          <w:rFonts w:ascii="Arial" w:cs="Arial" w:eastAsia="Arial" w:hAnsi="Arial"/>
          <w:sz w:val="18"/>
          <w:szCs w:val="18"/>
          <w:color w:val="auto"/>
        </w:rPr>
        <w:t>We own and operate the Cactus Pipeline, an approximate 300-mile crude oil pipeline extending from McCamey to Gardendale,</w:t>
      </w:r>
      <w:r>
        <w:rPr>
          <w:rFonts w:ascii="Arial" w:cs="Arial" w:eastAsia="Arial" w:hAnsi="Arial"/>
          <w:sz w:val="18"/>
          <w:szCs w:val="18"/>
          <w:i w:val="1"/>
          <w:iCs w:val="1"/>
          <w:color w:val="auto"/>
        </w:rPr>
        <w:t xml:space="preserve"> </w:t>
      </w:r>
      <w:r>
        <w:rPr>
          <w:rFonts w:ascii="Arial" w:cs="Arial" w:eastAsia="Arial" w:hAnsi="Arial"/>
          <w:sz w:val="18"/>
          <w:szCs w:val="18"/>
          <w:color w:val="auto"/>
        </w:rPr>
        <w:t>Texas, where it connects to the Eagle Ford joint venture pipeline. The Cactus Pipeline has a current takeaway capacity of approximately 300,000 barrels per day from the Permian Basin, and will be expanded to approximately 390,000 barrels per day when manifold and metering enhancements are completed in 2017.</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Permian Basin Area Pipelines. </w:t>
      </w:r>
      <w:r>
        <w:rPr>
          <w:rFonts w:ascii="Arial" w:cs="Arial" w:eastAsia="Arial" w:hAnsi="Arial"/>
          <w:sz w:val="18"/>
          <w:szCs w:val="18"/>
          <w:color w:val="auto"/>
        </w:rPr>
        <w:t>We operate wholly owned pipelines comprised of approximately 2,800 miles of pipe that aggregate receipts from</w:t>
      </w:r>
      <w:r>
        <w:rPr>
          <w:rFonts w:ascii="Arial" w:cs="Arial" w:eastAsia="Arial" w:hAnsi="Arial"/>
          <w:sz w:val="18"/>
          <w:szCs w:val="18"/>
          <w:i w:val="1"/>
          <w:iCs w:val="1"/>
          <w:color w:val="auto"/>
        </w:rPr>
        <w:t xml:space="preserve"> </w:t>
      </w:r>
      <w:r>
        <w:rPr>
          <w:rFonts w:ascii="Arial" w:cs="Arial" w:eastAsia="Arial" w:hAnsi="Arial"/>
          <w:sz w:val="18"/>
          <w:szCs w:val="18"/>
          <w:color w:val="auto"/>
        </w:rPr>
        <w:t>wellhead gathering lines and bulk truck injection locations into trunk lines for transportation and delivery into the Basin Pipeline at Jal, Wink and Midland as well as to our terminal facilities in Midland. During 2016, we completed construction of several projects, including 63 miles of 20-inch crude oil pipeline from the Highway 285 Station in Reeves County to Wink, Texas in Winkler County, which increased capacity on that segment of our Pinon pipeline by approximately 200,000 barrels per day.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Eagle Ford Area Pipelines. </w:t>
      </w:r>
      <w:r>
        <w:rPr>
          <w:rFonts w:ascii="Arial" w:cs="Arial" w:eastAsia="Arial" w:hAnsi="Arial"/>
          <w:sz w:val="18"/>
          <w:szCs w:val="18"/>
          <w:color w:val="auto"/>
        </w:rPr>
        <w:t>We own a 100% interest in and are the operator of several gathering systems that feed into our Gardendale Station,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own a 50% interest in Eagle Ford Pipeline, which owns a crude oil and condensate pipeline with approximately 660,000 barrels per day of capacity that extends from Gardendale to Corpus Christi, Texas. We serve as operator of the Eagle Ford joint venture pipeline, and our joint venture partner is a subsidiary of Enterprise Products Partners, L.P. (“Enterprise”).</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Combined, these Eagle Ford Area Pipelines consist of 660 miles of pipe that service production in the Eagle Ford shale play of South Texas and include approximately 5 million barrels of operational storage capacity across the systems. The Eagle Ford Area Pipelines can source Eagle Ford production as well as Permian Basin production via a connection with the Cactus Pipeline at Gardendale. These pipelines serve the Three Rivers and Corpus Christi, Texas refineries and other markets via marine terminal facilities at Corpus Christi, as well as the Houston market via a connection with Enterprise’s pipeline at Lyssy in Wilson County, Texas.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i w:val="1"/>
          <w:iCs w:val="1"/>
          <w:color w:val="auto"/>
        </w:rPr>
        <w:t xml:space="preserve">All American Pipeline. </w:t>
      </w:r>
      <w:r>
        <w:rPr>
          <w:rFonts w:ascii="Arial" w:cs="Arial" w:eastAsia="Arial" w:hAnsi="Arial"/>
          <w:sz w:val="17"/>
          <w:szCs w:val="17"/>
          <w:color w:val="auto"/>
        </w:rPr>
        <w:t>We own the All American Pipeline, which receives crude oil from offshore oil producers at Las Flores, California and at</w:t>
      </w:r>
      <w:r>
        <w:rPr>
          <w:rFonts w:ascii="Arial" w:cs="Arial" w:eastAsia="Arial" w:hAnsi="Arial"/>
          <w:sz w:val="17"/>
          <w:szCs w:val="17"/>
          <w:i w:val="1"/>
          <w:iCs w:val="1"/>
          <w:color w:val="auto"/>
        </w:rPr>
        <w:t xml:space="preserve"> </w:t>
      </w:r>
      <w:r>
        <w:rPr>
          <w:rFonts w:ascii="Arial" w:cs="Arial" w:eastAsia="Arial" w:hAnsi="Arial"/>
          <w:sz w:val="17"/>
          <w:szCs w:val="17"/>
          <w:color w:val="auto"/>
        </w:rPr>
        <w:t>Gaviota, California. The pipeline terminates at our Emidio Station. Between Gaviota and our Emidio Station, the All American Pipeline interconnects with our San Joaquin Valley Gathering System, Line 2000 and Line 63, as well as other third party intrastate pipelines.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May 2015, we experienced a crude oil release from our Las Flores to Gaviota Pipeline (Line 901) in Santa Barbara County, California. The segment of the pipeline upstream of our Pentland station has been shut down since this incident. We are currently conducting a feasibility study to evaluate a replacement of the pipeline, subject to receipt of shipper commitments and regulatory approvals. See Note 17 to our Consolidated Financial Statements for additional information regarding this incident.</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Line 63. </w:t>
      </w:r>
      <w:r>
        <w:rPr>
          <w:rFonts w:ascii="Arial" w:cs="Arial" w:eastAsia="Arial" w:hAnsi="Arial"/>
          <w:sz w:val="17"/>
          <w:szCs w:val="17"/>
          <w:color w:val="auto"/>
        </w:rPr>
        <w:t>We own and operate the Line 63 pipeline that transports crude oil from the San Joaquin Valley to refineries and terminal facilities in the Los</w:t>
      </w:r>
      <w:r>
        <w:rPr>
          <w:rFonts w:ascii="Arial" w:cs="Arial" w:eastAsia="Arial" w:hAnsi="Arial"/>
          <w:sz w:val="17"/>
          <w:szCs w:val="17"/>
          <w:i w:val="1"/>
          <w:iCs w:val="1"/>
          <w:color w:val="auto"/>
        </w:rPr>
        <w:t xml:space="preserve"> </w:t>
      </w:r>
      <w:r>
        <w:rPr>
          <w:rFonts w:ascii="Arial" w:cs="Arial" w:eastAsia="Arial" w:hAnsi="Arial"/>
          <w:sz w:val="17"/>
          <w:szCs w:val="17"/>
          <w:color w:val="auto"/>
        </w:rPr>
        <w:t>Angeles Basin and in Bakersfield, California. The pipeline is also connected to our crude oil rail terminal at Bakersfield. The Line 63 pipeline consists of an approximate 105-mile trunk pipeline, originating at our Kelley Pump Station in Kern County, California, and terminating at our West Hynes Station in Long Beach, California. The trunk pipeline has a capacity of approximately 60,000 barrels per day. The Line 63 pipeline also includes approximately 30 miles of distribution pipelines in the Los Angeles Basin with a throughput capacity of approximately 20,000 barrels per day, and approximately 115 miles of gathering pipelines in the San Joaquin Valley with an average throughput capacity of approximately 35,000 barrels per day. We also have approximately 1 million barrels of storage capacity on this pipeline. In 2016, we completed the reactivation of an approximate 70-mile segment of Line 63 that had been temporarily taken out of service to allow for certain repairs and realignments to be performed.</w:t>
      </w:r>
    </w:p>
    <w:p>
      <w:pPr>
        <w:spacing w:after="0" w:line="17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We own and operate the Line 2000 crude oil pipeline that originates at our Emidio Pump Station and transports crude oil produced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Valley and California OCS to refineries and terminal facilities in the Los Angeles Basin. Line 2000 is an approximately 130-mile, 20-inch trunk pipeline with a throughput capacity of approximately 130,000 barrels per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Bakken Area Pipelines. </w:t>
      </w:r>
      <w:r>
        <w:rPr>
          <w:rFonts w:ascii="Arial" w:cs="Arial" w:eastAsia="Arial" w:hAnsi="Arial"/>
          <w:sz w:val="18"/>
          <w:szCs w:val="18"/>
          <w:color w:val="auto"/>
        </w:rPr>
        <w:t>We own and operate several gathering systems and pipelines that service crude oil production in Eastern Montana and</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North Dakota. We also own a 22% interest in Butte, which owns a 16-inch crude oil pipeline system extending from Baker, Montana to Guernsey, Wyoming.</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Cheyenne Pipeline. </w:t>
      </w:r>
      <w:r>
        <w:rPr>
          <w:rFonts w:ascii="Arial" w:cs="Arial" w:eastAsia="Arial" w:hAnsi="Arial"/>
          <w:sz w:val="18"/>
          <w:szCs w:val="18"/>
          <w:color w:val="auto"/>
        </w:rPr>
        <w:t>We own a 50% interest in Cheyenne, which owns an 87-mile, 16-inch crude oil pipeline that runs from Fort Laramie to</w:t>
      </w:r>
      <w:r>
        <w:rPr>
          <w:rFonts w:ascii="Arial" w:cs="Arial" w:eastAsia="Arial" w:hAnsi="Arial"/>
          <w:sz w:val="18"/>
          <w:szCs w:val="18"/>
          <w:i w:val="1"/>
          <w:iCs w:val="1"/>
          <w:color w:val="auto"/>
        </w:rPr>
        <w:t xml:space="preserve"> </w:t>
      </w:r>
      <w:r>
        <w:rPr>
          <w:rFonts w:ascii="Arial" w:cs="Arial" w:eastAsia="Arial" w:hAnsi="Arial"/>
          <w:sz w:val="18"/>
          <w:szCs w:val="18"/>
          <w:color w:val="auto"/>
        </w:rPr>
        <w:t>Cheyenne, Wyoming and has a capacity of 80,000 barrels per day. Cheyenne is a joint venture with a subsidiary of Holly Energy Partners, L.P., which purchased a 50% interest in Cheyenne from us in June 2016. We serve as operator of the Cheyenne pipeline, which can be expanded through the addition of pumping capacity.</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which owns a 62.5% undivided joint interest in a 20-inch pipeline that extends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Niobrara and DJ Basin to Cushing, Oklahoma. Saddlehorn owns 190,000 barrels per day of the capacity in the pipeline and has approximately one million barrels of storage capacity at Platteville, Colorado. The Platteville-to-Cushing segment of the pipeline was placed in service in the third quarter of 2016, and linefill is expected to begin in the latter part of the first quarter of 2017 for the Carr-to-Platteville segment. Saddlehorn has the option to expand the capacity of the pipeline at its sole discretion and cost and would own all of the incremental capacity from any expansion. Magellan serves as operator of the Saddlehorn pipeline.</w:t>
      </w:r>
    </w:p>
    <w:p>
      <w:pPr>
        <w:spacing w:after="0" w:line="19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Salt Lake City Area Pipelines. </w:t>
      </w:r>
      <w:r>
        <w:rPr>
          <w:rFonts w:ascii="Arial" w:cs="Arial" w:eastAsia="Arial" w:hAnsi="Arial"/>
          <w:sz w:val="18"/>
          <w:szCs w:val="18"/>
          <w:color w:val="auto"/>
        </w:rPr>
        <w:t>We operate the Salt Lake City and Wahsatch pipelines, in which we own interests ranging between 75% and 100%,</w:t>
      </w:r>
      <w:r>
        <w:rPr>
          <w:rFonts w:ascii="Arial" w:cs="Arial" w:eastAsia="Arial" w:hAnsi="Arial"/>
          <w:sz w:val="18"/>
          <w:szCs w:val="18"/>
          <w:i w:val="1"/>
          <w:iCs w:val="1"/>
          <w:color w:val="auto"/>
        </w:rPr>
        <w:t xml:space="preserve"> </w:t>
      </w:r>
      <w:r>
        <w:rPr>
          <w:rFonts w:ascii="Arial" w:cs="Arial" w:eastAsia="Arial" w:hAnsi="Arial"/>
          <w:sz w:val="18"/>
          <w:szCs w:val="18"/>
          <w:color w:val="auto"/>
        </w:rPr>
        <w:t>and we also own a 50% interest in Frontier, which owns the Frontier pipeline. These area pipelines transport crude oil produced in the U.S. Rocky Mountain region and Canada to refiners in Salt Lake City, Utah and to other pipelines at Ft. Laramie, Wyoming.</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These pipelines include approximately one million barrels of storage capacity and have a maximum throughput capacity of (i) approximately 20,000 barrels per day from Wamsutter, Wyoming to Ft. Laramie, (ii) approximately 40,000 barrels per day from Wamsutter to Wahsatch, Utah, (iii) approximately 100,000 barrels per day from Wahsatch to Salt Lake City and (iv) approximately 65,000 barrels per day from Casper to Ranch Station, Utah.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White Cliffs, which owns a pipeline system consisting of two 527-mile, 12-inch,</w:t>
      </w:r>
      <w:r>
        <w:rPr>
          <w:rFonts w:ascii="Arial" w:cs="Arial" w:eastAsia="Arial" w:hAnsi="Arial"/>
          <w:sz w:val="17"/>
          <w:szCs w:val="17"/>
          <w:i w:val="1"/>
          <w:iCs w:val="1"/>
          <w:color w:val="auto"/>
        </w:rPr>
        <w:t xml:space="preserve"> </w:t>
      </w:r>
      <w:r>
        <w:rPr>
          <w:rFonts w:ascii="Arial" w:cs="Arial" w:eastAsia="Arial" w:hAnsi="Arial"/>
          <w:sz w:val="17"/>
          <w:szCs w:val="17"/>
          <w:color w:val="auto"/>
        </w:rPr>
        <w:t>crude oil pipelines with a combined capacity of approximately 215,000 barrels per day that move crude out of the DJ Basin to the Cushing market. Rose Rock Midstream, L.P. serves as the operator of the pipeline, which originates in Platteville, Colorado and terminates in Cushing.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i w:val="1"/>
          <w:iCs w:val="1"/>
          <w:color w:val="auto"/>
        </w:rPr>
        <w:t xml:space="preserve">Capline Pipeline. </w:t>
      </w:r>
      <w:r>
        <w:rPr>
          <w:rFonts w:ascii="Arial" w:cs="Arial" w:eastAsia="Arial" w:hAnsi="Arial"/>
          <w:sz w:val="16"/>
          <w:szCs w:val="16"/>
          <w:color w:val="auto"/>
        </w:rPr>
        <w:t>Capline Pipeline, in which we own an aggregate undivided joint interest of approximately 54%, is a 631-mile, 40-inch mainline</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pipeline originating in St. James, Louisiana, and terminating in Patoka, Illinois. Marathon Pipeline LLC serves as the operator. Capline Pipeline has direct connection to crude oil production in the Gulf of Mexico. In addition, it is connected to an active dock capable of handling approximately 600,000-barrel tankers and is also connected to the Louisiana Offshore Oil Port and our St. James terminal. Total designed operating capacity is approximately</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1.1 million barrels per day of crude oil, of which our attributable interest is approximately 600,000 barrels per day. The Capline owners are assessing the commercial potential to reverse the pipeline direction within the next several years, potentially enabling it to transport Canadian crude oil to the Gulf Coast.</w:t>
      </w:r>
    </w:p>
    <w:p>
      <w:pPr>
        <w:spacing w:after="0" w:line="139" w:lineRule="exact"/>
        <w:rPr>
          <w:sz w:val="20"/>
          <w:szCs w:val="20"/>
          <w:color w:val="auto"/>
        </w:rPr>
      </w:pPr>
    </w:p>
    <w:p>
      <w:pPr>
        <w:jc w:val="both"/>
        <w:ind w:right="140" w:firstLine="702"/>
        <w:spacing w:after="0" w:line="264" w:lineRule="auto"/>
        <w:rPr>
          <w:sz w:val="20"/>
          <w:szCs w:val="20"/>
          <w:color w:val="auto"/>
        </w:rPr>
      </w:pPr>
      <w:r>
        <w:rPr>
          <w:rFonts w:ascii="Arial" w:cs="Arial" w:eastAsia="Arial" w:hAnsi="Arial"/>
          <w:sz w:val="18"/>
          <w:szCs w:val="18"/>
          <w:i w:val="1"/>
          <w:iCs w:val="1"/>
          <w:color w:val="auto"/>
        </w:rPr>
        <w:t>Pascagoula Pipeline</w:t>
      </w:r>
      <w:r>
        <w:rPr>
          <w:rFonts w:ascii="Arial" w:cs="Arial" w:eastAsia="Arial" w:hAnsi="Arial"/>
          <w:sz w:val="18"/>
          <w:szCs w:val="18"/>
          <w:color w:val="auto"/>
        </w:rPr>
        <w:t>. We own and operate the Pascagoula Pipeline, a 41-mile crude oil pipeline that originates at our Ten Mile facility in Alabama</w:t>
      </w:r>
      <w:r>
        <w:rPr>
          <w:rFonts w:ascii="Arial" w:cs="Arial" w:eastAsia="Arial" w:hAnsi="Arial"/>
          <w:sz w:val="18"/>
          <w:szCs w:val="18"/>
          <w:i w:val="1"/>
          <w:iCs w:val="1"/>
          <w:color w:val="auto"/>
        </w:rPr>
        <w:t xml:space="preserve"> </w:t>
      </w:r>
      <w:r>
        <w:rPr>
          <w:rFonts w:ascii="Arial" w:cs="Arial" w:eastAsia="Arial" w:hAnsi="Arial"/>
          <w:sz w:val="18"/>
          <w:szCs w:val="18"/>
          <w:color w:val="auto"/>
        </w:rPr>
        <w:t>and extends to a refinery on the Gulf Coast. Additionally, we have approximately 2 million barrels of storage capacity at our Ten Mile facility that supports the operational needs of the Pascagoula pipeline.</w:t>
      </w:r>
    </w:p>
    <w:p>
      <w:pPr>
        <w:spacing w:after="0" w:line="181" w:lineRule="exact"/>
        <w:rPr>
          <w:sz w:val="20"/>
          <w:szCs w:val="20"/>
          <w:color w:val="auto"/>
        </w:rPr>
      </w:pPr>
    </w:p>
    <w:p>
      <w:pPr>
        <w:ind w:right="600" w:firstLine="702"/>
        <w:spacing w:after="0" w:line="27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During the first quarter of 2016, we sold certain of our non-core Gulf Coast pipeline assets. See Note 6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discussion of our divestiture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Mid-Continent Area Pipelines. </w:t>
      </w:r>
      <w:r>
        <w:rPr>
          <w:rFonts w:ascii="Arial" w:cs="Arial" w:eastAsia="Arial" w:hAnsi="Arial"/>
          <w:sz w:val="18"/>
          <w:szCs w:val="18"/>
          <w:color w:val="auto"/>
        </w:rPr>
        <w:t>We own and operate pipelines that source crude oil from Western and Central Oklahoma, Southwest Kansas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Eastern Texas Panhandle. These pipelines consist of approximately 2,700 miles of pipe with transportation and delivery into and out of our terminal facilities at Cushing, Oklahoma.</w:t>
      </w:r>
    </w:p>
    <w:p>
      <w:pPr>
        <w:spacing w:after="0" w:line="18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also own a 50% interest in STACK, which owns a 55-mile pipeline that transports crude oil from the Sooner Trend, Anadarko Basin, Canadian and Kingfisher Counties (STACK) play in northwestern Oklahoma to the Cushing market. STACK is a joint venture with Phillips 66 Partners, L.P., which purchased a 50% interest in STACK from us in August 2016. We serve as operator of the STACK pipeline, which has a current capacity of approximately 100,000 barrels per day and includes a terminal located at Cashion, Oklahoma with approximately 200,000 barrels of crude oil storage.</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Caddo Pipeline</w:t>
      </w:r>
      <w:r>
        <w:rPr>
          <w:rFonts w:ascii="Arial" w:cs="Arial" w:eastAsia="Arial" w:hAnsi="Arial"/>
          <w:sz w:val="18"/>
          <w:szCs w:val="18"/>
          <w:color w:val="auto"/>
        </w:rPr>
        <w:t>. We own a 50% interest in Caddo, a joint venture with Delek Logistics Partners, LP (“Delek”). Caddo recently constructed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an approximate 80-mile, 12-inch crude oil pipeline with the capacity to move up to 80,000 barrels per day from our terminal in Longview, Texas to supply a refinery in the Shreveport, Louisiana area, as well as to an El Dorado, Arkansas refinery through a connection to Delek’s pipeline. We serve as operator of the Caddo pipeline, which was placed in service in December 2016.</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Diamond Pipeline</w:t>
      </w:r>
      <w:r>
        <w:rPr>
          <w:rFonts w:ascii="Arial" w:cs="Arial" w:eastAsia="Arial" w:hAnsi="Arial"/>
          <w:sz w:val="18"/>
          <w:szCs w:val="18"/>
          <w:color w:val="auto"/>
        </w:rPr>
        <w:t>. We own a 50% interest in Diamond, a joint venture with Valero Energy Corporation (“Valero”). Diamond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constructing a 20-inch, approximately 440-mile pipeline that will provide 200,000 barrels per day of capacity from our Cushing terminal to Valero’s refinery in Memphis, Tennessee. The Diamond pipeline is underpinned by a long-term shipper agreement with Valero and a related contract for storage and terminalling services at our Cushing terminal. Construction of the Diamond pipeline is expected to be completed by late 2017. We will serve as operator of the pipeline.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The Red River Pipeline is a 140-mile, 16-inch crude oil pipeline with takeaway capacity of 150,000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that extends from Cushing, Oklahoma to Longview, Texas, where it connects with various pipelines, including the Caddo pipeline. The Red River Pipeline is supported by long-term shipper commitments and was placed in service in December 2016. We serve as operator of the pipeline. In January 2017, we sold an undivided 40% interest in a segment of the Red River Pipeline to a subsidiary of Valero Energy Partners LP. The undivided interest conveyed represents 60,000 barrels per day on the segment of the pipeline extending from Cushing to Hewitt, Oklahoma near Valero’s refinery in Ardmore, Oklahoma (the “Hewitt Segment”). We retained an undivided 60% interest in the Hewitt Segment and a 100% interest in the remaining portion of the pipeline that extends from Ardmore to Longview, Texas.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Crude Oil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Manito Pipeline. </w:t>
      </w:r>
      <w:r>
        <w:rPr>
          <w:rFonts w:ascii="Arial" w:cs="Arial" w:eastAsia="Arial" w:hAnsi="Arial"/>
          <w:sz w:val="18"/>
          <w:szCs w:val="18"/>
          <w:color w:val="auto"/>
        </w:rPr>
        <w:t>We own a 100% interest in the Manito heavy oil system. This 445-mile system is comprised of the Manito Pipeline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Bodo/Cactus Lake pipeline. Each system consists of a blended crude oil line and a parallel diluent line that delivers condensate to upstream blending locations. The Manito Pipeline includes 334 miles of 6-inch to 12-inch blend pipeline. The mainline segment originates at Dulwich and terminates at Kerrobert, Saskatchewan. The Bodo/Cactus Lake pipeline is a 111-mile long, 3-inch to 10-inch blend pipeline that originates in Bodo, Alberta and also terminates at our Kerrobert storage facility. The Kerrobert storage and terminalling facility is connected to the Enbridge pipeline system and can both receive and deliver heavy crude oil from and to the Enbridge pipeline system.</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Rainbow Pipeline. </w:t>
      </w:r>
      <w:r>
        <w:rPr>
          <w:rFonts w:ascii="Arial" w:cs="Arial" w:eastAsia="Arial" w:hAnsi="Arial"/>
          <w:sz w:val="17"/>
          <w:szCs w:val="17"/>
          <w:color w:val="auto"/>
        </w:rPr>
        <w:t>We own a 100% interest in the Rainbow Pipeline. The Rainbow Pipeline is comprised of (i) an approximate 470-mile, 20-inch to</w:t>
      </w:r>
      <w:r>
        <w:rPr>
          <w:rFonts w:ascii="Arial" w:cs="Arial" w:eastAsia="Arial" w:hAnsi="Arial"/>
          <w:sz w:val="17"/>
          <w:szCs w:val="17"/>
          <w:i w:val="1"/>
          <w:iCs w:val="1"/>
          <w:color w:val="auto"/>
        </w:rPr>
        <w:t xml:space="preserve"> </w:t>
      </w:r>
      <w:r>
        <w:rPr>
          <w:rFonts w:ascii="Arial" w:cs="Arial" w:eastAsia="Arial" w:hAnsi="Arial"/>
          <w:sz w:val="17"/>
          <w:szCs w:val="17"/>
          <w:color w:val="auto"/>
        </w:rPr>
        <w:t>24-inch mainline crude oil pipeline, with capacity of approximately 185,000 barrels per day of batched light sweet and heavy sour oil capacity, that extends from the Norman Wells Pipeline connection in Zama, Alberta to Edmonton, Alberta and has 173 miles of associated gathering pipelines and (ii) a 187-mile, 10-inch to 12-inch pipeline to transport diluent north from Edmonton to our Nipisi truck terminal in Northern Alberta.</w:t>
      </w:r>
    </w:p>
    <w:p>
      <w:pPr>
        <w:spacing w:after="0" w:line="17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Rangeland Pipeline. </w:t>
      </w:r>
      <w:r>
        <w:rPr>
          <w:rFonts w:ascii="Arial" w:cs="Arial" w:eastAsia="Arial" w:hAnsi="Arial"/>
          <w:sz w:val="17"/>
          <w:szCs w:val="17"/>
          <w:color w:val="auto"/>
        </w:rPr>
        <w:t>We own a 100% interest in the Rangeland Pipeline. Rangeland Pipeline consists of a 683-mile,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approximately 393 miles of 3-inch to 8-inch gathering pipelines. Rangeland Pipeline transports NGL mix, butane, condensate, light sweet crude oil and light sour crude oil either north to Edmonton or south to the U.S./Canadian border near Cutbank, Montana.</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 100% interest in the South Saskatchewan system. This pipeline consists of a 158-mile, 16-inch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from Cantuar to Regina, Saskatchewan and 184 miles of 4-inch to 12-inch gathering pipelines from the Rapdan area to Cantuar. South Saskatchewan Pipeline has capacity to transport approximately 68,000 barrels per day of heavy crude oil from gathering areas in southern Saskatchewan to Enbridge’s mainline at Regina.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NGL Pipelines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Co-Ed NGL Pipeline. </w:t>
      </w:r>
      <w:r>
        <w:rPr>
          <w:rFonts w:ascii="Arial" w:cs="Arial" w:eastAsia="Arial" w:hAnsi="Arial"/>
          <w:sz w:val="17"/>
          <w:szCs w:val="17"/>
          <w:color w:val="auto"/>
        </w:rPr>
        <w:t>We own and operate the Co-Ed NGL pipeline, which consists of 595 miles of 3-inch to 10-inch pipeline. This pipeline gathers</w:t>
      </w:r>
      <w:r>
        <w:rPr>
          <w:rFonts w:ascii="Arial" w:cs="Arial" w:eastAsia="Arial" w:hAnsi="Arial"/>
          <w:sz w:val="17"/>
          <w:szCs w:val="17"/>
          <w:i w:val="1"/>
          <w:iCs w:val="1"/>
          <w:color w:val="auto"/>
        </w:rPr>
        <w:t xml:space="preserve"> </w:t>
      </w:r>
      <w:r>
        <w:rPr>
          <w:rFonts w:ascii="Arial" w:cs="Arial" w:eastAsia="Arial" w:hAnsi="Arial"/>
          <w:sz w:val="17"/>
          <w:szCs w:val="17"/>
          <w:color w:val="auto"/>
        </w:rPr>
        <w:t>NGL from approximately 27 field gas processing plants located in Alberta, including all of the NGL produced at the Cochrane Straddle Plant for delivery to our NGL facilities at Fort Saskatchewan. The Co-Ed NGL pipeline system has throughput capacity of approximately 72,000 barrels per day.</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In August 2016, we acquired a 593-mile, 6-inch pipeline extending from Empress, Alberta to the Fort Whyte Terminal in Winnipeg,</w:t>
      </w:r>
      <w:r>
        <w:rPr>
          <w:rFonts w:ascii="Arial" w:cs="Arial" w:eastAsia="Arial" w:hAnsi="Arial"/>
          <w:sz w:val="18"/>
          <w:szCs w:val="18"/>
          <w:i w:val="1"/>
          <w:iCs w:val="1"/>
          <w:color w:val="auto"/>
        </w:rPr>
        <w:t xml:space="preserve"> </w:t>
      </w:r>
      <w:r>
        <w:rPr>
          <w:rFonts w:ascii="Arial" w:cs="Arial" w:eastAsia="Arial" w:hAnsi="Arial"/>
          <w:sz w:val="18"/>
          <w:szCs w:val="18"/>
          <w:color w:val="auto"/>
        </w:rPr>
        <w:t>Manitoba (referred to herein as the Plains Petroleum Transmission Company Pipeline, or the “PPTC” Pipeline). The addition of this pipeline increased our current NGL pipeline capacity by an additional 15,500 barrels per day. The PPTC Pipeline gives us access to seven truck terminals and three rail loading facilities across the system, allowing for increased flexibility in rail operations.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agreements.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source,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2016, we owned, operated or employed a variety of long-term physical assets throughout the United States and Canada in this segment, including: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approximately 80 million barrels of crude oil and refined products storage capacity primarily at our terminalling and storage locations;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32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31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nine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211,000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34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six major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1,000 miles of active pipelines that support our facilities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tabular presentation of our active Facilities segment storage and service assets in the United States and Canada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grouped by product and service type, with capacity and volume as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 Capacity</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5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Cushing</w:t>
            </w:r>
          </w:p>
        </w:tc>
        <w:tc>
          <w:tcPr>
            <w:tcW w:w="70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LA Basin</w:t>
            </w:r>
          </w:p>
        </w:tc>
        <w:tc>
          <w:tcPr>
            <w:tcW w:w="7040" w:type="dxa"/>
            <w:vAlign w:val="bottom"/>
            <w:gridSpan w:val="3"/>
          </w:tcPr>
          <w:p>
            <w:pPr>
              <w:jc w:val="right"/>
              <w:ind w:right="2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Martinez and Richmond</w:t>
            </w:r>
          </w:p>
        </w:tc>
        <w:tc>
          <w:tcPr>
            <w:tcW w:w="70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Mobile and Ten Mile</w:t>
            </w:r>
          </w:p>
        </w:tc>
        <w:tc>
          <w:tcPr>
            <w:tcW w:w="7040" w:type="dxa"/>
            <w:vAlign w:val="bottom"/>
            <w:gridSpan w:val="3"/>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Patoka</w:t>
            </w:r>
          </w:p>
        </w:tc>
        <w:tc>
          <w:tcPr>
            <w:tcW w:w="70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St. James</w:t>
            </w:r>
          </w:p>
        </w:tc>
        <w:tc>
          <w:tcPr>
            <w:tcW w:w="7040" w:type="dxa"/>
            <w:vAlign w:val="bottom"/>
            <w:gridSpan w:val="3"/>
          </w:tcPr>
          <w:p>
            <w:pPr>
              <w:jc w:val="right"/>
              <w:ind w:right="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5"/>
                <w:szCs w:val="25"/>
                <w:i w:val="1"/>
                <w:iCs w:val="1"/>
                <w:color w:val="auto"/>
                <w:vertAlign w:val="superscript"/>
              </w:rPr>
              <w:t>(1)</w:t>
            </w:r>
          </w:p>
        </w:tc>
        <w:tc>
          <w:tcPr>
            <w:tcW w:w="70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5"/>
                <w:szCs w:val="25"/>
                <w:i w:val="1"/>
                <w:iCs w:val="1"/>
                <w:color w:val="auto"/>
                <w:vertAlign w:val="superscript"/>
              </w:rPr>
              <w:t>(2)</w:t>
            </w:r>
          </w:p>
        </w:tc>
        <w:tc>
          <w:tcPr>
            <w:tcW w:w="544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NGL Storage Facilities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Bumstead</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Empress Area</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3"/>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Fort Saskatchewan</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Sarnia Area</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3"/>
          </w:tcPr>
          <w:p>
            <w:pPr>
              <w:jc w:val="right"/>
              <w:ind w:right="2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Natural Gas Storage Facilities</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(Bcf)</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Salt-caverns and Depleted Reservoir</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50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Total Gas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Gas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(3)</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Inlet Volume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United States Gulf Coast Area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Canada</w:t>
            </w:r>
          </w:p>
        </w:tc>
        <w:tc>
          <w:tcPr>
            <w:tcW w:w="1840" w:type="dxa"/>
            <w:vAlign w:val="bottom"/>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600" w:type="dxa"/>
            <w:vAlign w:val="bottom"/>
            <w:gridSpan w:val="3"/>
          </w:tcPr>
          <w:p>
            <w:pPr>
              <w:jc w:val="right"/>
              <w:ind w:right="28"/>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Condensate Stabilization Facility</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Gardendale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50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Empress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Fort Saskatchewan</w:t>
            </w:r>
          </w:p>
        </w:tc>
        <w:tc>
          <w:tcPr>
            <w:tcW w:w="1840" w:type="dxa"/>
            <w:vAlign w:val="bottom"/>
          </w:tcPr>
          <w:p>
            <w:pPr>
              <w:jc w:val="right"/>
              <w:spacing w:after="0"/>
              <w:rPr>
                <w:sz w:val="20"/>
                <w:szCs w:val="20"/>
                <w:color w:val="auto"/>
              </w:rPr>
            </w:pPr>
            <w:r>
              <w:rPr>
                <w:rFonts w:ascii="Arial" w:cs="Arial" w:eastAsia="Arial" w:hAnsi="Arial"/>
                <w:sz w:val="18"/>
                <w:szCs w:val="18"/>
                <w:color w:val="auto"/>
              </w:rPr>
              <w:t>21-100%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28,300</w:t>
            </w:r>
          </w:p>
        </w:tc>
        <w:tc>
          <w:tcPr>
            <w:tcW w:w="80" w:type="dxa"/>
            <w:vAlign w:val="bottom"/>
          </w:tcPr>
          <w:p>
            <w:pPr>
              <w:spacing w:after="0"/>
              <w:rPr>
                <w:sz w:val="21"/>
                <w:szCs w:val="21"/>
                <w:color w:val="auto"/>
              </w:rPr>
            </w:pPr>
          </w:p>
        </w:tc>
        <w:tc>
          <w:tcPr>
            <w:tcW w:w="1600" w:type="dxa"/>
            <w:vAlign w:val="bottom"/>
            <w:gridSpan w:val="3"/>
          </w:tcPr>
          <w:p>
            <w:pPr>
              <w:jc w:val="right"/>
              <w:ind w:right="28"/>
              <w:spacing w:after="0"/>
              <w:rPr>
                <w:sz w:val="20"/>
                <w:szCs w:val="20"/>
                <w:color w:val="auto"/>
              </w:rPr>
            </w:pPr>
            <w:r>
              <w:rPr>
                <w:rFonts w:ascii="Arial" w:cs="Arial" w:eastAsia="Arial" w:hAnsi="Arial"/>
                <w:sz w:val="18"/>
                <w:szCs w:val="18"/>
                <w:color w:val="auto"/>
              </w:rPr>
              <w:t>67,800</w:t>
            </w:r>
          </w:p>
        </w:tc>
        <w:tc>
          <w:tcPr>
            <w:tcW w:w="0" w:type="dxa"/>
            <w:vAlign w:val="bottom"/>
          </w:tcPr>
          <w:p>
            <w:pPr>
              <w:spacing w:after="0"/>
              <w:rPr>
                <w:sz w:val="1"/>
                <w:szCs w:val="1"/>
                <w:color w:val="auto"/>
              </w:rPr>
            </w:pPr>
          </w:p>
        </w:tc>
      </w:tr>
      <w:tr>
        <w:trPr>
          <w:trHeight w:val="27"/>
        </w:trPr>
        <w:tc>
          <w:tcPr>
            <w:tcW w:w="61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Sarnia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62,300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Shafter</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9,300</w:t>
            </w:r>
          </w:p>
        </w:tc>
        <w:tc>
          <w:tcPr>
            <w:tcW w:w="80" w:type="dxa"/>
            <w:vAlign w:val="bottom"/>
          </w:tcPr>
          <w:p>
            <w:pPr>
              <w:spacing w:after="0"/>
              <w:rPr>
                <w:sz w:val="21"/>
                <w:szCs w:val="21"/>
                <w:color w:val="auto"/>
              </w:rPr>
            </w:pPr>
          </w:p>
        </w:tc>
        <w:tc>
          <w:tcPr>
            <w:tcW w:w="1600" w:type="dxa"/>
            <w:vAlign w:val="bottom"/>
            <w:gridSpan w:val="3"/>
          </w:tcPr>
          <w:p>
            <w:pPr>
              <w:jc w:val="right"/>
              <w:ind w:right="28"/>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61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9,100</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115,300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226,100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Loading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Rail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Capacity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Crude Oil Rail Facilities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380,000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50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Rack Spots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Storage Spots</w:t>
            </w:r>
          </w:p>
        </w:tc>
        <w:tc>
          <w:tcPr>
            <w:tcW w:w="0" w:type="dxa"/>
            <w:vAlign w:val="bottom"/>
          </w:tcPr>
          <w:p>
            <w:pPr>
              <w:spacing w:after="0"/>
              <w:rPr>
                <w:sz w:val="1"/>
                <w:szCs w:val="1"/>
                <w:color w:val="auto"/>
              </w:rPr>
            </w:pPr>
          </w:p>
        </w:tc>
      </w:tr>
      <w:tr>
        <w:trPr>
          <w:trHeight w:val="270"/>
        </w:trPr>
        <w:tc>
          <w:tcPr>
            <w:tcW w:w="61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5"/>
                <w:szCs w:val="25"/>
                <w:color w:val="auto"/>
                <w:vertAlign w:val="superscript"/>
              </w:rPr>
              <w:t>(5)</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1 million barrels of capacity for which we hold lease options (all of which have been exercised).</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While natural gas processing inlet volumes and capacity amounts are presented, they currently are not a significant driver of our segment results.</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average volumes net to our share for the entire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400" w:hanging="652"/>
        <w:spacing w:after="0" w:line="21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Crude Oil and Refined Products Facilities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Cushing Terminal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Since 1999, we have completed multiple expansions that have increased the capacity of the Cushing Terminal to a total of 23 million barrels. In 2016, we added approximately 1.6 million barrels of storage and we expect to add approximately 2.1 million barrels of storage capacity during 2017.</w:t>
      </w:r>
    </w:p>
    <w:p>
      <w:pPr>
        <w:spacing w:after="0" w:line="1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a total of 8 million barrels of storage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 and a distribution pipeline system of approximately 50 miles of pipeline in the Los Angeles Basin. We use the Los Angeles area storage and distribution system to service the storage and distribution needs of refining, pipeline and marine terminal facilities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and black oil service). Our San Francisco area terminals have</w:t>
      </w:r>
    </w:p>
    <w:p>
      <w:pPr>
        <w:jc w:val="both"/>
        <w:ind w:right="160"/>
        <w:spacing w:after="0" w:line="277" w:lineRule="auto"/>
        <w:rPr>
          <w:sz w:val="20"/>
          <w:szCs w:val="20"/>
          <w:color w:val="auto"/>
        </w:rPr>
      </w:pPr>
      <w:r>
        <w:rPr>
          <w:rFonts w:ascii="Arial" w:cs="Arial" w:eastAsia="Arial" w:hAnsi="Arial"/>
          <w:sz w:val="17"/>
          <w:szCs w:val="17"/>
          <w:color w:val="auto"/>
        </w:rPr>
        <w:t>5 million barrels of combined storage capacity and are connected to area refineries through a network of owned and third-party pipelines that carry crude oil and refined products to and from area refineries. These terminals have dock facilities and our Richmond terminal is also able to receive product by rail. We have entered into a definitive agreement to sell these non-core terminals, which we expect to close in the first half of 2017.</w:t>
      </w:r>
    </w:p>
    <w:p>
      <w:pPr>
        <w:spacing w:after="0" w:line="173"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i w:val="1"/>
          <w:iCs w:val="1"/>
          <w:color w:val="auto"/>
        </w:rPr>
        <w:t xml:space="preserve">Mobile and Ten Mile Terminal. </w:t>
      </w:r>
      <w:r>
        <w:rPr>
          <w:rFonts w:ascii="Arial" w:cs="Arial" w:eastAsia="Arial" w:hAnsi="Arial"/>
          <w:sz w:val="16"/>
          <w:szCs w:val="16"/>
          <w:color w:val="auto"/>
        </w:rPr>
        <w:t>We have a marine terminal in Mobile, Alabama (the “Mobile Terminal”) that has current useable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2 million barrels. Approximately 4 million barrels of additional storage capacity is available at our nearby Ten Mile Facility, which is connected to our Mobile Terminal via a 36-inch pipeline. Of this capacity, approximately 3 million barrels supports our Facilities segment operations, with the remaining storage supporting our Transportation segment assets. The Mobile Terminal is equipped with a ship/tanker dock, barge dock, truck unloading facilities and various third-party connections for crude oil movements to area refiners. Our Ten Mile Facility is connected to our Pascagoula Pipeline.</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Patoka Terminal. </w:t>
      </w:r>
      <w:r>
        <w:rPr>
          <w:rFonts w:ascii="Arial" w:cs="Arial" w:eastAsia="Arial" w:hAnsi="Arial"/>
          <w:sz w:val="17"/>
          <w:szCs w:val="17"/>
          <w:color w:val="auto"/>
        </w:rPr>
        <w:t>Our Patoka Terminal has 6 million barrels of storage capacity and includes an associated manifold and header system at the Patoka</w:t>
      </w:r>
      <w:r>
        <w:rPr>
          <w:rFonts w:ascii="Arial" w:cs="Arial" w:eastAsia="Arial" w:hAnsi="Arial"/>
          <w:sz w:val="17"/>
          <w:szCs w:val="17"/>
          <w:i w:val="1"/>
          <w:iCs w:val="1"/>
          <w:color w:val="auto"/>
        </w:rPr>
        <w:t xml:space="preserve"> </w:t>
      </w:r>
      <w:r>
        <w:rPr>
          <w:rFonts w:ascii="Arial" w:cs="Arial" w:eastAsia="Arial" w:hAnsi="Arial"/>
          <w:sz w:val="17"/>
          <w:szCs w:val="17"/>
          <w:color w:val="auto"/>
        </w:rPr>
        <w:t>Interchange located in southern Illinois. Our terminal has access to all major pipelines and terminals at the Patoka Interchange. Patoka is a growing regional hub with access to domestic and foreign crude oil for certain volumes moving north on the Capline Pipeline as well as Canadian barrels moving south. In 2017, we expect to add approximately 0.5 million barrels of storage capacity to accommodate future pipeline connectivity.</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St. James Terminal. </w:t>
      </w:r>
      <w:r>
        <w:rPr>
          <w:rFonts w:ascii="Arial" w:cs="Arial" w:eastAsia="Arial" w:hAnsi="Arial"/>
          <w:sz w:val="16"/>
          <w:szCs w:val="16"/>
          <w:color w:val="auto"/>
        </w:rPr>
        <w:t>We have 13 million barrels of crude oil storage capacity at the St. James crude oil interchange in Louisiana, which is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most liquid crude oil interchanges in the United States. The 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load, tankers and barges and is also connected to our rail unloading facility. See “Rail Facilities” below for further discussion. In 2016, we added approximately 2.2 million barrels of storage capacity to the St. James terminal, which included connections to the rail unloading facility, marine dock and operational pipelines. In 2017, we expect to add approximately 0.4 million barrels of storage capacity.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5 million barrels of storage for crude oil and refined products at our Yorktown facility located in Virginia,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 million barrels of capacity for which we hold lease options (all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i w:val="1"/>
          <w:iCs w:val="1"/>
          <w:color w:val="auto"/>
        </w:rPr>
        <w:t xml:space="preserve">Corpus Christi Terminal. </w:t>
      </w:r>
      <w:r>
        <w:rPr>
          <w:rFonts w:ascii="Arial" w:cs="Arial" w:eastAsia="Arial" w:hAnsi="Arial"/>
          <w:sz w:val="17"/>
          <w:szCs w:val="17"/>
          <w:color w:val="auto"/>
        </w:rPr>
        <w:t>We own a 50% interest in Eagle Ford Terminals, a joint venture with a subsidiary of Enterprise. Eagle Ford Terminals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developing a terminal in Corpus Christi, Texas that, when completed, will be capable of loading ocean going vessels at a rate of 40,000 barrels per hour. Initial storage capacity of the terminal will be approximately 1 million barrels. The facility will have access to production from both the Eagle Ford and the Permian Basin through the Eagle Ford joint venture pipeline and is expected to be placed in service in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3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three salt-dome storage caverns, a 30-car rail track and six truck racks.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Empress Area. </w:t>
      </w:r>
      <w:r>
        <w:rPr>
          <w:rFonts w:ascii="Arial" w:cs="Arial" w:eastAsia="Arial" w:hAnsi="Arial"/>
          <w:sz w:val="17"/>
          <w:szCs w:val="17"/>
          <w:color w:val="auto"/>
        </w:rPr>
        <w:t>In August 2016, we acquired a network of seven NGL terminals (Fort Whyte, Moose Jaw, Rapid City, Stewart Valley, Dewdney,</w:t>
      </w:r>
      <w:r>
        <w:rPr>
          <w:rFonts w:ascii="Arial" w:cs="Arial" w:eastAsia="Arial" w:hAnsi="Arial"/>
          <w:sz w:val="17"/>
          <w:szCs w:val="17"/>
          <w:i w:val="1"/>
          <w:iCs w:val="1"/>
          <w:color w:val="auto"/>
        </w:rPr>
        <w:t xml:space="preserve"> </w:t>
      </w:r>
      <w:r>
        <w:rPr>
          <w:rFonts w:ascii="Arial" w:cs="Arial" w:eastAsia="Arial" w:hAnsi="Arial"/>
          <w:sz w:val="17"/>
          <w:szCs w:val="17"/>
          <w:color w:val="auto"/>
        </w:rPr>
        <w:t>Empress and Richardson) with an aggregate useable storage capacity of 5 million barrels. Our Dewdney terminal includes two loading and unloading truck spots, with a rate of 18 trucks per day, as well as rail access to two loading racks with capacity of 20 cars per day. The Richardson terminal is connected to our recently acquired PPTC Pipeline and includes two loading truck spots with a rate of 24 trucks per day. Our Stewart Valley, Moose Jaw and Rapid City propane terminals each have one truck loading rack. The Fort Whyte terminal is equipped with a truck terminal containing two loading spots capable of loading 40 trucks per day, and a rail loading terminal with loading capacity of 13 railcars per day.</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22 storage caverns with approximately 8 million barrels in useable storage capacity.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2013, we began upgrading our Fort Saskatchewan storage capacity as part of a multi-phase expansion. The first phase of the expansion added 2.4 million barrels of new brine pond capacity and two new NGL storage caverns each with a capacity of 350,000 barrels; the first NGL cavern was completed in July 2016, and the second cavern in December 2016. We will convert approximately 3 million barrels of NGL mix storage to propane, butane and condensate storage by the end of the first quarter of 2017. The second phase of the project, which is expected to be completed in 2017, will see the development of 2.7 million barrels of new brine pond capacity and two new ethane caverns totaling 1.6 million barrels of capacity which are supported by long-term commitments from third parties.</w:t>
      </w:r>
    </w:p>
    <w:p>
      <w:pPr>
        <w:spacing w:after="0" w:line="19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Sarnia Area. </w:t>
      </w:r>
      <w:r>
        <w:rPr>
          <w:rFonts w:ascii="Arial" w:cs="Arial" w:eastAsia="Arial" w:hAnsi="Arial"/>
          <w:sz w:val="16"/>
          <w:szCs w:val="16"/>
          <w:color w:val="auto"/>
        </w:rPr>
        <w:t>Our Sarnia Area facilities consist of (i) our Sarnia facility, (ii) our Windsor storage terminal and (iii) our St. Clair terminal. The Sarnia</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is a large NGL fractionation, storage and shipping facility located on a 380-acre plant site in the Sarnia Chemical Valley. There are 36 multi-product railcar loading spots, 7 multi-product truck loading racks and a network of 14 pipelines providing product delivery capabilities to our Windsor and St. Clair terminal facilities, in addition to refineries, chemical plants and other pipeline systems in the area. The Sarnia facility has approximately 5 million barrels of useable storage capacity. In 2012, we initiated a brine disposal program to facilitate the removal of excess brine via truck from our Sarnia facility. The project increased useable NGL storage capacity at the facility by 1 million barrels in 2015, and further by approximately 1 million barrels in 2016.</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Windsor storage terminal in Windsor, Canada, is a pipeline hub and underground storage facility. The facility is served by three of our receipt/dispatch pipelines and rail and truck offloading. There are eight storage caverns on site with a useable capacity of approximately 3 million barrels. The terminal assets include 16 multi-product rail tank car loading spots and a propane truck loading rack.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one of our pipelines. On site are five storage caverns with useable capacity of approximately 2 million barrels and 28 multi-product rail tank car loading spots.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2016, we had an aggregate working gas capacity of approximately 97 Bcf in service. Our facilities have aggregate permitted peak daily injection and withdrawal rates of 4.1 Bcf and 6.4 Bcf, respectively.</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have 22 direct interconnects with third party interstate pipelines, industrial facilities and gas fired power plants, serving markets in the Gulf Coast, Midwest, Mid-Atlantic, Northeast, and Southeast regions of the United States and the Southeastern portion of Canada.</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January 2017, we executed a definitive agreement to sell our Bluewater natural gas storage facility located in Michigan. We expect this transaction to close in the first half of 2017, subject to customary closing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We own and/or operate four straddle plants and two field gas processing plants located in Western Canada. Through our August 2016 acquisition of the Empress straddle plant, we added 2.4 Bcf per day of gross NGL processing capacity with the ability to extract ethane and NGL liquids from TransCanada main lines. Cumulatively, our straddle plants have an aggregate net natural gas processing capacity of approximately 7.1 Bcf per day and a long-term liquids supply contract relating to a third-party owned straddle plant with gross processing capacity of approximately 2.5 Bcf per day. We also own and operate three natural gas processing plants located in Louisiana and Alabama with an aggregate natural gas processing capacity of approximately 0.3 Bcf per day.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In August 2016, we acquired the Empress fractionation facility, which is connected to and receives liquids from our Empress straddle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a fractionation capacity of approximately 28,000 barrels per day of propane, butane and condensate. The facility is capable of producing spec NGL products and connects to our recently acquired PPTC Pipeline network. See “Empress Area” under “NGL Storage Facilities” above for a description of the assets connected to the PPTC Pipeline.</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Fort Saskatchewan. </w:t>
      </w:r>
      <w:r>
        <w:rPr>
          <w:rFonts w:ascii="Arial" w:cs="Arial" w:eastAsia="Arial" w:hAnsi="Arial"/>
          <w:sz w:val="16"/>
          <w:szCs w:val="16"/>
          <w:color w:val="auto"/>
        </w:rPr>
        <w:t>Our recently expanded Fort Saskatchewan fractionation facility has an inlet capacity of 85,000 barrels per day and produces</w:t>
      </w:r>
      <w:r>
        <w:rPr>
          <w:rFonts w:ascii="Arial" w:cs="Arial" w:eastAsia="Arial" w:hAnsi="Arial"/>
          <w:sz w:val="16"/>
          <w:szCs w:val="16"/>
          <w:i w:val="1"/>
          <w:iCs w:val="1"/>
          <w:color w:val="auto"/>
        </w:rPr>
        <w:t xml:space="preserve"> </w:t>
      </w:r>
      <w:r>
        <w:rPr>
          <w:rFonts w:ascii="Arial" w:cs="Arial" w:eastAsia="Arial" w:hAnsi="Arial"/>
          <w:sz w:val="16"/>
          <w:szCs w:val="16"/>
          <w:color w:val="auto"/>
        </w:rPr>
        <w:t>spec propane, butane, condensate and a C3/C4 mix, which is sent to our Sarnia facility for further fractionation. We are in the process of adding a merox sweetening unit that will increase our ability to handle a variety of feed streams providing more flexibility and flow assurance. This final stage of the expansion is expected to be completed in late 2017 and is supported by long-term commitments from third parties. Through our 21% ownership in the Keyera Fort Saskatchewan fractionation plant, we have additional fractionation capacity, net to our share, of approximately 17,000 barrels per day.</w:t>
      </w:r>
    </w:p>
    <w:p>
      <w:pPr>
        <w:spacing w:after="0" w:line="15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net useable capacity of 90,000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facility also includes an approximate 40-mile NGL pipeline system capable of delivering up to 20,000 barrels per day from California Resources Corporation’s Elk Hills Gas plant to our Shafter facility, equipped with storage capacity of 30,000 barrels and 10,000 barrels per day of rail capacity.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The facility has a total processing capacity of 120,000 barrels per day and useable storage capacity of 160,000 barrels. Throughput at the Gardendale processing facility is supplied by long-term commitments from producers.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own crude oil and condensate rail loading terminals with a combined loading capacity of approximately 380,000 barrels per day. These facilities are located at or near Carr, Colorado; Tampa, Colorado; Gardendale, Texas; McCamey, Texas; Manitou, North Dakota; Van Hook, North Dakota; and Kerrobert, Saskatchewan.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own three crude oil rail unloading terminals that have a combined unloading capacity of approximately 350,000 barrels per day. Our terminal at St. James, Louisiana is connected to our rail unloading facility that has an unload capacity of 140,000 barrels per day. Our Yorktown, Virginia rail facility receives unit trains and has an unload capacity of approximately 140,000 barrels per day, and our Bakersfield, California rail facility receives unit trains and has permitted capacity to unload 70,000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In April 2016, we completed the Fort Saskatchewan rail terminal which consists of 20 rack spots capable of loading 60 cars per day of propane. We have initiated projects to add butane loading and condensate offloading capacity at the facility, which is expected to be in service in the third quarter of 2018.</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also own 26 operational NGL rail facilities strategically located near NGL storage, pipelines, gas production or propane distribution centers throughout the United States and Canada. Our NGL rail facilities currently have 335 railcar rack spots and 1,515 railcar storage spots, and we have the ability to switch our own railcars at six of these terminals.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exporters or other resellers;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generally characterize a portion of our baseline segment results generated by our Supply and Logistics segment as fee equivalent. This portion of the segment results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results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stable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baseline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The tankage that is used to support our arbitrage activities positions us to capture margins in various market conditions. During a transitional market, however, our Supply and Logistics segment may not be able to fully recover its costs on certain transactions in order to capture incremental barrels into our overall value chain. See “—Impact of Commodity Price Volatility and Dynamic Market Conditions on Our Business Model” below for further discussion.</w:t>
      </w:r>
    </w:p>
    <w:p>
      <w:pPr>
        <w:spacing w:after="0" w:line="19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2016, our Supply and Logistics segment also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 million barrels of crude oil and NGL linefill in pipelines owned by third parties and other long-term inventory;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820 trucks and 1,065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10,660 crude oil and NGL railcars.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456"/>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(MBbls/d)</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NGL sales</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259</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257"/>
        </w:trPr>
        <w:tc>
          <w:tcPr>
            <w:tcW w:w="9820" w:type="dxa"/>
            <w:vAlign w:val="bottom"/>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1,160</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Crude Oil and NGL Purchases. </w:t>
      </w:r>
      <w:r>
        <w:rPr>
          <w:rFonts w:ascii="Arial" w:cs="Arial" w:eastAsia="Arial" w:hAnsi="Arial"/>
          <w:sz w:val="17"/>
          <w:szCs w:val="17"/>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with remaining terms extending up to nine years. We utilize our truck fleet, railcars and pipelines as well as leased railcars, third-party pipelines, trucks and barges to transport the crude oil to market. From time to time, we enter into various types of purchase and exchange transactions including fixed price purchase contracts, collars, financial swaps and crude oil and NGL-related futures contracts as hedging devices.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addition to purchasing crude oil from producers, we purchase both domestic and foreign crude oil in bulk at major hub locations, rail facilities and dock or load port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put in place to ensure any cost escalations are accounted for as well as annual price negotiations occur to ensure both the buyer and seller remain at market 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 price delivery contracts, collars, financial swaps and crude oil and NGL-related futures contracts as hedging devices.</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Natural Gas Purchase and Sales Activities. </w:t>
      </w:r>
      <w:r>
        <w:rPr>
          <w:rFonts w:ascii="Arial" w:cs="Arial" w:eastAsia="Arial" w:hAnsi="Arial"/>
          <w:sz w:val="18"/>
          <w:szCs w:val="18"/>
          <w:color w:val="auto"/>
        </w:rPr>
        <w:t>We also generate net revenue through the merchant storage activities of our natural gas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group, which captures short term market opportunities by utilizing a portion of our natural gas storage capacity and engaging in related commercial marketing activities. Our natural gas merchant storage activities generate revenue through the hedged purchase and sale of natural gas net of any storage-related costs incurred. We utilize physical natural gas storage at our facilities and derivatives to hedge expected margin from these activities. Through these transactions, we seek to maintain a position that is substantially balanced between purchases of natural gas on the one hand and sales or future delivery obligations on the other hand.</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and natural gas for resale and require significant extensions of credit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When we sell crude oil, NGL and natural gas, we must determine the amount, if any, of the line of credit to be extended to any given customer. We manage our exposure to credit risk through credit analysis, credit approvals, credit limits, prepayment, letters of credit and monitoring procedures.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and natural gas supply and logistics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2016, WTI crude oil prices traded within a range of approximately $26 to $54 per barrel. There is also volatility within the propane and butane markets as seen through the North American benchmark price located at Mont Belvieu, Texas. Specifically, propane prices have ranged from a low of approximately 40% of the WTI benchmark price for crude oil in 2016 to a high of approximately 81% of the WTI benchmark price for crude oil in 2000. Butane has seen a price range from a low of approximately 53% of the WTI benchmark price for crude oil in 2016 to a high of approximately 99% of the WTI benchmark price for crude oil in 2016.</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our fee-based Transportation and Facilities segments should comprise approximately 80% or greater of our aggregate base level segment results.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Base level segment results from our supply and logistics activities is dependent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Beginning in the second half of 2014 to present, however, the market has experienced impacts from aggressive competition and overbuilt infrastructure in certain regions, which has caused supply and demand imbalances and price volatility. In some of the areas where we operate, there has been significantly increased competition for marginal or incremental volumes from shippers on third party pipelines who have committed to ship more production than they have and are purchasing barrels in the market for shipment on the applicable third party pipeline in satisfaction of their transportation commitments, often doing so at a loss because the loss on sale of the purchased crude oil will be less than the amount of the take-or-pay obligation on the pipeline. This type of activity has put downward pressure on volumes and margins across our three business segments. This transitioning crude oil market presents challenges to both us and the overall midstream industry, and while we believe our integrated business model and diversification of our asset base among varying regions and demand-driven and supply-driven markets gives us competitive advantages, we may see a lower level of cash flow than we would have otherwise experienced. In addition, increased competition and compressed differentials may drive lower volumes and lower unit margins in parts of our business, particularly our Supply and Logistics segment. Also, during such transitional markets, our Supply and Logistics segment may not be able to fully recover its costs on certain transactions in order to capture incremental barrels into our overall value chain creating the opportunity to provide profitability at the company level.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While recent market conditions have been challenging, we believe the complementary, integrated nature of our business activities and diversification of our asset base among varying regions and demand-driven and supply-driven markets generally provides us with the opportunity to generate a base level of cash flow in a variety of market scenarios. In addition to providing the opportunity to generate a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combination of fee-based cash flow from our Transportation and Facilities segments, complemented by a number of diverse, flexible and generally counter-balanced sources of cash flow within our Supply and Logistics segment is intended to provide us with the opportunity to generate a base level of cash flow and provide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During certain transitional periods, such as this extended period of lower crude oil prices, the ability to generate above base line performance is challenging, and taking into account the over-capacity of midstream assets that currently exists in most crude oil producing regions, generating even baseline level performance will be challenging. See “Global Petroleum Market Overview ” above for additional discussion regarding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18%, 17% and 17% of our revenues for the years ended December 31, 2016, 2015 and 2014, respectively. ExxonMobil Corporation and its subsidiaries accounted for 14%, 13% and 15% of our revenues for the years ended December 31, 2016, 2015 and 2014, respectively. Phillips 66 Company and its subsidiaries accounted for 11% of our revenues for the year ended December 31, 2016. No other customers accounted for 10% or more of our revenues during any of the three years ended December 31, 2016.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14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crude oil and NGL by end users. We believe that high capital requirements, environmental considerations and the difficulty in acquiring rights-of-way and related permits, together with the fact that many of the producing basins in the United States and Canada currently have excess take-away capacity (whether by pipeline or rail), generally make it less likely that new competing pipeline systems comparable in size and scope to our larger pipeline systems (and excluding those already publicly announced to be under development or construction) will limit the number of new pipeline projects over the next few years. However, there are currently third-party owned pipelines or owners with joint venture pipelines with excess capacity in the vicinity of our operations that expose us to significant competition based on the relatively low cost of moving an incremental barrel of crude oil or NGL. In the current environment, such competition for marginal or incremental volumes has been exacerbated in some areas by shippers on third party pipelines who have committed to ship more production than they own or have secured under contract and are purchasing barrels in the market and shipping them on the applicable third party pipeline in satisfaction of their transportation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In all material respects, we believe that we are in substantial compliance with the various laws, rules and regulations that apply to our assets, operations and business activities; however, we can provide no assurances in that regard. See Item 1A. “Risk Factors—Risks Related to Our Business—Our operations are also subject to laws and regulations relating to protection of the environment and wildlife, operational safety, climate change and related matters that may expose us to significant costs and liabilities.”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$89 million in 2016, $107 million in 2015 and $107 million in 2014. Based on currently available information, our preliminary estimate for 2017 is that we will incur approximately $95 million in capital expenditures and approximately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$35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for such activities were approximately $48 million in 2016, $33 million in 2015 and $21 million in 2014, and our preliminary estimate for 2017 is that we will incur approximately $50 million of such costs.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2012, the Pipeline Safety, Regulatory Certainty, and Job Creation Act of 2011 (the “2011 Act”) became effective. Under the 2011 Act, maximum civil penalties for certain violations have been increased from $100,000 to $200,000 per violation per day, and from a total cap of $1 million to $2 million. In addition, the 2011 Act reauthorized the federal pipeline safety programs of PHMSA through September 30, 2015, and directs the Secretary of Transportation to undertake a number of reviews, studies and reports, some of which may result in additional natural gas and hazardous liquids pipeline safety rulemaking. A number of the provisions of the 2011 Act have the potential to cause owners and operators of pipeline facilities to incur significant capital expenditures and/or operating costs.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Securing America’s Future Energy: Protecting Infrastructure of Pipelines and Enhancing Safety Act (“SAFE PIPES Act”) was signed into law on June 22, 2016. This bill imposes a number of requirements on the industry and PHMSA, but the key provisions include: (i) reauthorization of PHMSA through fiscal year 2019, (ii) requirements for reports to Congress on the status of rulemaking efforts and certain specific information gathering efforts, (iii) a requirement that PHMSA initiate new rulemaking for underground natural gas storage facilities, (iv) a requirement to convene a work group on the development of a voluntary information sharing program; and (v) the granting of authority to the DOT to issue industry-wide emergency orders under certain circumstances.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pending rule-making efforts that are required by the SAFE PIPES Act, and that could materially affect the operation of pipeline operators, include: (i) expansion of integrity management programs beyond high-consequence areas, (ii) additional regulation of pipeline leak detection systems and (iii) the use of shut-off valves and excess flow valves in certain applications. We will monitor the rule-making resulting from the SAFE PIPES Act, as well as the reports PHMSA is obligated to provide to Congress to better understand the potential impact to our operations. At this time we cannot predict the full impact to our operations or the potential additional cost of compliance.</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October 2015, PHMSA published a Notice of Proposed Rulemaking (“NPRM”) in the Federal Register proposing to make changes to the hazardous liquid pipeline safety regulations. PHMSA is proposing to make the following changes to the regulations:</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 reporting requirements to all hazardous liquid gravity and gathering lines;</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inspections of pipelines in areas affected by extreme weather, natural disasters, and other similar events, and periodic inline integrity assessments of pipelines that are located outside of high consequence areas of at least once every ten years;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leak detection systems on hazardous liquid pipelines in all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the provisions for making pipeline repairs;</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that all pipelines subject to the integrity management requirements be capable of accommodating inline inspection tools within 20 years;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Clarifications to improve certainty and compliance to certain existing regulations.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PHMSA announced the regulatory text of the final rule on January 13, 2017; however, the complete text was not published in the Federal Register prior to the regulatory freeze put in place by the incoming administration on January 24, 2017. The regulatory freeze was instituted to allow the incoming administration the opportunity to review all pending rules. The rule will go into effect six months after publication in the Federal Register. We do not currently believe this rule will have a significant adverse financial impact on our operations.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interstate pipelines. In practice, states vary in their authority and capacity to address pipeline safety.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California Governor signed into law the following three bills on October 8, 2015 related to pipeline safety:</w:t>
      </w:r>
    </w:p>
    <w:p>
      <w:pPr>
        <w:spacing w:after="0" w:line="225" w:lineRule="exact"/>
        <w:rPr>
          <w:sz w:val="20"/>
          <w:szCs w:val="20"/>
          <w:color w:val="auto"/>
        </w:rPr>
      </w:pPr>
    </w:p>
    <w:p>
      <w:pPr>
        <w:ind w:left="980" w:right="2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Oil Spill Response Bill allows volunteer cleanup crews to be paid as contractors, requires oil skimmers to be placed along the coastline at all times, and prohibits the use of dispersants until the EPA issues rules on dispersant safety.</w:t>
      </w:r>
    </w:p>
    <w:p>
      <w:pPr>
        <w:spacing w:after="0" w:line="62" w:lineRule="exact"/>
        <w:rPr>
          <w:rFonts w:ascii="Arial" w:cs="Arial" w:eastAsia="Arial" w:hAnsi="Arial"/>
          <w:sz w:val="18"/>
          <w:szCs w:val="18"/>
          <w:color w:val="auto"/>
        </w:rPr>
      </w:pPr>
    </w:p>
    <w:p>
      <w:pPr>
        <w:ind w:left="980" w:right="14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Pipeline Safety: Inspections Bill (SB 295) mandates annual pipeline inspections commencing January 1, 2017, with the State Fire Marshal responsible for annually inspecting all intrastate pipelines and operators of intrastate pipelines under the jurisdiction of the State Fire Marshal.</w:t>
      </w:r>
    </w:p>
    <w:p>
      <w:pPr>
        <w:spacing w:after="0" w:line="15" w:lineRule="exact"/>
        <w:rPr>
          <w:rFonts w:ascii="Arial" w:cs="Arial" w:eastAsia="Arial" w:hAnsi="Arial"/>
          <w:sz w:val="16"/>
          <w:szCs w:val="16"/>
          <w:color w:val="auto"/>
        </w:rPr>
      </w:pPr>
    </w:p>
    <w:p>
      <w:pPr>
        <w:ind w:left="980" w:right="2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Oil Spill Response: Environmentally and Ecologically Sensitive Areas Bill (AB 864) requires automatic shut-offs for pipelines located in environmentally sensitive areas.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SB 295 rulemaking efforts were completed in 2016 and the annual pipeline inspection requirements commence in 2017. Efforts to draft and implement regulations to adopt the provisions of AB 864 continue and are expected to be finalized by July 2017. We cannot currently predict the impact and costs of these new laws, and any associated regulations, on our operations.</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$29 million, $33 million and $32 million in 2016, 2015 and 2014, respectively. For 2017, we have budgeted approximately $40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Canada, the NEB and provincial agencies such as the Alberta Energy Regulator (“AER”) and the Saskatchewan Ministry of Economy regulate the safety and integrity management of pipelines and storage tanks used for hydrocarbon transmission. We have incurred and will continue to incur costs related to such regulatory requirements.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Pipeline Safety Act, SC 2015, c. 21 (the “Pipeline Safety Act” or the “Act”) came into force in June 2016, amending the National Energy Board Act and the Canada Oil and Gas Operations Act in order to strengthen the safety and security of pipelines regulated under those acts. It reinforces the “polluter pays” principle, such that operators of pipelines are liable for costs and damages for all unintended or uncontrolled releases of oil, gas, or other substances. The Act introduces absolute liability for costs and damages up to $1 billion from an uncontrolled release of oil, gas or other commodity from a major pipeline (i.e. those with capacity over 250,000 barrels per day). Additionally, operators will be required to maintain the financial resources necessary to meet the applicable absolute liability obligations imposed under the Act. Finally, the Act imposes requirements with respect to abandoned pipelines, including an obligation to maintain adequate funds to pay for abandonment costs. The total transport capacity of our pipelines regulated by the NEB exceeds 250,000 barrels per day so financial instruments in the form of lines of credit and insurance verification were filed with the NEB. The Pipeline Safety Act also amended the pipeline damage prevention provisions of the National Energy Board Act and regulations for pipeline damage prevention came in effect June 2016. Potential operational requirements and costs may be incurred around depth of cover information and mitigation with landowners, crossings and encroachments, turnaround timelines for responding to dig requests near pipelines and land use monitoring for adjacent lands to the pipeline right-of-way. The cost impact of the Pipeline Safety Act on us is not expected to be material.</w:t>
      </w:r>
    </w:p>
    <w:p>
      <w:pPr>
        <w:spacing w:after="0" w:line="18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to required activities, our Canadian integrity management program includes several voluntary, multi-year programs designed to prevent incidents, such as upgrades to our operating and maintenance programs and systems and upgrades to our pipeline watercourse crossing integrity program. Between such required and elective activities, we spent approximately $56 million, $66 million and $66 million in 2016, 2015 and 2014, respectively. Our preliminary estimate for 2017 is approximately $75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24" w:lineRule="exact"/>
        <w:rPr>
          <w:sz w:val="20"/>
          <w:szCs w:val="20"/>
          <w:color w:val="auto"/>
        </w:rPr>
      </w:pPr>
    </w:p>
    <w:p>
      <w:pPr>
        <w:jc w:val="center"/>
        <w:ind w:right="898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 under RCRA may be revisited and our wastes subject to more rigorous and costly disposal requirements, resulting in additional capital expenditures or operating expenses. For example, in December 2016, the EPA and environmental groups entered into a consent decree to address the EPA’s alleged failure to timely assess its RCRA Subtitle D criteria regulations exempting certain exploration and production related oil and gas wastes from RCRA regulation as hazardous wastes under RCRA. The consent decree requires the EPA to propose a rulemaking no later than March 15, 2019 for revision of certain Subtitle D criteria regulations pertaining to oil and gas wastes or to sign a determination that revision of the regulations is not necessary.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March 2016, the EPA proposed revisions to the Risk Management Plan (“RMP”) rules, including requirements for the use of third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party compliance audits, root cause analyses for facilities that experience releases, process hazard analyses and enhanced information-sharing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OSHA has announced that it is considering similar revisions to the PSM rule, but, to date, has not issued an NPRM.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currently own or lease, and in the past have owned or leased, properties where hazardous liquids, including hydrocarbons, are or have been handled. These properties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United States operations are subject to the United States Clean Air Act (“Clean Air Act”), comparable state laws and associated state and federal regulations. In October 2015, the EPA promulgated a revised national ambient air standard for ozone. While full implementation of the standard may take a number of years, the revised standard could make air permits for sources of volatile organic compounds (such as crude oil tank farms) more difficult to obtain in some areas. In addition, in June 2016, the EPA finalized rules regarding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control requirements.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Canadian operations are subject to federal and provincial air emission regulations. New Canadian standards for air quality and industrial air emissions were implemented in May 2013. The new standards provide more stringent objectives for outdoor air quality, including a long term (annual) target for fine particulate matter. Under these laws, permits may be required before construction can commence on a new or modified source of potentially significant air emissions, and operating permits may be required for sources already constructed.</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a result of the changing requirements in both Canada and the United States such as those mentioned above,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the reporting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our facilities and activities.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EPA has also promulgated regulations establishing Title V and Prevention of Significant Deterioration permitting requirements for certain large sources of GHGs. Fewer than ten of our existing facilities are potential major sources of GHG subject to these permitting requirements. We may be required to install “best available control technology” (“BACT”) to limit emissions of GHGs from any new or significantly modified facilities that we may seek to construct in the future if they emit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quantities of GHGs that trigger the requirements of these regulations. For facilities such as ours, BACT will normally take the form of enhanced energy efficiency measures rather than post-combustion GHG capture requirements. We do not anticipate that the imposition of enhanced energy efficiency requirements will have a material adverse effect on the cost of our operations.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June 2016, the EPA finalized regulations affecting new, modified and reconstructed sources of air emissions in the oil and natural gas sector that require significant reductions in fugitive methane emissions from certain upstream and midstream oil and gas facilities. These new rules also require operators to implement fugitive emission leak detection and repair requirements for compressor stations. We do not expect the cost of complying with these rules to have a material effect on the cost of our operations.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 Star Gas Liquids facility in Shafter, California because it is a significant combustion source. As a result, compliance instruments for GHG emissions have been purchased since 2013.</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January 1, 2015, the AB32 regulations for the first time covered finished fuel providers and importers. California finished fuels providers (refiners and importers) were required to purchase GHG emission credits for finished fuel sold in or imported into California. Plains Marketing was included in this portion of the regulation due to propane imports and completed its first year of compliance in 2016. The rules implementing the AB32 program were finalized in December 2011. The compliance requirements of the GHG cap-and-trade program through 2020 are being phased in. The California Air Resources Board is currently developing a scoping plan for AB32 compliance obligations after the year 2020. We will be reporting associated GHG emissions for finished fuels imported and exported across California borders and will be subject to the cap and trade program in 2016.</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Executive Order B-30-15 was signed by California’s Governor in mid-year 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 This may increase the number of PAA facilities subject to this program.</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and producer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8" w:lineRule="exact"/>
        <w:rPr>
          <w:sz w:val="20"/>
          <w:szCs w:val="20"/>
          <w:color w:val="auto"/>
        </w:rPr>
      </w:pPr>
    </w:p>
    <w:p>
      <w:pPr>
        <w:ind w:right="40" w:firstLine="648"/>
        <w:spacing w:after="0" w:line="232" w:lineRule="auto"/>
        <w:rPr>
          <w:sz w:val="20"/>
          <w:szCs w:val="20"/>
          <w:color w:val="auto"/>
        </w:rPr>
      </w:pPr>
      <w:r>
        <w:rPr>
          <w:rFonts w:ascii="Arial" w:cs="Arial" w:eastAsia="Arial" w:hAnsi="Arial"/>
          <w:sz w:val="18"/>
          <w:szCs w:val="18"/>
          <w:color w:val="auto"/>
        </w:rPr>
        <w:t>In December 2015, the Paris Agreement was signed at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This Agreement is likely to become a significant driver for future potential GHG reduction programs in the United States and Canada.</w:t>
      </w:r>
    </w:p>
    <w:p>
      <w:pPr>
        <w:spacing w:after="0" w:line="20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Federal Regulations. </w:t>
      </w:r>
      <w:r>
        <w:rPr>
          <w:rFonts w:ascii="Arial" w:cs="Arial" w:eastAsia="Arial" w:hAnsi="Arial"/>
          <w:sz w:val="17"/>
          <w:szCs w:val="17"/>
          <w:color w:val="auto"/>
        </w:rPr>
        <w:t>Along with 194 other countries, Canada is a signatory to the UNFCCC “Durban Platform” committing it to develop a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binding agreement to reduce GHG emissions by 2020. Since 2004, large emitters of GHG were required to report their emissions under the Canadian Greenhouse Gas Emissions Reporting Program. Three PMC facilities meet the current 50kt/y reporting threshold.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federal Department of Environment and Climate Change is proposing to lower the reporting threshold for all facilities from 50kt/y to 10 kt/y. The enactment of this proposal would result in more PMC facilities being required to prepare annual reports of their emissions. The associated costs with this requirement would not be considered material.</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October 2016, the Government of Canada proposed a pan-Canadian approach to pricing carbon pollution requiring all Canadian provinces and territories to have carbon pricing in place by 2018. The provinces and territories will have flexibility in deciding how they implement carbon pricing either by placing a direct price on carbon pollution or adopting a cap-and-trade system. The price on carbon pollution will start at $10/tonne in 2018 and rise by $10 a year to reach $50/tonne in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Provincial Regulations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Ontario</w:t>
      </w:r>
      <w:r>
        <w:rPr>
          <w:rFonts w:ascii="Arial" w:cs="Arial" w:eastAsia="Arial" w:hAnsi="Arial"/>
          <w:sz w:val="18"/>
          <w:szCs w:val="18"/>
          <w:color w:val="auto"/>
        </w:rPr>
        <w:t>. In February 2015, the Ontario Ministry of Environment and Climate Change issued a discussion paper that identified carbon pricing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action necessary to reduce emissions of greenhouse gases. In April 2015, the Ontario government announced it would be implementing a GHG cap and trade program, which would be implemented through the Western Climate Initiative (WCI), which includes Quebec and California. Mandatory participants for the program will be responsible for their emissions starting on January 1, 2017.</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PMC’s facility at Sarnia is considered to be a mandatory participant in the program (threshold &gt;25,000 tonnes GHG emissions). At this early stage of the program, it is not possible to predict any material increases in compliance costs or additional operating restrictions.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i w:val="1"/>
          <w:iCs w:val="1"/>
          <w:color w:val="auto"/>
        </w:rPr>
        <w:t xml:space="preserve">Alberta. </w:t>
      </w:r>
      <w:r>
        <w:rPr>
          <w:rFonts w:ascii="Arial" w:cs="Arial" w:eastAsia="Arial" w:hAnsi="Arial"/>
          <w:sz w:val="17"/>
          <w:szCs w:val="17"/>
          <w:color w:val="auto"/>
        </w:rPr>
        <w:t>The Alberta Climate Change and Emissions Management Act provides a framework for managing GHG emissions by reducing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gas emissions to 50% of 1990 levels by December 31, 2020. The accompanying Specified Gas Emitters Regulation imposes GHG emissions limits on large emitters and requires reductions in GHG emissions intensity. Since the regulation came into effect, PMC has two facilities (Fort Saskatchewan Storage and Fractionation Facility and Empress VI) which currently do not meet the reduction obligation. As such, PMC has been required to submit compliance payments to the Climate Change Emissions Management Fund (the “CCEMC”). CCEMC will increase from $30 per tonne (from $20 in 2016) of CO</w:t>
      </w:r>
      <w:r>
        <w:rPr>
          <w:rFonts w:ascii="Arial" w:cs="Arial" w:eastAsia="Arial" w:hAnsi="Arial"/>
          <w:sz w:val="11"/>
          <w:szCs w:val="11"/>
          <w:color w:val="auto"/>
        </w:rPr>
        <w:t>2</w:t>
      </w:r>
      <w:r>
        <w:rPr>
          <w:rFonts w:ascii="Arial" w:cs="Arial" w:eastAsia="Arial" w:hAnsi="Arial"/>
          <w:sz w:val="17"/>
          <w:szCs w:val="17"/>
          <w:color w:val="auto"/>
        </w:rPr>
        <w:t xml:space="preserve"> over a facility’s budget in 2017, which will increase our operating costs at these two facilities.</w:t>
      </w:r>
    </w:p>
    <w:p>
      <w:pPr>
        <w:spacing w:after="0" w:line="17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May 24, 2016, the Government of Alberta introduced Bill 20: the Climate Leadership Implementation Act, which implements a carbon levy on Alberta businesses previously announced under the Plan. Subject to certain exemptions, the Act applies a carbon levy to all sales and imports of fuel. PMC has registered and received specific exemptions for its Alberta facilities until January 1, 2023. The combined effect of these Alberta climate change enactments is not expected to be material.</w:t>
      </w:r>
    </w:p>
    <w:p>
      <w:pPr>
        <w:spacing w:after="0" w:line="187"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Saskatchewan. </w:t>
      </w:r>
      <w:r>
        <w:rPr>
          <w:rFonts w:ascii="Arial" w:cs="Arial" w:eastAsia="Arial" w:hAnsi="Arial"/>
          <w:sz w:val="18"/>
          <w:szCs w:val="18"/>
          <w:color w:val="auto"/>
        </w:rPr>
        <w:t>The Management and Reduction of Greenhouse Gases Act received royal assent on May 20, 2010 and set 20% GHG emission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targets below 2006 levels by 2020, but no regulations to implement the targets have been passed by the provincial government to date. The provincial government continues discussions with the federal government on implementation.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Safety/Integrity Management” above and Note 17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 affected by releases when they occur.</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404(e) authorizes the Corps to issue permits on a nationwide basis for categories of discharges that have no more than minimal individual or cumulative environmental effects.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over 35 years, the Corps has authorized construction, maintenance and repair of pipelines under a streamlined nationwide permit program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19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May 2015, the EPA published a final rule that attempted to clarify federal jurisdiction under the CWA over waters of the United States, but a number of legal challenges to this rule are pending, and implementation of the rule has been stayed nationwide. To the extent the rule expands the scope of the CWA’s jurisdiction, we could face increased costs and delays with respect to obtaining permits for dredge and fill activities in wetland areas.</w:t>
      </w:r>
    </w:p>
    <w:p>
      <w:pPr>
        <w:spacing w:after="0" w:line="14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Corps completed their five-year review and update of the NWPs in 2016, publishing the final version of the revised NWPs in the Federal Register on January 6, 2017. The revised NWPs will be effective on March 19, 2017. Changes to NWP 12, which applies to linear projects such as pipelines, could impact both the time to obtain project authorization under NWP 12 and the cost to comply with the revised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 xml:space="preserve">U.S. 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Pipeline Rate Regulation in the United States</w:t>
      </w:r>
      <w:r>
        <w:rPr>
          <w:rFonts w:ascii="Arial" w:cs="Arial" w:eastAsia="Arial" w:hAnsi="Arial"/>
          <w:sz w:val="17"/>
          <w:szCs w:val="17"/>
          <w:color w:val="auto"/>
        </w:rPr>
        <w:t>. The FERC historically has not investigated rates of liquids pipelines on its own initiative when those</w:t>
      </w:r>
      <w:r>
        <w:rPr>
          <w:rFonts w:ascii="Arial" w:cs="Arial" w:eastAsia="Arial" w:hAnsi="Arial"/>
          <w:sz w:val="17"/>
          <w:szCs w:val="17"/>
          <w:i w:val="1"/>
          <w:iCs w:val="1"/>
          <w:color w:val="auto"/>
        </w:rPr>
        <w:t xml:space="preserve"> </w:t>
      </w:r>
      <w:r>
        <w:rPr>
          <w:rFonts w:ascii="Arial" w:cs="Arial" w:eastAsia="Arial" w:hAnsi="Arial"/>
          <w:sz w:val="17"/>
          <w:szCs w:val="17"/>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Parties are currently submitting comments in response to this notice, and FERC could, after review of those comments, decide to propose changes to its current policy.</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trucking operations.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78"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On June 1, 2016, the Transportation of Dangerous Goods (“TDG”) Regulations were amended. The amendments to the TDG regulations concern volume thresholds for reporting flammable product releases. For many products transported by PMC, the volume threshold for reporting changed from 200 litres (52.8 gallons) to ‘any volume’ that could endanger public safety. While this change in legislation may result in an increase in the number of reportable releases, it is not expected to have a financial impact (penalties or remediation).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Occupational Safety and Health Administration, as well as other federal and state regulatory agencies and Canadian regulatory agencies for operations in Canada.</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May 2015, PHMSA adopted a final rule that, among other things, imposes a new tank car design standard, a phase out by as early as January 2018 for older DOT-111 tank cars that are not retrofitted, and a classification and testing program for unrefined petroleum based products, including crude oil. We expect our railcar fleet to be in compliance with such requirements. The rule also includes new operational requirements such as speed restrictions. In December 2015, Congress passed the Fixing America’s Transportation (“FAST”) Act which was subsequently signed by the President. This legislation clarified the parameters around the timeline and requirements for railcars hauling crude oil in the United States.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$1 million or triple the monetary gain to the person for each violation.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18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$1,193,970 per day for each violation. FERC also has the authority to order disgorgement of profits from transactions deemed to violate the NGA and the EPAct 2005.</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2016, PHMSA issued an interim final rule (“IFR”) that establishes minimum federal standards for underground natural gas storage facilities. The IFR imposes new requirements on “downhole facilities,” including wells, wellbore tubing and casings at underground natural gas storage facilities. The IFR addresses construction, maintenance, risk management and integrity management procedures for these facilities and includes registration and reporting obligations. The IFR adopts and incorporates by reference the requirements and recommendations contained in American Petroleum Institute (“API”) Recommended Practice (“RP”) 1170 and 1171. Existing underground natural gas storage facilities must meet the appropriate requirements and recommendations of API 1170 and 1171 by January 18, 2018. While we believe that our facilities are currently in substantial conformance with API 1170 and 1171, a review is underway to ensure consistency.</w:t>
      </w:r>
    </w:p>
    <w:p>
      <w:pPr>
        <w:spacing w:after="0" w:line="189"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would protect our facilities from an attack. Any future terrorist attacks on our facilities, those of our customers and, in some cases, those of our competitors, could have a material adverse effect on our business, whether insured or not.</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and may potentially have a material adverse effect on our financial conditions,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firstLine="8"/>
        <w:spacing w:after="0" w:line="288"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To carry out our operations, our general partner or its affiliates (including PMC) employed approximately 5,100 employees at December 31, 2016. None of these employees were subject to a collective bargaining agreement, except for eight employees covered by an agreement scheduled for renegotiation in September 2019; 61 employees covered by a separate agreement scheduled for renegotiation in January 2019; and 23 employees covered by a separate agreement scheduled for renegotiation in January 2019. Also, a first collective agreement is being negotiated for 61 employees who recently unionized in Canada. Our general partner and its affiliates consider employee relations to be good.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of the unitholder’s investment in us. Further, it is the responsibility of each unitholder to file all U.S. federal, state and local tax returns that may be required of the unitholder. Also see Item 1A. “Risk Factors—Tax Risks to Common Unitholders.”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withholding and income taxes paid.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xml:space="preserve">,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 The public may read and copy any materials filed by PAA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profitability could be materially impacted by a decline in the volume of crude oil, natural gas and NGL transported, gathered, stored or processed at our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or NGL handled by our facilities.</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latter half of 2014 and continuing into 2016, benchmark crude oil prices declined significantly; as a result, many of the companies that produce oil and gas significantly reduced capital expenditures. Such reduced expenditure levels, coupled with high decline rates for many horizontal wells in the shale resource plays, led to production declines in many areas in the Lower 48 United States (excluding Gulf of Mexico production). Other factors that could adversely impact production include reduced capital market access, increased capital raising costs for producers or adverse governmental or regulatory action. In turn, such developments could lead to reduced throughput on our pipelines and at our other facilities, which, depending on the level of production declines, could have a material adverse effect on our business.</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16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may not be able to compete effectively in our transportation, facilities and supply and logistics activities, and our business is subject to various risks associated with the general capacity overbuild of midstream energy infrastructure in some of the areas where we operate.</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expansion capital projects, acquisitions and joint venture activities. Some of our competitors have capital resources many times greater than ours and control greater supplies of crude oil, natural gas or NGL.</w:t>
      </w:r>
    </w:p>
    <w:p>
      <w:pPr>
        <w:spacing w:after="0" w:line="187" w:lineRule="exact"/>
        <w:rPr>
          <w:sz w:val="20"/>
          <w:szCs w:val="20"/>
          <w:color w:val="auto"/>
        </w:rPr>
      </w:pPr>
    </w:p>
    <w:p>
      <w:pPr>
        <w:ind w:right="8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w:t>
      </w:r>
    </w:p>
    <w:p>
      <w:pPr>
        <w:ind w:firstLine="8"/>
        <w:spacing w:after="0" w:line="268"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these areas have become overbuilt, resulting in an excess of midstream energy infrastructure capacity. In addition, as an established participant in some markets, we also face competition from aggressive new entrants to the market that are willing to provide services at a discount in order to establish relationships and gain a foothold in the market. Current expectations for oil and gas development in many of the areas where we operate are not as robust as they were during the last few years. This adversely impacts both our existing assets and growth projects in such areas. We also face competition for incremental volumes from shippers on third party pipelines who overcommitted relative to their actual production or committed supplies and are now purchasing barrels on the open market and shipping them on such third party pipelines in order to satisfy their minimum commitment levels. This puts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private equity backed entities,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00" w:firstLine="594"/>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 user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our control, can negatively affect our operating results.</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Supply and demand for crude oil and other hydrocarbon products we handle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our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17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8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Results from our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can have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agreements, these transition periods may have either an adverse or beneficial effect on our aggregate segment results. A prolonged transition from a backwardated market to a contango market, or vice versa (essentially a market that is neither in pronounced backwardation nor contango), represents the least beneficial environment for our Supply and Logistics segment.</w:t>
      </w:r>
    </w:p>
    <w:p>
      <w:pPr>
        <w:spacing w:after="0" w:line="15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b w:val="1"/>
          <w:bCs w:val="1"/>
          <w:i w:val="1"/>
          <w:iCs w:val="1"/>
          <w:color w:val="auto"/>
        </w:rPr>
        <w:t>A natural disaster, catastrophe, terrorist attack (including eco-terrorist attacks), process safety failure or other event, including pipeline or facility accidents and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4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Some of our operations involve risks of personal injury, property damage and environmental damage, which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one or more of our pipelines or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opposition to the operation of our pipelines and facilities from various groups.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may face opposition to the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information regarding our customers, suppliers and business partners, and personally identifiable information of our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information technology infrastructure is critical to the efficient operation of our business and essential to our ability to perform day-today operations. Breaches in our information technology infrastructure or physical facilities, or other disruptions, could result in damage to our assets, safety incidents, damage to the environment, potential liability or the loss of contracts, and have a material adverse effect on our operations, financial position and results of operations.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continuously consider potential acquisitions and opportunities for expansion capital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6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In addition, our ability to achieve and maintain our target credit profile is in part dependent on our ability to consummate previously announced divestiture transactions. The closing of such transactions is not entirely within our control and depends in part on the satisfaction of closing conditions that require action by governmental authorities or others. To the extent we are unable to consummate such transactions, we may be forced to incur additional indebtedness or issue more equity than we would have otherwise preferred, which could make it harder for us to achieve our target credit profile.</w:t>
      </w:r>
    </w:p>
    <w:p>
      <w:pPr>
        <w:spacing w:after="0" w:line="15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that, because of our strategic asset base and complementary business model, we will continue to benefit from swings in market prices and shifts in market structure during periods of volatility in the crude oil, NGL and natural gas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Moody’s Investors Service and Fitch Ratings Inc.; however, in late January 2017, Moody’s Investors Service placed such rating under review for downgrade. A downgrade below our current ratings levels by any of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Loss of our investment grade credit rating could also adversely impact our cash flows, our ability to make distributions at our current levels and the value of our outstanding equity and debt securities.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implement or capitalize upon planned growth projects.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81" w:lineRule="exact"/>
        <w:rPr>
          <w:sz w:val="20"/>
          <w:szCs w:val="20"/>
          <w:color w:val="auto"/>
        </w:rPr>
      </w:pPr>
    </w:p>
    <w:p>
      <w:pPr>
        <w:ind w:left="980" w:right="6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face opposition to our planned growth projects from environmental groups, landowners, local groups and other advocates, including lawsuits or other actions designed to disrupt or delay our planned projects;</w:t>
      </w:r>
    </w:p>
    <w:p>
      <w:pPr>
        <w:spacing w:after="0" w:line="6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5" w:lineRule="exact"/>
        <w:rPr>
          <w:rFonts w:ascii="Arial" w:cs="Arial" w:eastAsia="Arial" w:hAnsi="Arial"/>
          <w:sz w:val="16"/>
          <w:szCs w:val="16"/>
          <w:color w:val="auto"/>
        </w:rPr>
      </w:pPr>
    </w:p>
    <w:p>
      <w:pPr>
        <w:ind w:left="980" w:right="20" w:hanging="324"/>
        <w:spacing w:after="0" w:line="286"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right="2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completion or success of our projects may depend on the completion or success of third-party facilities over which we have no control.</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or could be delayed. In turn, this could negatively impact our cash flow and our ability to make or increase cash distributions to our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make acquisitions or if we make acquisitions that fail to perform as anticipated, our future growth may be limited.</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grow as quickly as we have historically.</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may adversely affect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36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indemnified, or the indemnity is not from a credit-worthy party, including liabilities arising from the operation of the acquired businesses or assets prior to our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our customers and other counterparties we transact within the ordinary course of our business activities.</w:t>
      </w:r>
    </w:p>
    <w:p>
      <w:pPr>
        <w:spacing w:after="0" w:line="24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Risks of nonpayment and nonperformance by customers are a significant consideration in our business and are of increased concern in the current low commodity price environment.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a number of minimum volume commitment contracts that support pipelines in our Transportation segment.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231F20"/>
        </w:rPr>
        <w:t>We have also undertaken numerous projects that require cooperation with and performance by joint venture co-owners. Nonperformance by these parties could result in increased costs or delays that could decrease our returns on these joint venture projects.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231F20"/>
        </w:rPr>
        <w:t>We also rely to a significant degree on the banks that lend to us under our revolving credit facility for financial liquidity, and any failure of those banks to perform on their obligations to us could significantly impair our liquidity.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Furthermore, nonpayment by the counterparties to our interest rate, commodity and/or foreign currency derivatives could expose us to additional interest rate, commodity price and/or foreign currency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 greenhouse gases, including cap and trade programs, could require us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Any such change or interpretation adverse to us could have a material adverse effect on our operations, revenues, expenses and profitability.</w:t>
      </w:r>
    </w:p>
    <w:p>
      <w:pPr>
        <w:spacing w:after="0" w:line="17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 history of incremental additions to the miles of pipelines we own, both through acquisitions and expansion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We have also developed and implemented certain pipeline integrity measures that we believe go beyond regulatory mandates. See Items 1 and 2 “Business and Properties—Regulation.”</w:t>
      </w:r>
    </w:p>
    <w:p>
      <w:pPr>
        <w:spacing w:after="0" w:line="18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For 2017 and beyond, we will continue to focus on pipeline integrity management as a primary operational emphasis. In that regard, we have implemented programs intended to maintain the integrity of our assets, with a continued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17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0"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Our U.S. interstate common carrier liquids pipelines are subject to regulation by the FERC under the ICA. The ICA requires that tariff rates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For our U.S. interstate common carrier liquids pipelines subject to FERC regulation under the ICA, shippers may protest our pipeline tariff filings, file complaints against our existing rates,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5"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of crude oil, natural gas and NGL, and hedging activities, expose us to potential regulatory risks.</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sales of oil, natural gas or NGL and any related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us,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a requirement to post additional cash margin or collateral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 Frank Act and related rules. The costs of such compliance may be passed on to customers such as ourselves, thus decreasing the benefits to us of hedging transactions or reducing our profitability.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Our financial results could be adversely affected if a consequence of the Dodd Frank Act and implementing regulations is lower commodity prices.</w:t>
      </w:r>
    </w:p>
    <w:p>
      <w:pPr>
        <w:spacing w:after="0" w:line="18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full impact of the Dodd Frank Act and related regulatory requirements upon our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 Frank Act and regulations implementing the Dodd Frank Act, our results of operations may become more volatile and our cash flows may be less predictable. Any of these consequences could have a material adverse effect on us, our financial condition and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 as well as our supply and logistics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Over the last several years, as the scale and scope of our business activities has expanded, the breadth and depth of available insurance markets has contracted. As a result of these factors and other market conditions, as well as the fact that we have experienced several incidents over the last 3 to 5 years,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December 31, 2016, the face value of our consolidated debt outstanding was approximately $11.9 billion, consisting of approximately $10.2 billion face value of long-term debt (including senior notes and long-term commercial paper borrowings) and approximately $1.7 billion of short-term borrowings. As of December 31, 2016, we had approximately $2.4 billion of liquidity available, including cash and cash equivalents and available borrowing capacity under our senior unsecured revolving credit facility, our senior secured hedged inventory facility and our senior unsecured 364-day credit facility, subject to continued covenant compliance. Lower Adjusted EBITDA could increase our leverage ratios and effectively reduce our ability to incur additional indebtedness.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December 31, 2016, the face value of our consolidated debt was approximately $11.9 billion, of which approximately $10.3 billion was at fixed interest rates and approximately $1.6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our earnings.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At December 31, 2016, we had approximately $13.9 billion of net property and equipment, $2.3 billion of goodwill, $2.3 billion of investments accounted for under the equity method of accounting and $242 million of net intangible assets capitalized on our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we were to determine that any of our property and equipment, goodwill,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capitalization. During the year ended December 31, 2016, we recognized impairment losses of approximately $80 million. See Note 5 to our Consolidated Financial Statements for additional information regarding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use of third-party assets for certain of our operations.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our business activities require the use of third-party assets over which we may have little or no control. For example, a portion of our storage and distribution business conducted in the Los Angeles basin receives waterborne crude oil through dock facilities operated by a third party in the Port of Long Beach. If at any time our access to this dock was denied, and if access to an alternative dock could not be arranged, the volume of crude oil that we presently receive from our customers in the Los Angeles basin may be reduced, which could result in a reduction of Facilities segment revenue and cash flow.</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our leased railcars, could significantly reduce our profitability due to fixed costs incurred to obtain the right to use such assets.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 to time in connection with our business, we may lease or otherwise secure the right to use certain third party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For example, in connection with our rail operations, we lease a significant number of our railcars, typically pursuant to multi-year leases that obligate us to pay the applicable lease rate without regard to utilization. If business conditions are such that a portion of our rail fleet is not utilized for any period of time due to reduced demand for the services they provide, we will still be obligated to pay the applicable fixed lease rate for such railcars. In addition, during the period of time that we are not utilizing such railcars, we will incur incremental costs associated with the cost of storing such railcars and will continue to incur costs for maintenance and upkeep. Non-utilization of our leased assets in connection with our business could have a significant negative impact on our profitability and cash flows.</w:t>
      </w:r>
    </w:p>
    <w:p>
      <w:pPr>
        <w:spacing w:after="0" w:line="1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70"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Our pipelines, terminals and storage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188" w:lineRule="exact"/>
        <w:rPr>
          <w:sz w:val="20"/>
          <w:szCs w:val="20"/>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5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pacing w:after="0" w:line="89"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reimbursements due to our general partner may be substantial and will reduce our cash available for distribution to unitholders.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preferred units have rights, preferences and privileges that are not held by, and are preferential to the rights of, holders of our common units.</w:t>
      </w:r>
    </w:p>
    <w:p>
      <w:pPr>
        <w:spacing w:after="0" w:line="2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Series A Preferred Units (our “preferred units”), issued in January 2016,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distributions on the preferred units accrue and are cumulative, at the rate of 8% per annum on the original issue price and are convertible into common units by the holders of such units or by us in certain circumstances. Our obligation to pay distributions on our preferred units, or on the common units issued following the conversion of such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2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70" w:lineRule="exact"/>
        <w:rPr>
          <w:sz w:val="20"/>
          <w:szCs w:val="20"/>
          <w:color w:val="auto"/>
        </w:rPr>
      </w:pPr>
    </w:p>
    <w:p>
      <w:pPr>
        <w:ind w:left="980" w:right="20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 and</w:t>
      </w:r>
    </w:p>
    <w:p>
      <w:pPr>
        <w:spacing w:after="0" w:line="73"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4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addition, our preferred units are convertible into common units at any time after January 28, 2018 by the holders of such units, or under certain circumstances, at our option. If a substantial portion of the preferred units were converted into common units, common unitholders could experience significant dilution. In addition, if holders of such converted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140" w:lineRule="exact"/>
        <w:rPr>
          <w:rFonts w:ascii="Arial" w:cs="Arial" w:eastAsia="Arial" w:hAnsi="Arial"/>
          <w:sz w:val="16"/>
          <w:szCs w:val="16"/>
          <w:color w:val="auto"/>
        </w:rPr>
      </w:pPr>
    </w:p>
    <w:p>
      <w:pPr>
        <w:ind w:left="980" w:right="80" w:hanging="324"/>
        <w:spacing w:after="0" w:line="273"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70" w:lineRule="exact"/>
        <w:rPr>
          <w:rFonts w:ascii="Arial" w:cs="Arial" w:eastAsia="Arial" w:hAnsi="Arial"/>
          <w:sz w:val="17"/>
          <w:szCs w:val="17"/>
          <w:color w:val="auto"/>
        </w:rPr>
      </w:pPr>
    </w:p>
    <w:p>
      <w:pPr>
        <w:ind w:left="980" w:right="46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spacing w:after="0" w:line="18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125" w:right="3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leverage is significant in relation to our partners’ capital. At December 31, 2016, the face value of our total outstanding long-term debt was approximately $10.2 billion, and the face value of our total outstanding short-term debt was approximately $1.7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the occurrence of a change of control, we may be required to adopt one or more alternatives, such as a refinancing of our debt securities. We can give no assurance that we would be able to refinance our debt securities.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1" w:lineRule="exact"/>
        <w:rPr>
          <w:sz w:val="20"/>
          <w:szCs w:val="20"/>
          <w:color w:val="auto"/>
        </w:rPr>
      </w:pPr>
    </w:p>
    <w:p>
      <w:pPr>
        <w:ind w:left="980" w:right="7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as well as our not being subject to a material amount of additional entity-level taxation by individual states. If the Internal Revenue Service (“IRS”) were to treat us as a corporation for federal income tax purposes or if we become subject to additional amounts of entity-level taxation for state or foreign tax purposes, it would reduce the amount of cash available to pay distributions and our debt obligations.</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The IRS issued final regulations on January 24, 2017, that are effective January 19, 2017, that define the activities that generate qualifying income from exploration, development, mining or production, processing, refining, transportation, and marketing of minerals or natural resources within the meaning of Section 7704. These regulations are intended to provide regulatory guidance on whether income from activities with respect to minerals or natural resources is qualifying income.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Current law may change, causing us to be treated as a corporation for federal income tax purposes or otherwise subject us to additional entity-level taxation. 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on us in additional states will reduce the cash available for distribution to our unitholders. If we were treated as a corporation for federal income tax purposes, we 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income tax purposes, distribution amounts will be adjusted downward by a percentage that is based on the applicable entity-level tax rate, including both federal and state tax burdens.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170" w:lineRule="exact"/>
        <w:rPr>
          <w:sz w:val="20"/>
          <w:szCs w:val="20"/>
          <w:color w:val="auto"/>
        </w:rPr>
      </w:pPr>
    </w:p>
    <w:p>
      <w:pPr>
        <w:ind w:right="20" w:firstLine="729"/>
        <w:spacing w:after="0" w:line="273" w:lineRule="auto"/>
        <w:rPr>
          <w:sz w:val="20"/>
          <w:szCs w:val="20"/>
          <w:color w:val="auto"/>
        </w:rPr>
      </w:pPr>
      <w:r>
        <w:rPr>
          <w:rFonts w:ascii="Arial" w:cs="Arial" w:eastAsia="Arial" w:hAnsi="Arial"/>
          <w:sz w:val="17"/>
          <w:szCs w:val="17"/>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recommended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Similar proposals could eliminate the qualifying income exception to the treatment of all publicly-traded partnerships as corporations upon which we rely for our treatment as a partnership for U.S. federal income tax purposes.</w:t>
      </w:r>
    </w:p>
    <w:p>
      <w:pPr>
        <w:spacing w:after="0" w:line="178" w:lineRule="exact"/>
        <w:rPr>
          <w:sz w:val="20"/>
          <w:szCs w:val="20"/>
          <w:color w:val="auto"/>
        </w:rPr>
      </w:pPr>
    </w:p>
    <w:p>
      <w:pPr>
        <w:ind w:right="20" w:firstLine="729"/>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Legislative changes to the IRS audit rules, starting with partnership tax years beginning after 2017, will allow the IRS to assess and collect tax on audit adjustments at the partnership level as opposed to the partner level unless the partnership makes an election or exercises certain alternatives. Changes were also made to limit partner representation in the event of an audit.</w:t>
      </w:r>
    </w:p>
    <w:p>
      <w:pPr>
        <w:spacing w:after="0" w:line="181" w:lineRule="exact"/>
        <w:rPr>
          <w:sz w:val="20"/>
          <w:szCs w:val="20"/>
          <w:color w:val="auto"/>
        </w:rPr>
      </w:pPr>
    </w:p>
    <w:p>
      <w:pPr>
        <w:ind w:firstLine="500"/>
        <w:spacing w:after="0" w:line="285" w:lineRule="auto"/>
        <w:rPr>
          <w:sz w:val="20"/>
          <w:szCs w:val="20"/>
          <w:color w:val="auto"/>
        </w:rPr>
      </w:pPr>
      <w:r>
        <w:rPr>
          <w:rFonts w:ascii="Arial" w:cs="Arial" w:eastAsia="Arial" w:hAnsi="Arial"/>
          <w:sz w:val="16"/>
          <w:szCs w:val="16"/>
          <w:color w:val="auto"/>
        </w:rPr>
        <w:t>The Bipartisan Budget Act of 2015 (H.R. 1315) (“Act”), effective for partnership tax years beginning after December 31, 2017, repeals the partnership audit rules of the Tax Equity and Fiscal Responsibility Act of 1982 (“TEFRA”) and replaces the TEFRA provisions with new provisions that allow for the IRS to assess and collect taxes associated with audit adjustments, referred to as an “imputed underpayment”, at the partnership entity level rather than the partner level in the year the partnership adjustment is made, the “adjustment year”, as opposed to the year the adjustment relates, the “reviewed year”. The imputed underpayment is calculated using the highest tax rate in effect for the reviewed year. The implications of an imputed underpayment are that current partners could be liable for a liability of former partners. If an audit adjustment did result in a material imputed underpayment the partnership would need to determine whether to pay the imputed underpayment or to avail itself of one of three alternative provisions under the Act that can shift the partnership level tax liability back onto the prior tax year partners. The first alternative, an opt-out election, is not available to us as a publicly traded partnership because we do not meet the criteria of 100 or fewer partners. The second alternative would require the partnership to submit audit adjustment information to the affected partners and to the IRS as well as ensure amended return compliance by our partners within 270 days after receipt of the proposed audit adjustment. From an administrative standpoint, considering the number of our partners, as a publicly traded partnership, the second alternative is not a viable option to us. The third alternative is an election by us that would require the partnership, not later than 45 days after the date of the notice of final partnership adjustment, to furnish to each affected partner and to the IRS a statement of each partner’s share of any adjustment to income, gain, loss, deduction, or credit. Under this alternative, reviewed year partners calculate their share of additional tax due and pay the additional amount with their respective current year individual tax returns. An election under this provision, however, because the reviewed year is older increases the applicable imputed underpayment interest rate by two percentage points. If we are required to pay taxes, penalties and interest as the result of audit adjustments, cash available for distribution to our unitholders may be substantially reduced. In addition, because payment would be due for the taxable year in which the audit is completed, unitholders during that taxable year would bear the expense of the adjustment even if they were not unitholders during the audited taxable year.</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Also for partnership tax years beginning after 2017, the Act eliminated rights that certain individual partners might previously have had in the audit process by now restricting it to a single “partnership representative”.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twelve-month period will result in our termination as a partnership for federal income tax purposes.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will be considered to have constructively terminated as a partnership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unitholders may be required to pay taxes on their share of our income even if they do not receive any cash distributions from us.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2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Non-U.S. persons will also potentially have tax filing and payment obligations in additional jurisdictions. Tax-exempt entities and non-U.S. persons should consult their tax advisor before investing in our common units.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applicable.</w:t>
      </w:r>
    </w:p>
    <w:p>
      <w:pPr>
        <w:spacing w:after="0" w:line="1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47" w:lineRule="exact"/>
        <w:rPr>
          <w:sz w:val="20"/>
          <w:szCs w:val="20"/>
          <w:color w:val="auto"/>
        </w:rPr>
      </w:pPr>
    </w:p>
    <w:p>
      <w:pPr>
        <w:ind w:right="10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Because there are no specific rules governing the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generally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included in Note 17 to our Consolidated Financial Statements, and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240" w:top="125" w:right="7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common units are listed and traded on the New York Stock Exchange (“NYSE”) under the symbol “PAA.” As of February 10, 2017, the closing market price for our common units was $31.27 per unit and there were approximately 159,000 record holders and beneficial owners (held in street name). As of February 10, 2017, there were 675,097,184 common units outstanding.</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324"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Common Unit</w:t>
      </w:r>
    </w:p>
    <w:p>
      <w:pPr>
        <w:jc w:val="center"/>
        <w:ind w:left="5200"/>
        <w:spacing w:after="0" w:line="206" w:lineRule="auto"/>
        <w:rPr>
          <w:sz w:val="20"/>
          <w:szCs w:val="20"/>
          <w:color w:val="auto"/>
        </w:rPr>
      </w:pPr>
      <w:r>
        <w:rPr>
          <w:rFonts w:ascii="Arial" w:cs="Arial" w:eastAsia="Arial" w:hAnsi="Arial"/>
          <w:sz w:val="14"/>
          <w:szCs w:val="14"/>
          <w:b w:val="1"/>
          <w:bCs w:val="1"/>
          <w:color w:val="auto"/>
        </w:rPr>
        <w:t>Price Range</w:t>
      </w:r>
    </w:p>
    <w:tbl>
      <w:tblPr>
        <w:tblLayout w:type="fixed"/>
        <w:tblInd w:w="0" w:type="dxa"/>
        <w:tblCellMar>
          <w:top w:w="0" w:type="dxa"/>
          <w:left w:w="0" w:type="dxa"/>
          <w:bottom w:w="0" w:type="dxa"/>
          <w:right w:w="0" w:type="dxa"/>
        </w:tblCellMar>
      </w:tblPr>
      <w:tr>
        <w:trPr>
          <w:trHeight w:val="48"/>
        </w:trPr>
        <w:tc>
          <w:tcPr>
            <w:tcW w:w="67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vMerge w:val="restart"/>
          </w:tcPr>
          <w:p>
            <w:pPr>
              <w:jc w:val="right"/>
              <w:ind w:right="494"/>
              <w:spacing w:after="0" w:line="133"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65"/>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 xml:space="preserve">Distributions </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27.17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3rd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1st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45.81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1" w:lineRule="exact"/>
        <w:rPr>
          <w:sz w:val="20"/>
          <w:szCs w:val="20"/>
          <w:color w:val="auto"/>
        </w:rPr>
      </w:pPr>
    </w:p>
    <w:p>
      <w:pPr>
        <w:ind w:left="660" w:right="24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Cash distributions pertaining to the quarter presented. These distributions were declared and paid in the following calendar quarter. See the “Cash Distribution Policy” section below for a discussion of our policy regarding distribution payments.</w:t>
      </w:r>
    </w:p>
    <w:p>
      <w:pPr>
        <w:spacing w:after="0" w:line="203"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common units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pacing w:after="0" w:line="1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Unitholder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Simplification Transactions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 the permanent elimination of our incentive distribution rights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 the implementation of a unified governance structure pursuant to which the board of directors of our general partner was eliminated and an expanded board of directors of PAGP GP assumed oversight responsibility over both us and PAGP; and provision for annual PAGP shareholder elections beginning in 2018 with certain directors with expiring terms in 2018, and the participation of our common unitholders and Series A preferred unitholders in such elections through our ownership of newly issued Class C shares in PAGP, which provide us, as the sole holder, the right to vote in elections of eligible PAGP directors together with the holders of PAGP Class A and Class B shares. In addition, we entered into an Omnibus Agreement with AAP and PAGP to promote economic alignment between our common unitholders and PAGP’s Class A shareholders by, among other measures, maintaining a one-to-one relationship between the number of outstanding PAGP Class A shares and the number of our common units indirectly owned by PAGP through AAP.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our Consolidated Financial Statements for further discussion of the Simplification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outstanding Series A preferred units, we distribute all of our available cash to our common unitholders within 45 days following the end of each quarter. Available cash generally means, for any quarter ending prior to liquidation, all cash on hand at the end of that quarter less the amount of cash reserves that are necessary or appropriate in the reasonable discretion of the general partner to:</w:t>
      </w:r>
    </w:p>
    <w:p>
      <w:pPr>
        <w:spacing w:after="0" w:line="18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terms of our partnership agreement, our Series A preferred units rank senior to all classes or series of equity securities in us with respect to distribution rights.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Prior to the Simplification Transactions, our general partner was entitled, directly or indirectly, to receive 2% proportional distributions, as well as incentive distributions if the amount we distributed with respect to any quarter exceeded certain specified levels. See Note 11 to our Consolidated Financial Statements for discussion of the prior quarterly incentive distribution provisions. Also See Item 13. “Certain Relationships and Related Transactions, and Director Independence—Our General Partner.”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Pursuant to the Omnibus Agreement entered into as part of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 Subsequent to December 31, 2016, AAP purchased approximately 1.8 million common units from us for net proceeds of approximately $60 million received from the sale of AAP units to PAGP in connection with PAGP’s issuance of Class A shares under its continuous equity offering program. The issuance of such common units to AAP was exempt from the registration requirements of the Securities Act of 1933, as amended, pursuant to Section 4(2)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did not repurchase any of our common units during the fourth quarter of 2016, and we do not have any announced or existing plans to repurchase any of our common units other than potential repurchases consistent with past practice in providing units for relatively small vestings of phantom units under our long-term incentive plans (“LTIP”).</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historical financial information below was derived from our audited consolidated financial statements as of December 31, 2016, 2015, 2014, 2013 and 2012 and for the years then ended. The selected financial data should be read in conjunction with the Consolidated Financial Statements, including the notes thereto, and Item 7. “Management’s Discussion and Analysis of Financial Condition and Results of Operations.”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two-for-one split of our common units was completed on October 1, 2012. The effect of the two-for one split has been retroactively applied to all unit and per-unit amounts presented in this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6"/>
          </w:tcPr>
          <w:p>
            <w:pPr>
              <w:jc w:val="center"/>
              <w:ind w:left="492"/>
              <w:spacing w:after="0"/>
              <w:rPr>
                <w:sz w:val="20"/>
                <w:szCs w:val="20"/>
                <w:color w:val="auto"/>
              </w:rPr>
            </w:pPr>
            <w:r>
              <w:rPr>
                <w:rFonts w:ascii="Arial" w:cs="Arial" w:eastAsia="Arial" w:hAnsi="Arial"/>
                <w:sz w:val="14"/>
                <w:szCs w:val="14"/>
                <w:b w:val="1"/>
                <w:bCs w:val="1"/>
                <w:color w:val="auto"/>
                <w:w w:val="92"/>
              </w:rPr>
              <w:t>(in millions, except per unit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20,182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23,152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43,464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unit data: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4"/>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Declared distributions per common unit </w:t>
            </w:r>
            <w:r>
              <w:rPr>
                <w:rFonts w:ascii="Arial" w:cs="Arial" w:eastAsia="Arial" w:hAnsi="Arial"/>
                <w:sz w:val="18"/>
                <w:szCs w:val="18"/>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99"/>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(at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13,474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10,819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8,816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7,939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by/(used in) financing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Expansion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5"/>
                <w:szCs w:val="25"/>
                <w:b w:val="1"/>
                <w:bCs w:val="1"/>
                <w:color w:val="auto"/>
                <w:vertAlign w:val="superscript"/>
              </w:rPr>
              <w:t>(2) (3)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Transportation segment (average daily volumes in thousands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of barrels per day):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segment total volumes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segment: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Crude oil, refined products and NGL terminalling and storage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(average monthly capacity in millions of barrels)</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Rail load / unload volumes (average volumes in thousands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8"/>
              </w:rPr>
              <w:t>Natural gas storage (average monthly working capacity in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billions of cubic feet)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NGL fractionation (average volumes in thousands of barrels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 day)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4700" w:type="dxa"/>
            <w:vAlign w:val="bottom"/>
          </w:tcPr>
          <w:p>
            <w:pPr>
              <w:ind w:left="280"/>
              <w:spacing w:after="0"/>
              <w:rPr>
                <w:sz w:val="20"/>
                <w:szCs w:val="20"/>
                <w:color w:val="auto"/>
              </w:rPr>
            </w:pPr>
            <w:r>
              <w:rPr>
                <w:rFonts w:ascii="Arial" w:cs="Arial" w:eastAsia="Arial" w:hAnsi="Arial"/>
                <w:sz w:val="18"/>
                <w:szCs w:val="18"/>
                <w:color w:val="auto"/>
                <w:w w:val="93"/>
              </w:rPr>
              <w:t>Facilities segment total volumes (average monthly volumes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in millions of barrels)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44"/>
        </w:trPr>
        <w:tc>
          <w:tcPr>
            <w:tcW w:w="4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6"/>
          </w:tcPr>
          <w:p>
            <w:pPr>
              <w:jc w:val="center"/>
              <w:ind w:left="756"/>
              <w:spacing w:after="0"/>
              <w:rPr>
                <w:sz w:val="20"/>
                <w:szCs w:val="20"/>
                <w:color w:val="auto"/>
              </w:rPr>
            </w:pPr>
            <w:r>
              <w:rPr>
                <w:rFonts w:ascii="Arial" w:cs="Arial" w:eastAsia="Arial" w:hAnsi="Arial"/>
                <w:sz w:val="14"/>
                <w:szCs w:val="14"/>
                <w:b w:val="1"/>
                <w:bCs w:val="1"/>
                <w:color w:val="auto"/>
                <w:w w:val="92"/>
              </w:rPr>
              <w:t>(in millions, except per unit data)</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1"/>
        </w:trPr>
        <w:tc>
          <w:tcPr>
            <w:tcW w:w="4700" w:type="dxa"/>
            <w:vAlign w:val="bottom"/>
          </w:tcPr>
          <w:p>
            <w:pPr>
              <w:ind w:left="40"/>
              <w:spacing w:after="0"/>
              <w:rPr>
                <w:sz w:val="20"/>
                <w:szCs w:val="20"/>
                <w:color w:val="auto"/>
              </w:rPr>
            </w:pPr>
            <w:r>
              <w:rPr>
                <w:rFonts w:ascii="Arial" w:cs="Arial" w:eastAsia="Arial" w:hAnsi="Arial"/>
                <w:sz w:val="18"/>
                <w:szCs w:val="18"/>
                <w:color w:val="auto"/>
              </w:rPr>
              <w:t>Supply and Logistics segment (average daily volumes in</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thousands of barrels per day):</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lease gathering purchases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NGL sales</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182</w:t>
            </w: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Waterborne cargos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Supply and Logistics segment total volumes</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1,003</w:t>
            </w: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720" w:hanging="652"/>
        <w:spacing w:after="0" w:line="216"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during the year presented. See Note 11 to our Consolidated Financial Statements for further discussion regarding our distributions.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98" w:lineRule="exact"/>
        <w:rPr>
          <w:rFonts w:ascii="Arial" w:cs="Arial" w:eastAsia="Arial" w:hAnsi="Arial"/>
          <w:sz w:val="22"/>
          <w:szCs w:val="22"/>
          <w:color w:val="auto"/>
          <w:vertAlign w:val="superscript"/>
        </w:rPr>
      </w:pPr>
    </w:p>
    <w:p>
      <w:pPr>
        <w:ind w:left="660" w:hanging="652"/>
        <w:spacing w:after="0" w:line="234"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thousand cubic feet (“mcf”) of natural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Overview and 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transitioning crude oil market over the last two years created a challenging environment for the overall midstream industry. See the “—Market Overview and Outlook” section below for further discussion. We recognized net income attributable to PAA of $726 million in 2016 as compared to net income attributable to PAA of $903 million recognized in 2015. This year-over-year decrease was impacted by:</w:t>
      </w:r>
    </w:p>
    <w:p>
      <w:pPr>
        <w:spacing w:after="0" w:line="181" w:lineRule="exact"/>
        <w:rPr>
          <w:sz w:val="20"/>
          <w:szCs w:val="20"/>
          <w:color w:val="auto"/>
        </w:rPr>
      </w:pPr>
    </w:p>
    <w:p>
      <w:pPr>
        <w:ind w:left="980" w:right="4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operating results, primarily due to less favorable crude oil and NGL market conditions, increased competition and the impact of mark-to-market losses on certain derivative instruments, partially offset by (i) contributions from our recently completed acquisition and capital expansion projects and (ii) lower field operating costs, largely due to lower trucking costs associated with our supply and logistics activities and the absence of costs related to the Line 901 incident, which occurred in May 2015;</w:t>
      </w:r>
    </w:p>
    <w:p>
      <w:pPr>
        <w:spacing w:after="0" w:line="186" w:lineRule="exact"/>
        <w:rPr>
          <w:rFonts w:ascii="Arial" w:cs="Arial" w:eastAsia="Arial" w:hAnsi="Arial"/>
          <w:sz w:val="18"/>
          <w:szCs w:val="18"/>
          <w:color w:val="auto"/>
        </w:rPr>
      </w:pPr>
    </w:p>
    <w:p>
      <w:pPr>
        <w:ind w:left="980" w:right="300" w:hanging="324"/>
        <w:spacing w:after="0" w:line="31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Higher depreciation and amortization expense primarily resulting from (i) our recently completed capital expansion projects, (ii) impairment losses related to certain of our rail and other terminal assets and (iii) assets taken out of service and the discontinuation of certain capital projects, all partially offset by net gains related to non-core assets sales and joint venture formations completed during the 2016 period;</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Gains recognized during 2016 related to the mark-to-market impact of our Preferred Distribution Rate Reset Option; and</w:t>
      </w:r>
    </w:p>
    <w:p>
      <w:pPr>
        <w:spacing w:after="0" w:line="225" w:lineRule="exact"/>
        <w:rPr>
          <w:rFonts w:ascii="Arial" w:cs="Arial" w:eastAsia="Arial" w:hAnsi="Arial"/>
          <w:sz w:val="18"/>
          <w:szCs w:val="18"/>
          <w:color w:val="auto"/>
        </w:rPr>
      </w:pPr>
    </w:p>
    <w:p>
      <w:pPr>
        <w:ind w:left="980" w:right="100" w:hanging="324"/>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Lower income tax expense primarily due to lower earnings from our Canadian operations and the impact from the cumulative revaluation of Canadian net deferred tax liabilities resulting from an Alberta, Canada provincial tax rate increase enacted during the comparative 2015 period.</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We executed a $1.4 billion capital program during 2016, which we expect will contribute to growth in our fee-based Transportation and Facilities segments in future years. In addition, we paid approximately $1.6 billion of cash distributions to our common unitholders and general partner during 2016.</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improve our ability to manage through the industry downturn and to position for a recovery, we completed a number of initiatives during 2016 to maintain a solid capital structure, significant liquidity and overall financial flexibility. Such initiatives included (i) executing the Simplification Transactions in November 2016, which lowered our incremental cost of equity through the elimination of our IDRs, and in connection therewith resetting our distribution level, which resulted in an annual reduction in cash distributions of approximately $320 million, (ii) securing approximately $1.6 billion of equity capital through the sale of new Series A preferred units in January 2016, (iii) selectively utilizing our continuous offering program to raise approximately $805 million of net proceeds, (iv) selling non-core assets and entering into strategic joint ventures, which raised approximately $550 million of cash proceeds during 2016 while reducing our capital commitments, and (v) entering into a definitive agreement to sell additional assets for approximately $290 million that is expected to close in the first half of 2017, subject to regulatory approvals.</w:t>
      </w:r>
    </w:p>
    <w:p>
      <w:pPr>
        <w:spacing w:after="0" w:line="17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Subsequent to December 31, 2016, we acquired a crude oil gathering system located in the Northern Delaware Basin for approximately $1.215 billion. In addition, in February 2017, we entered into a definitive agreement to form a 50/50 joint venture to acquire a crude oil pipeline located in the Southern Delaware Basin for $133 million. We also entered into definitive sales agreements for two transactions totaling $310 million, and we completed a third transaction, the sale of a partial interest in a pipeline segment, in January 2017 for proceeds of $70 million. We expect the remaining transactions to close during the first half of 2017, subject to customary closing conditions, including receipt of regulatory approvals.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completed a number of acquisitions and capital projects in 2016, 2015 and 2014 that have impacted our results of operations. The following table summarizes our expenditures for acquisition capital, expansion capital and maintenance capital for the periods indicated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1,099</w:t>
            </w:r>
          </w:p>
        </w:tc>
      </w:tr>
      <w:tr>
        <w:trPr>
          <w:trHeight w:val="270"/>
        </w:trPr>
        <w:tc>
          <w:tcPr>
            <w:tcW w:w="6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w:t>
            </w:r>
          </w:p>
        </w:tc>
        <w:tc>
          <w:tcPr>
            <w:tcW w:w="9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1,405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2,026</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r>
      <w:tr>
        <w:trPr>
          <w:trHeight w:val="237"/>
        </w:trPr>
        <w:tc>
          <w:tcPr>
            <w:tcW w:w="66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1,880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3,349</w:t>
            </w:r>
          </w:p>
        </w:tc>
      </w:tr>
      <w:tr>
        <w:trPr>
          <w:trHeight w:val="27"/>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2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Acquisitions are financed using a combination of equity and debt, including borrowings under our commercial paper program or credit facilities and the issuance of senior notes. In addition, we use proceeds from sales of non-core assets for funding. Businesses acquired impact our results of operations commencing on the closing date of each acquisition. Our acquisition, divestiture and capital expansion activities are discussed further in “—Liquidity and Capital Resources.” Information regarding acquisitions completed in 2016, 2015 and 2014 is set forth in the table below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Acquisition</w:t>
            </w:r>
          </w:p>
        </w:tc>
        <w:tc>
          <w:tcPr>
            <w:tcW w:w="120" w:type="dxa"/>
            <w:vAlign w:val="bottom"/>
            <w:vMerge w:val="restart"/>
          </w:tcPr>
          <w:p>
            <w:pPr>
              <w:spacing w:after="0"/>
              <w:rPr>
                <w:sz w:val="14"/>
                <w:szCs w:val="14"/>
                <w:color w:val="auto"/>
              </w:rPr>
            </w:pP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Effective</w:t>
            </w:r>
          </w:p>
        </w:tc>
        <w:tc>
          <w:tcPr>
            <w:tcW w:w="26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4"/>
                <w:szCs w:val="14"/>
                <w:color w:val="auto"/>
              </w:rPr>
            </w:pPr>
          </w:p>
        </w:tc>
        <w:tc>
          <w:tcPr>
            <w:tcW w:w="30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Canada NGL Assets</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2016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2015 Total</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BridgeTex Acquisition (50% interest) </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November 2014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3"/>
                <w:szCs w:val="23"/>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2014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6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We account for our 50% interest in BridgeTex under the equity method of accounting. See Note 8 to our Consolidated Financial Statements for further discussion of our equity method investments.</w:t>
      </w:r>
    </w:p>
    <w:p>
      <w:pPr>
        <w:spacing w:after="0" w:line="20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i w:val="1"/>
          <w:iCs w:val="1"/>
          <w:color w:val="auto"/>
        </w:rPr>
        <w:t xml:space="preserve">Alpha Crude Connector Gathering System. </w:t>
      </w:r>
      <w:r>
        <w:rPr>
          <w:rFonts w:ascii="Arial" w:cs="Arial" w:eastAsia="Arial" w:hAnsi="Arial"/>
          <w:sz w:val="17"/>
          <w:szCs w:val="17"/>
          <w:color w:val="auto"/>
        </w:rPr>
        <w:t>In February 2017, we acquired the Alpha Crude Connector (“ACC”) gathering system for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$1.215 billion, subject to working capital and other adjustments. The ACC gathering system is located in the Northern Delaware Basin in Southeastern New Mexico and West Texas and is comprised of 515 miles of recently constructed gathering and transmission lines and five market interconnects, including to our Basin Pipeline at Wink. The ACC gathering system is supported by long-term acreage dedications.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2016 projects primarily included the construction and expansion of pipeline systems and storage and terminal facilities. The following table summarizes our 2016, 2015 and 2014 projects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Red River Pipeline (Cushing to Longview)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Fort Saskatchewan Facility Projects / NGL Line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Saddlehorn Pipeline </w:t>
            </w:r>
            <w:r>
              <w:rPr>
                <w:rFonts w:ascii="Arial" w:cs="Arial" w:eastAsia="Arial" w:hAnsi="Arial"/>
                <w:sz w:val="25"/>
                <w:szCs w:val="25"/>
                <w:color w:val="auto"/>
                <w:vertAlign w:val="superscript"/>
              </w:rPr>
              <w:t>(4)</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(2) (5)</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 James Terminal Expansions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Eagle Ford JV Projects </w:t>
            </w:r>
            <w:r>
              <w:rPr>
                <w:rFonts w:ascii="Arial" w:cs="Arial" w:eastAsia="Arial" w:hAnsi="Arial"/>
                <w:sz w:val="25"/>
                <w:szCs w:val="25"/>
                <w:color w:val="auto"/>
                <w:vertAlign w:val="superscript"/>
              </w:rPr>
              <w:t>(2) (5)</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r>
      <w:tr>
        <w:trPr>
          <w:trHeight w:val="25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2,026</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 January 2017, we sold an undivided 40% interest in a segment of the Red River Pipeline.</w:t>
      </w:r>
    </w:p>
    <w:p>
      <w:pPr>
        <w:spacing w:after="0" w:line="98" w:lineRule="exact"/>
        <w:rPr>
          <w:rFonts w:ascii="Arial" w:cs="Arial" w:eastAsia="Arial" w:hAnsi="Arial"/>
          <w:sz w:val="25"/>
          <w:szCs w:val="25"/>
          <w:color w:val="auto"/>
          <w:vertAlign w:val="superscript"/>
        </w:rPr>
      </w:pPr>
    </w:p>
    <w:p>
      <w:pPr>
        <w:ind w:left="660" w:right="120" w:hanging="652"/>
        <w:spacing w:after="0" w:line="214"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These projects will continue into 2017. See “—Liquidity and Capital Resources—Acquisitions, Divestitures and Expansion Capital Expenditures— 2017 Capital Projects.”</w:t>
      </w:r>
    </w:p>
    <w:p>
      <w:pPr>
        <w:spacing w:after="0" w:line="94" w:lineRule="exact"/>
        <w:rPr>
          <w:rFonts w:ascii="Arial" w:cs="Arial" w:eastAsia="Arial" w:hAnsi="Arial"/>
          <w:sz w:val="25"/>
          <w:szCs w:val="25"/>
          <w:color w:val="auto"/>
          <w:vertAlign w:val="superscript"/>
        </w:rPr>
      </w:pPr>
    </w:p>
    <w:p>
      <w:pPr>
        <w:ind w:left="660" w:right="580" w:hanging="652"/>
        <w:spacing w:after="0" w:line="216"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railcar purchases, as well as rail projects near St. James, LA; Tampa, CO; Bakersfield, CA; Carr, CO; Manitou, ND; Van Hook, ND; Yorktown, VA; and Kerrobert, Canada rail projects.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40% investment interest in Saddlehorn.</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investment interest.</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recent expansion capital programs were primarily driven by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A majority of the expansion capital spent in the years presented was invested in our fee-based Transportation and Facilities segments.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However, the meaningful decrease in crude oil prices since the second half of 2014 led to production declines and infrastructure overbuild in a number of onshore resource plays. As such, we have reduced our forecasted capital expansion program in 2017 relative to prior years. We currently expect to spend approximately $800 million for expansion capital in 2017. See “—Liquidity and Capital Resources—Acquisitions, Divestitures and Expansion Capital Expenditures—2017 Capital Projects” and “—Market Overview and Outlook”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adopted various accounting policies to prepare our consolidated financial statements in accordance with GAAP. These critical accounting policies are discussed in Note 2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differ from these estimates. On a regular basis, we evaluate our assumptions, judgments and estimates. We also discuss our critical accounting policies and estimates with the Audit Committee of the Board of Directors.</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equity-indexed compensation plan accruals, (v) property and equipment, depreciation expense and asset retirement obligations, (vi) allowance for doubtful accounts and</w:t>
      </w:r>
    </w:p>
    <w:p>
      <w:pPr>
        <w:ind w:right="240" w:firstLine="8"/>
        <w:spacing w:after="0" w:line="255" w:lineRule="auto"/>
        <w:tabs>
          <w:tab w:leader="none" w:pos="3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inventory valuations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FASB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acquisitions of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6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 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 area and potential future sources of cash flow. We cannot provide assurance that actual amounts will not vary significantly from estimated amounts. Resolutions of these uncertainties have resulted, although not material, and in the future may result, in impairments that impact our results of operations and financial condition. See Note 7 to our Consolidated Financial Statements for further discussion of goodwill.</w:t>
      </w:r>
    </w:p>
    <w:p>
      <w:pPr>
        <w:spacing w:after="0" w:line="18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in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7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also have embedded derivatives in our preferred units that are accounted for as assets and liabilities at fair value in our Consolidated Balance Sheets. Derivatives related to the embedded derivatives in our preferred units are valued using a model that contains inputs, including our common unit price, ten-year U.S. Treasury rates, default probabilities and timing estimates, which involve management judgment.</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Although the resolution of these uncertainties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$12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Equity-Indexed Compensation Plan Accruals. </w:t>
      </w:r>
      <w:r>
        <w:rPr>
          <w:rFonts w:ascii="Arial" w:cs="Arial" w:eastAsia="Arial" w:hAnsi="Arial"/>
          <w:sz w:val="17"/>
          <w:szCs w:val="17"/>
          <w:color w:val="auto"/>
        </w:rPr>
        <w:t>We accrue compensation expense (referred to herein as equity-indexed compensation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equity-indexed compensation awards. We cannot provide assurance that the actual fair value of our equity-indexed compensation awards will not vary significantly from estimated amounts.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recognized equity-indexed compensation expense of $60 million, $27 million and $98 million in 2016, 2015 and 2014, respectively, related to awards granted under our various equity-indexed compensation plans. A hypothetical variance of 5% in our aggregate estimate for the equity-indexed compensation expense would have an impact on net income attributable to PAA of less than 1%. See Note 16 to our Consolidated Financial Statements for a discussion regarding our equity-indexed compensation plans.</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Property and Equipment, Depreciation Expense, Asset Retirement Obligations and Impairments. </w:t>
      </w:r>
      <w:r>
        <w:rPr>
          <w:rFonts w:ascii="Arial" w:cs="Arial" w:eastAsia="Arial" w:hAnsi="Arial"/>
          <w:sz w:val="17"/>
          <w:szCs w:val="17"/>
          <w:color w:val="auto"/>
        </w:rPr>
        <w:t>We compute depreciation using the straight-line</w:t>
      </w:r>
      <w:r>
        <w:rPr>
          <w:rFonts w:ascii="Arial" w:cs="Arial" w:eastAsia="Arial" w:hAnsi="Arial"/>
          <w:sz w:val="17"/>
          <w:szCs w:val="17"/>
          <w:i w:val="1"/>
          <w:iCs w:val="1"/>
          <w:color w:val="auto"/>
        </w:rPr>
        <w:t xml:space="preserve"> </w:t>
      </w:r>
      <w:r>
        <w:rPr>
          <w:rFonts w:ascii="Arial" w:cs="Arial" w:eastAsia="Arial" w:hAnsi="Arial"/>
          <w:sz w:val="17"/>
          <w:szCs w:val="17"/>
          <w:color w:val="auto"/>
        </w:rPr>
        <w:t>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discussed in the “Market Overview and Outlook” section below, the decline in crude oil prices and its impact on certain differentials and downward pressure on production that has occurred since mid-2014 has adversely impacted most companies in the midstream industry, including us. As a result of such adverse market conditions, during 2016, we recognized approximately $80 million of non-cash impairment losses on certain of our long-lived rail and other terminal assets included 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Facilities segment. Despite the modest recovery in the crude oil market in recent months, we continue to monitor appropriate indicators of potential impairment.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did not recognize any material impairment of long-lived assets during the year ended December 31, 2015. During the year ended December 31, 2014, we recognized impairments of $10 million primarily related to assets that were taken out of service. See Note 5 to our Consolidated Financial Statements for further discussion regarding impairments.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2016, 2015 and 2014)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Inventory Valuations. </w:t>
      </w:r>
      <w:r>
        <w:rPr>
          <w:rFonts w:ascii="Arial" w:cs="Arial" w:eastAsia="Arial" w:hAnsi="Arial"/>
          <w:sz w:val="18"/>
          <w:szCs w:val="18"/>
          <w:color w:val="auto"/>
        </w:rPr>
        <w:t>Inventory, including long-term inventory, primarily consists of crude oil, NGL and natural gas and is valued at the lower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or market,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2016, 2015 and 2014, we recorded charges of $3 million, $117 million and $289 million, respectively, related to the valuation adjustment of our crude oil, NGL and natural gas inventory due to declines in prices. See Note 4 to our Consolidated Financial Statements for further discussion regarding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See Note 2 to our Consolidated Financial Statements for information regarding the effect of recent accounting pronouncements on our consolidated financial statements, including the impact of our adoption of revised debt issuance costs guidance on prior period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Transportation segment adjusted EBITDA</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adjusted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w w:val="96"/>
              </w:rPr>
              <w:t>Selected items impacting comparability -</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7"/>
                <w:szCs w:val="17"/>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Diluted weighted average common units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7"/>
                <w:szCs w:val="17"/>
                <w:color w:val="auto"/>
              </w:rPr>
              <w:t>466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400" w:hanging="652"/>
        <w:spacing w:after="0" w:line="232"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19 to our Consolidated Financial Statements for additional discussion of such adjustments.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and adjusted for certain selected items impacting comparability (“Adjusted EBITDA”) and implied distributable cash flow (“DCF”).</w:t>
      </w:r>
    </w:p>
    <w:p>
      <w:pPr>
        <w:spacing w:after="0" w:line="1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25"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rPr>
              <w:t>2016-2015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Selected Items Impacting Comparability</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Adjusted EBITDA:</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340"/>
              <w:spacing w:after="0"/>
              <w:rPr>
                <w:sz w:val="20"/>
                <w:szCs w:val="20"/>
                <w:color w:val="auto"/>
              </w:rPr>
            </w:pPr>
            <w:r>
              <w:rPr>
                <w:rFonts w:ascii="Arial" w:cs="Arial" w:eastAsia="Arial" w:hAnsi="Arial"/>
                <w:sz w:val="18"/>
                <w:szCs w:val="18"/>
                <w:color w:val="auto"/>
              </w:rPr>
              <w:t>(Gains)/losses from derivative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500"/>
              <w:spacing w:after="0"/>
              <w:rPr>
                <w:sz w:val="20"/>
                <w:szCs w:val="20"/>
                <w:color w:val="auto"/>
              </w:rPr>
            </w:pPr>
            <w:r>
              <w:rPr>
                <w:rFonts w:ascii="Arial" w:cs="Arial" w:eastAsia="Arial" w:hAnsi="Arial"/>
                <w:sz w:val="18"/>
                <w:szCs w:val="18"/>
                <w:color w:val="auto"/>
              </w:rPr>
              <w:t>activities net of inventory valuation</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50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20" w:type="dxa"/>
            <w:vAlign w:val="bottom"/>
          </w:tcPr>
          <w:p>
            <w:pPr>
              <w:ind w:left="340"/>
              <w:spacing w:after="0"/>
              <w:rPr>
                <w:sz w:val="20"/>
                <w:szCs w:val="20"/>
                <w:color w:val="auto"/>
              </w:rPr>
            </w:pPr>
            <w:r>
              <w:rPr>
                <w:rFonts w:ascii="Arial" w:cs="Arial" w:eastAsia="Arial" w:hAnsi="Arial"/>
                <w:sz w:val="18"/>
                <w:szCs w:val="18"/>
                <w:color w:val="auto"/>
              </w:rPr>
              <w:t>Long-term inventory costing</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Equity-indexed compensation</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50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320" w:type="dxa"/>
            <w:vAlign w:val="bottom"/>
          </w:tcPr>
          <w:p>
            <w:pPr>
              <w:ind w:left="340"/>
              <w:spacing w:after="0"/>
              <w:rPr>
                <w:sz w:val="20"/>
                <w:szCs w:val="20"/>
                <w:color w:val="auto"/>
              </w:rPr>
            </w:pPr>
            <w:r>
              <w:rPr>
                <w:rFonts w:ascii="Arial" w:cs="Arial" w:eastAsia="Arial" w:hAnsi="Arial"/>
                <w:sz w:val="18"/>
                <w:szCs w:val="18"/>
                <w:color w:val="auto"/>
              </w:rPr>
              <w:t>Net (gain)/loss on foreign currency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3320" w:type="dxa"/>
            <w:vAlign w:val="bottom"/>
          </w:tcPr>
          <w:p>
            <w:pPr>
              <w:ind w:left="200"/>
              <w:spacing w:after="0"/>
              <w:rPr>
                <w:sz w:val="20"/>
                <w:szCs w:val="20"/>
                <w:color w:val="auto"/>
              </w:rPr>
            </w:pPr>
            <w:r>
              <w:rPr>
                <w:rFonts w:ascii="Arial" w:cs="Arial" w:eastAsia="Arial" w:hAnsi="Arial"/>
                <w:sz w:val="18"/>
                <w:szCs w:val="18"/>
                <w:color w:val="auto"/>
                <w:w w:val="97"/>
              </w:rPr>
              <w:t>Selected Items Impacting Comparability</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4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20" w:type="dxa"/>
            <w:vAlign w:val="bottom"/>
          </w:tcPr>
          <w:p>
            <w:pPr>
              <w:ind w:left="340"/>
              <w:spacing w:after="0"/>
              <w:rPr>
                <w:sz w:val="20"/>
                <w:szCs w:val="20"/>
                <w:color w:val="auto"/>
              </w:rPr>
            </w:pPr>
            <w:r>
              <w:rPr>
                <w:rFonts w:ascii="Arial" w:cs="Arial" w:eastAsia="Arial" w:hAnsi="Arial"/>
                <w:sz w:val="18"/>
                <w:szCs w:val="18"/>
                <w:color w:val="auto"/>
              </w:rPr>
              <w:t>Net (gain)/loss on foreign currency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tcPr>
          <w:p>
            <w:pPr>
              <w:ind w:left="50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Selected Items Impacting Comparability</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Adjusted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(8)</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2,229</w:t>
            </w:r>
          </w:p>
        </w:tc>
        <w:tc>
          <w:tcPr>
            <w:tcW w:w="120" w:type="dxa"/>
            <w:vAlign w:val="bottom"/>
            <w:tcBorders>
              <w:right w:val="single" w:sz="8" w:color="auto"/>
            </w:tcBorders>
          </w:tcPr>
          <w:p>
            <w:pPr>
              <w:spacing w:after="0"/>
              <w:rPr>
                <w:sz w:val="22"/>
                <w:szCs w:val="22"/>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(9)</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33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(10)</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Adjusted equity earnings in</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 net of</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distributions </w:t>
            </w:r>
            <w:r>
              <w:rPr>
                <w:rFonts w:ascii="Arial" w:cs="Arial" w:eastAsia="Arial" w:hAnsi="Arial"/>
                <w:sz w:val="25"/>
                <w:szCs w:val="25"/>
                <w:color w:val="auto"/>
                <w:vertAlign w:val="superscript"/>
              </w:rPr>
              <w:t>(11)</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(12)</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24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(13)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5"/>
                <w:szCs w:val="25"/>
                <w:color w:val="auto"/>
                <w:vertAlign w:val="superscript"/>
              </w:rPr>
              <w:t>(12)</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5"/>
                <w:szCs w:val="25"/>
                <w:color w:val="auto"/>
                <w:vertAlign w:val="superscript"/>
              </w:rPr>
              <w:t>(14)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60" w:hanging="652"/>
        <w:spacing w:after="0" w:line="216" w:lineRule="auto"/>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Our proportionate share of the depreciation and amortization</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expense associated with such unconsolidated entities is excluded when reviewing Adjusted EBITDA, similar to our consolidated pipelines.</w:t>
      </w:r>
    </w:p>
    <w:p>
      <w:pPr>
        <w:spacing w:after="0" w:line="131" w:lineRule="exact"/>
        <w:rPr>
          <w:sz w:val="20"/>
          <w:szCs w:val="20"/>
          <w:color w:val="auto"/>
        </w:rPr>
      </w:pPr>
    </w:p>
    <w:p>
      <w:pPr>
        <w:ind w:left="660" w:right="20" w:hanging="652"/>
        <w:spacing w:after="0" w:line="275" w:lineRule="auto"/>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12 to our Consolidated Financial Statements for a comprehensive discussion regarding our derivatives and risk management activities.</w:t>
      </w:r>
    </w:p>
    <w:p>
      <w:pPr>
        <w:spacing w:after="0" w:line="71" w:lineRule="exact"/>
        <w:rPr>
          <w:rFonts w:ascii="Arial" w:cs="Arial" w:eastAsia="Arial" w:hAnsi="Arial"/>
          <w:sz w:val="22"/>
          <w:szCs w:val="22"/>
          <w:color w:val="auto"/>
          <w:vertAlign w:val="superscript"/>
        </w:rPr>
      </w:pPr>
    </w:p>
    <w:p>
      <w:pPr>
        <w:ind w:left="660" w:hanging="652"/>
        <w:spacing w:after="0" w:line="277" w:lineRule="auto"/>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 Amounts for years prior to 2016 were not significant.</w:t>
      </w:r>
    </w:p>
    <w:p>
      <w:pPr>
        <w:spacing w:after="0" w:line="69" w:lineRule="exact"/>
        <w:rPr>
          <w:rFonts w:ascii="Arial" w:cs="Arial" w:eastAsia="Arial" w:hAnsi="Arial"/>
          <w:sz w:val="22"/>
          <w:szCs w:val="22"/>
          <w:color w:val="auto"/>
          <w:vertAlign w:val="superscript"/>
        </w:rPr>
      </w:pPr>
    </w:p>
    <w:p>
      <w:pPr>
        <w:ind w:left="660" w:hanging="652"/>
        <w:spacing w:after="0" w:line="253"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for additional inventory disclosures.</w:t>
      </w:r>
    </w:p>
    <w:p>
      <w:pPr>
        <w:spacing w:after="0" w:line="83" w:lineRule="exact"/>
        <w:rPr>
          <w:rFonts w:ascii="Arial" w:cs="Arial" w:eastAsia="Arial" w:hAnsi="Arial"/>
          <w:sz w:val="24"/>
          <w:szCs w:val="24"/>
          <w:color w:val="auto"/>
          <w:vertAlign w:val="superscript"/>
        </w:rPr>
      </w:pPr>
    </w:p>
    <w:p>
      <w:pPr>
        <w:ind w:left="660" w:right="20" w:hanging="652"/>
        <w:spacing w:after="0" w:line="254"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for a comprehensive discussion regarding our equity-indexed compensation plans.</w:t>
      </w:r>
    </w:p>
    <w:p>
      <w:pPr>
        <w:spacing w:after="0" w:line="87" w:lineRule="exact"/>
        <w:rPr>
          <w:rFonts w:ascii="Arial" w:cs="Arial" w:eastAsia="Arial" w:hAnsi="Arial"/>
          <w:sz w:val="24"/>
          <w:szCs w:val="24"/>
          <w:color w:val="auto"/>
          <w:vertAlign w:val="superscript"/>
        </w:rPr>
      </w:pPr>
    </w:p>
    <w:p>
      <w:pPr>
        <w:ind w:left="660" w:right="80" w:hanging="652"/>
        <w:spacing w:after="0" w:line="262" w:lineRule="auto"/>
        <w:tabs>
          <w:tab w:leader="none" w:pos="66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During the periods presented, there were fluctuations in the value of the Canadian dollar (“CAD”) to the U.S. dollar (“USD”), resulting in gains and losses that were not related to our core operating results for the period and were thus classified as a selected item impacting comparability. See Note 12 to our Consolidated Financial Statements for discussion regarding our currency exchange rate risk hedging activities.</w:t>
      </w:r>
    </w:p>
    <w:p>
      <w:pPr>
        <w:spacing w:after="0" w:line="78" w:lineRule="exact"/>
        <w:rPr>
          <w:rFonts w:ascii="Arial" w:cs="Arial" w:eastAsia="Arial" w:hAnsi="Arial"/>
          <w:sz w:val="22"/>
          <w:szCs w:val="22"/>
          <w:color w:val="auto"/>
          <w:vertAlign w:val="superscript"/>
        </w:rPr>
      </w:pPr>
    </w:p>
    <w:p>
      <w:pPr>
        <w:ind w:left="660" w:right="240" w:hanging="652"/>
        <w:spacing w:after="0" w:line="21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17 to our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14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Does not include the depreciation and amortization expense of unconsolidated entities, as such expenses are excluded in the calculation of Adjusted</w:t>
      </w:r>
    </w:p>
    <w:p>
      <w:pPr>
        <w:spacing w:after="0" w:line="1"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EBITDA.</w:t>
      </w:r>
    </w:p>
    <w:p>
      <w:pPr>
        <w:spacing w:after="0" w:line="44"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Includes distributions that pertain to the current period’s net income and are paid in the subsequent period.</w:t>
      </w:r>
    </w:p>
    <w:p>
      <w:pPr>
        <w:spacing w:after="0" w:line="98" w:lineRule="exact"/>
        <w:rPr>
          <w:rFonts w:ascii="Arial" w:cs="Arial" w:eastAsia="Arial" w:hAnsi="Arial"/>
          <w:sz w:val="25"/>
          <w:szCs w:val="25"/>
          <w:color w:val="auto"/>
          <w:vertAlign w:val="superscript"/>
        </w:rPr>
      </w:pPr>
    </w:p>
    <w:p>
      <w:pPr>
        <w:jc w:val="both"/>
        <w:ind w:left="660" w:right="160" w:hanging="652"/>
        <w:spacing w:after="0" w:line="225"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Including net costs recognized during the period related to the Line 901 incident that occurred in May 2015, Implied DCF would have been $1,391 million for the year ended December 31, 2015. See Note 17 to our Consolidated Financial Statements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140" w:hanging="652"/>
        <w:spacing w:after="0" w:line="227" w:lineRule="auto"/>
        <w:tabs>
          <w:tab w:leader="none" w:pos="66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fourth quarter of 2016, we modified our primary segment performance measure to segment adjusted EBITDA from segment profit, and thus prior period segment disclosures have been recast to reflect this change. Segment adjusted EBITDA forms the basis of our internal financial reporting and is the measure of segment performance that is utilized by our CODM in assessing performance and allocating resources among our operating segments. Such recasts have no impact on previously reported consolidated financial results.</w:t>
      </w:r>
    </w:p>
    <w:p>
      <w:pPr>
        <w:spacing w:after="0" w:line="18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 See Note 19 to our Consolidated Financial Statements for a reconciliation of segment adjusted EBITDA to net income attributable to PAA.</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Equity-indexed compensation expense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3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Equity-indexed compensation expense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85</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2016-2015</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80" w:type="dxa"/>
            <w:vAlign w:val="bottom"/>
            <w:gridSpan w:val="2"/>
            <w:vMerge w:val="continue"/>
          </w:tcPr>
          <w:p>
            <w:pPr>
              <w:spacing w:after="0"/>
              <w:rPr>
                <w:sz w:val="6"/>
                <w:szCs w:val="6"/>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(5)</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Western</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Gulf Coast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4,079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Average daily volumes are calculated as the total volumes (attributable to our interest) for the year divided by the number of days in the year.</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Area systems include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Revenues from Tariff Activities, Equity Earnings in Unconsolidated Entities and Volumes. </w:t>
      </w:r>
      <w:r>
        <w:rPr>
          <w:rFonts w:ascii="Arial" w:cs="Arial" w:eastAsia="Arial" w:hAnsi="Arial"/>
          <w:sz w:val="18"/>
          <w:szCs w:val="18"/>
          <w:color w:val="auto"/>
        </w:rPr>
        <w:t>The following table presents variances in tariff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equity earnings in unconsolidated entities by region for the comparative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6"/>
          </w:tcPr>
          <w:p>
            <w:pPr>
              <w:ind w:left="200"/>
              <w:spacing w:after="0"/>
              <w:rPr>
                <w:sz w:val="20"/>
                <w:szCs w:val="20"/>
                <w:color w:val="auto"/>
              </w:rPr>
            </w:pPr>
            <w:r>
              <w:rPr>
                <w:rFonts w:ascii="Arial" w:cs="Arial" w:eastAsia="Arial" w:hAnsi="Arial"/>
                <w:sz w:val="14"/>
                <w:szCs w:val="14"/>
                <w:b w:val="1"/>
                <w:bCs w:val="1"/>
                <w:color w:val="auto"/>
              </w:rPr>
              <w:t>Favorable/(Unfavorable) Variance</w:t>
            </w:r>
          </w:p>
        </w:tc>
        <w:tc>
          <w:tcPr>
            <w:tcW w:w="280" w:type="dxa"/>
            <w:vAlign w:val="bottom"/>
          </w:tcPr>
          <w:p>
            <w:pPr>
              <w:spacing w:after="0"/>
              <w:rPr>
                <w:sz w:val="14"/>
                <w:szCs w:val="14"/>
                <w:color w:val="auto"/>
              </w:rPr>
            </w:pPr>
          </w:p>
        </w:tc>
        <w:tc>
          <w:tcPr>
            <w:tcW w:w="278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Favorable/(Unfavorable) Variance</w:t>
            </w:r>
          </w:p>
        </w:tc>
      </w:tr>
      <w:tr>
        <w:trPr>
          <w:trHeight w:val="192"/>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2016-2015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2015-2014</w:t>
            </w:r>
          </w:p>
        </w:tc>
      </w:tr>
      <w:tr>
        <w:trPr>
          <w:trHeight w:val="264"/>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Equity Earnings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Equity Earnings</w:t>
            </w: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Permian Basin region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South Texas / Eagle Ford region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Western region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Rocky Mountain region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Gulf Coast region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Central region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Canada crude oil</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Other (including pipeline loss allowance revenue)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variance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5" w:lineRule="auto"/>
        <w:tabs>
          <w:tab w:leader="none" w:pos="98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for 2016 compared to 2015 was primarily driven by (i) higher volumes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of our pipeline systems in the Delaware Basin, (ii) higher volumes on our takeaway pipelines and (iii) a full year of service of our Cactus pipeline, which was placed in service in April 2015. Revenues increased for 2015 over 2014 primarily due to (i) results from our Cactus pipeline and (ii) higher volumes related to increased production, primarily associated with the expansion of our pipeline system in the Delaware Basin. The increase in equity earnings for 2015 over 2014 was driven by earnings from our interest in BridgeTex, which we acquired in November 2014.</w:t>
      </w:r>
    </w:p>
    <w:p>
      <w:pPr>
        <w:spacing w:after="0" w:line="193" w:lineRule="exact"/>
        <w:rPr>
          <w:rFonts w:ascii="Arial" w:cs="Arial" w:eastAsia="Arial" w:hAnsi="Arial"/>
          <w:sz w:val="18"/>
          <w:szCs w:val="18"/>
          <w:i w:val="1"/>
          <w:iCs w:val="1"/>
          <w:color w:val="auto"/>
        </w:rPr>
      </w:pPr>
    </w:p>
    <w:p>
      <w:pPr>
        <w:ind w:left="980" w:right="40" w:hanging="324"/>
        <w:spacing w:after="0" w:line="286" w:lineRule="auto"/>
        <w:tabs>
          <w:tab w:leader="none" w:pos="9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South Texas / Eagle Ford region. </w:t>
      </w:r>
      <w:r>
        <w:rPr>
          <w:rFonts w:ascii="Arial" w:cs="Arial" w:eastAsia="Arial" w:hAnsi="Arial"/>
          <w:sz w:val="16"/>
          <w:szCs w:val="16"/>
          <w:color w:val="auto"/>
        </w:rPr>
        <w:t>Revenues decreased in 2016 compared to 2015 due to production declines in the region. Revenues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for 2015 over 2014 due to higher volumes driven by the extension of our gathering system and increased production. Equity earnings increased for 2015 over 2014 due to higher earnings from our interest in Eagle Ford Pipeline LLC, primarily driven by higher throughput on the Eagle Ford pipeline system. The higher throughput was due to a combination of (i) the connection to our Cactus pipeline in April 2015 and</w:t>
      </w:r>
    </w:p>
    <w:p>
      <w:pPr>
        <w:spacing w:after="0" w:line="1" w:lineRule="exact"/>
        <w:rPr>
          <w:rFonts w:ascii="Arial" w:cs="Arial" w:eastAsia="Arial" w:hAnsi="Arial"/>
          <w:sz w:val="16"/>
          <w:szCs w:val="16"/>
          <w:i w:val="1"/>
          <w:iCs w:val="1"/>
          <w:color w:val="auto"/>
        </w:rPr>
      </w:pPr>
    </w:p>
    <w:p>
      <w:pPr>
        <w:ind w:left="980"/>
        <w:spacing w:after="0"/>
        <w:rPr>
          <w:rFonts w:ascii="Arial" w:cs="Arial" w:eastAsia="Arial" w:hAnsi="Arial"/>
          <w:sz w:val="16"/>
          <w:szCs w:val="16"/>
          <w:i w:val="1"/>
          <w:iCs w:val="1"/>
          <w:color w:val="auto"/>
        </w:rPr>
      </w:pPr>
      <w:r>
        <w:rPr>
          <w:rFonts w:ascii="Arial" w:cs="Arial" w:eastAsia="Arial" w:hAnsi="Arial"/>
          <w:sz w:val="18"/>
          <w:szCs w:val="18"/>
          <w:color w:val="auto"/>
        </w:rPr>
        <w:t>(ii) increased crude oil production in the Eagle Ford region.</w:t>
      </w:r>
    </w:p>
    <w:p>
      <w:pPr>
        <w:spacing w:after="0" w:line="210" w:lineRule="exact"/>
        <w:rPr>
          <w:rFonts w:ascii="Arial" w:cs="Arial" w:eastAsia="Arial" w:hAnsi="Arial"/>
          <w:sz w:val="16"/>
          <w:szCs w:val="16"/>
          <w:i w:val="1"/>
          <w:iCs w:val="1"/>
          <w:color w:val="auto"/>
        </w:rPr>
      </w:pPr>
    </w:p>
    <w:p>
      <w:pPr>
        <w:ind w:left="980" w:hanging="324"/>
        <w:spacing w:after="0" w:line="264" w:lineRule="auto"/>
        <w:tabs>
          <w:tab w:leader="none" w:pos="98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Western region. </w:t>
      </w:r>
      <w:r>
        <w:rPr>
          <w:rFonts w:ascii="Arial" w:cs="Arial" w:eastAsia="Arial" w:hAnsi="Arial"/>
          <w:sz w:val="18"/>
          <w:szCs w:val="18"/>
          <w:color w:val="auto"/>
        </w:rPr>
        <w:t>Revenues and volumes decreased for each of the comparative periods presented primarily due to pipeline downtime on our All</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Pipeline associated with the Line 901 incident that occurred in the second quarter of 2015. See Note 17 to our Consolidated Financial Statements for additional information regarding this incident.</w:t>
      </w:r>
    </w:p>
    <w:p>
      <w:pPr>
        <w:spacing w:after="0" w:line="181" w:lineRule="exact"/>
        <w:rPr>
          <w:rFonts w:ascii="Arial" w:cs="Arial" w:eastAsia="Arial" w:hAnsi="Arial"/>
          <w:sz w:val="18"/>
          <w:szCs w:val="18"/>
          <w:i w:val="1"/>
          <w:iCs w:val="1"/>
          <w:color w:val="auto"/>
        </w:rPr>
      </w:pPr>
    </w:p>
    <w:p>
      <w:pPr>
        <w:ind w:left="980" w:right="220" w:hanging="324"/>
        <w:spacing w:after="0" w:line="264" w:lineRule="auto"/>
        <w:tabs>
          <w:tab w:leader="none" w:pos="98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for 2016 compared to 2015 was largely driven by (i) lower volumes due to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declines and increased competition and (ii) the sale of 50% of our investment in Cheyenne Pipeline in June 2016, subsequent to which it was accounted for under the equity method of accounting.</w:t>
      </w:r>
    </w:p>
    <w:p>
      <w:pPr>
        <w:spacing w:after="0" w:line="181" w:lineRule="exact"/>
        <w:rPr>
          <w:rFonts w:ascii="Arial" w:cs="Arial" w:eastAsia="Arial" w:hAnsi="Arial"/>
          <w:sz w:val="18"/>
          <w:szCs w:val="18"/>
          <w:i w:val="1"/>
          <w:iCs w:val="1"/>
          <w:color w:val="auto"/>
        </w:rPr>
      </w:pPr>
    </w:p>
    <w:p>
      <w:pPr>
        <w:ind w:left="980" w:right="3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Equity earnings increased for 2016 over 2015 due to earnings from (i) our 40% investment in the entity that owns Saddlehorn Pipeline, a segment of which was placed in service in the third quarter of 2016, and (ii) our 50% investment in Cheyenne Pipeline, as discussed above.</w:t>
      </w:r>
    </w:p>
    <w:p>
      <w:pPr>
        <w:spacing w:after="0" w:line="123" w:lineRule="exact"/>
        <w:rPr>
          <w:rFonts w:ascii="Arial" w:cs="Arial" w:eastAsia="Arial" w:hAnsi="Arial"/>
          <w:sz w:val="18"/>
          <w:szCs w:val="18"/>
          <w:i w:val="1"/>
          <w:iCs w:val="1"/>
          <w:color w:val="auto"/>
        </w:rPr>
      </w:pPr>
    </w:p>
    <w:p>
      <w:pPr>
        <w:ind w:left="980"/>
        <w:spacing w:after="0" w:line="308" w:lineRule="auto"/>
        <w:rPr>
          <w:rFonts w:ascii="Arial" w:cs="Arial" w:eastAsia="Arial" w:hAnsi="Arial"/>
          <w:sz w:val="18"/>
          <w:szCs w:val="18"/>
          <w:i w:val="1"/>
          <w:iCs w:val="1"/>
          <w:color w:val="auto"/>
        </w:rPr>
      </w:pPr>
      <w:r>
        <w:rPr>
          <w:rFonts w:ascii="Arial" w:cs="Arial" w:eastAsia="Arial" w:hAnsi="Arial"/>
          <w:sz w:val="17"/>
          <w:szCs w:val="17"/>
          <w:color w:val="auto"/>
        </w:rPr>
        <w:t>The increase in equity earnings for 2015 compared to 2014 was driven by higher earnings from our interest in White Cliffs, primarily as a result of increased throughput on the White Cliffs pipeline due to an expansion of the pipeline that was placed into service in July 2014.</w:t>
      </w:r>
    </w:p>
    <w:p>
      <w:pPr>
        <w:spacing w:after="0" w:line="146" w:lineRule="exact"/>
        <w:rPr>
          <w:rFonts w:ascii="Arial" w:cs="Arial" w:eastAsia="Arial" w:hAnsi="Arial"/>
          <w:sz w:val="18"/>
          <w:szCs w:val="18"/>
          <w:i w:val="1"/>
          <w:iCs w:val="1"/>
          <w:color w:val="auto"/>
        </w:rPr>
      </w:pPr>
    </w:p>
    <w:p>
      <w:pPr>
        <w:ind w:left="980" w:right="20" w:hanging="324"/>
        <w:spacing w:after="0" w:line="277" w:lineRule="auto"/>
        <w:tabs>
          <w:tab w:leader="none" w:pos="98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Revenues and volumes decreased for 2016 compared to 2015 primarily due to the sale of certain of our Gulf Coast pipelines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and July 2016. These decreases were partially offset by increased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125"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60"/>
        <w:spacing w:after="0" w:line="324" w:lineRule="auto"/>
        <w:rPr>
          <w:sz w:val="20"/>
          <w:szCs w:val="20"/>
          <w:color w:val="auto"/>
        </w:rPr>
      </w:pPr>
      <w:r>
        <w:rPr>
          <w:rFonts w:ascii="Arial" w:cs="Arial" w:eastAsia="Arial" w:hAnsi="Arial"/>
          <w:sz w:val="18"/>
          <w:szCs w:val="18"/>
          <w:color w:val="auto"/>
        </w:rPr>
        <w:t>volumes on the Capline and Pascagoula pipelines, which were favorably impacted by higher refinery demand, but were at lower tariff rates than the pipelines that were sold.</w:t>
      </w:r>
    </w:p>
    <w:p>
      <w:pPr>
        <w:spacing w:after="0" w:line="143"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The increase in revenues for 2015 over 2014 was primarily driven by (i) results from our Pascagoula pipeline, which was placed in service in April 2014, and which also favorably impacted volumes and demand for storage on our Mississippi/Alabama system, and (ii) higher volumes on Capline due to higher refinery demand.</w:t>
      </w:r>
    </w:p>
    <w:p>
      <w:pPr>
        <w:spacing w:after="0" w:line="181" w:lineRule="exact"/>
        <w:rPr>
          <w:sz w:val="20"/>
          <w:szCs w:val="20"/>
          <w:color w:val="auto"/>
        </w:rPr>
      </w:pPr>
    </w:p>
    <w:p>
      <w:pPr>
        <w:ind w:left="980" w:hanging="324"/>
        <w:spacing w:after="0" w:line="264" w:lineRule="auto"/>
        <w:tabs>
          <w:tab w:leader="none" w:pos="98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for 2016 compared to 2015 was largely driven by lower volumes due to production declines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Mid-Continent area, as well as the sale of 50% of our investment in STACK in August 2016, subsequent to which it was accounted for under the equity method of accounting.</w:t>
      </w:r>
    </w:p>
    <w:p>
      <w:pPr>
        <w:spacing w:after="0" w:line="181" w:lineRule="exact"/>
        <w:rPr>
          <w:rFonts w:ascii="Arial" w:cs="Arial" w:eastAsia="Arial" w:hAnsi="Arial"/>
          <w:sz w:val="18"/>
          <w:szCs w:val="18"/>
          <w:i w:val="1"/>
          <w:iCs w:val="1"/>
          <w:color w:val="auto"/>
        </w:rPr>
      </w:pPr>
    </w:p>
    <w:p>
      <w:pPr>
        <w:ind w:left="980" w:right="20" w:hanging="324"/>
        <w:spacing w:after="0" w:line="264" w:lineRule="auto"/>
        <w:tabs>
          <w:tab w:leader="none" w:pos="98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Canada. </w:t>
      </w:r>
      <w:r>
        <w:rPr>
          <w:rFonts w:ascii="Arial" w:cs="Arial" w:eastAsia="Arial" w:hAnsi="Arial"/>
          <w:sz w:val="18"/>
          <w:szCs w:val="18"/>
          <w:color w:val="auto"/>
        </w:rPr>
        <w:t>Revenues decreased for 2016 as compared to 2015 and for 2015 as compared to 2014 due to unfavorable foreign exchange impacts of</w:t>
      </w:r>
      <w:r>
        <w:rPr>
          <w:rFonts w:ascii="Arial" w:cs="Arial" w:eastAsia="Arial" w:hAnsi="Arial"/>
          <w:sz w:val="18"/>
          <w:szCs w:val="18"/>
          <w:i w:val="1"/>
          <w:iCs w:val="1"/>
          <w:color w:val="auto"/>
        </w:rPr>
        <w:t xml:space="preserve"> </w:t>
      </w:r>
      <w:r>
        <w:rPr>
          <w:rFonts w:ascii="Arial" w:cs="Arial" w:eastAsia="Arial" w:hAnsi="Arial"/>
          <w:sz w:val="18"/>
          <w:szCs w:val="18"/>
          <w:color w:val="auto"/>
        </w:rPr>
        <w:t>$9 million and $38 million, respectively, which more than offset revenue increases from higher tariff rates on certain of our pipelines and related system assets in each of the comparative periods.</w:t>
      </w:r>
    </w:p>
    <w:p>
      <w:pPr>
        <w:spacing w:after="0" w:line="181" w:lineRule="exact"/>
        <w:rPr>
          <w:rFonts w:ascii="Arial" w:cs="Arial" w:eastAsia="Arial" w:hAnsi="Arial"/>
          <w:sz w:val="18"/>
          <w:szCs w:val="18"/>
          <w:i w:val="1"/>
          <w:iCs w:val="1"/>
          <w:color w:val="auto"/>
        </w:rPr>
      </w:pPr>
    </w:p>
    <w:p>
      <w:pPr>
        <w:ind w:left="980" w:right="460" w:hanging="324"/>
        <w:spacing w:after="0" w:line="277" w:lineRule="auto"/>
        <w:tabs>
          <w:tab w:leader="none" w:pos="98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pipelines. </w:t>
      </w:r>
      <w:r>
        <w:rPr>
          <w:rFonts w:ascii="Arial" w:cs="Arial" w:eastAsia="Arial" w:hAnsi="Arial"/>
          <w:sz w:val="18"/>
          <w:szCs w:val="18"/>
          <w:color w:val="auto"/>
        </w:rPr>
        <w:t>Revenues increased for 2016 as compared to 2015 primarily due to contributions from the Western Canada NGL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August 2016.</w:t>
      </w:r>
    </w:p>
    <w:p>
      <w:pPr>
        <w:spacing w:after="0" w:line="170" w:lineRule="exact"/>
        <w:rPr>
          <w:rFonts w:ascii="Arial" w:cs="Arial" w:eastAsia="Arial" w:hAnsi="Arial"/>
          <w:sz w:val="18"/>
          <w:szCs w:val="18"/>
          <w:i w:val="1"/>
          <w:iCs w:val="1"/>
          <w:color w:val="auto"/>
        </w:rPr>
      </w:pPr>
    </w:p>
    <w:p>
      <w:pPr>
        <w:ind w:left="980" w:right="6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Revenues and volumes from our NGL pipelines were relatively consistent for 2015 compared to 2014, as higher revenue from tariff rate increases was substantially offset by unfavorable foreign exchange fluctuation impacts of $12 million.</w:t>
      </w:r>
    </w:p>
    <w:p>
      <w:pPr>
        <w:spacing w:after="0" w:line="170" w:lineRule="exact"/>
        <w:rPr>
          <w:rFonts w:ascii="Arial" w:cs="Arial" w:eastAsia="Arial" w:hAnsi="Arial"/>
          <w:sz w:val="18"/>
          <w:szCs w:val="18"/>
          <w:i w:val="1"/>
          <w:iCs w:val="1"/>
          <w:color w:val="auto"/>
        </w:rPr>
      </w:pPr>
    </w:p>
    <w:p>
      <w:pPr>
        <w:ind w:left="980" w:right="140" w:hanging="324"/>
        <w:spacing w:after="0" w:line="264" w:lineRule="auto"/>
        <w:tabs>
          <w:tab w:leader="none" w:pos="98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variances for the comparative periods presented were related to pipeline loss allowance revenue. Loss allowance revenue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comparative periods presented due to a lower average realized price per barrel. The decrease in loss allowance revenue for 2015 compared to 2014 was partially offset by higher volumes.</w:t>
      </w:r>
    </w:p>
    <w:p>
      <w:pPr>
        <w:spacing w:after="0" w:line="18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Adjustments: Deficiencies under minimum volume commitments, net. </w:t>
      </w:r>
      <w:r>
        <w:rPr>
          <w:rFonts w:ascii="Arial" w:cs="Arial" w:eastAsia="Arial" w:hAnsi="Arial"/>
          <w:sz w:val="18"/>
          <w:szCs w:val="18"/>
          <w:color w:val="auto"/>
        </w:rPr>
        <w:t>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The activity for 2016 presented in the table above primarily</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reflects the amounts billed in 2016 under minimum volume commitment contracts. Such amounts were not material to periods prior to 2016 and, thus, are not included in the table for prior years.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Adjustments: Depreciation and amortization of unconsolidated entities. </w:t>
      </w:r>
      <w:r>
        <w:rPr>
          <w:rFonts w:ascii="Arial" w:cs="Arial" w:eastAsia="Arial" w:hAnsi="Arial"/>
          <w:sz w:val="18"/>
          <w:szCs w:val="18"/>
          <w:color w:val="auto"/>
        </w:rPr>
        <w:t>The increases for the periods presented were primarily driven by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expense associated with newly acquired or completed joint venture pipeline projects.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Trucking Revenues. </w:t>
      </w:r>
      <w:r>
        <w:rPr>
          <w:rFonts w:ascii="Arial" w:cs="Arial" w:eastAsia="Arial" w:hAnsi="Arial"/>
          <w:sz w:val="18"/>
          <w:szCs w:val="18"/>
          <w:color w:val="auto"/>
        </w:rPr>
        <w:t>Trucking revenues for the comparative periods presented were unfavorably impacted by foreign exchange fluctuation impacts of</w:t>
      </w:r>
      <w:r>
        <w:rPr>
          <w:rFonts w:ascii="Arial" w:cs="Arial" w:eastAsia="Arial" w:hAnsi="Arial"/>
          <w:sz w:val="18"/>
          <w:szCs w:val="18"/>
          <w:i w:val="1"/>
          <w:iCs w:val="1"/>
          <w:color w:val="auto"/>
        </w:rPr>
        <w:t xml:space="preserve"> </w:t>
      </w:r>
      <w:r>
        <w:rPr>
          <w:rFonts w:ascii="Arial" w:cs="Arial" w:eastAsia="Arial" w:hAnsi="Arial"/>
          <w:sz w:val="18"/>
          <w:szCs w:val="18"/>
          <w:color w:val="auto"/>
        </w:rPr>
        <w:t>$5 million and $28 million, respectively. The decrease in trucking revenues for 2015 compared to 2014 was further unfavorably impacted by lower producer volumes.</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Trucking Costs. </w:t>
      </w:r>
      <w:r>
        <w:rPr>
          <w:rFonts w:ascii="Arial" w:cs="Arial" w:eastAsia="Arial" w:hAnsi="Arial"/>
          <w:sz w:val="17"/>
          <w:szCs w:val="17"/>
          <w:color w:val="auto"/>
        </w:rPr>
        <w:t>The decrease in trucking costs for 2016 compared to 2015 was primarily driven by lower contract services rates. The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trucking costs for 2015 compared to 2014 was primarily driven by lower producer volumes, as discussed above. Trucking costs for the comparative periods presented were further favorably impacted by foreign exchange fluctuation impacts of $4 million and $20 million, respectively.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2015 primarily due to net costs of approximately $83 million associated with the Line 901 incident that were recognized during 2015. See Note 17 to our Consolidated Financial Statements for additional information regarding this incident. The decrease in field operating costs was further driven by lower utilities and maintenance costs, costs associated with the MP 29 release during 2015, lower operating costs due to the sale of certain of our Gulf Coast pipelines in March and July 2016 and a favorable foreign exchange impact of $5 million, partially offset by an increase in insurance premiums.</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increase in field operating costs (excluding equity-indexed compensation expense) for the year ended December 31, 2015 compared to the year ended December 31, 2014 was primarily due to the estimated costs of $83 million recognized during 2015 associated with the Line 901 incident, net of amounts we believe are probable of recovery from insurance. The increase in field operating costs was also driven by (i) higher salary and related expenses and property tax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expense primarily associated with new assets placed in service in 2015 and (ii) higher maintenance and repairs cost, partially offset by favorable foreign exchange impacts of $22 million.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(excluding equity-indexed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for the year ended December 31, 2015 over the year ended December 31, 2014 was primarily due to increased salaries, benefits and other costs associated with the growth in the segment, partially offset by a $4 million favorable foreign exchange impact.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The following table presents total equity-indexed compensation expense by segment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9"/>
              </w:rPr>
              <w:t>Favorable/(Unfavorable) Variance</w:t>
            </w: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Across all segments, equity-indexed compensation expense increased by $33 million for the year ended December 31, 2016 compared to the year ended December 31, 2015, primarily due to the impact of the increase in unit price during the year ended December 31, 2016 compared to the impact of the decrease in unit price during the year ended December 31, 2015, partially offset by the impact of fewer average probable awards outstanding and lower average values per award during the 2016 period compared to the same period in 2015. Across all segments, equity-indexed compensation expense decreased by $71 million for the year ended December 31, 2015 compared to the year ended December 31, 2014, primarily due to the impact of the decrease in unit price during the year ended December 31, 2015 compared to the impact of the decrease in unit price during the year ended December 31, 2014. See Note 16 to our Consolidated Financial Statements for additional information regarding our equity-indexed compensation plans.</w:t>
      </w:r>
    </w:p>
    <w:p>
      <w:pPr>
        <w:spacing w:after="0" w:line="16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w:t>
      </w:r>
    </w:p>
    <w:p>
      <w:pPr>
        <w:spacing w:after="0" w:line="12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i w:val="1"/>
          <w:iCs w:val="1"/>
          <w:color w:val="auto"/>
        </w:rPr>
        <w:t xml:space="preserve">Adjustments: Equity-Indexed Compensation Expense. </w:t>
      </w:r>
      <w:r>
        <w:rPr>
          <w:rFonts w:ascii="Arial" w:cs="Arial" w:eastAsia="Arial" w:hAnsi="Arial"/>
          <w:sz w:val="17"/>
          <w:szCs w:val="17"/>
          <w:color w:val="auto"/>
        </w:rPr>
        <w:t>The equity-indexed compensation expense selected item adjustment is primarily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equity-classified awards, which are not impacted by changes in unit price. Therefore, the impact of unit price changes is less on the equity-indexed compensation expense selected item adjustment than on equity-indexed compensation expense as a whole.</w:t>
      </w:r>
    </w:p>
    <w:p>
      <w:pPr>
        <w:spacing w:after="0" w:line="1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year ended December 31, 2016 compared to the year ended December 31, 2015 was primarily driven by completion of several large projects in earlier years and lower third party service costs.</w:t>
      </w:r>
    </w:p>
    <w:p>
      <w:pPr>
        <w:spacing w:after="0" w:line="14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decrease in maintenance capital in 2015 compared to 2014 was primarily due to a reclassification of certain maintenance capital costs from our Facilities segment during the 2014 period. In addition, the decrease in maintenance capital was impacted by favorable foreign exchange rate fluctuations.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1"/>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7"/>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Natural gas related storage costs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4"/>
          </w:tcPr>
          <w:p>
            <w:pPr>
              <w:ind w:lef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1"/>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7"/>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Volumes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gridSpan w:val="2"/>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Volumes</w:t>
            </w:r>
          </w:p>
        </w:tc>
        <w:tc>
          <w:tcPr>
            <w:tcW w:w="10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gridSpan w:val="2"/>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monthly capacity in millions of barrels)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231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w w:val="95"/>
              </w:rPr>
              <w:t>volumes in thousands of barrels per day)</w:t>
            </w: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working capacity in billions of</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vMerge w:val="restart"/>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8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340" w:type="dxa"/>
            <w:vAlign w:val="bottom"/>
            <w:gridSpan w:val="5"/>
            <w:vMerge w:val="restart"/>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cubic feet)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4"/>
            <w:vMerge w:val="continue"/>
            <w:shd w:val="clear" w:color="auto" w:fill="CCEEFF"/>
          </w:tcPr>
          <w:p>
            <w:pPr>
              <w:spacing w:after="0"/>
              <w:rPr>
                <w:sz w:val="20"/>
                <w:szCs w:val="20"/>
                <w:color w:val="auto"/>
              </w:rPr>
            </w:pPr>
          </w:p>
        </w:tc>
        <w:tc>
          <w:tcPr>
            <w:tcW w:w="840" w:type="dxa"/>
            <w:vAlign w:val="bottom"/>
            <w:gridSpan w:val="4"/>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5"/>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 thousands of barrels per day)</w:t>
            </w: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Facilities segment total volumes (average</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volumes in millions of barrels)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year divided by the number of months in the year.</w:t>
      </w:r>
    </w:p>
    <w:p>
      <w:pPr>
        <w:spacing w:after="0" w:line="98" w:lineRule="exact"/>
        <w:rPr>
          <w:rFonts w:ascii="Arial" w:cs="Arial" w:eastAsia="Arial" w:hAnsi="Arial"/>
          <w:sz w:val="25"/>
          <w:szCs w:val="25"/>
          <w:color w:val="auto"/>
          <w:vertAlign w:val="superscript"/>
        </w:rPr>
      </w:pPr>
    </w:p>
    <w:p>
      <w:pPr>
        <w:ind w:left="660" w:right="520" w:hanging="652"/>
        <w:spacing w:after="0" w:line="214"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months in the year; (iii) natural gas storage working capacity divided by 6 to account for the 6:1 mcf of natural gas to crude Btu equivalent ratio and further divided by 1,000 to convert to monthly volumes in millions; and (iv) NGL fractionation volumes multiplied by the number of days in the year and divided by the number of months in the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primarily driven by:</w:t>
      </w:r>
    </w:p>
    <w:p>
      <w:pPr>
        <w:spacing w:after="0" w:line="225" w:lineRule="exact"/>
        <w:rPr>
          <w:sz w:val="20"/>
          <w:szCs w:val="20"/>
          <w:color w:val="auto"/>
        </w:rPr>
      </w:pPr>
    </w:p>
    <w:p>
      <w:pPr>
        <w:ind w:left="660" w:right="180" w:hanging="328"/>
        <w:spacing w:after="0" w:line="25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NGL Storage, NGL Fractionation and Canadian Gas Processing — Revenues increased by $53 million for the year ended December 31, 2016 over the same 2015 period primarily due to (i) contributions from the Western Canada NGL assets we acquired in August 2016, (ii) contributions from ongoing expansion projects at our Fort Saskatchewan facility and (iii) higher fees at certain of our NGL storage and fractionation facilities. Such increases were partially offset by unfavorable foreign exchange fluctuation impacts of $10 million, which were largely offset in our Supply and Logistics segment results.</w:t>
      </w:r>
    </w:p>
    <w:p>
      <w:pPr>
        <w:spacing w:after="0" w:line="188" w:lineRule="exact"/>
        <w:rPr>
          <w:rFonts w:ascii="Arial" w:cs="Arial" w:eastAsia="Arial" w:hAnsi="Arial"/>
          <w:sz w:val="18"/>
          <w:szCs w:val="18"/>
          <w:color w:val="auto"/>
        </w:rPr>
      </w:pPr>
    </w:p>
    <w:p>
      <w:pPr>
        <w:ind w:left="660" w:right="80"/>
        <w:spacing w:after="0" w:line="264" w:lineRule="auto"/>
        <w:rPr>
          <w:rFonts w:ascii="Arial" w:cs="Arial" w:eastAsia="Arial" w:hAnsi="Arial"/>
          <w:sz w:val="18"/>
          <w:szCs w:val="18"/>
          <w:color w:val="auto"/>
        </w:rPr>
      </w:pPr>
      <w:r>
        <w:rPr>
          <w:rFonts w:ascii="Arial" w:cs="Arial" w:eastAsia="Arial" w:hAnsi="Arial"/>
          <w:sz w:val="18"/>
          <w:szCs w:val="18"/>
          <w:color w:val="auto"/>
        </w:rPr>
        <w:t>Revenues decreased by $7 million for the year ended December 31, 2015 compared to the year ended December 31, 2014. This decrease was primarily due to estimated unfavorable foreign exchange fluctuation impacts of $41 million, which offset revenue increases from higher facility fees for the 2015 period. These impacts were largely offset in our Supply and Logistics segment results.</w:t>
      </w:r>
    </w:p>
    <w:p>
      <w:pPr>
        <w:spacing w:after="0" w:line="181"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Crude Oil Storage — Revenues increased by $24 million for the year ended December 31, 2016 over the year ended December 31, 2015 primarily due to (i) aggregate capacity expansions of approximately 4 million barrels at our St. James and Cushing terminals and (ii) increased utilization at certain of our West Coast terminals. Such increases were partially offset by lower results due to the sale of certain of our East Coast terminals in April 2016.</w:t>
      </w:r>
    </w:p>
    <w:p>
      <w:pPr>
        <w:spacing w:after="0" w:line="186" w:lineRule="exact"/>
        <w:rPr>
          <w:rFonts w:ascii="Arial" w:cs="Arial" w:eastAsia="Arial" w:hAnsi="Arial"/>
          <w:sz w:val="18"/>
          <w:szCs w:val="18"/>
          <w:color w:val="auto"/>
        </w:rPr>
      </w:pPr>
    </w:p>
    <w:p>
      <w:pPr>
        <w:ind w:left="660" w:right="720"/>
        <w:spacing w:after="0" w:line="277" w:lineRule="auto"/>
        <w:rPr>
          <w:rFonts w:ascii="Arial" w:cs="Arial" w:eastAsia="Arial" w:hAnsi="Arial"/>
          <w:sz w:val="18"/>
          <w:szCs w:val="18"/>
          <w:color w:val="auto"/>
        </w:rPr>
      </w:pPr>
      <w:r>
        <w:rPr>
          <w:rFonts w:ascii="Arial" w:cs="Arial" w:eastAsia="Arial" w:hAnsi="Arial"/>
          <w:sz w:val="18"/>
          <w:szCs w:val="18"/>
          <w:color w:val="auto"/>
        </w:rPr>
        <w:t>For the year ended December 31, 2015, revenues increased by $9 million over the year ended December 31, 2014 primarily due to capacity expansions of approximately 1 million barrels and higher marine access activity at our St. James terminal.</w:t>
      </w:r>
    </w:p>
    <w:p>
      <w:pPr>
        <w:spacing w:after="0" w:line="170" w:lineRule="exact"/>
        <w:rPr>
          <w:rFonts w:ascii="Arial" w:cs="Arial" w:eastAsia="Arial" w:hAnsi="Arial"/>
          <w:sz w:val="18"/>
          <w:szCs w:val="18"/>
          <w:color w:val="auto"/>
        </w:rPr>
      </w:pPr>
    </w:p>
    <w:p>
      <w:pPr>
        <w:ind w:left="660" w:right="36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Rail Terminals — Revenues decreased by $17 million for the year ended December 31, 2016 compared to the year ended December 31, 2015 primarily due to (i) lower volumes at our U.S. terminals as a result of production declines in the Bakken and less favorable market conditions, partially offset by (i) revenue associated with minimum volume commitments at certain of our terminals and (ii) revenues and volumes from our Canadian NGL rail terminal that came online in April 2016.</w:t>
      </w:r>
    </w:p>
    <w:p>
      <w:pPr>
        <w:spacing w:after="0" w:line="186" w:lineRule="exact"/>
        <w:rPr>
          <w:rFonts w:ascii="Arial" w:cs="Arial" w:eastAsia="Arial" w:hAnsi="Arial"/>
          <w:sz w:val="18"/>
          <w:szCs w:val="18"/>
          <w:color w:val="auto"/>
        </w:rPr>
      </w:pPr>
    </w:p>
    <w:p>
      <w:pPr>
        <w:jc w:val="both"/>
        <w:ind w:left="660" w:right="260"/>
        <w:spacing w:after="0" w:line="264" w:lineRule="auto"/>
        <w:rPr>
          <w:rFonts w:ascii="Arial" w:cs="Arial" w:eastAsia="Arial" w:hAnsi="Arial"/>
          <w:sz w:val="18"/>
          <w:szCs w:val="18"/>
          <w:color w:val="auto"/>
        </w:rPr>
      </w:pPr>
      <w:r>
        <w:rPr>
          <w:rFonts w:ascii="Arial" w:cs="Arial" w:eastAsia="Arial" w:hAnsi="Arial"/>
          <w:sz w:val="18"/>
          <w:szCs w:val="18"/>
          <w:color w:val="auto"/>
        </w:rPr>
        <w:t>For the year ended December 31, 2015, revenues decreased by $26 million compared to the year ended December 31, 2014 due to lower volumes and lower rail fees related to the movement of certain volumes of Bakken crude oil, partially offset by revenues from our Bakersfield rail terminal that came online in the fourth quarter of 2014.</w:t>
      </w:r>
    </w:p>
    <w:p>
      <w:pPr>
        <w:spacing w:after="0" w:line="181"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Gulf Coast Gas Processing — Revenues decreased by $13 million for the year ended December 31, 2015 compared to the same 2014 period, primarily due to lower volumes and decreased margins driven by lower commodity prices. Revenues remained relatively consistent for the year ended December 31, 2016 compared to the same 2015 period.</w:t>
      </w:r>
    </w:p>
    <w:p>
      <w:pPr>
        <w:spacing w:after="0" w:line="181" w:lineRule="exact"/>
        <w:rPr>
          <w:rFonts w:ascii="Arial" w:cs="Arial" w:eastAsia="Arial" w:hAnsi="Arial"/>
          <w:sz w:val="18"/>
          <w:szCs w:val="18"/>
          <w:color w:val="auto"/>
        </w:rPr>
      </w:pPr>
    </w:p>
    <w:p>
      <w:pPr>
        <w:ind w:left="660" w:right="200" w:hanging="328"/>
        <w:spacing w:after="0" w:line="27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Natural Gas Storage Operations — Net revenues decreased by $12 million for the year ended December 31, 2015 compared to the year ended December 31, 2014 primarily due to (i) declines in market rates for natural gas storage, which resulted in lower rates on new contracts replacing expiring contracts, and (ii) reduced hub services opportunities. In addition, the 2014 period was unfavorably impacted by costs incurred to manage deliverability requirements in conjunction with the extended period of severe cold weather experienced during the first quarter of 2014. Revenues remained relatively consistent for the year ended December 31, 2016 compared to the same 2015 period.</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2015 period due to (i) lower costs related to contract services, largely at our rail terminals and, to a lesser extent, at our processing facilities, (ii) the impact of the sale of certain of our East Coast terminals in April 2016, (iii) lower turnaround and inspection costs and (iv) favorable foreign exchange fluctuation impacts of $4 million. Such decreases were partially offset by an increase in operating costs due to the Western Canada NGL assets acquired in August 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decrease in field operating costs (excluding equity-indexed compensation expenses) for the year ended December 31, 2015 compared to the year ended December 31, 2014 was primarily due to (i) decreased maintenance and repairs cost, (ii) lower gas and power costs largely associated with our NGL fractionation and Canadian gas processing activities and (iii) favorable foreign exchange fluctuation impacts of $19 million. Such decreases were partially offset by an increase in expenses associated with new assets placed in service.</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Segment general and administrative expenses (excluding equity-indexed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for the year ended December 31, 2016 compared to the year ended December 31, 2015 due to cost reduction efforts and lower expenses incurred for legal fees.</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increase in general and administrative expenses (excluding equity-indexed compensation expenses) for the year ended December 31, 2015 compared to the year ended December 31, 2014 was primarily due to increased salaries and benefits, partially offset by a $3 million favorable foreign exchange fluctuation impact.</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decrease in maintenance capital for 2016 compared to 2015 was primarily due to lower spending on various tank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maintenance capital projects, partially due to the timing of certain 2015 projects at our NGL storage and fractionation facilities.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increase in maintenance capital in 2015 over 2014 was primarily due to various tank and facility projects and timing of equipment replacements, as well as the impact from a change in classification of certain maintenance capital costs to our Transportation segment in the 2014 period.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results are impacted by (i) increases or decreases in our Supply and Logistics segment volumes (which consist of lease gathering crude oil purchases volumes, NGL sales volumes and waterborne cargos), (ii) the effects of competition on our lease gathering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(40,752)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19,734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8"/>
              </w:rPr>
              <w:t>net of inventory valuation 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6"/>
              </w:rPr>
              <w:t>Long-term inventory costing adjustments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9"/>
              </w:rPr>
              <w:t>Favorable (Unfavorable) Variance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Volume</w:t>
            </w:r>
          </w:p>
        </w:tc>
        <w:tc>
          <w:tcPr>
            <w:tcW w:w="120" w:type="dxa"/>
            <w:vAlign w:val="bottom"/>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1,157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5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West Texas Intermediate benchmark price of crude oil (in dollars per barrel):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NYMEX WTI</w:t>
            </w:r>
          </w:p>
        </w:tc>
        <w:tc>
          <w:tcPr>
            <w:tcW w:w="780" w:type="dxa"/>
            <w:vAlign w:val="bottom"/>
          </w:tcPr>
          <w:p>
            <w:pPr>
              <w:spacing w:after="0"/>
              <w:rPr>
                <w:sz w:val="14"/>
                <w:szCs w:val="14"/>
                <w:color w:val="auto"/>
              </w:rPr>
            </w:pPr>
          </w:p>
        </w:tc>
      </w:t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Crude Oil Price</w:t>
            </w:r>
          </w:p>
        </w:tc>
        <w:tc>
          <w:tcPr>
            <w:tcW w:w="780" w:type="dxa"/>
            <w:vAlign w:val="bottom"/>
            <w:tcBorders>
              <w:bottom w:val="single" w:sz="8" w:color="auto"/>
            </w:tcBorders>
          </w:tcPr>
          <w:p>
            <w:pPr>
              <w:spacing w:after="0"/>
              <w:rPr>
                <w:sz w:val="16"/>
                <w:szCs w:val="16"/>
                <w:color w:val="auto"/>
              </w:rPr>
            </w:pPr>
          </w:p>
        </w:tc>
      </w:tr>
      <w:tr>
        <w:trPr>
          <w:trHeight w:val="264"/>
        </w:trPr>
        <w:tc>
          <w:tcPr>
            <w:tcW w:w="8700" w:type="dxa"/>
            <w:vAlign w:val="bottom"/>
            <w:gridSpan w:val="2"/>
          </w:tcPr>
          <w:p>
            <w:pPr>
              <w:ind w:left="40"/>
              <w:spacing w:after="0"/>
              <w:rPr>
                <w:sz w:val="20"/>
                <w:szCs w:val="20"/>
                <w:color w:val="auto"/>
              </w:rPr>
            </w:pPr>
            <w:r>
              <w:rPr>
                <w:rFonts w:ascii="Arial" w:cs="Arial" w:eastAsia="Arial" w:hAnsi="Arial"/>
                <w:sz w:val="14"/>
                <w:szCs w:val="14"/>
                <w:b w:val="1"/>
                <w:bCs w:val="1"/>
                <w:color w:val="auto"/>
              </w:rPr>
              <w:t>During the Year Ended December 31,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High</w:t>
            </w:r>
          </w:p>
        </w:tc>
      </w:tr>
      <w:tr>
        <w:trPr>
          <w:trHeight w:val="250"/>
        </w:trPr>
        <w:tc>
          <w:tcPr>
            <w:tcW w:w="8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7"/>
        </w:trPr>
        <w:tc>
          <w:tcPr>
            <w:tcW w:w="8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year ended December 31, 2016 compared to the year ended December 31, 2015 and the year ended December 31, 2015 compared to the same 2014 period primarily due to lower crude oil and NGL prices during the period.</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the current extended period of lower crude oil prices, our ability to generate above base-level earnings is challenging, and taking into account the overcapacity of midstream assets and increased competition that currently exists in most crude oil producing regions, generating even baseline-level performance is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Net Revenues and Volumes. </w:t>
      </w:r>
      <w:r>
        <w:rPr>
          <w:rFonts w:ascii="Arial" w:cs="Arial" w:eastAsia="Arial" w:hAnsi="Arial"/>
          <w:sz w:val="17"/>
          <w:szCs w:val="17"/>
          <w:color w:val="auto"/>
        </w:rPr>
        <w:t>Our Supply and Logistics segment revenues, net of purchases and related costs, decreased by $536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compared to the year ended December 31, 2015 (of which $144 million was related to the mark-to-market impact of certain derivatives and long-term inventory costing adjustments). Revenues, net of purchases and related costs, decreased by $471 million for the year ended December 31, 2015 compared to the same 2014 period (of which $389 million was related to the mark-to-market impact of certain derivatives and long-term inventory costing adjustments). The following summarizes the significant items impacting the comparative periods:</w:t>
      </w:r>
    </w:p>
    <w:p>
      <w:pPr>
        <w:spacing w:after="0" w:line="173" w:lineRule="exact"/>
        <w:rPr>
          <w:sz w:val="20"/>
          <w:szCs w:val="20"/>
          <w:color w:val="auto"/>
        </w:rPr>
      </w:pPr>
    </w:p>
    <w:p>
      <w:pPr>
        <w:ind w:left="660" w:right="40" w:hanging="328"/>
        <w:spacing w:after="0" w:line="279"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Crude Oil Operations — Net revenues from our crude oil supply and logistics operations decreased for the year ended December 31, 2016 compared to the year ended December 31, 2015 primarily due to continued and intensifying competition, largely due to overbuilt infrastructure underwritten with volume commitments and the effect of such on differentials, as well as volume declines in certain areas, which negatively impacted our unit margins. See the “Market Overview and Outlook” section below for additional discussion of recent market conditions.</w:t>
      </w:r>
    </w:p>
    <w:p>
      <w:pPr>
        <w:spacing w:after="0" w:line="171" w:lineRule="exact"/>
        <w:rPr>
          <w:rFonts w:ascii="Arial" w:cs="Arial" w:eastAsia="Arial" w:hAnsi="Arial"/>
          <w:sz w:val="17"/>
          <w:szCs w:val="17"/>
          <w:color w:val="auto"/>
        </w:rPr>
      </w:pPr>
    </w:p>
    <w:p>
      <w:pPr>
        <w:ind w:left="660" w:right="80"/>
        <w:spacing w:after="0" w:line="257" w:lineRule="auto"/>
        <w:rPr>
          <w:rFonts w:ascii="Arial" w:cs="Arial" w:eastAsia="Arial" w:hAnsi="Arial"/>
          <w:sz w:val="17"/>
          <w:szCs w:val="17"/>
          <w:color w:val="auto"/>
        </w:rPr>
      </w:pPr>
      <w:r>
        <w:rPr>
          <w:rFonts w:ascii="Arial" w:cs="Arial" w:eastAsia="Arial" w:hAnsi="Arial"/>
          <w:sz w:val="18"/>
          <w:szCs w:val="18"/>
          <w:color w:val="auto"/>
        </w:rPr>
        <w:t>Net revenues decreased for the year ended December 31, 2015 as compared to the year ended December 31, 2014 primarily due to (i) the compression of certain differentials during the 2015 period, which resulted in fewer opportunities to capture above-baseline margins as compared to 2014 and (ii) increased competition, largely due to overbuilt infrastructure in certain areas that has negatively impacted our lease gathering unit margins and volumes, most notably during the second half of 2015. However, such unfavorable results were partially offset by revenues from opportunities created by the contango market structure during 2015.</w:t>
      </w:r>
    </w:p>
    <w:p>
      <w:pPr>
        <w:spacing w:after="0" w:line="188"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decreased for the year ended December 31, 2016 compared to the year ended December 31, 2015, largely due to (i) higher storage and processing fees for the 2016 periods, which are primarily reflected in our Facilities segment and (ii) higher supply costs driven by competition, which more than offset higher sales volumes.</w:t>
      </w:r>
    </w:p>
    <w:p>
      <w:pPr>
        <w:spacing w:after="0" w:line="18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Net revenues increased for the year ended December 31, 2015 compared to the year ended December 31, 2014. The increase was primarily driven by higher margins due to the lower cost of inventory carried over from 2014 year end and higher sales volumes.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60" w:hanging="328"/>
        <w:spacing w:after="0" w:line="27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Impact from Certain Derivative Activities, Net of Inventory Valuation Adjustments — The mark-to-market of certain of our derivative activities impacting our net revenues 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12 to our Consolidated Financial Statements for a comprehensive discussion regarding our derivatives and risk management activities.</w:t>
      </w:r>
    </w:p>
    <w:p>
      <w:pPr>
        <w:spacing w:after="0" w:line="172" w:lineRule="exact"/>
        <w:rPr>
          <w:rFonts w:ascii="Arial" w:cs="Arial" w:eastAsia="Arial" w:hAnsi="Arial"/>
          <w:sz w:val="17"/>
          <w:szCs w:val="17"/>
          <w:color w:val="auto"/>
        </w:rPr>
      </w:pPr>
    </w:p>
    <w:p>
      <w:pPr>
        <w:ind w:left="660" w:right="20" w:hanging="328"/>
        <w:spacing w:after="0" w:line="279"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71"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In addition, the depreciation of CAD relative to USD resulted in lower net USD costs of approximately $15 million for 2016 compared to 2015 and $41 million for 2015 compared to 2014. Such costs are primarily associated with intercompany facility fees and are largely offset in our Facilities segment results.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 year ended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2015 period primarily due to a combination of (i) lower lease gathering volumes, (ii) shorter truck hauls and reduced use of third-party trucking services as pipeline expansion projects were placed into service, (iii) lower driver wages and (iv) a decrease in fuel prices.</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decrease in field operating costs (excluding equity-indexed compensation expense) for the year ended December 31, 2015 compared to the year ended December 31, 2014 was primarily due to the decreased use of third-party trucking services as pipeline expansion projects were placed into service.</w:t>
      </w:r>
    </w:p>
    <w:p>
      <w:pPr>
        <w:spacing w:after="0" w:line="12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Segment general and administrative expenses (excluding equity-indexed compensation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for the year ended December 31, 2016 compared to the same 2015 period due to cost reduction efforts.</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Depreciation and amortization expense for the year ended December 31, 2016 includes net gains of approximately $100 million which were primarily associated with non-core asset sales and joint venture formations during the period. Excluding such gains, depreciation and amortization expense increased for the year ended December 31, 2016 compared to the same period in 2015 primarily due to (i) additional depreciation associated with the completion of various capital expansion projects, (ii) the write-off of $33 million of costs associated with the discontinuation of certain capital projects during 2016 and (iii) an $18 million charge in 2016 related to assets taken out of service. In addition, the 2016 period was further impacted by impairment losses of $80 million associated with certain of our rail and other terminal assets. See Note 5 and Note 6 to our Consolidated Financial Statements for additional information.</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Depreciation and amortization expense increased during the 2015 period over the comparable 2014 period primarily due to various capital expansion projects completed during 2015, partially offset by favorable foreign exchange fluctuation impacts.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25"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for percentages):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Average</w:t>
            </w:r>
          </w:p>
        </w:tc>
        <w:tc>
          <w:tcPr>
            <w:tcW w:w="1660" w:type="dxa"/>
            <w:vAlign w:val="bottom"/>
          </w:tcPr>
          <w:p>
            <w:pPr>
              <w:jc w:val="right"/>
              <w:ind w:right="197"/>
              <w:spacing w:after="0"/>
              <w:rPr>
                <w:sz w:val="20"/>
                <w:szCs w:val="20"/>
                <w:color w:val="auto"/>
              </w:rPr>
            </w:pPr>
            <w:r>
              <w:rPr>
                <w:rFonts w:ascii="Arial" w:cs="Arial" w:eastAsia="Arial" w:hAnsi="Arial"/>
                <w:sz w:val="14"/>
                <w:szCs w:val="14"/>
                <w:b w:val="1"/>
                <w:bCs w:val="1"/>
                <w:color w:val="auto"/>
              </w:rPr>
              <w:t>Weighted Average</w:t>
            </w:r>
          </w:p>
        </w:tc>
      </w:tr>
      <w:tr>
        <w:trPr>
          <w:trHeight w:val="192"/>
        </w:trPr>
        <w:tc>
          <w:tcPr>
            <w:tcW w:w="6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2014</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Impact of issuance of senior notes</w:t>
            </w:r>
          </w:p>
        </w:tc>
        <w:tc>
          <w:tcPr>
            <w:tcW w:w="5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retirement of 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Impact of capitalized interest</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 for the year ended December 31, 2015</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issuance of senior notes</w:t>
            </w:r>
          </w:p>
        </w:tc>
        <w:tc>
          <w:tcPr>
            <w:tcW w:w="5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Impact of retirement of senior notes</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borrowings under credit facilities and commercial paper program</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Impact of capitalized interest</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Interest expense for the year ended December 31, 2016</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Excludes commitment and other fees.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See Note 10 to our Consolidated Financial Statements for additional information regarding our debt activities during the periods presented.</w:t>
      </w:r>
    </w:p>
    <w:p>
      <w:pPr>
        <w:spacing w:after="0" w:line="23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Other income/(expense), net for the year ended December 31, 2016 was impacted by gains of $30 million related to the mark-to-market adjustment of our Preferred Distribution Rate Reset Option. See Note 12 to our Consolidated Financial Statements for additional information. Excluding such gains, other income/(expense), net in each of the years ended December 31, 2016, 2015 and 2014 was primarily comprised of foreign currency gains or losses related to revaluations of CAD-denominated interest receivables associated with our intercompany notes.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Income tax expense decreased for the year ended December 31, 2016 compared to the year ended December 31, 2015 primarily due to lower year-over-year income as impacted by fluctuations in derivative mark-to-market valuations in our Canadian operations during the 2016 period and the cumulative revaluation of Canadian net deferred tax liabilities resulting from a 2% Alberta, Canada provincial tax increase in the second quarter of 2015.</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decrease in income tax expense for the year ended December 31, 2015 compared to the year ended December 31, 2014 was primarily due to the deferred income tax impact associated with fluctuations in the derivative mark-to-market valuation in our Canadian operations during the 2015 and 2014 periods. This benefit was partially offset by an Alberta, Canada provincial tax rate increase of 2% enacted during the second quarter of 2015, as well as higher current income tax expense resulting from increased year-over-year taxable earnings from our Canadian operations. The 2015 period was also favorably impacted by the depreciation of CAD relative to USD.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 and Outlook</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For the last six years, crude oil markets have been fairly volatile, with significant swings in both prices and production levels coupled with relatively modest growth in global liquids demand. The period from 2011 through 2014 was generally characterized by (i) high commodity prices driving a significant increase in North American production volumes (3.7 million barrels per day, or 33%), including significantly increased production of light crudes and condensate, (ii) high levels of volatility in location and quality differentials, and (iii) high utilization of then existing pipeline and terminal infrastructure. These factors stimulated multiple industry initiatives to build new pipeline and terminal infrastructure, ultimately resulting in excess midstream capacity in the Permian, Eagle Ford, Williston, Midcontinent and DJ basins. Many of the new infrastructure projects constructed during this period are supported by long-term minimum volume commitments (“MVCs”) whereby the shipper, often a producer with expectations of continued production or volume growth and the desire to secure associated takeaway capacity, agreed to ship and pay for certain stated volumes. The period of high commodity prices and increased production from 2011 through 2014 led to an oversupply of North American and global petroleum liquids, which resulted in a meaningful decrease in crude oil prices during the second half of 2014 and throughout 2015 and 2016 relative to the levels experienced during the first half of 2014. In turn, this resulted in a decrease in North American production levels in many areas as producers took rigs out of service and deferred completions at an increased rate. As a result, many of the producers and shippers that had previously entered into MVCs found themselves short of the volumes they needed to fulfill their MVCs, resulting in increased competition for the marginal uncommitted barrel. The combination of the slowdown in North American crude oil production growth and significant MVCs for new infrastructure created an environment for our business in which margins have compressed and differentials are less than transportation cost in some cases.</w:t>
      </w:r>
    </w:p>
    <w:p>
      <w:pPr>
        <w:spacing w:after="0" w:line="1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2016, the market remained oversupplied, but global demand growth began to outpace global supply growth as non-OPEC production declined. In November 2016, OPEC indicated a desire to return to its historical strategy of managing crude oil production levels. Joined by certain non-OPEC countries such as Russia and Mexico, OPEC and non-OPEC participants have targeted to cut output by approximately 1.8 million barrels per day in the first half of 2017. This decision drove a significant increase in crude oil prices during the fourth quarter of 2016. To the extent the production cut is successfully executed by the participating countries, accumulated inventories should begin to decline, prices should remain firm and potentially rise, ultimately leading to increased drilling and production activity levels. If the production cut is not executed, inventories could rise and prices could decline, ultimately leading to reduced drilling and production activity levels.</w:t>
      </w:r>
    </w:p>
    <w:p>
      <w:pPr>
        <w:spacing w:after="0" w:line="14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recent increase in crude oil prices has led to increased rig activity in a few areas where we anticipate production levels to increase, most notably the Permian Basin and the STACK resource play in Oklahoma. If production growth resumes and pipeline utilization increases, differentials should improve and approach transportation cost on a regional basis. While we believe that challenging industry conditions will persist in the near term, especially given the uncertainty surrounding the degree to which the proposed production cut by OPEC and other non-OPEC countries is implemented, we anticipate improvements in market conditions and production growth in the lower 48 States during the latter half of 2017 and into 2018.</w:t>
      </w:r>
    </w:p>
    <w:p>
      <w:pPr>
        <w:spacing w:after="0" w:line="118" w:lineRule="exact"/>
        <w:rPr>
          <w:sz w:val="20"/>
          <w:szCs w:val="20"/>
          <w:color w:val="auto"/>
        </w:rPr>
      </w:pPr>
    </w:p>
    <w:p>
      <w:pPr>
        <w:ind w:right="40" w:firstLine="180"/>
        <w:spacing w:after="0" w:line="255" w:lineRule="auto"/>
        <w:rPr>
          <w:sz w:val="20"/>
          <w:szCs w:val="20"/>
          <w:color w:val="auto"/>
        </w:rPr>
      </w:pPr>
      <w:r>
        <w:rPr>
          <w:rFonts w:ascii="Arial" w:cs="Arial" w:eastAsia="Arial" w:hAnsi="Arial"/>
          <w:sz w:val="18"/>
          <w:szCs w:val="18"/>
          <w:color w:val="auto"/>
        </w:rPr>
        <w:t>However, we can provide no assurance that the improvement in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production. Finally, we cannot be certain that our expansion efforts will generate targeted returns or that any recently completed or future acquisition activities will be successful. See Item 1A. “Risk Factors—Risks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In addition, we may supplement these sources of liquidity with proceeds from a program we initiated to evaluate potential sales of non-core assets and/or sales of partial interests in assets to strategic joint venture partners.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 (v) distributions to our unitholders. We generally expect to fund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December 31, 2016, we had a working capital deficit of $392 million and approximately $2.4 billion of liquidity available to meet our ongoing operating, investing and financing needs, subject to continued covenant compliance, as noted below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594"/>
              <w:spacing w:after="0"/>
              <w:rPr>
                <w:sz w:val="20"/>
                <w:szCs w:val="20"/>
                <w:color w:val="auto"/>
              </w:rPr>
            </w:pPr>
            <w:r>
              <w:rPr>
                <w:rFonts w:ascii="Arial" w:cs="Arial" w:eastAsia="Arial" w:hAnsi="Arial"/>
                <w:sz w:val="14"/>
                <w:szCs w:val="14"/>
                <w:b w:val="1"/>
                <w:bCs w:val="1"/>
                <w:color w:val="auto"/>
              </w:rPr>
              <w:t>As of</w:t>
            </w:r>
          </w:p>
        </w:tc>
      </w:tr>
      <w:tr>
        <w:trPr>
          <w:trHeight w:val="192"/>
        </w:trPr>
        <w:tc>
          <w:tcPr>
            <w:tcW w:w="9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2016</w:t>
            </w:r>
          </w:p>
        </w:tc>
      </w:tr>
      <w:tr>
        <w:trPr>
          <w:trHeight w:val="270"/>
        </w:trPr>
        <w:tc>
          <w:tcPr>
            <w:tcW w:w="9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1,580</w:t>
            </w:r>
          </w:p>
        </w:tc>
      </w:tr>
      <w:tr>
        <w:trPr>
          <w:trHeight w:val="270"/>
        </w:trPr>
        <w:tc>
          <w:tcPr>
            <w:tcW w:w="9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597</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2,414</w:t>
            </w: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1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$20 million and $53 million, respectively.</w:t>
      </w:r>
    </w:p>
    <w:p>
      <w:pPr>
        <w:spacing w:after="0" w:line="20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repaid $400 million of senior notes in January 2017, and we completed an approximate $1.215 billion acquisition in February 2017, both of which were initially funded with borrowings under our credit facilities and cash on hand. We received approximately $190 million of net proceeds from sales of our common units in January 2017, which sales were completed under our continuous offering program and pursuant to the Omnibus Agreement with AAP and PAGP. See further discussion in “Equity and Debt Financing Activities” and “Acquisitions, Divestitures and Expansion Capital Expenditures” below.</w:t>
      </w:r>
    </w:p>
    <w:p>
      <w:pPr>
        <w:spacing w:after="0" w:line="15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which provide the backstop for the commercial paper program, is subject to ongoing compliance with covenants. As of December 31, 2016, we were in compliance with all such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66"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Net cash provided by operating activities for the years ended December 31, 2016, 2015 and 2014 was approximately $726 million, $1.3 billion and $2.0 billion, respectively, and primarily resulted from earnings from our operations. Additionally, as discussed further below, changes in our inventory levels during these years impacted our cash flow from operating activities.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2016, we increased our inventory levels and margin balances required as part of our hedging activities that were funded by short-term debt, resulting in an unfavorable impact on our cash provided by operating activities. Furthermore, cash provided by operating activities as compared to prior periods was unfavorably impacted by the decrease in cash from overall earnings.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2015, we increased the amount of our inventory; however, these volumetric increases were largely offset by lower prices for our inventory stored at the end of the year compared to prior year amounts.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2014, we decreased the volume of our crude oil inventory that we held. The decreased inventory levels were further impacted by lower prices for such inventory stored at the end of the year compared to prior year amounts. In addition, our margin balances fluctuated from a net cash outflow to a net cash inflow. A portion of the net proceeds received from the liquidation of such inventory and the positive cash flow associated with our margin balance activities were used to repay borrowings under our commercial paper program and favorably impacted cash flow from operating activities. These overall decreases were partially offset by an increase in the amount of NGL inventory stored at December 31, 2014 compared to prior year amounts, which was primarily financed through borrowings under our commercial paper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At December 31, 2016, we had four primary credit arrangements. These include a $1.6 billion senior unsecured revolving credit facility maturing in 2021, a $1.4 billion senior secured hedged inventory facility maturing in 2019 and a $1.0 billion, 364-day senior unsecured credit facility maturing in August 2017. Additionally, we have a $3.0 billion unsecured commercial paper program that is backstopped by our revolving credit facility and our hedged inventory facility. Our credit agreements (which impact our ability to access our commercial paper 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2016.</w:t>
      </w:r>
    </w:p>
    <w:p>
      <w:pPr>
        <w:spacing w:after="0" w:line="200" w:lineRule="exact"/>
        <w:rPr>
          <w:sz w:val="20"/>
          <w:szCs w:val="20"/>
          <w:color w:val="auto"/>
        </w:rPr>
      </w:pPr>
    </w:p>
    <w:p>
      <w:pPr>
        <w:spacing w:after="0" w:line="20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year ended December 31, 2016, we had net repayments on our credit facilities and commercial paper program of $759 million. The net repayments resulted primarily from cash flow from operating activities as well as cash received from our equity issuances and asset divestitures, which offset borrowings during the period related to funding needs for (i) inventory purchases and related margin balances required as part of our hedging activities, (ii) capital investments, (iii) repayment of our $175 million senior notes in August 2016, (iv) repayment of $642 million of borrowings that we assumed under AAP’s senior secured credit agreement in connection with the Simplification Transactions and (v) other general partnership purposes.</w:t>
      </w:r>
    </w:p>
    <w:p>
      <w:pPr>
        <w:spacing w:after="0" w:line="15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During the year ended December 31, 2015, we had net borrowings under our credit facilities and commercial paper program of $931 million. These net borrowings resulted primarily from funding needs for (i) capital investments, (ii) repayment of senior notes that matured during 2015 and (iii) other general partnership purposes, and were partially offset by repayments from cash received from our debt and equity issuances.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All issuances of equity securities associated with our continuous offering program have been issued pursuant to the Traditional Shelf. At December 31, 2016, we had approximately $1.2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November 2016 senior notes issuance were conducted under our WKSI shelf. See “Common Unit Issuances” and “Senior Notes” below.</w:t>
      </w:r>
    </w:p>
    <w:p>
      <w:pPr>
        <w:spacing w:after="0" w:line="1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Common Unit Issuances</w:t>
      </w:r>
      <w:r>
        <w:rPr>
          <w:rFonts w:ascii="Arial" w:cs="Arial" w:eastAsia="Arial" w:hAnsi="Arial"/>
          <w:sz w:val="18"/>
          <w:szCs w:val="18"/>
          <w:color w:val="auto"/>
        </w:rPr>
        <w:t>. The following table summarizes our issuance of common units during the three years ended December 31, 2016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 xml:space="preserve">Net Proceeds </w:t>
            </w:r>
            <w:r>
              <w:rPr>
                <w:rFonts w:ascii="Arial" w:cs="Arial" w:eastAsia="Arial" w:hAnsi="Arial"/>
                <w:sz w:val="8"/>
                <w:szCs w:val="8"/>
                <w:b w:val="1"/>
                <w:bCs w:val="1"/>
                <w:color w:val="auto"/>
                <w:w w:val="98"/>
              </w:rPr>
              <w:t>(1) (2)</w:t>
            </w:r>
          </w:p>
        </w:tc>
        <w:tc>
          <w:tcPr>
            <w:tcW w:w="340" w:type="dxa"/>
            <w:vAlign w:val="bottom"/>
            <w:tcBorders>
              <w:bottom w:val="single" w:sz="8" w:color="CCEEFF"/>
            </w:tcBorders>
          </w:tcPr>
          <w:p>
            <w:pPr>
              <w:spacing w:after="0"/>
              <w:rPr>
                <w:sz w:val="16"/>
                <w:szCs w:val="16"/>
                <w:color w:val="auto"/>
              </w:rPr>
            </w:pPr>
          </w:p>
        </w:tc>
      </w:tr>
      <w:tr>
        <w:trPr>
          <w:trHeight w:val="263"/>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2016 Total</w:t>
            </w:r>
          </w:p>
        </w:tc>
        <w:tc>
          <w:tcPr>
            <w:tcW w:w="3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Continuous Offering Program</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805</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Continuous Offering Program</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Underwritten Offering</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1,062</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2015 Total</w:t>
            </w:r>
          </w:p>
        </w:tc>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22,133,904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1,121</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1"/>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4"/>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2014 Total</w:t>
            </w:r>
          </w:p>
        </w:tc>
        <w:tc>
          <w:tcPr>
            <w:tcW w:w="3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Continuous Offering Program</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15,375,810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866</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For periods prior to the closing of the Simplification Transactions, amounts include our general partner’s proportionate capital contributions of $9 million, $22 million and $18 million during 2016, 2015 and 2014, respectively.</w:t>
      </w:r>
    </w:p>
    <w:p>
      <w:pPr>
        <w:spacing w:after="0" w:line="94" w:lineRule="exact"/>
        <w:rPr>
          <w:rFonts w:ascii="Arial" w:cs="Arial" w:eastAsia="Arial" w:hAnsi="Arial"/>
          <w:sz w:val="25"/>
          <w:szCs w:val="25"/>
          <w:color w:val="auto"/>
          <w:vertAlign w:val="superscript"/>
        </w:rPr>
      </w:pPr>
    </w:p>
    <w:p>
      <w:pPr>
        <w:ind w:left="660" w:right="80" w:hanging="652"/>
        <w:spacing w:after="0" w:line="226" w:lineRule="auto"/>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 issuances under our Continuous Offering Program. We paid $8 million, $1 million and $9 million of such commissions during 2016, 2015 and 2014, respectively. The net proceeds from these offerings were used for general partnership purposes.</w:t>
      </w:r>
    </w:p>
    <w:p>
      <w:pPr>
        <w:spacing w:after="0" w:line="95" w:lineRule="exact"/>
        <w:rPr>
          <w:rFonts w:ascii="Arial" w:cs="Arial" w:eastAsia="Arial" w:hAnsi="Arial"/>
          <w:sz w:val="25"/>
          <w:szCs w:val="25"/>
          <w:color w:val="auto"/>
          <w:vertAlign w:val="superscript"/>
        </w:rPr>
      </w:pPr>
    </w:p>
    <w:p>
      <w:pPr>
        <w:ind w:left="660" w:right="40" w:hanging="652"/>
        <w:spacing w:after="0" w:line="216" w:lineRule="auto"/>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A portion of the net proceeds from such offering was used to repay borrowings under our commercial paper program and the remaining net proceeds were used for general partnership purposes, including expenditures for our 2015 capital program.</w:t>
      </w:r>
    </w:p>
    <w:p>
      <w:pPr>
        <w:spacing w:after="0" w:line="203" w:lineRule="exact"/>
        <w:rPr>
          <w:sz w:val="20"/>
          <w:szCs w:val="20"/>
          <w:color w:val="auto"/>
        </w:rPr>
      </w:pPr>
    </w:p>
    <w:p>
      <w:pPr>
        <w:ind w:right="160" w:firstLine="675"/>
        <w:spacing w:after="0" w:line="277" w:lineRule="auto"/>
        <w:rPr>
          <w:sz w:val="20"/>
          <w:szCs w:val="20"/>
          <w:color w:val="auto"/>
        </w:rPr>
      </w:pPr>
      <w:r>
        <w:rPr>
          <w:rFonts w:ascii="Arial" w:cs="Arial" w:eastAsia="Arial" w:hAnsi="Arial"/>
          <w:sz w:val="18"/>
          <w:szCs w:val="18"/>
          <w:color w:val="auto"/>
        </w:rPr>
        <w:t>Subsequent to December 31, 2016, we sold an additional 4.0 million common units under our continuous offering program, generating proceeds of $129 million, net of $1 million of commissions to our sales agents.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PAGP Continuous Offering Program. </w:t>
      </w:r>
      <w:r>
        <w:rPr>
          <w:rFonts w:ascii="Arial" w:cs="Arial" w:eastAsia="Arial" w:hAnsi="Arial"/>
          <w:sz w:val="18"/>
          <w:szCs w:val="18"/>
          <w:color w:val="auto"/>
        </w:rPr>
        <w:t>On December 27, 2016, PAGP entered into an equity distribution agreement pursuant to which it may,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though sales agents, sell Class A shares with an aggregate offering price of up to $500 million. PAGP did not issue any Class A shares prior to December 31, 2016. Subsequent to December 31, 2016, PAGP issued approximately 1.8 million Class A shares, generating proceeds of $60 million, net of $1 million of commissions to sales agents.</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Pursuant to the Omnibus Agreement,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used the net proceeds we received from the sale of such common units to AAP, and we intend to use any future proceeds, for general partnership purposes, which may include, among other things, repayment of indebtedness, acquisitions, capital expenditures and additions to working capital. Amounts repaid under our credit facilities or commercial paper program may be reborrowed to fund our ongoing expansion capital program, future acquisitions and investments or for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Preferred Unit Issuance</w:t>
      </w:r>
      <w:r>
        <w:rPr>
          <w:rFonts w:ascii="Arial" w:cs="Arial" w:eastAsia="Arial" w:hAnsi="Arial"/>
          <w:sz w:val="16"/>
          <w:szCs w:val="16"/>
          <w:color w:val="auto"/>
        </w:rPr>
        <w:t>. In January 2016, we completed the private placement of approximately 61.0 million Series A preferred units at a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$26.25 per unit resulting in total net proceeds to us, after deducting offering expenses and the 2% transaction fee due to the purchasers and including our 2% general partner’s proportionate contribution, of approximately $1.6 billion. We used the net proceeds for capital expenditures, repayment of debt and general partnership purposes. While our Series A preferred units are considered equity securities and are classified within partners’ capital on our Consolidated Balance Sheet, the rating agencies only ascribe 50% equity credit with the remaining 50% considered debt for purposes of determining our credit ratings.</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Series A preferred units rank senior to all classes or series of equity securities in us with respect to distribution rights. The holders of the Series A preferred units are entitled to receive quarterly distributions, subject to customary anti-dilution adjustments, of $0.525 per unit ($2.10 per unit annualized), which commenced with the quarter ending March 31, 2016. With respect to any quarter ending on or prior to December 31, 2017, we may elect to pay distributions on the preferred units in additional preferred units, in cash or in a combination of both.</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After two years, the Series A preferred units are convertible at the purchasers’ option into common units on a one-for-one basis, subject to certain conditions, and are convertible at our option in certain circumstances after three years. See Note 11 to our Consolidated Financial Statements for additional information regarding the Series A preferred units.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During the last three years, we issued senior unsecured notes as summarized in the table below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14"/>
                <w:szCs w:val="14"/>
                <w:color w:val="auto"/>
              </w:rPr>
            </w:pPr>
          </w:p>
        </w:tc>
        <w:tc>
          <w:tcPr>
            <w:tcW w:w="514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Face Value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Proceeds</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Proceeds</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4.50% Senior Notes issued at 99.716% of face value </w:t>
            </w:r>
            <w:r>
              <w:rPr>
                <w:rFonts w:ascii="Arial" w:cs="Arial" w:eastAsia="Arial" w:hAnsi="Arial"/>
                <w:sz w:val="25"/>
                <w:szCs w:val="25"/>
                <w:color w:val="auto"/>
                <w:vertAlign w:val="superscript"/>
              </w:rPr>
              <w:t>(3)</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4.65% Senior Notes issued at 99.846% of face value </w:t>
            </w:r>
            <w:r>
              <w:rPr>
                <w:rFonts w:ascii="Arial" w:cs="Arial" w:eastAsia="Arial" w:hAnsi="Arial"/>
                <w:sz w:val="25"/>
                <w:szCs w:val="25"/>
                <w:color w:val="auto"/>
                <w:vertAlign w:val="superscript"/>
              </w:rPr>
              <w:t>(3)</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2.60% Senior Notes issued at 99.813% of face value </w:t>
            </w:r>
            <w:r>
              <w:rPr>
                <w:rFonts w:ascii="Arial" w:cs="Arial" w:eastAsia="Arial" w:hAnsi="Arial"/>
                <w:sz w:val="25"/>
                <w:szCs w:val="25"/>
                <w:color w:val="auto"/>
                <w:vertAlign w:val="superscript"/>
              </w:rPr>
              <w:t>(4)</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0"/>
        </w:trPr>
        <w:tc>
          <w:tcPr>
            <w:tcW w:w="58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3"/>
                <w:szCs w:val="23"/>
                <w:color w:val="auto"/>
              </w:rPr>
            </w:pPr>
          </w:p>
        </w:tc>
        <w:tc>
          <w:tcPr>
            <w:tcW w:w="52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4.90% Senior Notes issued at 99.876% of face value </w:t>
            </w:r>
            <w:r>
              <w:rPr>
                <w:rFonts w:ascii="Arial" w:cs="Arial" w:eastAsia="Arial" w:hAnsi="Arial"/>
                <w:sz w:val="25"/>
                <w:szCs w:val="25"/>
                <w:color w:val="auto"/>
                <w:vertAlign w:val="superscript"/>
              </w:rPr>
              <w:t>(4)</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2045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3.60% Senior Notes issued at 99.842% of face value </w:t>
            </w:r>
            <w:r>
              <w:rPr>
                <w:rFonts w:ascii="Arial" w:cs="Arial" w:eastAsia="Arial" w:hAnsi="Arial"/>
                <w:sz w:val="25"/>
                <w:szCs w:val="25"/>
                <w:color w:val="auto"/>
                <w:vertAlign w:val="superscript"/>
              </w:rPr>
              <w:t>(3)</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341"/>
        </w:trPr>
        <w:tc>
          <w:tcPr>
            <w:tcW w:w="58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 xml:space="preserve">4.70% Senior Notes issued at 99.734% of face value </w:t>
            </w:r>
            <w:r>
              <w:rPr>
                <w:rFonts w:ascii="Arial" w:cs="Arial" w:eastAsia="Arial" w:hAnsi="Arial"/>
                <w:sz w:val="25"/>
                <w:szCs w:val="25"/>
                <w:color w:val="auto"/>
                <w:vertAlign w:val="superscript"/>
              </w:rPr>
              <w:t>(3)</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5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color w:val="auto"/>
          <w:vertAlign w:val="superscript"/>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98" w:lineRule="exact"/>
        <w:rPr>
          <w:rFonts w:ascii="Arial" w:cs="Arial" w:eastAsia="Arial" w:hAnsi="Arial"/>
          <w:sz w:val="25"/>
          <w:szCs w:val="25"/>
          <w:color w:val="auto"/>
          <w:vertAlign w:val="superscript"/>
        </w:rPr>
      </w:pPr>
    </w:p>
    <w:p>
      <w:pPr>
        <w:ind w:left="660" w:right="60" w:hanging="652"/>
        <w:spacing w:after="0" w:line="214" w:lineRule="auto"/>
        <w:tabs>
          <w:tab w:leader="none" w:pos="6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We used the net proceeds from this offering to repay outstanding borrowings under our credit facilities or commercial paper program and for general partnership purposes.</w:t>
      </w:r>
    </w:p>
    <w:p>
      <w:pPr>
        <w:spacing w:after="0" w:line="94" w:lineRule="exact"/>
        <w:rPr>
          <w:rFonts w:ascii="Arial" w:cs="Arial" w:eastAsia="Arial" w:hAnsi="Arial"/>
          <w:sz w:val="25"/>
          <w:szCs w:val="25"/>
          <w:color w:val="auto"/>
          <w:vertAlign w:val="superscript"/>
        </w:rPr>
      </w:pPr>
    </w:p>
    <w:p>
      <w:pPr>
        <w:ind w:left="660" w:right="180" w:hanging="652"/>
        <w:spacing w:after="0" w:line="227" w:lineRule="auto"/>
        <w:tabs>
          <w:tab w:leader="none" w:pos="660" w:val="left"/>
        </w:tabs>
        <w:numPr>
          <w:ilvl w:val="0"/>
          <w:numId w:val="65"/>
        </w:numPr>
        <w:rPr>
          <w:rFonts w:ascii="Arial" w:cs="Arial" w:eastAsia="Arial" w:hAnsi="Arial"/>
          <w:sz w:val="24"/>
          <w:szCs w:val="24"/>
          <w:color w:val="auto"/>
          <w:vertAlign w:val="superscript"/>
        </w:rPr>
      </w:pPr>
      <w:r>
        <w:rPr>
          <w:rFonts w:ascii="Arial" w:cs="Arial" w:eastAsia="Arial" w:hAnsi="Arial"/>
          <w:sz w:val="17"/>
          <w:szCs w:val="17"/>
          <w:color w:val="auto"/>
        </w:rPr>
        <w:t>We used the net proceeds from this offering to repay outstanding borrowings under our commercial paper program (a portion of which was used to fund the acquisition of a 50% interest in BridgeTex). See Note 8 to our Consolidated Financial Statements for further discussion.</w:t>
      </w:r>
    </w:p>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January 2017, our $400 million, 6.13% senior notes matured and were repaid with cash on hand and proceeds from borrowings under our credit facilities and commercial paper program.</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August 2016, our $175 million, 5.88% senior notes matured and were repaid with cash on hand and proceeds from borrowings under our credit facilities and commercial paper program.</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$150 million, 5.25% senior notes and $400 million, 3.95% senior notes matured in June 2015 and September 2015, respectively, and were repaid with borrowings under our commercial paper program.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Expansion Capital Expenditures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Historically, we have financed these expenditures primarily with cash generated by operations and the financing activities discussed above. In the near term, we also intend to use proceeds from our asset sales program, as discussed further below. Also see “—Acquisitions and Capital Projects” for further discussion of such capital expenditures.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During the years ended December 31, 2016, 2015 and 2014, we paid cash of $282 million (net of cash acquired of $7 million), $105 million and $1,098 million, respectively, for acquisitions.</w:t>
      </w:r>
    </w:p>
    <w:p>
      <w:pPr>
        <w:spacing w:after="0" w:line="18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In February 2017, we acquired the Alpha Crude Connector gathering system for total consideration of $1.215 billion, subject to working capital and other adjustments. This acquisition was initially funded with borrowings under our credit facilities, which we intend to repay with proceeds from asset sales, equity issuances and retained cash flow. See Note 6 to our Consolidated Financial Statements for discussion of our acquisition activities.</w:t>
      </w:r>
    </w:p>
    <w:p>
      <w:pPr>
        <w:spacing w:after="0" w:line="166"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Also in February 2017, we entered into a definitive agreement to form a 50/50 joint venture to acquire a crude oil pipeline located in the Southern Delaware Basin for $133 million; a majority of our 50% share of such amount is expected to be paid in common units issued to certain of the sellers at closing, which we expect to occur, subject to the satisfaction of customary closing conditions, during the first half of 2017.</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2016-2017 Asset Sales Program</w:t>
      </w:r>
      <w:r>
        <w:rPr>
          <w:rFonts w:ascii="Arial" w:cs="Arial" w:eastAsia="Arial" w:hAnsi="Arial"/>
          <w:sz w:val="17"/>
          <w:szCs w:val="17"/>
          <w:color w:val="auto"/>
        </w:rPr>
        <w:t>. During 2016, we initiated a program to evaluate potential sales of non-core assets and/or sales of partial interests in</w:t>
      </w:r>
      <w:r>
        <w:rPr>
          <w:rFonts w:ascii="Arial" w:cs="Arial" w:eastAsia="Arial" w:hAnsi="Arial"/>
          <w:sz w:val="17"/>
          <w:szCs w:val="17"/>
          <w:i w:val="1"/>
          <w:iCs w:val="1"/>
          <w:color w:val="auto"/>
        </w:rPr>
        <w:t xml:space="preserve"> </w:t>
      </w:r>
      <w:r>
        <w:rPr>
          <w:rFonts w:ascii="Arial" w:cs="Arial" w:eastAsia="Arial" w:hAnsi="Arial"/>
          <w:sz w:val="17"/>
          <w:szCs w:val="17"/>
          <w:color w:val="auto"/>
        </w:rPr>
        <w:t>assets to strategic joint venture partners to optimize our asset portfolio and strengthen our balance sheet and leverage metrics. We completed approximately $550 million of asset sales in 2016 (net of $85 million paid for a remaining interest in a pipeline that was subsequently sold), and $670 million of sales have closed or are expected to close during the first half of 2017, subject to customary closing conditions.</w:t>
      </w:r>
    </w:p>
    <w:p>
      <w:pPr>
        <w:spacing w:after="0" w:line="17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2017 Capital Projects. </w:t>
      </w:r>
      <w:r>
        <w:rPr>
          <w:rFonts w:ascii="Arial" w:cs="Arial" w:eastAsia="Arial" w:hAnsi="Arial"/>
          <w:sz w:val="18"/>
          <w:szCs w:val="18"/>
          <w:color w:val="auto"/>
        </w:rPr>
        <w:t>The majority of our 2017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2017 results, but will provide growth for 2018 and beyond. Our 2017 capital program includes the following projects as of February 2017 with the estimated cost for the entire year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70"/>
        </w:trPr>
        <w:tc>
          <w:tcPr>
            <w:tcW w:w="9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Permian Basin Area Systems </w:t>
            </w:r>
            <w:r>
              <w:rPr>
                <w:rFonts w:ascii="Arial" w:cs="Arial" w:eastAsia="Arial" w:hAnsi="Arial"/>
                <w:sz w:val="25"/>
                <w:szCs w:val="25"/>
                <w:color w:val="auto"/>
                <w:vertAlign w:val="superscript"/>
              </w:rPr>
              <w:t>(1)</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120</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Cushing Terminal Expansions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260</w:t>
            </w:r>
          </w:p>
        </w:tc>
      </w:tr>
      <w:tr>
        <w:trPr>
          <w:trHeight w:val="257"/>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Total Projected 2017 Expansion Capital Expenditures</w:t>
            </w: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$800</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Includes projected capital projects associated with our recently acquired Alpha Crude Connector gathering system.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accordance with our partnership agreement, after making distributions to holders of outstanding Series A preferred units, we distribute all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w:t>
      </w:r>
    </w:p>
    <w:p>
      <w:pPr>
        <w:spacing w:after="0" w:line="14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On February 14, 2017, we issued 1,287,773 additional Series A preferred units in lieu of paying</w:t>
      </w:r>
      <w:r>
        <w:rPr>
          <w:rFonts w:ascii="Arial" w:cs="Arial" w:eastAsia="Arial" w:hAnsi="Arial"/>
          <w:sz w:val="16"/>
          <w:szCs w:val="16"/>
          <w:i w:val="1"/>
          <w:iCs w:val="1"/>
          <w:color w:val="auto"/>
        </w:rPr>
        <w:t xml:space="preserve"> </w:t>
      </w:r>
      <w:r>
        <w:rPr>
          <w:rFonts w:ascii="Arial" w:cs="Arial" w:eastAsia="Arial" w:hAnsi="Arial"/>
          <w:sz w:val="16"/>
          <w:szCs w:val="16"/>
          <w:color w:val="auto"/>
        </w:rPr>
        <w:t>a cash distribution of $34 million. See Note 11 to our Consolidated Financial Statements for additional information regarding our Series A preferred units.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Distributions to our unitholders. </w:t>
      </w:r>
      <w:r>
        <w:rPr>
          <w:rFonts w:ascii="Arial" w:cs="Arial" w:eastAsia="Arial" w:hAnsi="Arial"/>
          <w:sz w:val="17"/>
          <w:szCs w:val="17"/>
          <w:color w:val="auto"/>
        </w:rPr>
        <w:t>On February 14, 2017, we paid a quarterly distribution of $0.55 per common unit, which represents a year-over-year distribution decrease of approximately 21%. We believe this revised distribution level will significantly enhance our distribution coverage and credit profile. The total distribution of $371 million was paid to unitholders of record as of January 31, 2017. See Note 11 to our Consolidated Financial Statements for details of distributions paid during 2016, 2015 and 2014. Also, see Item 5. “Market for Registrant’s Common Units, Related Unitholder Matters and Issuer Purchases of Equity Securities—Cash Distribution Policy” for additional discussion regarding distributions.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Distributions to our general partner. </w:t>
      </w:r>
      <w:r>
        <w:rPr>
          <w:rFonts w:ascii="Arial" w:cs="Arial" w:eastAsia="Arial" w:hAnsi="Arial"/>
          <w:sz w:val="18"/>
          <w:szCs w:val="18"/>
          <w:color w:val="auto"/>
        </w:rPr>
        <w:t>Prior to the Simplification Transactions, our general partner was entitled, directly or indirectly, to receive 2%</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distributions, as well as incentive distributions if the amount we distributed with respect to any quarter exceeded certain specified levels. See Note 11 to our Consolidated Financial Statements for discussion of the prior quarterly incentive distribution provisions and amounts paid to our general partner in 2016, 2015 and 2014.</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17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with remaining terms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2016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 and</w:t>
            </w:r>
          </w:p>
        </w:tc>
        <w:tc>
          <w:tcPr>
            <w:tcW w:w="22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11,923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Crude oil, natural gas, NGL and 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5,068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7,053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16,300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36,196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hanging="652"/>
        <w:spacing w:after="0" w:line="250" w:lineRule="auto"/>
        <w:tabs>
          <w:tab w:leader="none" w:pos="66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Includes debt service payments, interest payments due on senior notes,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credit facilities or commercial paper program) in the amounts above. For additional information regarding our debt obligations, see Note 10 to our 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380" w:hanging="652"/>
        <w:spacing w:after="0" w:line="216"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$855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80" w:hanging="652"/>
        <w:spacing w:after="0" w:line="238" w:lineRule="auto"/>
        <w:tabs>
          <w:tab w:leader="none" w:pos="660" w:val="left"/>
        </w:tabs>
        <w:numPr>
          <w:ilvl w:val="0"/>
          <w:numId w:val="68"/>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December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2016 and 2015, we had outstanding letters of credit of approximately $73 million and $46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2016 (unaudited, dollars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Our</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Entity</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Total Entity</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vMerge w:val="restart"/>
          </w:tcPr>
          <w:p>
            <w:pPr>
              <w:spacing w:after="0"/>
              <w:rPr>
                <w:sz w:val="12"/>
                <w:szCs w:val="12"/>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Type of Operation</w:t>
            </w:r>
          </w:p>
        </w:tc>
        <w:tc>
          <w:tcPr>
            <w:tcW w:w="100" w:type="dxa"/>
            <w:vAlign w:val="bottom"/>
            <w:vMerge w:val="restart"/>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Cash</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Settoon Towing, LLC (“Settoon”) </w:t>
            </w:r>
            <w:r>
              <w:rPr>
                <w:rFonts w:ascii="Arial" w:cs="Arial" w:eastAsia="Arial" w:hAnsi="Arial"/>
                <w:sz w:val="25"/>
                <w:szCs w:val="25"/>
                <w:color w:val="auto"/>
                <w:vertAlign w:val="superscript"/>
              </w:rPr>
              <w:t>(1)</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Barge Transportation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Caddo Pipeline LLC</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Cheyenne Pipeline LLC</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Terminal and Dock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Frontier Aspen LLC</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STACK Pipeline LLC</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Butte Pipe Line Company</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1" w:lineRule="exact"/>
        <w:rPr>
          <w:sz w:val="20"/>
          <w:szCs w:val="20"/>
          <w:color w:val="auto"/>
        </w:rPr>
      </w:pPr>
    </w:p>
    <w:p>
      <w:pPr>
        <w:ind w:left="660" w:right="60" w:hanging="652"/>
        <w:spacing w:after="0" w:line="226" w:lineRule="auto"/>
        <w:tabs>
          <w:tab w:leader="none" w:pos="66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In February 2017, Settoon signed a definitive agreement to sell its Liquid Bulk division that is expected to close in the first half of 2017, subject to customary closing conditions, including receipt of regulatory approvals. Settoon intends to use a portion of the proceeds from such sale to pay off all of its outstanding debt.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160"/>
        <w:spacing w:after="0" w:line="312" w:lineRule="auto"/>
        <w:rPr>
          <w:rFonts w:ascii="Arial" w:cs="Arial" w:eastAsia="Arial" w:hAnsi="Arial"/>
          <w:sz w:val="13"/>
          <w:szCs w:val="13"/>
          <w:i w:val="1"/>
          <w:iCs w:val="1"/>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38" w:lineRule="exact"/>
        <w:rPr>
          <w:rFonts w:ascii="Arial" w:cs="Arial" w:eastAsia="Arial" w:hAnsi="Arial"/>
          <w:sz w:val="13"/>
          <w:szCs w:val="13"/>
          <w:i w:val="1"/>
          <w:iCs w:val="1"/>
          <w:color w:val="auto"/>
        </w:rPr>
      </w:pPr>
    </w:p>
    <w:p>
      <w:pPr>
        <w:ind w:left="980" w:hanging="324"/>
        <w:spacing w:after="0"/>
        <w:tabs>
          <w:tab w:leader="none" w:pos="980" w:val="left"/>
        </w:tabs>
        <w:numPr>
          <w:ilvl w:val="0"/>
          <w:numId w:val="70"/>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right="220"/>
        <w:spacing w:after="0" w:line="264"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73" w:lineRule="exact"/>
        <w:rPr>
          <w:rFonts w:ascii="Arial" w:cs="Arial" w:eastAsia="Arial" w:hAnsi="Arial"/>
          <w:sz w:val="13"/>
          <w:szCs w:val="13"/>
          <w:color w:val="auto"/>
        </w:rPr>
      </w:pPr>
    </w:p>
    <w:p>
      <w:pPr>
        <w:ind w:left="980" w:hanging="324"/>
        <w:spacing w:after="0"/>
        <w:tabs>
          <w:tab w:leader="none" w:pos="980" w:val="left"/>
        </w:tabs>
        <w:numPr>
          <w:ilvl w:val="0"/>
          <w:numId w:val="70"/>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40"/>
        <w:spacing w:after="0" w:line="286" w:lineRule="auto"/>
        <w:rPr>
          <w:rFonts w:ascii="Arial" w:cs="Arial" w:eastAsia="Arial" w:hAnsi="Arial"/>
          <w:sz w:val="13"/>
          <w:szCs w:val="13"/>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2016 that would be expected from a 10% price increase or decrease is shown in the table below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2016, approximately $1.6 billion, is subject to interest rate re-sets that range from less than one week to two months. The average interest rate on variable rate debt that was outstanding during the year ended December 31, 2016 was 1.4%, based upon rates in effect during the year. The fair value of our interest rate derivatives was a liability of $50 million as of December 31, 2016. A 10% increase in the forward LIBOR curve as of December 31, 2016 would have resulted in an increase of $32 million to the fair value of our interest rate derivatives. A 10% decrease in the forward LIBOR curve as of December 31, 2016 would have resulted in a decrease of $32 million to the fair value of our interest rate derivatives. See Note 12 to our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$3 million as of December 31, 2016. A 10% increase in the exchange rate (USD-to-CAD) would have resulted in a decrease of $22 million to the fair value of our foreign currency derivatives. A 10% decrease in the exchange rate (USD-to-CAD) would have resulted in an increase of $22 million to the fair value of our foreign currency derivatives. See Note 12 to our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and default probabilities to ultimately calculate the fair value of our Series A preferred units with and without the Preferred Distribution Rate Reset Option. The fair value of this embedded derivative was a liability of $32 million as of December 31, 2016. A 10% increase in the fair value would have an impact of $3 million. A 10% decrease in the fair value would also have an impact of $3 million. See Note 12 to our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2016, the end of the period covered by this report, and, based on such evaluation, our Chief Executive Officer and Chief Financial Officer have concluded that our DCP is effective.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2016. See “Management’s Report on Internal Control Over Financial Reporting” on page F-2 of our Consolidated Financial Statements.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2016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2016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and Governance</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which is the sole member of PAA GP LLC, our general partner. Plains GP Holdings, L.P. (“PAGP”) is the sole member of GP LLC, and PAA GP Holdings LLC (“PAGP GP”) is the general partner of PAGP. Prior to the Simplification Transactions completed on November 15, 2016, the board of directors of GP LLC managed the business and affairs of PAA and AAP. As a result of the Simplification Transactions, the board of directors of GP LLC was eliminated and the board of directors of PAGP GP now has responsibility for managing the business and affairs of PAGP, PAA and AAP. References to our directors are references to the directors of GP LLC prior to November 15, 2016 and to the directors of PAGP GP after November 15, 2016 or both as the context requires. References to our officers and employees are references to the officers and employees of GP LLC (or, in the case of our Canadian operations, Plains Midstream Canada).</w:t>
      </w:r>
    </w:p>
    <w:p>
      <w:pPr>
        <w:spacing w:after="0" w:line="167"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18"/>
          <w:szCs w:val="18"/>
          <w:color w:val="auto"/>
        </w:rPr>
        <w:t>GP LLC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ind w:right="120" w:firstLine="648"/>
        <w:spacing w:after="0" w:line="255" w:lineRule="auto"/>
        <w:rPr>
          <w:sz w:val="20"/>
          <w:szCs w:val="20"/>
          <w:color w:val="auto"/>
        </w:rPr>
      </w:pPr>
      <w:r>
        <w:rPr>
          <w:rFonts w:ascii="Arial" w:cs="Arial" w:eastAsia="Arial" w:hAnsi="Arial"/>
          <w:sz w:val="18"/>
          <w:szCs w:val="18"/>
          <w:color w:val="auto"/>
        </w:rPr>
        <w:t>As provided in the Third Amended and Restated Limited Liability Company Agreement of PAGP GP (the “PAGP GP LLC Agreement”), our board of directors consists of 12 members divided into three classes (excluding those directors who are also officers), with each class serving a three-year term as follows:</w:t>
      </w:r>
    </w:p>
    <w:p>
      <w:pPr>
        <w:spacing w:after="0" w:line="348"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640" w:type="dxa"/>
            <w:vAlign w:val="bottom"/>
          </w:tcPr>
          <w:p>
            <w:pPr>
              <w:ind w:left="1040"/>
              <w:spacing w:after="0"/>
              <w:rPr>
                <w:sz w:val="20"/>
                <w:szCs w:val="20"/>
                <w:color w:val="auto"/>
              </w:rPr>
            </w:pPr>
            <w:r>
              <w:rPr>
                <w:rFonts w:ascii="Arial" w:cs="Arial" w:eastAsia="Arial" w:hAnsi="Arial"/>
                <w:sz w:val="18"/>
                <w:szCs w:val="18"/>
                <w:b w:val="1"/>
                <w:bCs w:val="1"/>
                <w:color w:val="auto"/>
              </w:rPr>
              <w:t>Name</w:t>
            </w:r>
          </w:p>
        </w:tc>
        <w:tc>
          <w:tcPr>
            <w:tcW w:w="21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Class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 Initial Term</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Officer Directors:</w:t>
            </w:r>
          </w:p>
        </w:tc>
        <w:tc>
          <w:tcPr>
            <w:tcW w:w="216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Greg L. Armstrong</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w w:val="99"/>
              </w:rPr>
              <w:t>N/A</w:t>
            </w:r>
          </w:p>
        </w:tc>
        <w:tc>
          <w:tcPr>
            <w:tcW w:w="38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N/A</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Willie Chiang</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w w:val="99"/>
              </w:rPr>
              <w:t>N/A</w:t>
            </w:r>
          </w:p>
        </w:tc>
        <w:tc>
          <w:tcPr>
            <w:tcW w:w="38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324"/>
        </w:trPr>
        <w:tc>
          <w:tcPr>
            <w:tcW w:w="26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Designated Directors:</w:t>
            </w:r>
          </w:p>
        </w:tc>
        <w:tc>
          <w:tcPr>
            <w:tcW w:w="2160" w:type="dxa"/>
            <w:vAlign w:val="bottom"/>
          </w:tcPr>
          <w:p>
            <w:pPr>
              <w:spacing w:after="0"/>
              <w:rPr>
                <w:sz w:val="21"/>
                <w:szCs w:val="21"/>
                <w:color w:val="auto"/>
              </w:rPr>
            </w:pPr>
          </w:p>
        </w:tc>
        <w:tc>
          <w:tcPr>
            <w:tcW w:w="388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T. Raymond</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Robert V. Sinnott</w:t>
            </w:r>
          </w:p>
        </w:tc>
        <w:tc>
          <w:tcPr>
            <w:tcW w:w="2160" w:type="dxa"/>
            <w:vAlign w:val="bottom"/>
          </w:tcPr>
          <w:p>
            <w:pPr>
              <w:jc w:val="center"/>
              <w:ind w:right="30"/>
              <w:spacing w:after="0"/>
              <w:rPr>
                <w:sz w:val="20"/>
                <w:szCs w:val="20"/>
                <w:color w:val="auto"/>
              </w:rPr>
            </w:pPr>
            <w:r>
              <w:rPr>
                <w:rFonts w:ascii="Arial" w:cs="Arial" w:eastAsia="Arial" w:hAnsi="Arial"/>
                <w:sz w:val="18"/>
                <w:szCs w:val="18"/>
                <w:color w:val="auto"/>
              </w:rPr>
              <w:t>II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Bernard (Ben) Figlock</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III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324"/>
        </w:trPr>
        <w:tc>
          <w:tcPr>
            <w:tcW w:w="2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Independent Directors:</w:t>
            </w:r>
          </w:p>
        </w:tc>
        <w:tc>
          <w:tcPr>
            <w:tcW w:w="216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Everardo Goyanes</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rPr>
              <w:t>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 Taft Symonds</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Victor Burk</w:t>
            </w:r>
          </w:p>
        </w:tc>
        <w:tc>
          <w:tcPr>
            <w:tcW w:w="2160" w:type="dxa"/>
            <w:vAlign w:val="bottom"/>
          </w:tcPr>
          <w:p>
            <w:pPr>
              <w:jc w:val="center"/>
              <w:ind w:right="30"/>
              <w:spacing w:after="0"/>
              <w:rPr>
                <w:sz w:val="20"/>
                <w:szCs w:val="20"/>
                <w:color w:val="auto"/>
              </w:rPr>
            </w:pPr>
            <w:r>
              <w:rPr>
                <w:rFonts w:ascii="Arial" w:cs="Arial" w:eastAsia="Arial" w:hAnsi="Arial"/>
                <w:sz w:val="18"/>
                <w:szCs w:val="18"/>
                <w:color w:val="auto"/>
              </w:rPr>
              <w:t>II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Gary R. Petersen</w:t>
            </w:r>
          </w:p>
        </w:tc>
        <w:tc>
          <w:tcPr>
            <w:tcW w:w="21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II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Bobby S. Shackouls</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rPr>
              <w:t>III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M. Temple</w:t>
            </w:r>
          </w:p>
        </w:tc>
        <w:tc>
          <w:tcPr>
            <w:tcW w:w="21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III</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26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PAGP GP LLC Agreement, the directors of PAGP GP are appointed as follows:</w:t>
      </w:r>
    </w:p>
    <w:p>
      <w:pPr>
        <w:spacing w:after="0" w:line="225" w:lineRule="exact"/>
        <w:rPr>
          <w:sz w:val="20"/>
          <w:szCs w:val="20"/>
          <w:color w:val="auto"/>
        </w:rPr>
      </w:pPr>
    </w:p>
    <w:p>
      <w:pPr>
        <w:ind w:left="980" w:hanging="324"/>
        <w:spacing w:after="0" w:line="264" w:lineRule="auto"/>
        <w:tabs>
          <w:tab w:leader="none" w:pos="980" w:val="left"/>
        </w:tabs>
        <w:numPr>
          <w:ilvl w:val="0"/>
          <w:numId w:val="71"/>
        </w:numPr>
        <w:rPr>
          <w:rFonts w:ascii="Arial" w:cs="Arial" w:eastAsia="Arial" w:hAnsi="Arial"/>
          <w:sz w:val="13"/>
          <w:szCs w:val="13"/>
          <w:color w:val="auto"/>
        </w:rPr>
      </w:pPr>
      <w:r>
        <w:rPr>
          <w:rFonts w:ascii="Arial" w:cs="Arial" w:eastAsia="Arial" w:hAnsi="Arial"/>
          <w:sz w:val="18"/>
          <w:szCs w:val="18"/>
          <w:color w:val="auto"/>
        </w:rPr>
        <w:t>Three of the members are designated to serve on the board of directors of PAGP GP by the three members of PAGP GP that currently hold board designation rights (affiliates of The Energy &amp; Minerals Group, Kayne Anderson Investment Management Inc. and Occidental Petroleum Corporation);</w:t>
      </w:r>
    </w:p>
    <w:p>
      <w:pPr>
        <w:spacing w:after="0" w:line="73" w:lineRule="exact"/>
        <w:rPr>
          <w:rFonts w:ascii="Arial" w:cs="Arial" w:eastAsia="Arial" w:hAnsi="Arial"/>
          <w:sz w:val="13"/>
          <w:szCs w:val="13"/>
          <w:color w:val="auto"/>
        </w:rPr>
      </w:pPr>
    </w:p>
    <w:p>
      <w:pPr>
        <w:ind w:left="980" w:right="40" w:hanging="324"/>
        <w:spacing w:after="0" w:line="277" w:lineRule="auto"/>
        <w:tabs>
          <w:tab w:leader="none" w:pos="980" w:val="left"/>
        </w:tabs>
        <w:numPr>
          <w:ilvl w:val="0"/>
          <w:numId w:val="71"/>
        </w:numPr>
        <w:rPr>
          <w:rFonts w:ascii="Arial" w:cs="Arial" w:eastAsia="Arial" w:hAnsi="Arial"/>
          <w:sz w:val="13"/>
          <w:szCs w:val="13"/>
          <w:color w:val="auto"/>
        </w:rPr>
      </w:pPr>
      <w:r>
        <w:rPr>
          <w:rFonts w:ascii="Arial" w:cs="Arial" w:eastAsia="Arial" w:hAnsi="Arial"/>
          <w:sz w:val="18"/>
          <w:szCs w:val="18"/>
          <w:color w:val="auto"/>
        </w:rPr>
        <w:t>Six of the members (three of whom must be independent directors eligible to serve on the audit committee) are elected, and may be removed, by the board of directors of PAGP GP;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40" w:hanging="324"/>
        <w:spacing w:after="0" w:line="277" w:lineRule="auto"/>
        <w:tabs>
          <w:tab w:leader="none" w:pos="980" w:val="left"/>
        </w:tabs>
        <w:numPr>
          <w:ilvl w:val="0"/>
          <w:numId w:val="72"/>
        </w:numPr>
        <w:rPr>
          <w:rFonts w:ascii="Arial" w:cs="Arial" w:eastAsia="Arial" w:hAnsi="Arial"/>
          <w:sz w:val="13"/>
          <w:szCs w:val="13"/>
          <w:color w:val="auto"/>
        </w:rPr>
      </w:pPr>
      <w:r>
        <w:rPr>
          <w:rFonts w:ascii="Arial" w:cs="Arial" w:eastAsia="Arial" w:hAnsi="Arial"/>
          <w:sz w:val="18"/>
          <w:szCs w:val="18"/>
          <w:color w:val="auto"/>
        </w:rPr>
        <w:t>One of the members is the Chief Executive Officer and two of the members are appointed by majority vote of the board of directors of PAGP GP.</w:t>
      </w:r>
    </w:p>
    <w:p>
      <w:pPr>
        <w:spacing w:after="0" w:line="27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Any member of PAGP GP that accumulates a qualifying interest in AAP of at least 20% (based on the outstanding interests of AAP as of the closing of the Simplification Transactions) and does not otherwise have a PAGP GP board designation right may designate a PAGP GP director, except that there may be no more than three designated directors serving on the PAGP GP board at any one time. If PAA fails to make three distributions on its Series A Convertible Preferred Units (the “Preferred Units”) (whether or not consecutive), the holders of Preferred Units will have the right to appoint a new member of the board to serve until such time as all accrued and unpaid distributions on the Preferred Units have been paid in full.</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Beginning in 2018, PAGP will hold an annual meeting of its shareholders for the purpose of electing PAGP GP directors with expiring terms other than the designated directors, any directors who are officers of PAGP GP and any director subject to appointment by the holders of the Preferred Units. PAA, which holds all of PAGP’s issued and outstanding Class C shares, will hold an annual meeting of its limited partners in advance of PAGP’s annual meeting. The purpose of the PAA annual meeting will be to allow its limited partners, other than AAP, to cast a “pass-through” vote instructing PAA how to vote its PAGP Class C shares in the election of eligible PAGP GP directors.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above. In addition,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CEO also serves as Chairman of the Board. The board has no policy with respect to the separation of the offices of chairman and CEO; rather, that relationship is currently defined and governed by the PAGP GP LLC Agreement and the employment agreement with the CEO, which currently require coincidence of the offices. However, pursuant to the terms of the PAGP GP LLC Agreement, if and when our board of directors elects a successor to our current CEO, by majority vote our board of directors may determine to separate the offices of CEO and Chairman of the Board. We do not have a lead independent director.</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ELR assessment to the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Non-management directors meet in executive session in connection with each regular board meeting. On a rotating basis (determined alphabetically by last name), one of the non-management directors acts as presiding director at each such regularly scheduled executive session. As circumstances warrant, non-management directors may also meet in executive sessions of special meetings of the board.</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all of whom are required to be “independent” as defined by the NYSE.</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Burk, Goyanes and Symonds) is (i) “independent” under applicable NYSE rules and (ii) an “Audit Committee Financial Expert,” as that term is defined in Item 407 of Regulation S-K.</w:t>
      </w:r>
    </w:p>
    <w:p>
      <w:pPr>
        <w:spacing w:after="0" w:line="18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None of the members of our audit committee has any relationships with either PAGP GP, PAGP or us, other than as a director, shareholder or unitholder. For additional information regarding the experience and qualifications of our directors, please read the biographical descriptions under “— Directors, Executive Officers and Other Officers”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2016. The compensation committee has delegated limited authority to the CEO to administer our long-term incentive plans with respect to employees other than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Other Committees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Shackouls and Symonds. Under applicable stock exchange rules, none of the members of our governance committee is required to be “independent.” With respect to any director nominations to be made by the board in connection with the commencement of director elections in 2018 or in the event of a vacancy in the three required independent director seats on our board, the governance committee will assist in identifying and screening potential candidates. Upon request , the governance committee is also available to assist in identifying and screening potential candidates for any vacancy with respect to directors other than independent directors or directors designated by a designating member. The governance committee will base any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and the PAGP GP LLC Agreement.</w:t>
      </w:r>
    </w:p>
    <w:p>
      <w:pPr>
        <w:spacing w:after="0" w:line="18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PAGP GP board. Our partnership agreement provides that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Independence—Review, Approval or Ratification of Transactions with Related Persons.”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During the last fiscal year, including meetings of the board of GP LLC and applicable committees thereof prior to the closing of the Simplification Transactions and meetings of the PAGP GP board and applicable committees thereof following such closing, our board of directors had seven meetings, our audit committee had nine meetings and our compensation committee had two meetings. All directors have access to members of management, and a substantial amount of information transfer and informal communication occurs between meetings. None of our directors attended fewer than 75% of the aggregate number of meetings of the applicable board of directors and applicable committees of the board on which the director served.</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discussed above, GP LLC manages our operations and activities, and since the closing of the Simplification Transactions, GP LLC is managed by or under the direction of the PAGP GP board of directors, whose members will, until director elections commence for eligible directors starting in 2018, continue to be either designated by certain members of PAGP GP or appointed by vote of the board of directors. Accordingly, unlike holders of common stock in a corporation, our unitholders have only limited voting rights on matters affecting our business or governance, subject in all cases to any specific unitholder rights contained in our partnership agreement. As a result, we have not historically held regular annual meetings of unitholders for the purpose of electing directors or soliciting approval of any other routine matters. See, however, “Partnership Management and Governance” above for information regarding annual meetings to be held beginning in 2018.</w:t>
      </w:r>
    </w:p>
    <w:p>
      <w:pPr>
        <w:spacing w:after="0" w:line="18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Code of Business Conduct on behalf of an executive officer or director either on our Internet website or in an 8-K filing.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audit committee of our board of directors oversees the Partnership’s financial reporting process on behalf of the board of directors. Management has the primary responsibility for the financial statements and the reporting process, including the systems of internal controls.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discussed with PricewaterhouseCoopers LLP the matters required to be discussed by Public Company Accounting Oversight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Auditing Standard No. 16, Communications with Audit Committees. The audit committee received written disclosures and the letter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required by applicable requirements of the Public Company Accounting Oversight Board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LLP’s communications with the audit committee concerning independence, and has discussed with PricewaterhouseCoopers LLP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independence from management and the Partnership.</w:t>
      </w:r>
    </w:p>
    <w:p>
      <w:pPr>
        <w:spacing w:after="0" w:line="21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2016 for filing with the SEC.</w:t>
      </w:r>
    </w:p>
    <w:p>
      <w:pPr>
        <w:spacing w:after="0" w:line="30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Victor Burk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 Taft Symonds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Other Officers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table sets forth certain information with respect to our current board members,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As discussed above, three of the owners of membership interests in PAGP GP currently each have the right to separately designate a member of the board of directors. Such designees are indicated in footnote 2 to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160" w:type="dxa"/>
            <w:vAlign w:val="bottom"/>
            <w:gridSpan w:val="2"/>
          </w:tcPr>
          <w:p>
            <w:pPr>
              <w:ind w:left="720"/>
              <w:spacing w:after="0"/>
              <w:rPr>
                <w:sz w:val="20"/>
                <w:szCs w:val="20"/>
                <w:color w:val="auto"/>
              </w:rPr>
            </w:pPr>
            <w:r>
              <w:rPr>
                <w:rFonts w:ascii="Arial" w:cs="Arial" w:eastAsia="Arial" w:hAnsi="Arial"/>
                <w:sz w:val="14"/>
                <w:szCs w:val="14"/>
                <w:b w:val="1"/>
                <w:bCs w:val="1"/>
                <w:color w:val="auto"/>
              </w:rPr>
              <w:t>Age (as of</w:t>
            </w:r>
          </w:p>
        </w:tc>
        <w:tc>
          <w:tcPr>
            <w:tcW w:w="662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12/31/16)</w:t>
            </w:r>
          </w:p>
        </w:tc>
        <w:tc>
          <w:tcPr>
            <w:tcW w:w="100" w:type="dxa"/>
            <w:vAlign w:val="bottom"/>
            <w:tcBorders>
              <w:bottom w:val="single" w:sz="8" w:color="CCEEFF"/>
            </w:tcBorders>
          </w:tcPr>
          <w:p>
            <w:pPr>
              <w:spacing w:after="0"/>
              <w:rPr>
                <w:sz w:val="16"/>
                <w:szCs w:val="16"/>
                <w:color w:val="auto"/>
              </w:rPr>
            </w:pPr>
          </w:p>
        </w:tc>
        <w:tc>
          <w:tcPr>
            <w:tcW w:w="6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Greg L. Armstrong*</w:t>
            </w:r>
            <w:r>
              <w:rPr>
                <w:rFonts w:ascii="Arial" w:cs="Arial" w:eastAsia="Arial" w:hAnsi="Arial"/>
                <w:sz w:val="25"/>
                <w:szCs w:val="25"/>
                <w:color w:val="auto"/>
                <w:vertAlign w:val="superscript"/>
              </w:rPr>
              <w:t>(2)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23"/>
                <w:szCs w:val="23"/>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Harry N. Pefanis*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 (U.S.) and Director</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Mark J. Gorman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K. McGee*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Daniel J. Nerbonne*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Executive Vice President—Operations and Engineering</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 Swanson*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John P. vonBerg*</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Executive Vice President—Commercial Activities</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Samuel N. Brown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Lawrence J. Dreyfuss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Senior Vice President, General Counsel—Commercial &amp; Litigation and Assistant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Keffer</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Alfred A. Lindseth</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Senior Vice President—Technology, Process &amp; Risk Management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 Smith</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President—Operations</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Jason Balasch</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President,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L. Cantrell</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President—Internal Audit</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Brad Deets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Senior Vice President, NGL Commercial and Facilities,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 Falgoust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President—Asset Integrity</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James Ferrell</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President—Supply Chain Management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 Forward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Finance, Plains Midstream Canada</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James B. Fryfogle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President—Bulk Supply and Logistics</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Jeremy L. Goebel</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President—Acquisitions and Strategic Planning</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Dean Gore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President—Environmental and Regulatory Compliance</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 Herbold*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Barry Holtzman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President—Safety, Security and Training</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Keith Jalbert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President—Commercial Activities</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Christopher M. Kean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 Engineering,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Sterling Koch</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Vice President, Health, Safety, Environment &amp; Regulatory, Plains Midstream Canada</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Dwayne Koehn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Don Lacey</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Operations, Plains Midstream Canada</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Mark Mazerolle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 Pipelines &amp; Supply,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 Pinchback</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President—Pipeline Business Development</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Michelle Podavin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President—NGL Supply and Facilities,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N. Polydoros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President—Land and Office Services</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Megan Prout</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President—Commercial Law and Litigation</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Tyler Rimbey</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Senior Vice President, Crude Commercial and Pipelines, Plains Midstream Canada</w:t>
            </w: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ind w:left="7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160" w:type="dxa"/>
            <w:vAlign w:val="bottom"/>
            <w:gridSpan w:val="2"/>
          </w:tcPr>
          <w:p>
            <w:pPr>
              <w:ind w:left="720"/>
              <w:spacing w:after="0"/>
              <w:rPr>
                <w:sz w:val="20"/>
                <w:szCs w:val="20"/>
                <w:color w:val="auto"/>
              </w:rPr>
            </w:pPr>
            <w:r>
              <w:rPr>
                <w:rFonts w:ascii="Arial" w:cs="Arial" w:eastAsia="Arial" w:hAnsi="Arial"/>
                <w:sz w:val="14"/>
                <w:szCs w:val="14"/>
                <w:b w:val="1"/>
                <w:bCs w:val="1"/>
                <w:color w:val="auto"/>
              </w:rPr>
              <w:t>Age (as of</w:t>
            </w:r>
          </w:p>
        </w:tc>
        <w:tc>
          <w:tcPr>
            <w:tcW w:w="662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12/31/16)</w:t>
            </w:r>
          </w:p>
        </w:tc>
        <w:tc>
          <w:tcPr>
            <w:tcW w:w="100" w:type="dxa"/>
            <w:vAlign w:val="bottom"/>
          </w:tcPr>
          <w:p>
            <w:pPr>
              <w:spacing w:after="0"/>
              <w:rPr>
                <w:sz w:val="16"/>
                <w:szCs w:val="16"/>
                <w:color w:val="auto"/>
              </w:rPr>
            </w:pPr>
          </w:p>
        </w:tc>
        <w:tc>
          <w:tcPr>
            <w:tcW w:w="6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James Roberts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President—Lease Supply</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M. Sanford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President—Lease Supply</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David Schwarz</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 Human Resources,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Shelford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LPG Commercial, Plains Midstream Canada</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Scott Sill</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Senior Vice President, Operations,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Sharon S. Spurlin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and Treasurer</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Jim Tillis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Vice President—Human Resources</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Walter van Zanten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President—Tax</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Sandi Wingert</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 Plains Midstream Canada</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Victor Burk</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Bernard (Ben) Figlock</w:t>
            </w:r>
            <w:r>
              <w:rPr>
                <w:rFonts w:ascii="Arial" w:cs="Arial" w:eastAsia="Arial" w:hAnsi="Arial"/>
                <w:sz w:val="25"/>
                <w:szCs w:val="25"/>
                <w:color w:val="auto"/>
                <w:vertAlign w:val="superscript"/>
              </w:rPr>
              <w:t>(2)</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3"/>
                <w:szCs w:val="23"/>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Everardo Goyanes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Gary R. Petersen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 and Member of Compensation and Governance Committees</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John T. Raymond</w:t>
            </w:r>
            <w:r>
              <w:rPr>
                <w:rFonts w:ascii="Arial" w:cs="Arial" w:eastAsia="Arial" w:hAnsi="Arial"/>
                <w:sz w:val="25"/>
                <w:szCs w:val="25"/>
                <w:color w:val="auto"/>
                <w:vertAlign w:val="superscript"/>
              </w:rPr>
              <w:t>(2)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23"/>
                <w:szCs w:val="23"/>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Bobby Shackouls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 and Member of Governance** Committee</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Robert V. Sinnott</w:t>
            </w:r>
            <w:r>
              <w:rPr>
                <w:rFonts w:ascii="Arial" w:cs="Arial" w:eastAsia="Arial" w:hAnsi="Arial"/>
                <w:sz w:val="25"/>
                <w:szCs w:val="25"/>
                <w:color w:val="auto"/>
                <w:vertAlign w:val="superscript"/>
              </w:rPr>
              <w:t>(2)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23"/>
                <w:szCs w:val="23"/>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 Taft Symonds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 and Member of Audit and Governance Committees</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Christopher M. Temple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21"/>
                <w:szCs w:val="21"/>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right="5360" w:firstLine="8"/>
        <w:spacing w:after="0" w:line="501"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an “executive officer” for purposes of Item 401(b) of Regulation S-K. ** Indicates chairman of committee.</w:t>
      </w:r>
    </w:p>
    <w:p>
      <w:pPr>
        <w:ind w:left="340" w:hanging="332"/>
        <w:spacing w:after="0" w:line="192" w:lineRule="auto"/>
        <w:tabs>
          <w:tab w:leader="none" w:pos="34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Unless otherwise described, the position indicates the position held with GP LLC; directors serve on the board of directors of PAGP GP.</w:t>
      </w:r>
    </w:p>
    <w:p>
      <w:pPr>
        <w:spacing w:after="0" w:line="202" w:lineRule="exact"/>
        <w:rPr>
          <w:rFonts w:ascii="Arial" w:cs="Arial" w:eastAsia="Arial" w:hAnsi="Arial"/>
          <w:sz w:val="25"/>
          <w:szCs w:val="25"/>
          <w:color w:val="auto"/>
          <w:vertAlign w:val="superscript"/>
        </w:rPr>
      </w:pPr>
    </w:p>
    <w:p>
      <w:pPr>
        <w:ind w:left="340" w:right="80" w:hanging="332"/>
        <w:spacing w:after="0" w:line="257" w:lineRule="auto"/>
        <w:tabs>
          <w:tab w:leader="none" w:pos="340" w:val="left"/>
        </w:tabs>
        <w:numPr>
          <w:ilvl w:val="0"/>
          <w:numId w:val="74"/>
        </w:numPr>
        <w:rPr>
          <w:rFonts w:ascii="Arial" w:cs="Arial" w:eastAsia="Arial" w:hAnsi="Arial"/>
          <w:sz w:val="24"/>
          <w:szCs w:val="24"/>
          <w:color w:val="auto"/>
          <w:vertAlign w:val="superscript"/>
        </w:rPr>
      </w:pPr>
      <w:r>
        <w:rPr>
          <w:rFonts w:ascii="Arial" w:cs="Arial" w:eastAsia="Arial" w:hAnsi="Arial"/>
          <w:sz w:val="17"/>
          <w:szCs w:val="17"/>
          <w:color w:val="auto"/>
        </w:rPr>
        <w:t>The PAGP GP LLC Agreement specifies that the Chief Executive Officer of PAGP GP will be a member of the board of directors. Under the PAGP GP LLC Agreement, three of the members of PAGP GP each have the right to appoint one director each to the PAGP GP board of directors. Mr. Raymond is serving as a member of our board of directors by virtue of his appointment by EMG Investment, LLC (“EMG”), of which he is the sole member of the general partner of its manager. Mr. Sinnott is serving as a member of our board of directors by virtue of his appointment by KAFU Holdings, L.P., which is affiliated with Kayne Anderson Investment Management, Inc., of which he is President. Mr. Figlock is serving as a member of our board of directors by virtue of his appointment by Occidental Holding Company (Pipeline), Inc., a subsidiary of Occidental Petroleum Corporation (“Oxy”), of which he is Vice President and Treasurer. The remaining directors, other than Mr. Armstrong who serves as a director by virtue of his capacity as CEO of PAGP GP, were appointed pursuant to the PAGP GP LLC Agreement. See Item 12. “Security Ownership of Certain Beneficial Owners and Management and Related Unitholder Matters—Beneficial Ownership of General Partner Interest.”</w:t>
      </w:r>
    </w:p>
    <w:p>
      <w:pPr>
        <w:spacing w:after="0" w:line="19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Greg L. Armstrong </w:t>
      </w:r>
      <w:r>
        <w:rPr>
          <w:rFonts w:ascii="Arial" w:cs="Arial" w:eastAsia="Arial" w:hAnsi="Arial"/>
          <w:sz w:val="17"/>
          <w:szCs w:val="17"/>
          <w:color w:val="auto"/>
        </w:rPr>
        <w:t>has served as Chairman of the Board and Chief Executive Officer of PAGP GP since July 2013 and as Chairman of the Board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of GP LLC since PAA’s formation in 1998. He also served as a director of PAA’s general partner or former general partner from PAA’s formation until November 2016.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Deputy Chairman of the Federal Reserve Bank of Dallas, and a director of National Oilwell Varco, Inc. Mr. Armstrong is also a member of the advisory board of the Maguire Energy Institute at the Cox School of Business at Southern Methodist University, and the Foundation for The Council on Alcohol and Drugs Houston and is Vice Chairman of the National Petroleum Council.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i w:val="1"/>
          <w:iCs w:val="1"/>
          <w:color w:val="auto"/>
        </w:rPr>
        <w:t xml:space="preserve">Harry N. Pefanis </w:t>
      </w:r>
      <w:r>
        <w:rPr>
          <w:rFonts w:ascii="Arial" w:cs="Arial" w:eastAsia="Arial" w:hAnsi="Arial"/>
          <w:sz w:val="16"/>
          <w:szCs w:val="16"/>
          <w:color w:val="auto"/>
        </w:rPr>
        <w:t>has served as a Director of PAGP GP since February 2017 and as President and Chief Operating Officer since our formation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1998. He was also a director of our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Pefanis was also President of several former midstream subsidiaries of Plains Resources until our formation. Mr. Pefanis is a director of Settoon Towing.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Pefanis has also served as President and Chief Operating Officer of PAGP GP since July 2013.</w:t>
      </w:r>
    </w:p>
    <w:p>
      <w:pPr>
        <w:spacing w:after="0" w:line="2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Wilfred (Willie) C. Chiang </w:t>
      </w:r>
      <w:r>
        <w:rPr>
          <w:rFonts w:ascii="Arial" w:cs="Arial" w:eastAsia="Arial" w:hAnsi="Arial"/>
          <w:sz w:val="18"/>
          <w:szCs w:val="18"/>
          <w:color w:val="auto"/>
        </w:rPr>
        <w:t>has served as a Director of PAGP GP since February 2017 and as Executive Vice President and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(U.S.) since August 2015. Prior to joining Plains, 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 Mr. Chiang has also served as Executive Vice President and Chief Operating Officer (U.S.) of PAGP GP since August 2015.</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Mark J. Gorman </w:t>
      </w:r>
      <w:r>
        <w:rPr>
          <w:rFonts w:ascii="Arial" w:cs="Arial" w:eastAsia="Arial" w:hAnsi="Arial"/>
          <w:sz w:val="17"/>
          <w:szCs w:val="17"/>
          <w:color w:val="auto"/>
        </w:rPr>
        <w:t>has served as Executive Vice President since August 2016 and served as Executive Vice President — Operations and Engineering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December 2015 until August 2016. He served as Executive Vice President—Operations and Business Development from February 2013 until December 2015, and served as Senior Vice President—Operations and Business Development from August 2008 until February 2013.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Butte. Mr. Gorman also serves as Executive Vice President of PAGP GP.</w:t>
      </w:r>
    </w:p>
    <w:p>
      <w:pPr>
        <w:spacing w:after="0" w:line="178"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since February 2013. He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Daniel J. Nerbonne </w:t>
      </w:r>
      <w:r>
        <w:rPr>
          <w:rFonts w:ascii="Arial" w:cs="Arial" w:eastAsia="Arial" w:hAnsi="Arial"/>
          <w:sz w:val="17"/>
          <w:szCs w:val="17"/>
          <w:color w:val="auto"/>
        </w:rPr>
        <w:t>has served as Executive Vice President - Operations and Engineering since August 2016. He served as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from February 2013 until August 2016 and as Vice President—Engineering from February 2005 until February 2013. Prior to joining Plains, Mr. Nerbonne was General Manager of Portfolio Projects for Shell Oil Products US and served in various capacities with Shell Pipeline Company or its predecessors from 1998 to January 2005. From 1980 to 1998, Mr. Nerbonne held numerous positions of increasing responsibility in engineering, operations, and business development, including Vice President of Business Development with Texaco Trading and Transportation or its affiliates. Mr. Nerbonne also serves as Executive Vice President - Operations and Engineering of PAGP GP.</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since February 2011. He previously served as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John P. vonBerg </w:t>
      </w:r>
      <w:r>
        <w:rPr>
          <w:rFonts w:ascii="Arial" w:cs="Arial" w:eastAsia="Arial" w:hAnsi="Arial"/>
          <w:sz w:val="18"/>
          <w:szCs w:val="18"/>
          <w:color w:val="auto"/>
        </w:rPr>
        <w:t>has served as Executive Vice President—Commercial Activities since February 2014. Previously he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Activities from August 2008 until February 2014, as Vice President—Commercial Activities from August 2007 until August 2008 and as Vice President—Trading from May 2003 until August 2007. He served as Director of these activities from January 2002 until May 2003. Prior to joining us in January 2002, he was with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Mr. vonBerg also serves as Executive Vice President — Commercial Activities of PAGP GP.</w:t>
      </w:r>
    </w:p>
    <w:p>
      <w:pPr>
        <w:spacing w:after="0" w:line="18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Samuel N. Brown </w:t>
      </w:r>
      <w:r>
        <w:rPr>
          <w:rFonts w:ascii="Arial" w:cs="Arial" w:eastAsia="Arial" w:hAnsi="Arial"/>
          <w:sz w:val="16"/>
          <w:szCs w:val="16"/>
          <w:color w:val="auto"/>
        </w:rPr>
        <w:t>has served as Senior Vice President since July 2015. He previously served as Vice President—Pipeline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October 2009 until July 2015. Prior to joining PAA in October 2009, Mr. Brown served TEPPCO for over 10 years, most recently as Vice President— Commercial Downstream and previously as Vice President—Pipeline Marketing and Business Development for the Upstream segment. Prior to joining TEPPCO, Mr. Brown was with Duke Energy Transport and Trading Company. Mr. Brown serves as a director of Frontier and Eagle Ford Pipeline.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Lawrence J. Dreyfuss </w:t>
      </w:r>
      <w:r>
        <w:rPr>
          <w:rFonts w:ascii="Arial" w:cs="Arial" w:eastAsia="Arial" w:hAnsi="Arial"/>
          <w:sz w:val="17"/>
          <w:szCs w:val="17"/>
          <w:color w:val="auto"/>
        </w:rPr>
        <w:t>has served as Senior Vice President, General Counsel—Commercial and Litigation and Assistant Secretary since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2013, and served as Vice President, General Counsel—Commercial &amp; Litigation and Assistant Secretary from August 2006 until February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Dreyfuss was Vice President, Associate General Counsel and Assistant Secretary of our general partner from February 2004 to August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 General Counsel and Assistant Secretary of our general partner from June 2001 to February 2004 and held a senior management position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 Department since May 1999. In addition, he was a Vice President of Scurlock Permian LLC from 1987 to 1999.</w:t>
      </w:r>
    </w:p>
    <w:p>
      <w:pPr>
        <w:spacing w:after="0" w:line="211" w:lineRule="exact"/>
        <w:rPr>
          <w:sz w:val="20"/>
          <w:szCs w:val="20"/>
          <w:color w:val="auto"/>
        </w:rPr>
      </w:pPr>
    </w:p>
    <w:p>
      <w:pPr>
        <w:ind w:right="320" w:firstLine="648"/>
        <w:spacing w:after="0" w:line="286" w:lineRule="auto"/>
        <w:rPr>
          <w:sz w:val="20"/>
          <w:szCs w:val="20"/>
          <w:color w:val="auto"/>
        </w:rPr>
      </w:pPr>
      <w:r>
        <w:rPr>
          <w:rFonts w:ascii="Arial" w:cs="Arial" w:eastAsia="Arial" w:hAnsi="Arial"/>
          <w:sz w:val="16"/>
          <w:szCs w:val="16"/>
          <w:i w:val="1"/>
          <w:iCs w:val="1"/>
          <w:color w:val="auto"/>
        </w:rPr>
        <w:t xml:space="preserve">John Keffer </w:t>
      </w:r>
      <w:r>
        <w:rPr>
          <w:rFonts w:ascii="Arial" w:cs="Arial" w:eastAsia="Arial" w:hAnsi="Arial"/>
          <w:sz w:val="16"/>
          <w:szCs w:val="16"/>
          <w:color w:val="auto"/>
        </w:rPr>
        <w:t>has served as Senior Vice President since July 2015. He previously served as Vice President—Terminals from November 2006 until</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2015. Mr. Keffer joined Plains Marketing, L.P. in October 1998 and prior to his appointment as Vice President, he served as Managing Director— Refinery Supply, Director of Trading and Manager of Sales and Trading. Prior to joining Plains, Mr. Keffer was with Prebon Energy, an energy brokerage firm, from January 1996 through September 1998. Mr. Keffer was with the Permian Corporation/Scurlock Permian from January 1990 through</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December 1995, where he served in several capacities in the marketing department including Director of Crude Oil Trading. Mr. Keffer began his career with Amoco Production Company and served in various capacities beginning in June 1982.</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Phil Smith </w:t>
      </w:r>
      <w:r>
        <w:rPr>
          <w:rFonts w:ascii="Arial" w:cs="Arial" w:eastAsia="Arial" w:hAnsi="Arial"/>
          <w:sz w:val="18"/>
          <w:szCs w:val="18"/>
          <w:color w:val="auto"/>
        </w:rPr>
        <w:t>has served as Senior Vice President - Operations since August 2016. He served as Vice President—Operations from April 2010 until</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2016. He joined PAA in 2002 from Shell Pipeline. Mr. Smith is responsible for the Partnership’s operations and maintenance activities on its domestic pipeline and terminal facilities.</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Jason Balasch </w:t>
      </w:r>
      <w:r>
        <w:rPr>
          <w:rFonts w:ascii="Arial" w:cs="Arial" w:eastAsia="Arial" w:hAnsi="Arial"/>
          <w:sz w:val="16"/>
          <w:szCs w:val="16"/>
          <w:color w:val="auto"/>
        </w:rPr>
        <w:t>has served as President of Plains Midstream Canada since January 1, 2016. He served as Executive Vice President, NGL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Facilities of Plains Midstream Canada throughout 2015 and is responsible for the day-to-day operation of all of PMC’s business activities. He previously served as Senior Vice President, LPG Commercial and Facilities of PMC from September 2013 through December 2014 and as Vice President of LPG of PMC from September 2011 until September 2013. Prior to joining PMC, he was with Enterprise Products Partners L.P. from June 2000 to August 2011, where he served in various capacities, most recently as Vice President, U.S. Gulf Coast Gathering &amp; Processing in their Houston, Texas office. Mr. Balasch has also worked for Chevron and TransCanada Corporation in both engineering and business development roles.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Kevin L. Cantrell </w:t>
      </w:r>
      <w:r>
        <w:rPr>
          <w:rFonts w:ascii="Arial" w:cs="Arial" w:eastAsia="Arial" w:hAnsi="Arial"/>
          <w:sz w:val="17"/>
          <w:szCs w:val="17"/>
          <w:color w:val="auto"/>
        </w:rPr>
        <w:t>has served as Vice President—Internal Audit since February 2011 and served as Managing Director of Internal Audit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2009 to February 2011. Prior to joining PAA, Mr. Cantrell was a managing director and founding member of Protiviti, Inc., a global risk consulting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internal audit firm, from May 2002 to April 2009, and a manager in Andersen’s Risk Consulting practice in Houston, Texas, from February 1999 to</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May 2002, where he lead internal audit, risk management, and Sarbanes-Oxley compliance projects for clients in the Energy industry. Mr. Cantrell began his professional career at J.P. Morgan Chase, where he held positions of increasing responsibilities in the internal audit and capital markets compliance groups from July 1986 through February 1999.</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Brad Deets </w:t>
      </w:r>
      <w:r>
        <w:rPr>
          <w:rFonts w:ascii="Arial" w:cs="Arial" w:eastAsia="Arial" w:hAnsi="Arial"/>
          <w:sz w:val="18"/>
          <w:szCs w:val="18"/>
          <w:color w:val="auto"/>
        </w:rPr>
        <w:t>has served as Senior Vice President, NGL Commercial and Facilities of Plains Midstream Canada since January 1, 2016.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LPG Commercial of Plains Midstream Canada from September 2013 through December 2015. He served as Vice President of Strategic Planning from June 2013 through August 2013, and previously served as Director of Strategic Planning. He has served in a number of roles at PMC including butane trading, risk management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acquisitions. Prior to joining PMC, Mr. Deets worked with CANPET Energy Group Inc. for a number of years, focusing on crude oil trading.</w:t>
      </w:r>
    </w:p>
    <w:p>
      <w:pPr>
        <w:spacing w:after="0" w:line="200" w:lineRule="exact"/>
        <w:rPr>
          <w:sz w:val="20"/>
          <w:szCs w:val="20"/>
          <w:color w:val="auto"/>
        </w:rPr>
      </w:pPr>
    </w:p>
    <w:p>
      <w:pPr>
        <w:spacing w:after="0" w:line="24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Steve Falgoust </w:t>
      </w:r>
      <w:r>
        <w:rPr>
          <w:rFonts w:ascii="Arial" w:cs="Arial" w:eastAsia="Arial" w:hAnsi="Arial"/>
          <w:sz w:val="18"/>
          <w:szCs w:val="18"/>
          <w:color w:val="auto"/>
        </w:rPr>
        <w:t>has served as Vice President — Asset Integrity since February 2016. Mr. Falgoust has been with PAA since 1991,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Managing Director — Integrity. Prior to joining PAA, Mr. Falgoust was employed at Scurlock Oil Company.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James Ferrell </w:t>
      </w:r>
      <w:r>
        <w:rPr>
          <w:rFonts w:ascii="Arial" w:cs="Arial" w:eastAsia="Arial" w:hAnsi="Arial"/>
          <w:sz w:val="18"/>
          <w:szCs w:val="18"/>
          <w:color w:val="auto"/>
        </w:rPr>
        <w:t>has served as Vice President—Supply Chain Management since August 2011. He joined Plains in 2006 from ConocoPhillips, where</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as the Director of Market Intelligence and Strategy for their Global Procurement Services organization. Prior to that, he spent eight years as a Senior Manager in the Supply Chain consulting practice of Accenture.</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Bill Forward </w:t>
      </w:r>
      <w:r>
        <w:rPr>
          <w:rFonts w:ascii="Arial" w:cs="Arial" w:eastAsia="Arial" w:hAnsi="Arial"/>
          <w:sz w:val="18"/>
          <w:szCs w:val="18"/>
          <w:color w:val="auto"/>
        </w:rPr>
        <w:t>has served as Vice President, Finance of Plains Midstream Canada since September 2013. Prior to joining PMC, he held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positions in accounting and finance for several midstream energy companies, most recently serving as Corporate Controller for Pembina Pipelines Corp. Previously, he was Vice-President at Provident Energy Ltd. and served in financial reporting and accounting roles at ENMAX, TransCanada and PricewaterhouseCoopers.</w:t>
      </w:r>
    </w:p>
    <w:p>
      <w:pPr>
        <w:spacing w:after="0" w:line="18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i w:val="1"/>
          <w:iCs w:val="1"/>
          <w:color w:val="auto"/>
        </w:rPr>
        <w:t xml:space="preserve">James B. Fryfogle </w:t>
      </w:r>
      <w:r>
        <w:rPr>
          <w:rFonts w:ascii="Arial" w:cs="Arial" w:eastAsia="Arial" w:hAnsi="Arial"/>
          <w:sz w:val="17"/>
          <w:szCs w:val="17"/>
          <w:color w:val="auto"/>
        </w:rPr>
        <w:t>has served as Vice President—Bulk Supply and Logistics since April 2014. He previously served as Vice President—Refinery</w:t>
      </w:r>
      <w:r>
        <w:rPr>
          <w:rFonts w:ascii="Arial" w:cs="Arial" w:eastAsia="Arial" w:hAnsi="Arial"/>
          <w:sz w:val="17"/>
          <w:szCs w:val="17"/>
          <w:i w:val="1"/>
          <w:iCs w:val="1"/>
          <w:color w:val="auto"/>
        </w:rPr>
        <w:t xml:space="preserve"> </w:t>
      </w:r>
      <w:r>
        <w:rPr>
          <w:rFonts w:ascii="Arial" w:cs="Arial" w:eastAsia="Arial" w:hAnsi="Arial"/>
          <w:sz w:val="17"/>
          <w:szCs w:val="17"/>
          <w:color w:val="auto"/>
        </w:rPr>
        <w:t>Supply from March 2005 through March 2014. He served as Vice President—Lease Operations from July 2004 until March 2005. Prior to joining Plains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Vice President — Acquisitions and Strategic Planning since July 2015. He previously served as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Acquisitions from 2013 until July 2015. Prior to joining Plains in 2013, Mr. Goebel worked at Simmons &amp; Company International, where he served as an advisor to Plains on several acquisitions.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Dean Gore </w:t>
      </w:r>
      <w:r>
        <w:rPr>
          <w:rFonts w:ascii="Arial" w:cs="Arial" w:eastAsia="Arial" w:hAnsi="Arial"/>
          <w:sz w:val="18"/>
          <w:szCs w:val="18"/>
          <w:color w:val="auto"/>
        </w:rPr>
        <w:t>has served as Vice President — Environmental and Regulatory Compliance since February 2016. Mr. Gore has been with PAA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2011, most recently serving as Managing Director — Environmental and Regulatory Compliance. Prior to joining PAA, Mr. Gore was employed at Environeering, Inc.</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Chris Herbold </w:t>
      </w:r>
      <w:r>
        <w:rPr>
          <w:rFonts w:ascii="Arial" w:cs="Arial" w:eastAsia="Arial" w:hAnsi="Arial"/>
          <w:sz w:val="16"/>
          <w:szCs w:val="16"/>
          <w:color w:val="auto"/>
        </w:rPr>
        <w:t>has served as Vice President—Accounting and Chief Accounting Officer since August 2010. He served as Controller of PAA from</w:t>
      </w:r>
      <w:r>
        <w:rPr>
          <w:rFonts w:ascii="Arial" w:cs="Arial" w:eastAsia="Arial" w:hAnsi="Arial"/>
          <w:sz w:val="16"/>
          <w:szCs w:val="16"/>
          <w:i w:val="1"/>
          <w:iCs w:val="1"/>
          <w:color w:val="auto"/>
        </w:rPr>
        <w:t xml:space="preserve"> </w:t>
      </w:r>
      <w:r>
        <w:rPr>
          <w:rFonts w:ascii="Arial" w:cs="Arial" w:eastAsia="Arial" w:hAnsi="Arial"/>
          <w:sz w:val="16"/>
          <w:szCs w:val="16"/>
          <w:color w:val="auto"/>
        </w:rPr>
        <w:t>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Vice President — Accounting and Chief Accounting Officer of PAGP GP.</w:t>
      </w:r>
    </w:p>
    <w:p>
      <w:pPr>
        <w:spacing w:after="0" w:line="15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Barry Holtzman </w:t>
      </w:r>
      <w:r>
        <w:rPr>
          <w:rFonts w:ascii="Arial" w:cs="Arial" w:eastAsia="Arial" w:hAnsi="Arial"/>
          <w:sz w:val="16"/>
          <w:szCs w:val="16"/>
          <w:color w:val="auto"/>
        </w:rPr>
        <w:t>has served as Vice President — Safety, Security and Training since February 2016. Mr. Holtzman has been with PAA since 2013,</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recently serving as Managing Director — Safety, Security and Training. Prior to joining PAA, Mr. Holtzman was employed at BP North America.</w:t>
      </w:r>
    </w:p>
    <w:p>
      <w:pPr>
        <w:spacing w:after="0" w:line="12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Keith Jalbert </w:t>
      </w:r>
      <w:r>
        <w:rPr>
          <w:rFonts w:ascii="Arial" w:cs="Arial" w:eastAsia="Arial" w:hAnsi="Arial"/>
          <w:sz w:val="16"/>
          <w:szCs w:val="16"/>
          <w:color w:val="auto"/>
        </w:rPr>
        <w:t>has served as Vice President — Commercial Activities since December 2014. He previously served as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Activities from 2008 until December 2014, and as a Trader from 2002 through 2008. Before joining Plains, he was employed by Genesis Energy as a Crude Oil Trader. Prior to that, he held various analyst, scheduling, trading and management positions with Basis Petroleum and Phibro Energy.</w:t>
      </w:r>
    </w:p>
    <w:p>
      <w:pPr>
        <w:spacing w:after="0" w:line="14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Christopher M. Kean </w:t>
      </w:r>
      <w:r>
        <w:rPr>
          <w:rFonts w:ascii="Arial" w:cs="Arial" w:eastAsia="Arial" w:hAnsi="Arial"/>
          <w:sz w:val="18"/>
          <w:szCs w:val="18"/>
          <w:color w:val="auto"/>
        </w:rPr>
        <w:t>has served as Vice President, Engineering of Plains Midstream Canada since September 2012. He has over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global projects and operations across the oil and gas, chemical and oil sands sectors. Prior to joining PMC, Mr. Kean worked with Enbridge Pipelines for over four years, where he served in various capacities, most recently as Project Director for the Cabin Gas Plant project. Mr. Kean has also worked in both engineering and project management leadership roles for Canadian Natural Resources Limited (11 years), Petro-Canada, and Amoco Chemical and Production Companies.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Sterling Koch </w:t>
      </w:r>
      <w:r>
        <w:rPr>
          <w:rFonts w:ascii="Arial" w:cs="Arial" w:eastAsia="Arial" w:hAnsi="Arial"/>
          <w:sz w:val="18"/>
          <w:szCs w:val="18"/>
          <w:color w:val="auto"/>
        </w:rPr>
        <w:t>has served as Vice President, Health, Safety, Environment &amp; Regulatory of Plains Midstream Canada since January 2013. He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providing strategic direction and oversight to the environment, health &amp; safety, regulatory, legal and land activities of our Canadian operations. Mr. Koch brings over 20 years of energy industry experience, including regulatory and legal affairs, commercial operations, compliance and security. Prior to joining PMC, Mr. Koch worked with TransAlta for over 14 years, where he served in various vice president roles including regulatory and legal affairs,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125" w:right="2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commercial management and business development. He also brings to PMC a background as legal counsel, originating from his days with Western Gas Marketing, Northridge Petroleum and TransCanada.</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Dwayne Koehn </w:t>
      </w:r>
      <w:r>
        <w:rPr>
          <w:rFonts w:ascii="Arial" w:cs="Arial" w:eastAsia="Arial" w:hAnsi="Arial"/>
          <w:sz w:val="18"/>
          <w:szCs w:val="18"/>
          <w:color w:val="auto"/>
        </w:rPr>
        <w:t>has served as Vice President—Engineering since February 2014. Mr. Koehn previously served as Managing Director of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2008 to February 2014, and as Director of Engineering from September 2005 to June 2008. He initially joined Plains in 2004 in connection with the acquisition of Link Energy where he was a Manager of Engineering. Mr. Koehn has also served in various manager and director roles with Koch Industries and PF Net Construction.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Don Lacey </w:t>
      </w:r>
      <w:r>
        <w:rPr>
          <w:rFonts w:ascii="Arial" w:cs="Arial" w:eastAsia="Arial" w:hAnsi="Arial"/>
          <w:sz w:val="18"/>
          <w:szCs w:val="18"/>
          <w:color w:val="auto"/>
        </w:rPr>
        <w:t>has served as Vice President, Operations of Plains Midstream Canada since July 2016 and is responsible for PMC’s Crude Oil, NGL and</w:t>
      </w:r>
      <w:r>
        <w:rPr>
          <w:rFonts w:ascii="Arial" w:cs="Arial" w:eastAsia="Arial" w:hAnsi="Arial"/>
          <w:sz w:val="18"/>
          <w:szCs w:val="18"/>
          <w:i w:val="1"/>
          <w:iCs w:val="1"/>
          <w:color w:val="auto"/>
        </w:rPr>
        <w:t xml:space="preserve"> </w:t>
      </w:r>
      <w:r>
        <w:rPr>
          <w:rFonts w:ascii="Arial" w:cs="Arial" w:eastAsia="Arial" w:hAnsi="Arial"/>
          <w:sz w:val="18"/>
          <w:szCs w:val="18"/>
          <w:color w:val="auto"/>
        </w:rPr>
        <w:t>LPG operations in Canada and the United States. He joined PMC in 2014, serving most recently as Director, Operations, overseeing various facilities and assets. Prior to joining PMC, Mr. Lacey spent 8 years with Spectra Energy, working as Director of Operations. He brings over 10 years of energy industry experience to this role and 30 years of senior leadership experience across several different industries, including Pulp &amp; Paper, Manufacturing, Electrical Generation and Natural Gas Processing.</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Mark Mazerolle </w:t>
      </w:r>
      <w:r>
        <w:rPr>
          <w:rFonts w:ascii="Arial" w:cs="Arial" w:eastAsia="Arial" w:hAnsi="Arial"/>
          <w:sz w:val="18"/>
          <w:szCs w:val="18"/>
          <w:color w:val="auto"/>
        </w:rPr>
        <w:t>has served as Vice President, Pipelines &amp; Supply of Plains Midstream Canada since June 2016 and is responsible for PMC’s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logistics, crude oil supply distribution and optimization activities. He has been with PMC since 2012, serving most recently as Director, Facilities Business Development, Joint Ventures. Mr. Mazerolle has over 19 years of senior management experience in the oil and gas industry serving in various operations, commercial and business development roles.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James H. Pinchback </w:t>
      </w:r>
      <w:r>
        <w:rPr>
          <w:rFonts w:ascii="Arial" w:cs="Arial" w:eastAsia="Arial" w:hAnsi="Arial"/>
          <w:sz w:val="18"/>
          <w:szCs w:val="18"/>
          <w:color w:val="auto"/>
        </w:rPr>
        <w:t>has served as Vice President — Pipeline Business Development since July 2015. He previously served as Managing Director —</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Business Development. Mr. Pinchback joined Plains in 2006.</w:t>
      </w:r>
    </w:p>
    <w:p>
      <w:pPr>
        <w:spacing w:after="0" w:line="170"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i w:val="1"/>
          <w:iCs w:val="1"/>
          <w:color w:val="auto"/>
        </w:rPr>
        <w:t xml:space="preserve">Michelle Podavin </w:t>
      </w:r>
      <w:r>
        <w:rPr>
          <w:rFonts w:ascii="Arial" w:cs="Arial" w:eastAsia="Arial" w:hAnsi="Arial"/>
          <w:sz w:val="17"/>
          <w:szCs w:val="17"/>
          <w:color w:val="auto"/>
        </w:rPr>
        <w:t>has served as Vice President, NGL Supply and Facilities of Plains Midstream Canada since April 2015 and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leadership and direction on NGL supply, storage, fractionation, and logistics. Ms. Podavin has been with PMC for over 14 years, serving most recently as Director of NGL Supply. Prior to joining PMC, she spent 6 years at major accounting firms in various roles.</w:t>
      </w:r>
    </w:p>
    <w:p>
      <w:pPr>
        <w:spacing w:after="0" w:line="166"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i w:val="1"/>
          <w:iCs w:val="1"/>
          <w:color w:val="auto"/>
        </w:rPr>
        <w:t xml:space="preserve">George N. Polydoros </w:t>
      </w:r>
      <w:r>
        <w:rPr>
          <w:rFonts w:ascii="Arial" w:cs="Arial" w:eastAsia="Arial" w:hAnsi="Arial"/>
          <w:sz w:val="17"/>
          <w:szCs w:val="17"/>
          <w:color w:val="auto"/>
        </w:rPr>
        <w:t>has served as Vice President—Land and Office Services since February 2013. He served as Managing Director—Land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 Services from April 2011 until February 2013. Prior to joining PAA, Mr. Polydoros was a partner at the law firm of Mayer Brown. Before joining Mayer Brown, he worked as an attorney at American General Corporation (now part of AIG) and Bracewell LLP.</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Megan Prout </w:t>
      </w:r>
      <w:r>
        <w:rPr>
          <w:rFonts w:ascii="Arial" w:cs="Arial" w:eastAsia="Arial" w:hAnsi="Arial"/>
          <w:sz w:val="18"/>
          <w:szCs w:val="18"/>
          <w:color w:val="auto"/>
        </w:rPr>
        <w:t>has served as Vice President — Commercial Law and Litigation since February 2016. Ms. Prout has been with PAA since 2005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legal roles, most recently serving as Associate General Counsel — Commercial Litigation and Law. Prior to joining PAA, Ms. Prout was employed at the law firm Chadbourne &amp; Parke LLP.</w:t>
      </w:r>
    </w:p>
    <w:p>
      <w:pPr>
        <w:spacing w:after="0" w:line="181"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i w:val="1"/>
          <w:iCs w:val="1"/>
          <w:color w:val="auto"/>
        </w:rPr>
        <w:t xml:space="preserve">Tyler Rimbey </w:t>
      </w:r>
      <w:r>
        <w:rPr>
          <w:rFonts w:ascii="Arial" w:cs="Arial" w:eastAsia="Arial" w:hAnsi="Arial"/>
          <w:sz w:val="16"/>
          <w:szCs w:val="16"/>
          <w:color w:val="auto"/>
        </w:rPr>
        <w:t>has served as Senior Vice President, Crude Commercial and Pipelines of Plains Midstream Canada since July 2014 and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overseeing commercial areas of the business including crude oil trading, crude oil business development, pipelines and logistics, acquisitions and rail and truck transportation. Mr. Rimbey brings over 25 years of energy industry experience, including commodity trading, marketing and business development.</w:t>
      </w:r>
    </w:p>
    <w:p>
      <w:pPr>
        <w:ind w:right="180"/>
        <w:spacing w:after="0" w:line="255" w:lineRule="auto"/>
        <w:rPr>
          <w:sz w:val="20"/>
          <w:szCs w:val="20"/>
          <w:color w:val="auto"/>
        </w:rPr>
      </w:pPr>
      <w:r>
        <w:rPr>
          <w:rFonts w:ascii="Arial" w:cs="Arial" w:eastAsia="Arial" w:hAnsi="Arial"/>
          <w:sz w:val="18"/>
          <w:szCs w:val="18"/>
          <w:color w:val="auto"/>
        </w:rPr>
        <w:t>Prior to joining PMC, Mr. Rimbey worked with Platino Energy Corp., serving as Vice President of Business Development. He has also worked in executive and senior leadership roles with BP Canada Energy Trading Company, BP Energy Company, Goldman Sachs and Shell in Canada, the U.S. and United Kingdom.</w:t>
      </w:r>
    </w:p>
    <w:p>
      <w:pPr>
        <w:spacing w:after="0" w:line="19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James Roberts </w:t>
      </w:r>
      <w:r>
        <w:rPr>
          <w:rFonts w:ascii="Arial" w:cs="Arial" w:eastAsia="Arial" w:hAnsi="Arial"/>
          <w:sz w:val="18"/>
          <w:szCs w:val="18"/>
          <w:color w:val="auto"/>
        </w:rPr>
        <w:t>has served as Vice President — Lease Supply since February 2016. Mr. Roberts has been with PAA since 1998,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Managing Director — Lease Supply. Prior to joining PAA, Mr. Roberts was employed at Link Energy.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Robert M. Sanford </w:t>
      </w:r>
      <w:r>
        <w:rPr>
          <w:rFonts w:ascii="Arial" w:cs="Arial" w:eastAsia="Arial" w:hAnsi="Arial"/>
          <w:sz w:val="17"/>
          <w:szCs w:val="17"/>
          <w:color w:val="auto"/>
        </w:rPr>
        <w:t>has served as Vice President—Lease Supply since June 2006. He served as Managing Director—Lease Acquisitions and Trucking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2005 to June 2006 and as Director of South Texas and Mid Continent Business Units from April 2004 to July 2005. Mr. Sanford was with Link Energy/EOTT Energy from 1994 to April 2004, where he held various positions of increasing responsibility.</w:t>
      </w:r>
    </w:p>
    <w:p>
      <w:pPr>
        <w:spacing w:after="0" w:line="166"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i w:val="1"/>
          <w:iCs w:val="1"/>
          <w:color w:val="auto"/>
        </w:rPr>
        <w:t xml:space="preserve">David Schwarz </w:t>
      </w:r>
      <w:r>
        <w:rPr>
          <w:rFonts w:ascii="Arial" w:cs="Arial" w:eastAsia="Arial" w:hAnsi="Arial"/>
          <w:sz w:val="18"/>
          <w:szCs w:val="18"/>
          <w:color w:val="auto"/>
        </w:rPr>
        <w:t>has served as Vice President, Human Resources of Plains Midstream Canada since October 2012. He previously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Human Resources and Corporate Communications of Plains Midstream Canada from February 2011 to October 2012. He joined Plains Midstream Canada in August 2009 and brings over 18 years of experience to this role. Prior to joining PMC, Mr. Schwarz held various senior human resources roles in Calgary, and most recently served 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Senior Manager, Human Resources in the ATCO Group of Companies. He has also gained experience working for such companies as Fluor Daniel, Manalta Coal and Superior Propane.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James Shelford </w:t>
      </w:r>
      <w:r>
        <w:rPr>
          <w:rFonts w:ascii="Arial" w:cs="Arial" w:eastAsia="Arial" w:hAnsi="Arial"/>
          <w:sz w:val="16"/>
          <w:szCs w:val="16"/>
          <w:color w:val="auto"/>
        </w:rPr>
        <w:t>has served as Vice President, LPG Commercial of Plains Midstream Canada since January 1, 2016. He is responsible for PMC’s</w:t>
      </w:r>
      <w:r>
        <w:rPr>
          <w:rFonts w:ascii="Arial" w:cs="Arial" w:eastAsia="Arial" w:hAnsi="Arial"/>
          <w:sz w:val="16"/>
          <w:szCs w:val="16"/>
          <w:i w:val="1"/>
          <w:iCs w:val="1"/>
          <w:color w:val="auto"/>
        </w:rPr>
        <w:t xml:space="preserve"> </w:t>
      </w:r>
      <w:r>
        <w:rPr>
          <w:rFonts w:ascii="Arial" w:cs="Arial" w:eastAsia="Arial" w:hAnsi="Arial"/>
          <w:sz w:val="16"/>
          <w:szCs w:val="16"/>
          <w:color w:val="auto"/>
        </w:rPr>
        <w:t>propane and butane commercial activities across North America. Mr. Shelford has 13 years’ experience in various commercial roles in the oil and gas industry including the last 6 with PMC, serving most recently as Director of North American Propane. Prior to joining PMC, Mr. Shelford spent 5 years with Superior Gas Liquids, where he served in various capacities including market analysis, product distribution and marketing. Mr. Shelford also spent two years with Willis, a global risk management firm where he worked primarily with Husky Energy as well as other midsized E&amp;P companies based in Calgary.</w:t>
      </w:r>
    </w:p>
    <w:p>
      <w:pPr>
        <w:spacing w:after="0" w:line="15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Scott Sill </w:t>
      </w:r>
      <w:r>
        <w:rPr>
          <w:rFonts w:ascii="Arial" w:cs="Arial" w:eastAsia="Arial" w:hAnsi="Arial"/>
          <w:sz w:val="17"/>
          <w:szCs w:val="17"/>
          <w:color w:val="auto"/>
        </w:rPr>
        <w:t>has served as Senior Vice President, Operations of Plains Midstream Canada since July 2016 and is responsible for PMC’s crude oil, NGL</w:t>
      </w:r>
      <w:r>
        <w:rPr>
          <w:rFonts w:ascii="Arial" w:cs="Arial" w:eastAsia="Arial" w:hAnsi="Arial"/>
          <w:sz w:val="17"/>
          <w:szCs w:val="17"/>
          <w:i w:val="1"/>
          <w:iCs w:val="1"/>
          <w:color w:val="auto"/>
        </w:rPr>
        <w:t xml:space="preserve"> </w:t>
      </w:r>
      <w:r>
        <w:rPr>
          <w:rFonts w:ascii="Arial" w:cs="Arial" w:eastAsia="Arial" w:hAnsi="Arial"/>
          <w:sz w:val="17"/>
          <w:szCs w:val="17"/>
          <w:color w:val="auto"/>
        </w:rPr>
        <w:t>and LPG operations. He served as Vice President, Operations of Plains Midstream Canada from September 2013 until July 2016. He previously served as Vice President of LPG Operations from March 2010 until September 2013. He joined Plains Midstream Canada in April 2006 through PAA’s acquisition of the Shafter gas liquids processing facility. Prior to his most recent role as Managing Director of U.S. and Canadian LPG Operations, Mr. Sill performed the role of West Coast District Superintendent, overseeing an LPG isomerization/hydrotreating facility, salt cavern terminal, fractionation plant and various storage terminals. Mr. Sill brings over 25 years of LPG operations experience to this role.</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Sharon S. Spurlin </w:t>
      </w:r>
      <w:r>
        <w:rPr>
          <w:rFonts w:ascii="Arial" w:cs="Arial" w:eastAsia="Arial" w:hAnsi="Arial"/>
          <w:sz w:val="18"/>
          <w:szCs w:val="18"/>
          <w:color w:val="auto"/>
        </w:rPr>
        <w:t>has served as Vice President and Treasurer since October 2014. Before re-joining PAA, Ms. Spurlin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PetroLogistics from 2009 until 2014. She originally joined PAA in 2002 and served as Director of Internal Audit and as Assistant Treasurer until 2009. Ms. Spurlin also serves as Vice President and Treasurer of PAGP GP.</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Jim Tillis </w:t>
      </w:r>
      <w:r>
        <w:rPr>
          <w:rFonts w:ascii="Arial" w:cs="Arial" w:eastAsia="Arial" w:hAnsi="Arial"/>
          <w:sz w:val="18"/>
          <w:szCs w:val="18"/>
          <w:color w:val="auto"/>
        </w:rPr>
        <w:t>has served as Vice President — Human Resources since February 2016. Mr. Tillis has been with PAA since 2015, most recently serving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 Human Resources. Prior to joining PAA, Mr. Tillis was employed at Mattress Firm.</w:t>
      </w:r>
    </w:p>
    <w:p>
      <w:pPr>
        <w:spacing w:after="0" w:line="170"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i w:val="1"/>
          <w:iCs w:val="1"/>
          <w:color w:val="auto"/>
        </w:rPr>
        <w:t xml:space="preserve">Walter van Zanten </w:t>
      </w:r>
      <w:r>
        <w:rPr>
          <w:rFonts w:ascii="Arial" w:cs="Arial" w:eastAsia="Arial" w:hAnsi="Arial"/>
          <w:sz w:val="17"/>
          <w:szCs w:val="17"/>
          <w:color w:val="auto"/>
        </w:rPr>
        <w:t>has served as Vice President—Tax since February 2013. He served as Director of Tax from December 2008 until February 2013.</w:t>
      </w:r>
      <w:r>
        <w:rPr>
          <w:rFonts w:ascii="Arial" w:cs="Arial" w:eastAsia="Arial" w:hAnsi="Arial"/>
          <w:sz w:val="17"/>
          <w:szCs w:val="17"/>
          <w:i w:val="1"/>
          <w:iCs w:val="1"/>
          <w:color w:val="auto"/>
        </w:rPr>
        <w:t xml:space="preserve"> </w:t>
      </w:r>
      <w:r>
        <w:rPr>
          <w:rFonts w:ascii="Arial" w:cs="Arial" w:eastAsia="Arial" w:hAnsi="Arial"/>
          <w:sz w:val="17"/>
          <w:szCs w:val="17"/>
          <w:color w:val="auto"/>
        </w:rPr>
        <w:t>Before joining PAA, Mr. van Zanten worked in various leadership and functional capacities for Chimerical, Inc., El Paso Corp., Tenneco Energy, The Coastal Corporation, Tangram Transmission Corp. and Arthur Young. Mr. van Zanten also serves as Vice President - Tax of PAGP GP.</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Sandi Wingert </w:t>
      </w:r>
      <w:r>
        <w:rPr>
          <w:rFonts w:ascii="Arial" w:cs="Arial" w:eastAsia="Arial" w:hAnsi="Arial"/>
          <w:sz w:val="18"/>
          <w:szCs w:val="18"/>
          <w:color w:val="auto"/>
        </w:rPr>
        <w:t>has served as Senior Vice President and Chief Financial Officer of Plains Midstream Canada since January 1, 2016. She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Corporate Services of Plains Midstream Canada from September 2013 through December 2015. She served as Vice President of Accounting of PMC from February 2008 until September 2013. She has been with PMC and its predecessor CANPET acting as Controller since 2000. Prior to joining our Canadian operations, she held various accounting roles with Koch Petroleum and Ernst &amp; Young.</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Victor Burk </w:t>
      </w:r>
      <w:r>
        <w:rPr>
          <w:rFonts w:ascii="Arial" w:cs="Arial" w:eastAsia="Arial" w:hAnsi="Arial"/>
          <w:sz w:val="16"/>
          <w:szCs w:val="16"/>
          <w:color w:val="auto"/>
        </w:rPr>
        <w:t>has served as a director of PAGP GP since January 2014. He has been a Managing Director for Alvarez and Marsal, a privately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 Mr. Burk also serves as a board member of the Sam Houston Area Council of the Boy Scouts of America. He received a BBA in Accounting from Stephen F. Austin State University, graduating with highest honors. The board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experience and insight to the board.</w:t>
      </w:r>
    </w:p>
    <w:p>
      <w:pPr>
        <w:spacing w:after="0" w:line="173"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 xml:space="preserve">Bernard (Ben) Figlock </w:t>
      </w:r>
      <w:r>
        <w:rPr>
          <w:rFonts w:ascii="Arial" w:cs="Arial" w:eastAsia="Arial" w:hAnsi="Arial"/>
          <w:sz w:val="18"/>
          <w:szCs w:val="18"/>
          <w:color w:val="auto"/>
        </w:rPr>
        <w:t>has served as a director of PAGP GP since January 2015. He served as a director of PAA’s general partner from January 2015</w:t>
      </w:r>
      <w:r>
        <w:rPr>
          <w:rFonts w:ascii="Arial" w:cs="Arial" w:eastAsia="Arial" w:hAnsi="Arial"/>
          <w:sz w:val="18"/>
          <w:szCs w:val="18"/>
          <w:i w:val="1"/>
          <w:iCs w:val="1"/>
          <w:color w:val="auto"/>
        </w:rPr>
        <w:t xml:space="preserve"> </w:t>
      </w:r>
      <w:r>
        <w:rPr>
          <w:rFonts w:ascii="Arial" w:cs="Arial" w:eastAsia="Arial" w:hAnsi="Arial"/>
          <w:sz w:val="18"/>
          <w:szCs w:val="18"/>
          <w:color w:val="auto"/>
        </w:rPr>
        <w:t>until November 2016. Mr. Figlock currently serves as Vice President and Treasurer at Oxy, where he directs and oversees management of Oxy’s treasury and risk management functions including finance, investments, insurance and operational risk, commodities trading credit and market risk, and currencies. Mr. Figlock joined Oxy in 1987,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advancing to positions of increasing responsibility in Internal Audit, Corporate Finance Planning &amp; Analysis, Corporate Development, and Treasury.</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Figlock holds a BS in Accounting from Wake Forest University and an MBA from Loyola Marymount University. We believe that Mr. Figlock’s financial and analytical background provides the board a distinctive and valuable perspective.</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PAGP GP since October 2013. He served as a director of PAA’s general partner or former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from May 1999 until November 2016.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Gary R. Petersen </w:t>
      </w:r>
      <w:r>
        <w:rPr>
          <w:rFonts w:ascii="Arial" w:cs="Arial" w:eastAsia="Arial" w:hAnsi="Arial"/>
          <w:sz w:val="17"/>
          <w:szCs w:val="17"/>
          <w:color w:val="auto"/>
        </w:rPr>
        <w:t>has served as a director of PAGP GP since November 2016. He served as a director of PAA’s general partner from June 2001 until</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2016. Mr. Petersen is a Managing Partner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PAGP GP since October 2013. He served as a director of PAA’s general partner from December 2010</w:t>
      </w:r>
      <w:r>
        <w:rPr>
          <w:rFonts w:ascii="Arial" w:cs="Arial" w:eastAsia="Arial" w:hAnsi="Arial"/>
          <w:sz w:val="16"/>
          <w:szCs w:val="16"/>
          <w:i w:val="1"/>
          <w:iCs w:val="1"/>
          <w:color w:val="auto"/>
        </w:rPr>
        <w:t xml:space="preserve"> </w:t>
      </w:r>
      <w:r>
        <w:rPr>
          <w:rFonts w:ascii="Arial" w:cs="Arial" w:eastAsia="Arial" w:hAnsi="Arial"/>
          <w:sz w:val="16"/>
          <w:szCs w:val="16"/>
          <w:color w:val="auto"/>
        </w:rPr>
        <w:t>until November 2016. 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2016, EMG has approximately $14.6 billion of regulatory assets under management and approximately $9.8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He serves 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Bobby S. Shackouls </w:t>
      </w:r>
      <w:r>
        <w:rPr>
          <w:rFonts w:ascii="Arial" w:cs="Arial" w:eastAsia="Arial" w:hAnsi="Arial"/>
          <w:sz w:val="18"/>
          <w:szCs w:val="18"/>
          <w:color w:val="auto"/>
        </w:rPr>
        <w:t>has served as a director of PAGP GP since January 2014. Mr. Shackouls served as Chairman of Burlington Resources Inc. from</w:t>
      </w:r>
      <w:r>
        <w:rPr>
          <w:rFonts w:ascii="Arial" w:cs="Arial" w:eastAsia="Arial" w:hAnsi="Arial"/>
          <w:sz w:val="18"/>
          <w:szCs w:val="18"/>
          <w:i w:val="1"/>
          <w:iCs w:val="1"/>
          <w:color w:val="auto"/>
        </w:rPr>
        <w:t xml:space="preserve"> </w:t>
      </w:r>
      <w:r>
        <w:rPr>
          <w:rFonts w:ascii="Arial" w:cs="Arial" w:eastAsia="Arial" w:hAnsi="Arial"/>
          <w:sz w:val="18"/>
          <w:szCs w:val="18"/>
          <w:color w:val="auto"/>
        </w:rPr>
        <w:t>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has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Robert V. Sinnott </w:t>
      </w:r>
      <w:r>
        <w:rPr>
          <w:rFonts w:ascii="Arial" w:cs="Arial" w:eastAsia="Arial" w:hAnsi="Arial"/>
          <w:sz w:val="16"/>
          <w:szCs w:val="16"/>
          <w:color w:val="auto"/>
        </w:rPr>
        <w:t>has served as a director of PAGP GP since October 2013. He served as a director of PAA’s general partner or former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from 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w:t>
      </w:r>
    </w:p>
    <w:p>
      <w:pPr>
        <w:spacing w:after="0" w:line="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9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J. Taft Symonds </w:t>
      </w:r>
      <w:r>
        <w:rPr>
          <w:rFonts w:ascii="Arial" w:cs="Arial" w:eastAsia="Arial" w:hAnsi="Arial"/>
          <w:sz w:val="16"/>
          <w:szCs w:val="16"/>
          <w:color w:val="auto"/>
        </w:rPr>
        <w:t>has served as a director of PAGP GP since November 2016. He served as a director of PAA’s general partner from June 2001 until</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Mr. Symonds previously served as a director of Tetra Technologies Inc., Schilling Robotics LLC and Free Flow Wines LLC, where he served on the audit committee. Mr. Symonds received a BA from Stanford University and an MBA from Harvard</w:t>
      </w:r>
      <w:r>
        <w:rPr>
          <w:rFonts w:ascii="Arial" w:cs="Arial" w:eastAsia="Arial" w:hAnsi="Arial"/>
          <w:sz w:val="16"/>
          <w:szCs w:val="16"/>
          <w:i w:val="1"/>
          <w:iCs w:val="1"/>
          <w:color w:val="auto"/>
        </w:rPr>
        <w:t>.</w:t>
      </w:r>
      <w:r>
        <w:rPr>
          <w:rFonts w:ascii="Arial" w:cs="Arial" w:eastAsia="Arial" w:hAnsi="Arial"/>
          <w:sz w:val="16"/>
          <w:szCs w:val="16"/>
          <w:color w:val="auto"/>
        </w:rPr>
        <w:t xml:space="preserve">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i w:val="1"/>
          <w:iCs w:val="1"/>
          <w:color w:val="auto"/>
        </w:rPr>
        <w:t xml:space="preserve">Christopher M. Temple </w:t>
      </w:r>
      <w:r>
        <w:rPr>
          <w:rFonts w:ascii="Arial" w:cs="Arial" w:eastAsia="Arial" w:hAnsi="Arial"/>
          <w:sz w:val="16"/>
          <w:szCs w:val="16"/>
          <w:color w:val="auto"/>
        </w:rPr>
        <w:t>has served as a director of PAGP GP since November 2016. He served as a director of PAA’s general partner from May 2009</w:t>
      </w:r>
      <w:r>
        <w:rPr>
          <w:rFonts w:ascii="Arial" w:cs="Arial" w:eastAsia="Arial" w:hAnsi="Arial"/>
          <w:sz w:val="16"/>
          <w:szCs w:val="16"/>
          <w:i w:val="1"/>
          <w:iCs w:val="1"/>
          <w:color w:val="auto"/>
        </w:rPr>
        <w:t xml:space="preserve"> </w:t>
      </w:r>
      <w:r>
        <w:rPr>
          <w:rFonts w:ascii="Arial" w:cs="Arial" w:eastAsia="Arial" w:hAnsi="Arial"/>
          <w:sz w:val="16"/>
          <w:szCs w:val="16"/>
          <w:color w:val="auto"/>
        </w:rPr>
        <w:t>until November 2016. He is President of DelTex Capital LLC (a private investment firm) and served as 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of directors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2016; however, in January 2017 PAA GP LLC filed a late Form 3 to report its non-economic general partner interest in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compensation committee reviews and makes recommendations to the board of directors regarding the compensation for the executive officers and directors.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2016 for filing with the SEC.</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Gary R. Petersen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T. Raymond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Messrs. Petersen, Raymond and Sinnott currently serve on the compensation committee and served on the compensation committee throughout 2016. During 2016,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Investments, L.P. (“EnCap”), Mr. Raymond is associated with EMG and Mr. Sinnott is associated with Kayne Anderson and its affiliates. We have relationships with these entities. See Item 13. “Certain Relationships and Related Transactions, and Director Independence—Transactions with Related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All of our named executive officers are employed by GP LLC. Under our partnership agreement, we are required to reimburse our general partner and its affiliates for all employment-related costs, including compensation for our named executive officers. For 2016, we are including our CEO, CFO and the three most highly compensated executive officers (other than our CEO and CFO) as well as an additional individual as a Named Executive Officer (defined in the Summary Compensation Table below). Therefore, as used throughout this Compensation Discussion and Analysis, the term Named Executive Officers includes Messrs. Armstrong, Pefanis, Chiang, Swanson, McGee and Nerbonne.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sustain and increase our quarterly distribution to our unitholders, however, we also use other measures such as the amount of distributable cash flow we generate over a specified period of time.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125" w:right="2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represent the performance driven elements. They are also flexible in application and can be tailored to meet our objectives. The determination of specific individuals’ cash bonuses is based on their relative contribution to achieving or exceeding annual goals and/or performance against opportunity and the determination of specific individuals’ long-term incentive 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“benchmark” our salary or bonus amounts. In practice, we believe our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Cash Bonuses. </w:t>
      </w:r>
      <w:r>
        <w:rPr>
          <w:rFonts w:ascii="Arial" w:cs="Arial" w:eastAsia="Arial" w:hAnsi="Arial"/>
          <w:sz w:val="17"/>
          <w:szCs w:val="17"/>
          <w:color w:val="auto"/>
        </w:rPr>
        <w:t>Our cash bonuses include annual discretionary bonuses in which all of our Named Executive Officers potentially participate.</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our performance is our ability to sustain and increase our quarterly distribution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our unitholders, however, we also use other measures such as the amount of distributable cash flow we generate over a specified period of time. Historically, we have generally used performance-indexed phantom unit grants issued under our Long-Term Incentive Plans to encourage and reward timely achievement of targeted distribution levels and align the long-term interests of our Named Executive Officers with those of our unitholders. These grants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or other performance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2007, the owners of AAP authorized the creation of Class B units of AAP (“AAP Management Units”), each of which represents a profits interest in AAP, and authorized the compensation committee to issue grants of AAP Management Units to create additional long-term incentives for our management designed to attract talent and encourage retention over an extended period of time.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AAP Management Units are subject to restrictions on transfer and generally become incrementally “earned” (entitled to receive a portion of the distributions that would otherwise be paid to holders of AAP units) upon achievement of certain performance thresholds related to achievement of targeted distribution levels and/or targeted distributable cash flow levels, which are aligned with the interests of our common unitholders. As of February 15, 2017, 100% of the outstanding AAP Management Units granted in 2007, 2009, 2010 and 2011 (including those held by Mr. McGee) had been earned, 75% of the AAP Management Units granted in 2013 (including a portion held by Mr. McGee) had been earned, and 25% of the AAP Management Units granted in 2014 had been earned. None of the AAP Management Units issued in 2015 (including those held by Messrs. Chiang and Nerbonne) have been earned. No AAP Management Units were granted in 2008, 2012 or 2016.</w:t>
      </w:r>
    </w:p>
    <w:p>
      <w:pPr>
        <w:spacing w:after="0" w:line="18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January 1, 2017, AAP Management Units granted in 2007, 2009 and 2010 (including those held by Messrs. Armstrong, Pefanis, and Swanson) were no longer subject to such call right and have vested. A significant portion of the vested AAP Management Units (including all or a portion of those held by Messrs. Armstrong, Pefanis and Swanson) have been converted as described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125" w:right="2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below and are no longer outstanding. The applicable vesting dates for the remaining AAP Management Unit grants range from January 1, 2020 for AAP Management Units granted in 2011 to January 1, 2023 for AAP Management Units granted in 2015.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long as the PAGP Class A shares are publicly traded, each vested AAP Management Unit may be converted into AAP units and a like number of PAGP Class B shares based on a conversion ratio of approximately 0.941. Following any such conversion, the resulting AAP units and PAGP Class B shares are exchangeable for PAGP Class A shares or, subject to certain limitations, redeemable for PAA common units, in each case on a one-for-one basis as provided in the AAP limited partnership agreement. Between January 1, 2016 and February 15, 2017, approximately 17.1 million AAP Management Units became vested, of which 10.0 million were converted into 9.4 million AAP units and PAGP Class B shares and 5.9 million were converted and then exchanged for an aggregate of 5.6 million PAGP Class A shares. See Item 13. “Certain Relationships and Related Transactions, and Director Independence— Our General Partner—AAP Management Units.”</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Prior to the Simplification Transactions, the entire economic burden of the AAP Management Units was borne by AAP. However, in connection with the closing of the Simplification Transactions, AAP received one PAA common unit for each outstanding earned and vested AAP Management Unit, and PAA withheld approximately 841,000 units from the Simplification consideration for future distribution or issuance when and if such units become earned.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the compensation committee in reviewing and making recommendations, a compensation “tally sheet” is prepared by the CEO and General Counsel and provided to the compensation committee.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stress performance-based compensation elements to attempt to create a performance-driven environment in which our executive officers are</w:t>
      </w:r>
    </w:p>
    <w:p>
      <w:pPr>
        <w:spacing w:after="0" w:line="46" w:lineRule="exact"/>
        <w:rPr>
          <w:sz w:val="20"/>
          <w:szCs w:val="20"/>
          <w:color w:val="auto"/>
        </w:rPr>
      </w:pPr>
    </w:p>
    <w:p>
      <w:pPr>
        <w:ind w:right="40" w:firstLine="8"/>
        <w:spacing w:after="0" w:line="288" w:lineRule="auto"/>
        <w:tabs>
          <w:tab w:leader="none" w:pos="2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our compensation program has been instrumental in our achievement of stated objectives. Over the five-year period ended December 31, 2016, our annual distribution per common unit has grown at a compound annual rate of 2.0% and the total return realized by our unitholders for that period averaged approximately 3.8% per annum as compared to the AMZ total return of 2.2%. During this period, we have enjoyed a very high rate of retention among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make systematic annual adjustments to the salaries of our Named Executive Officers. We do, however, make salary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as necessary to maintain hierarchical relationships among senior management levels after new senior management members are added to keep pace with our overall growth. Since the date of our initial public offering in 1998 (or date of employment, if later) through December 31, 2016, Messrs. Armstrong and Pefanis have each received one salary adjustment and Mr. Swanson, Mr. McGee and Mr. Nerbonne have received four, one and two salary adjustments,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respectively, in connection with taking on increasing responsibilities and promotions. During 2016 and 2017, Mr. Armstrong unilaterally elected to forego approximately 90% of his annual base salary.</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the end of each year, the CEO performs a quantitative and qualitative assessment of our performance relative to our goals. Key quantitative measures include earnings before interest, taxes, depreciation and amortization (including our proportionate share of depreciation and amortization of unconsolidated entities) and adjusted for certain selected items impacting comparability (“Adjusted EBITDA”), relative to established guidance, as well as the growth in the annualized quarterly distribution level per common unit relative to annual growth targets. Our primary performance metric is our ability to sustain and increase cash distributions to our unitholders; we also use distributable cash flow as a performance metric. Accordingly, although net income and net income per common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spacing w:after="0" w:line="19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resulting document and supporting detail is submitted to the board of directors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however, pursuant to his employment agreement, Mr. Chiang is entitled to a minimum bonus of $1.25 million for each of 2016 and 2017.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w:t>
      </w:r>
    </w:p>
    <w:p>
      <w:pPr>
        <w:spacing w:after="0" w:line="3" w:lineRule="exact"/>
        <w:rPr>
          <w:sz w:val="20"/>
          <w:szCs w:val="20"/>
          <w:color w:val="auto"/>
        </w:rPr>
      </w:pPr>
    </w:p>
    <w:p>
      <w:pPr>
        <w:jc w:val="both"/>
        <w:ind w:right="420" w:firstLine="8"/>
        <w:spacing w:after="0" w:line="254" w:lineRule="auto"/>
        <w:tabs>
          <w:tab w:leader="none" w:pos="3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90"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These recommendations are discussed with the compensation committee, adjusted as appropriate, and submitted to the board of directors for its review and approval. Similarly, the compensation committee typically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With respect to 2016, despite executing a number of positive transactions in a difficult environment and several positive qualitative accomplishments, in consideration of weaker than expected financial and operating performance for 2016 and challenging industry conditions, each of the Named Executive Officers indicated that they will neither request nor accept a cash bonus for 2016. Accordingly, the typical practice of having the CEO submit to the compensation committee a preliminary draft of bonus recommendations was modified for 2016, and the CEO did not recommend any cash bonuses for our Named Executive Officers for 2016.</w:t>
      </w:r>
    </w:p>
    <w:p>
      <w:pPr>
        <w:spacing w:after="0" w:line="18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We do not make systematic annual grants of phantom unit awards to our Named Executive Officers. Although we may</w:t>
      </w:r>
      <w:r>
        <w:rPr>
          <w:rFonts w:ascii="Arial" w:cs="Arial" w:eastAsia="Arial" w:hAnsi="Arial"/>
          <w:sz w:val="16"/>
          <w:szCs w:val="16"/>
          <w:i w:val="1"/>
          <w:iCs w:val="1"/>
          <w:color w:val="auto"/>
        </w:rPr>
        <w:t xml:space="preserve"> </w:t>
      </w:r>
      <w:r>
        <w:rPr>
          <w:rFonts w:ascii="Arial" w:cs="Arial" w:eastAsia="Arial" w:hAnsi="Arial"/>
          <w:sz w:val="16"/>
          <w:szCs w:val="16"/>
          <w:color w:val="auto"/>
        </w:rPr>
        <w:t>make “off cycle” awards from time to time, generally our 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AAP Management Units (each of which represents a “profits interest” in AAP) have been previously issued to provide an additional longer-term, performance-based officer incentive. As of December 31, 2016, 872,298 AAP Management Units were held by our Named Executive Officers. The compensation committee does not plan to issue any additional AAP Management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2016</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the beginning of 2016, we established internal quantitative and qualitative goals that included implementing strategic plan initiatives; advancing multi-year programs and initiatives to prepare the organization for future growth; and enhancing and improving our focus on safe, compliant and reliable operations. Such goals were generally consistent with or overlapped our publicly stated objectives to:</w:t>
      </w:r>
    </w:p>
    <w:p>
      <w:pPr>
        <w:spacing w:after="0" w:line="181"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a solid balance sheet, sound credit metrics and ample liquidity;</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Execute our capital program in order to facilitate cash flow growth underpinned by MVCs and position PAA to benefit meaningfully as U.S. production volumes increase;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Optimize our assets and focus our organization to deliver the best results possible under whatever conditions we encounter in the near term.</w:t>
      </w:r>
    </w:p>
    <w:p>
      <w:pPr>
        <w:spacing w:after="0" w:line="3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2016 was a challenging year for the energy industry in general and PAA specifically, as industry sentiments and overall activity levels generally followed oil price movements throughout 2016. Accordingly, the overall environment for the crude oil and MLP sectors was extremely unfavorable for the first six months of 2016, recovered some over the next five months and then strengthened in relative terms throughout December in response to positive OPEC actions. In response to the drop in oil prices and severely limited capital market access, oil producers revised down their 2016 capital budgets relative to prior indications, and the lower 48 onshore oil rig count declined approximately 50% from year end 2015 levels of around 600 rigs to bottom at approximately 300 rigs in May 2016. The reduced activity level adversely impacted expected crude oil production levels which, in conjunction with pressures associated with MVC over-commitments, intensified competition for the marginal barrel for gathering, marketing and transport and exacerbated the already severe pressure on margins.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PAA’s operating and financial results in 2016 came in below public guidance despite aggressive steps to compete in the highly competitive environment. However, PAA accomplished a number of positive events that included raising capital in a challenging environment, orchestrating a complex simplification transaction and executing a number of transactions that reduced risk and lowered leverage. PAA also executed its expansion capital program on time and on budget and advanced a number of multi-year efforts to improve our efficiency, lower operating costs and enhance our focus on safe, compliant and reliable operations. Selected actions/transactions included:</w:t>
      </w:r>
    </w:p>
    <w:p>
      <w:pPr>
        <w:spacing w:after="0" w:line="188" w:lineRule="exact"/>
        <w:rPr>
          <w:sz w:val="20"/>
          <w:szCs w:val="20"/>
          <w:color w:val="auto"/>
        </w:rPr>
      </w:pPr>
    </w:p>
    <w:p>
      <w:pPr>
        <w:ind w:left="660" w:right="3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Raising $2.4 billion of common and preferred equity on terms considered by us to be fair and reasonable during challenging and volatile market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Completing a complex simplification transaction that significantly reduced PAA’s cost of equity capital and enhanced its ability to fund its activities;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Executing a $1.4 billion capital expansion program generally on time and on budget;</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Initiating and completing approximately $550 million of asset sales at attractive multiples and advancing discussions on an additional $670 million of asset sales transactions that are now fully contracted and expected to close during the first half of 2017;</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Entering into various joint venture transactions that reduced risk and the level of PAA’s capital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Initiating a review to challenge and reduce operating costs to adapt and strengthen PAA’s organization for the future; and</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Executing a strategic NGL acquisition for approximately $204 million and positioning PAA to complete the acquisition of a strategic crude oil gathering system in the Northern Delaware Basin in early 2017 for approximately $1.2 billion.</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2016, the elements of compensation were applied as described below.</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125"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Other than Mr. Armstrong’s unilateral election to forego a significant portion of his base salary in 2016 and an increase in Mr. Nerbonne’s</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in connection with his promotion to Executive Vice President, no salary adjustments for Named Executive Officers were recommended or made in 2016. See “—Employment Contracts” for additional information regarding the base salaries of our Named Executive Officers with employment contracts.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Given the weaker than expected financial and operating performance for 2016 and challenging industry conditions,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indicated that they will neither request nor accept a cash bonus for 2016. Accordingly, we did not pay a cash bonus for 2016 to our Named Executive Officers.</w:t>
      </w:r>
    </w:p>
    <w:p>
      <w:pPr>
        <w:spacing w:after="0" w:line="18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Prior to 2016, the last grant cycle of equity awards to Named Executive Officers occurred in 2013.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thresholds for vesting of the 2013 awards have been met, however, vesting under such awards remains subject to minimum service periods that extend to August 2018. Consistent with our policy of issuing new grants with extended time-vesting periods when attainment of the distribution performance thresholds of existing grants has occurred, in August 2016, the board of directors granted new awards to certain of our Named Executive Officers designed to incentivize continued growth and fundamental performance, as well as encourage retention. The phantom units covered by these awards will vest as follows:</w:t>
      </w:r>
    </w:p>
    <w:p>
      <w:pPr>
        <w:spacing w:after="0" w:line="2" w:lineRule="exact"/>
        <w:rPr>
          <w:sz w:val="20"/>
          <w:szCs w:val="20"/>
          <w:color w:val="auto"/>
        </w:rPr>
      </w:pPr>
    </w:p>
    <w:p>
      <w:pPr>
        <w:ind w:firstLine="8"/>
        <w:spacing w:after="0" w:line="281" w:lineRule="auto"/>
        <w:tabs>
          <w:tab w:leader="none" w:pos="2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one-third shall vest on the August 2019 distribution date, (ii) one-sixth shall vest on the August 2020 distribution date, (iii) one-sixth shall vest on the August 2021 distribution date, (iv) one-sixth shall vest on the date on which we pay an annualized quarterly distribution of at least $2.50 per common unit; however, in the event the $2.50 distribution threshold is not met prior to the August 2022 distribution date, the applicable phantom units will vest on such distribution date provided that on or prior to such date, PAA shall have achieved a minimum annualized distribution rate of $2.30 per common unit, and (v) one-sixth shall vest on the date on which we pay an annualized quarterly distribution of at least $2.65 per common unit; however, in the event the $2.65 distribution threshold is not met prior to the August 2022 distribution date, the applicable phantom units will vest on such distribution date provided that on or prior to such date, PAA shall have achieved a minimum annualized distribution rate of $2.30 per common unit. Any phantom units that have not vested as of the August 2022 distribution date will be forfeited. Upon vesting, the phantom units are payable on a one-for-one basis in PAA common units. These phantom units include tandem DERs that will vest (i.e., commence receiving cash distributions as if the underlying common units were owned) as follows: (i) one-third shall vest upon and effective with the earlier to occur of the August 2018 distribution date and the first date following the date of grant on which we pay an annualized quarterly distribution of at least $2.30 per common unit ($0.575 per quarter), (ii) one-third shall vest upon and effective with the earlier to occur of the August 2019 distribution date and the first date following the date of grant on which we pay an annualized quarterly distribution of at least $2.40 per common unit ($0.60 per quarter), and (iii) one-third shall vest upon and effective with the earlier to occur of the August 2020 distribution date and the first date following the date of grant on which we pay an annualized quarterly distribution of at least $2.50 per common unit ($0.625 per quarter). The 2016 awards included grants to our Named Executive Officers as follows: Mr. Armstrong - 0; Mr. Pefanis - 0; Mr. Chiang - 165,000; Mr. Swanson - 138,000;</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Mr. McGee - 138,000 and Mr. Nerbonne - 95,000.</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connection with his promotion to Executive Vice President in 2016, Mr. Nerbonne received an additional grant of 25,000 phantom units. These phantom units, which include associated DERs payable in cash, will vest in full on December 14, 2018.</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addition, in connection with the Simplification Transactions, certain modifications were made to the phantom units previously granted to Mr. Chiang in 2015. Specifically, the vesting terms of such award were modified so that 40% of such award will vest on the later of the August 2018 distribution date and the date PAA pays an annualized quarterly distribution of $2.30 per common unit; 30% of such award will vest on the later of the August 2019 distribution date and the date PAA pays an annualized quarterly distribution of $2.40 per common unit; and 30% of such award will vest on the later of the August 2020 distribution date and the date PAA pays an annualized quarterly distribution of $2.50 per common unit.</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Outstanding unearned AAP Management Units, including those held by Messrs. Chiang, McGee and Nerbonne, were also modified in connection with the Simplification Transactions. Specifically, the following modifications were made: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Mr. Chiang, the AAP Management Units originally granted in August 2015 (approximately 375,000 units) will become earned as follows: (i) subsequent to March 31, 2017, 50% upon the payment by PAA of an annualized quarterly distribution of $2.20 per common unit and the generation by PAA of distributable cash flow of $1.5 billion or more on a trailing four quarter basis (subject to adjustment under certain circumstances to account for significant asset sales); (ii) 25% upon the payment by PAA of an annualized quarterly distribution of $2.50 per common unit; and (iii) 25% upon the payment by PAA of an annualized quarterly distribution of $2.80 per common unit.</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Mr. McGee, the remaining 25% of the AAP Management Units originally granted in March 2013 (approximately 61,000 units) will become earned on the first date subsequent to March 31, 2017 upon which PAA pays an annualized quarterly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distribution of $2.20 per common unit and generates distributable cash flow of $1.5 billion or more on a trailing four quarter basis (subject to adjustment under certain circumstances to account for significant asset sales).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Mr. Nerbonne, the AAP Management Units originally granted in July 2015 (approximately 56,000 units) will become earned as follows: (i) subsequent to March 31, 2017, 25% upon the payment by PAA of an annualized quarterly distribution of $2.20 per common unit and the generation by PAA of distributable cash flow of $1.5 billion or more on a trailing four quarter basis; (ii) 25% upon the payment by PAA of an annualized quarterly distribution of $2.30 per common unit and the generation by PAA of distributable cash flow of $1.75 billion or more on a trailing four quarter basis; (iii) 25% upon the payment by PAA of an annualized quarterly distribution of $2.40 per common unit and the generation by PAA of distributable cash flow of $1.9 billion or more on a trailing four quarter basis; and (iv) 25% upon the payment by PAA of an annualized quarterly distribution of $2.40 per common unit and the generation by PAA of distributable cash flow of $2.05 billion or more on a trailing four quarter basis. Distributable cash flow will be subject to adjustment under certain circumstances to account for significant asset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collectively own substantial equity in the Partnership as well as interests in the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February 15, 2017, our Named Executive Officers beneficially owned, in the aggregate, directly or indirectly approximately 16 million PAA common units with an approximate market value of over $500 million, which was significantly greater than the combined aggregate salaries and bonuses of these individuals for 2016.</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 with respect to adjustment or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we are a limited partnership and do not fall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“corporation” under Section 162(m).</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Pefanis and Chiang, the long-term incentive plan grants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and the AAP Management Unit grant agreements to which our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all prior qualifying transactions. Mr. Chiang’s employment agreement provides for accelerated vesting of his 2015 long-term incentive plan grant and AAP Management Unit grant in the event of a change of control prior to December 31, 2018 if, in connection therewith, he is not designated to receive a promotion to the top leadership position of GP LLC and terminates his employment within a period of 90 days following such change of control.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We also routinely monitor and measure the execution and performance of our capital projects and acquisitions relative to expectations.</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our long-term incentive awards are typically based on the passage of time and/or the payment of distributions from currently available cash. See “Compensation Discussion and Analysis—Relation of Compensation Elements to Compensation Objectives.”</w:t>
      </w:r>
    </w:p>
    <w:p>
      <w:pPr>
        <w:spacing w:after="0" w:line="15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combination with our risk-management practices, we do not believe that risks arising from our compensation policies and practices for our employees are reasonably likely to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following table sets forth certain compensation information for our Chief Executive Officer, Chief Financial Officer, President and Chief Operating Officer plus the three most highly compensated executive officers in 2016 other than our CEO and CFO (collectively, our “Named Executive Officers”). We reimburse our general partner and its affiliates for expenses incurred on our behalf, including the costs of officer compensation. Mr. Chiang joined PAA in August 2015; therefore, his salary and bonus amounts for 2015 reflect a partial year of employment.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Salary</w:t>
            </w: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1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Year</w:t>
            </w:r>
          </w:p>
        </w:tc>
        <w:tc>
          <w:tcPr>
            <w:tcW w:w="13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(2)</w:t>
            </w:r>
          </w:p>
        </w:tc>
        <w:tc>
          <w:tcPr>
            <w:tcW w:w="10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24"/>
        </w:trPr>
        <w:tc>
          <w:tcPr>
            <w:tcW w:w="3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Greg L. Armstrong</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42,575</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and Chief Executive</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392,340</w:t>
            </w:r>
          </w:p>
        </w:tc>
        <w:tc>
          <w:tcPr>
            <w:tcW w:w="0" w:type="dxa"/>
            <w:vAlign w:val="bottom"/>
          </w:tcPr>
          <w:p>
            <w:pPr>
              <w:spacing w:after="0"/>
              <w:rPr>
                <w:sz w:val="1"/>
                <w:szCs w:val="1"/>
                <w:color w:val="auto"/>
              </w:rPr>
            </w:pPr>
          </w:p>
        </w:tc>
      </w:tr>
      <w:tr>
        <w:trPr>
          <w:trHeight w:val="27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375,000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3,900,000</w:t>
            </w:r>
          </w:p>
        </w:tc>
        <w:tc>
          <w:tcPr>
            <w:tcW w:w="4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4,292,040</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Harry N. Pefanis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317,340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Operating</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317,340</w:t>
            </w:r>
          </w:p>
        </w:tc>
        <w:tc>
          <w:tcPr>
            <w:tcW w:w="0" w:type="dxa"/>
            <w:vAlign w:val="bottom"/>
          </w:tcPr>
          <w:p>
            <w:pPr>
              <w:spacing w:after="0"/>
              <w:rPr>
                <w:sz w:val="1"/>
                <w:szCs w:val="1"/>
                <w:color w:val="auto"/>
              </w:rPr>
            </w:pPr>
          </w:p>
        </w:tc>
      </w:tr>
      <w:tr>
        <w:trPr>
          <w:trHeight w:val="27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3,800,000</w:t>
            </w:r>
          </w:p>
        </w:tc>
        <w:tc>
          <w:tcPr>
            <w:tcW w:w="4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4,117,040</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2,542,650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2,809,990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89,102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5,330,830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5,925,818</w:t>
            </w:r>
          </w:p>
        </w:tc>
        <w:tc>
          <w:tcPr>
            <w:tcW w:w="0" w:type="dxa"/>
            <w:vAlign w:val="bottom"/>
          </w:tcPr>
          <w:p>
            <w:pPr>
              <w:spacing w:after="0"/>
              <w:rPr>
                <w:sz w:val="1"/>
                <w:szCs w:val="1"/>
                <w:color w:val="auto"/>
              </w:rPr>
            </w:pPr>
          </w:p>
        </w:tc>
      </w:tr>
      <w:tr>
        <w:trPr>
          <w:trHeight w:val="27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Officer (U.S.)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 Swanson</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2,126,580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2,393,920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 and</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4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1,167,340</w:t>
            </w:r>
          </w:p>
        </w:tc>
        <w:tc>
          <w:tcPr>
            <w:tcW w:w="0" w:type="dxa"/>
            <w:vAlign w:val="bottom"/>
          </w:tcPr>
          <w:p>
            <w:pPr>
              <w:spacing w:after="0"/>
              <w:rPr>
                <w:sz w:val="1"/>
                <w:szCs w:val="1"/>
                <w:color w:val="auto"/>
              </w:rPr>
            </w:pPr>
          </w:p>
        </w:tc>
      </w:tr>
      <w:tr>
        <w:trPr>
          <w:trHeight w:val="27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1,650,000</w:t>
            </w:r>
          </w:p>
        </w:tc>
        <w:tc>
          <w:tcPr>
            <w:tcW w:w="4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1,917,040</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McGee</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3,265,760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3,533,100</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Executive Vice President, General Counsel</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Secretary</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Daniel J. Nerbonne</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232,292</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2,122,694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25,638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2,380,624</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Executive Vice President - Operations and</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Engineering</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vMerge w:val="restart"/>
          </w:tcPr>
          <w:p>
            <w:pPr>
              <w:jc w:val="right"/>
              <w:ind w:right="7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40" w:hanging="332"/>
        <w:spacing w:after="0" w:line="262" w:lineRule="auto"/>
        <w:tabs>
          <w:tab w:leader="none" w:pos="340" w:val="left"/>
        </w:tabs>
        <w:numPr>
          <w:ilvl w:val="0"/>
          <w:numId w:val="80"/>
        </w:numPr>
        <w:rPr>
          <w:rFonts w:ascii="Arial" w:cs="Arial" w:eastAsia="Arial" w:hAnsi="Arial"/>
          <w:sz w:val="24"/>
          <w:szCs w:val="24"/>
          <w:color w:val="auto"/>
          <w:vertAlign w:val="superscript"/>
        </w:rPr>
      </w:pPr>
      <w:r>
        <w:rPr>
          <w:rFonts w:ascii="Arial" w:cs="Arial" w:eastAsia="Arial" w:hAnsi="Arial"/>
          <w:sz w:val="17"/>
          <w:szCs w:val="17"/>
          <w:color w:val="auto"/>
        </w:rPr>
        <w:t>Grant date fair values are presented for (i) LTIP phantom unit grants awarded to Messrs. Swanson, Chiang, McGee and Nerbonne in 2016, (ii) LTIP phantom unit grants awarded to Mr. Chiang in 2015, (iii) AAP Management Unit grants awarded to Mr. Chiang in 2015, and (iv) a portion of an AAP Management Unit grant awarded to Mr. McGee in 2013 and amended in 2016. Dollar amounts in the table represent the aggregate grant date fair value of phantom units and AAP Management Units awarded based on the probable outcome of underlying performance conditions pursuant to FASB ASC Topic 718. The amount presented for Mr. McGee includes incremental grant date fair value of $1,139,180 resulting from the modification in 2016 of previously granted AAP Management Unit awards. Specifically, the AAP Management Unit award originally granted to Mr. McGee in March 2013 was amended in 2016 in connection with the Simplification Transactions so that the portion of such grant that had not yet become earned (approximately 61,000 units or 25%) would, instead of becoming earned upon the payment by PAA of an annualized quarterly distribution of $2.85 per common unit, become earned on the first date subsequent to March 31, 2017 upon which PAA pays an annualized quarterly distribution of $2.20 per common unit and generates distributable cash flow of $1.5 billion or more on a trailing four quarter basis (subject to adjustment under certain circumstances to account for significant asset sales). The incremental grant date fair value of $1,139,180 represents the increase in grant date fair value of such award relative to the original March 2013 grant date fair value of such AAP Management units. The modification in 2016 of previously granted LTIP phantom unit awards and AAP Management Unit awards for Messrs. Chiang and Nerbonne did not result in any incremental grant date fair value relative to the grant date fair value of such awards as of their respective dates of issuance. For LTIP phantom unit grants and AAP Management Unit grants awarded in 2015, the performance threshold for the first tranche of vesting was deemed probable of occurring on the grant date. The aggregate maximum grant date fair value of phantom unit grants and AAP Management Unit grants awarded to Mr. Chiang in 2015, assuming that the highest level of performance conditions will be met, was $17,197,332. For LTIP phantom unit grants awarded in 2016, the performance thresholds for the first, second and third tranches of vesting were deemed probable of occurring on the grant date. The maximum grant date fair value of phantom unit grants awarded in 2016, assuming that the highest level of performance conditions will be met, was: $3,115,120 for Mr. Swanson, $3,724,600 for Mr. Chiang, $3,115,120 for Mr. McGee and $2,803,217 for Mr. Nerbonne. See Note 16 to our Consolidated Financial Statements for further discussion regarding the calculation of grant date fair values.</w:t>
      </w:r>
    </w:p>
    <w:p>
      <w:pPr>
        <w:spacing w:after="0" w:line="76" w:lineRule="exact"/>
        <w:rPr>
          <w:rFonts w:ascii="Arial" w:cs="Arial" w:eastAsia="Arial" w:hAnsi="Arial"/>
          <w:sz w:val="24"/>
          <w:szCs w:val="24"/>
          <w:color w:val="auto"/>
          <w:vertAlign w:val="superscript"/>
        </w:rPr>
      </w:pPr>
    </w:p>
    <w:p>
      <w:pPr>
        <w:ind w:left="340" w:right="20" w:hanging="332"/>
        <w:spacing w:after="0" w:line="232" w:lineRule="auto"/>
        <w:tabs>
          <w:tab w:leader="none" w:pos="34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2016 includes $2,348 in such contributions for Mr. Armstrong and $15,900 for each of Messrs. Pefanis, Chiang, Swanson, McGee and Nerbonne. The remaining amount represents premium payments on behalf of such Named Executive Officer for group term life insurance and, for Mr. Nerbonne only, a car allowance of $8,400.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 Stock Awards: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Number Of Shares Of</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3"/>
              </w:rPr>
              <w:t>Stock and Option</w:t>
            </w:r>
          </w:p>
        </w:tc>
        <w:tc>
          <w:tcPr>
            <w:tcW w:w="0" w:type="dxa"/>
            <w:vAlign w:val="bottom"/>
          </w:tcPr>
          <w:p>
            <w:pPr>
              <w:spacing w:after="0"/>
              <w:rPr>
                <w:sz w:val="1"/>
                <w:szCs w:val="1"/>
                <w:color w:val="auto"/>
              </w:rPr>
            </w:pPr>
          </w:p>
        </w:tc>
      </w:tr>
      <w:tr>
        <w:trPr>
          <w:trHeight w:val="192"/>
        </w:trPr>
        <w:tc>
          <w:tcPr>
            <w:tcW w:w="618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Stock or Units (#)</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8"/>
                <w:szCs w:val="8"/>
                <w:b w:val="1"/>
                <w:bCs w:val="1"/>
                <w:color w:val="auto"/>
                <w:w w:val="95"/>
              </w:rPr>
              <w:t>(4)</w:t>
            </w:r>
          </w:p>
        </w:tc>
        <w:tc>
          <w:tcPr>
            <w:tcW w:w="0" w:type="dxa"/>
            <w:vAlign w:val="bottom"/>
          </w:tcPr>
          <w:p>
            <w:pPr>
              <w:spacing w:after="0"/>
              <w:rPr>
                <w:sz w:val="1"/>
                <w:szCs w:val="1"/>
                <w:color w:val="auto"/>
              </w:rPr>
            </w:pPr>
          </w:p>
        </w:tc>
      </w:tr>
      <w:tr>
        <w:trPr>
          <w:trHeight w:val="283"/>
        </w:trPr>
        <w:tc>
          <w:tcPr>
            <w:tcW w:w="60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5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Al Swanson</w:t>
            </w:r>
          </w:p>
        </w:tc>
        <w:tc>
          <w:tcPr>
            <w:tcW w:w="1600" w:type="dxa"/>
            <w:vAlign w:val="bottom"/>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138,000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2,126,580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2,542,650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Richard McGee</w:t>
            </w:r>
          </w:p>
        </w:tc>
        <w:tc>
          <w:tcPr>
            <w:tcW w:w="1600" w:type="dxa"/>
            <w:vAlign w:val="bottom"/>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138,000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2,126,580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61,174</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1,139,180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Dan Nerbonne</w:t>
            </w:r>
          </w:p>
        </w:tc>
        <w:tc>
          <w:tcPr>
            <w:tcW w:w="1600" w:type="dxa"/>
            <w:vAlign w:val="bottom"/>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95,000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1,463,944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658,750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right="620" w:hanging="332"/>
        <w:spacing w:after="0" w:line="216" w:lineRule="auto"/>
        <w:tabs>
          <w:tab w:leader="none" w:pos="34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For a description of the vesting terms of these awards, see “Compensation Discussion and Analysis—Application in 2016—Long Term Incentive Awards”.</w:t>
      </w:r>
    </w:p>
    <w:p>
      <w:pPr>
        <w:spacing w:after="0" w:line="95" w:lineRule="exact"/>
        <w:rPr>
          <w:rFonts w:ascii="Arial" w:cs="Arial" w:eastAsia="Arial" w:hAnsi="Arial"/>
          <w:sz w:val="25"/>
          <w:szCs w:val="25"/>
          <w:color w:val="auto"/>
          <w:vertAlign w:val="superscript"/>
        </w:rPr>
      </w:pPr>
    </w:p>
    <w:p>
      <w:pPr>
        <w:ind w:left="340" w:right="40" w:hanging="332"/>
        <w:spacing w:after="0" w:line="216" w:lineRule="auto"/>
        <w:tabs>
          <w:tab w:leader="none" w:pos="34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Represents incremental grant date fair value resulting from the modification in 2016 of the unearned portion of AAP Management Unit awards originally granted in March 2013. See Footnote 1 to the Summary Compensation Table for a description.</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These phantom units, which include associated DERs payable in cash, will vest 100% on December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2383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140" w:hanging="332"/>
        <w:spacing w:after="0" w:line="235" w:lineRule="auto"/>
        <w:tabs>
          <w:tab w:leader="none" w:pos="340" w:val="left"/>
        </w:tabs>
        <w:numPr>
          <w:ilvl w:val="0"/>
          <w:numId w:val="82"/>
        </w:numPr>
        <w:rPr>
          <w:rFonts w:ascii="Arial" w:cs="Arial" w:eastAsia="Arial" w:hAnsi="Arial"/>
          <w:sz w:val="25"/>
          <w:szCs w:val="25"/>
          <w:color w:val="auto"/>
          <w:vertAlign w:val="superscript"/>
        </w:rPr>
      </w:pPr>
      <w:r>
        <w:rPr>
          <w:rFonts w:ascii="Arial" w:cs="Arial" w:eastAsia="Arial" w:hAnsi="Arial"/>
          <w:sz w:val="18"/>
          <w:szCs w:val="18"/>
          <w:color w:val="auto"/>
        </w:rPr>
        <w:t>Represents the grant date fair values of LTIP phantom units granted in 2016 based on the probable outcome of underlying performance conditions pursuant to FASB ASC Topic 718. The performance thresholds for the first, second and third tranches of vesting of the LTIP phantom units granted in 2016 was deemed probable of occurring on the grant date. The aggregate maximum grant date fair value of phantom unit grants awarded in 2016, assuming that the highest level of performance conditions will be met, was $3,115,120 for Mr. Swanson, $3,724,600 for Mr. Chiang, $3,115,120 for Mr. McGee and $2,803,217 for Mr. Nerbonne.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“—Compensation Discussion and Analysis” and in the footnotes to such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For 2016 and 2017, Mr. Armstrong unilaterally elected to forego approximately 90% of his annual base salary.</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58"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In connection with Mr. Chiang’s employment in August 2015, GP LLC and Mr. Chiang entered into an agreement setting forth the terms of his employment. The agreement, which may be terminated by either party at any time, provides for a base salary of $250,000 per year, and a minimum bonus of $500,000 for 2015 and $1.25 million for each of 2016 and 2017. GP LLC’s obligation to pay the minimum bonus is subject to Mr. Chiang’s continued employment through the bonus payment date. For 2016, in consideration of weaker than expected financial and operating performance and challenging industry conditions, Mr. Chiang has elected to forego his right to receive a cash bonus. Mr. Chiang was hired with the expectation that, contingent on his performance, he would be offered the top executive leadership position of GP LLC (the “Executive Promotion”) no later than December 31, 2018 (the “Reference Date”). Consistent with such expectation and as an inducement to Mr. Chiang, Mr. Chiang’s employment agreement provides for the accelerated vesting of the phantom units and AAP Management Units he received in 2015 in the event his employment is terminated under certain circumstances prior to the Reference Date. These circumstances include the following: (i) if Mr. Chiang has not received the Executive Promotion and is terminated other than for cause prior to the Reference Date; (ii) if Mr. Chiang has not received the Executive Promotion by the Reference Date and Mr. Chiang resigns within 90 days thereafter or if Mr. Chiang has not received the Executive Promotion and terminates his employment for “good reason” prior to the Reference Date; and</w:t>
      </w:r>
    </w:p>
    <w:p>
      <w:pPr>
        <w:spacing w:after="0" w:line="5" w:lineRule="exact"/>
        <w:rPr>
          <w:sz w:val="20"/>
          <w:szCs w:val="20"/>
          <w:color w:val="auto"/>
        </w:rPr>
      </w:pPr>
    </w:p>
    <w:p>
      <w:pPr>
        <w:ind w:right="120" w:firstLine="8"/>
        <w:spacing w:after="0" w:line="270" w:lineRule="auto"/>
        <w:tabs>
          <w:tab w:leader="none" w:pos="3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 change of control occurs prior to the Reference Date and in connection therewith Mr. Chiang is not designated to receive the Executive Promotion and terminates his employment within 90 days of such change of control. Mr. Chiang’s employment agreement also provides that in the event of his death or disability prior to the second anniversary of his employment date under circumstances where less than 187,760 of his AAP Management Units have previously become “earned”, he will immediately vest in such number of AAP Management Units as may be necessary to cause the number of vested AAP Management Units to equal 187,760. Mr. Chiang also entered into ancillary agreements pursuant to which he has agreed to maintain confidentiality and not to solicit customers, assets or employees for a period of two years following termination of his employment.</w:t>
      </w:r>
    </w:p>
    <w:p>
      <w:pPr>
        <w:spacing w:after="0" w:line="17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we use salary and bonus to achieve compensation objectives. See “— Potential Payments upon Termination or Change-In-Control” for a discussion of the provisions in Messrs. Armstrong’s, Pefanis’ and Chiang’s employment agreements related to termination, change of control and related payment obligations.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2016 with respect to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5"/>
              </w:rPr>
              <w:t>Unit Awards</w:t>
            </w: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w w:val="98"/>
              </w:rPr>
              <w:t>Equity</w:t>
            </w:r>
          </w:p>
        </w:tc>
        <w:tc>
          <w:tcPr>
            <w:tcW w:w="34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Market</w:t>
            </w:r>
          </w:p>
        </w:tc>
        <w:tc>
          <w:tcPr>
            <w:tcW w:w="12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Awards:</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5"/>
              </w:rPr>
              <w:t>Unearned</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340" w:type="dxa"/>
            <w:vAlign w:val="bottom"/>
          </w:tcPr>
          <w:p>
            <w:pPr>
              <w:spacing w:after="0"/>
              <w:rPr>
                <w:sz w:val="12"/>
                <w:szCs w:val="12"/>
                <w:color w:val="auto"/>
              </w:rPr>
            </w:pPr>
          </w:p>
        </w:tc>
        <w:tc>
          <w:tcPr>
            <w:tcW w:w="2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340" w:type="dxa"/>
            <w:vAlign w:val="bottom"/>
          </w:tcPr>
          <w:p>
            <w:pPr>
              <w:spacing w:after="0"/>
              <w:rPr>
                <w:sz w:val="12"/>
                <w:szCs w:val="12"/>
                <w:color w:val="auto"/>
              </w:rPr>
            </w:pPr>
          </w:p>
        </w:tc>
        <w:tc>
          <w:tcPr>
            <w:tcW w:w="2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Units of</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7"/>
              </w:rPr>
              <w:t>or Other</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340" w:type="dxa"/>
            <w:vAlign w:val="bottom"/>
          </w:tcPr>
          <w:p>
            <w:pPr>
              <w:spacing w:after="0"/>
              <w:rPr>
                <w:sz w:val="12"/>
                <w:szCs w:val="12"/>
                <w:color w:val="auto"/>
              </w:rPr>
            </w:pPr>
          </w:p>
        </w:tc>
        <w:tc>
          <w:tcPr>
            <w:tcW w:w="2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6"/>
              </w:rPr>
              <w:t>Rights That</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40" w:type="dxa"/>
            <w:vAlign w:val="bottom"/>
          </w:tcPr>
          <w:p>
            <w:pPr>
              <w:spacing w:after="0"/>
              <w:rPr>
                <w:sz w:val="12"/>
                <w:szCs w:val="12"/>
                <w:color w:val="auto"/>
              </w:rPr>
            </w:pPr>
          </w:p>
        </w:tc>
        <w:tc>
          <w:tcPr>
            <w:tcW w:w="2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Have Not</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5"/>
              </w:rPr>
              <w:t>Have Not</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340" w:type="dxa"/>
            <w:vAlign w:val="bottom"/>
          </w:tcPr>
          <w:p>
            <w:pPr>
              <w:spacing w:after="0"/>
              <w:rPr>
                <w:sz w:val="16"/>
                <w:szCs w:val="16"/>
                <w:color w:val="auto"/>
              </w:rPr>
            </w:pPr>
          </w:p>
        </w:tc>
        <w:tc>
          <w:tcPr>
            <w:tcW w:w="2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1240" w:type="dxa"/>
            <w:vAlign w:val="bottom"/>
          </w:tcPr>
          <w:p>
            <w:pPr>
              <w:jc w:val="center"/>
              <w:ind w:right="257"/>
              <w:spacing w:after="0"/>
              <w:rPr>
                <w:sz w:val="20"/>
                <w:szCs w:val="20"/>
                <w:color w:val="auto"/>
              </w:rPr>
            </w:pPr>
            <w:r>
              <w:rPr>
                <w:rFonts w:ascii="Arial" w:cs="Arial" w:eastAsia="Arial" w:hAnsi="Arial"/>
                <w:sz w:val="14"/>
                <w:szCs w:val="14"/>
                <w:b w:val="1"/>
                <w:bCs w:val="1"/>
                <w:color w:val="auto"/>
                <w:w w:val="92"/>
              </w:rPr>
              <w:t>Vested (#)</w:t>
            </w:r>
          </w:p>
        </w:tc>
        <w:tc>
          <w:tcPr>
            <w:tcW w:w="3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324"/>
        </w:trPr>
        <w:tc>
          <w:tcPr>
            <w:tcW w:w="4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Greg L. Armstrong</w:t>
            </w:r>
          </w:p>
        </w:tc>
        <w:tc>
          <w:tcPr>
            <w:tcW w:w="17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100,000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3,229,000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Harry N. Pefanis</w:t>
            </w:r>
          </w:p>
        </w:tc>
        <w:tc>
          <w:tcPr>
            <w:tcW w:w="17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2,906,100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375,521</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12,258,999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120,000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3,874,800</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3,551,900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1,775,950</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 Swanson</w:t>
            </w:r>
          </w:p>
        </w:tc>
        <w:tc>
          <w:tcPr>
            <w:tcW w:w="17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66,667</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2,152,677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92,000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2,970,680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1,485,340</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McGee</w:t>
            </w:r>
          </w:p>
        </w:tc>
        <w:tc>
          <w:tcPr>
            <w:tcW w:w="17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60,000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1,937,400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195,755</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6,390,449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183,520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5,991,074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61,174</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1,997,048</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2,970,680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1,485,340</w:t>
            </w: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Dan Nerbonne</w:t>
            </w:r>
          </w:p>
        </w:tc>
        <w:tc>
          <w:tcPr>
            <w:tcW w:w="17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36,000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1,162,440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56,328</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1,838,838</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63,333</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2,045,023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31,667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1,022,527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(9)</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807,250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83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44" w:lineRule="exact"/>
        <w:rPr>
          <w:sz w:val="20"/>
          <w:szCs w:val="20"/>
          <w:color w:val="auto"/>
        </w:rPr>
      </w:pPr>
    </w:p>
    <w:p>
      <w:pPr>
        <w:ind w:left="340" w:right="60" w:hanging="332"/>
        <w:spacing w:after="0" w:line="239" w:lineRule="auto"/>
        <w:tabs>
          <w:tab w:leader="none" w:pos="340" w:val="left"/>
        </w:tabs>
        <w:numPr>
          <w:ilvl w:val="0"/>
          <w:numId w:val="84"/>
        </w:numPr>
        <w:rPr>
          <w:rFonts w:ascii="Arial" w:cs="Arial" w:eastAsia="Arial" w:hAnsi="Arial"/>
          <w:sz w:val="25"/>
          <w:szCs w:val="25"/>
          <w:color w:val="auto"/>
          <w:vertAlign w:val="superscript"/>
        </w:rPr>
      </w:pPr>
      <w:r>
        <w:rPr>
          <w:rFonts w:ascii="Arial" w:cs="Arial" w:eastAsia="Arial" w:hAnsi="Arial"/>
          <w:sz w:val="18"/>
          <w:szCs w:val="18"/>
          <w:color w:val="auto"/>
        </w:rPr>
        <w:t>Market value of phantom units reported in these columns is calculated by multiplying the closing market price ($32.29) of our common units at December 30, 2016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($34.68) of PAGP’s Class A shares at December 30, 2016 (the last trading day of the fiscal year).</w:t>
      </w:r>
    </w:p>
    <w:p>
      <w:pPr>
        <w:spacing w:after="0" w:line="97" w:lineRule="exact"/>
        <w:rPr>
          <w:rFonts w:ascii="Arial" w:cs="Arial" w:eastAsia="Arial" w:hAnsi="Arial"/>
          <w:sz w:val="25"/>
          <w:szCs w:val="25"/>
          <w:color w:val="auto"/>
          <w:vertAlign w:val="superscript"/>
        </w:rPr>
      </w:pPr>
    </w:p>
    <w:p>
      <w:pPr>
        <w:ind w:left="340" w:right="100" w:hanging="332"/>
        <w:spacing w:after="0" w:line="268" w:lineRule="auto"/>
        <w:tabs>
          <w:tab w:leader="none" w:pos="340" w:val="left"/>
        </w:tabs>
        <w:numPr>
          <w:ilvl w:val="0"/>
          <w:numId w:val="84"/>
        </w:numPr>
        <w:rPr>
          <w:rFonts w:ascii="Arial" w:cs="Arial" w:eastAsia="Arial" w:hAnsi="Arial"/>
          <w:sz w:val="22"/>
          <w:szCs w:val="22"/>
          <w:color w:val="auto"/>
          <w:vertAlign w:val="superscript"/>
        </w:rPr>
      </w:pPr>
      <w:r>
        <w:rPr>
          <w:rFonts w:ascii="Arial" w:cs="Arial" w:eastAsia="Arial" w:hAnsi="Arial"/>
          <w:sz w:val="16"/>
          <w:szCs w:val="16"/>
          <w:color w:val="auto"/>
        </w:rPr>
        <w:t>Represents the unvested portion of phantom units granted in 2013 under our Long-Term Incentive Plan. All performance thresholds have been met. Accordingly, subject to continued employment, these phantom units will vest as follows: (i) one-half will vest on the August 2017 distribution date, and (ii) one-half will vest on the August 2018 distribution date. Upon vesting, the phantom units are payable on a one-for-one basis in PAA common units. All of the DERs associated with these phantom units are currently payable. The DERs expire when the associated phantom units vest.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60" w:hanging="332"/>
        <w:spacing w:after="0" w:line="259" w:lineRule="auto"/>
        <w:tabs>
          <w:tab w:leader="none" w:pos="340"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color w:val="auto"/>
        </w:rPr>
        <w:t>Represents the pre-conversion number of AAP Management Units held by Mr. Chiang, each of which represents a profits interest in AAP, entitling him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These AAP Management Units become earned as follows: 50% will become earned on the first date subsequent to March 31, 2017 upon which we pay a quarterly distribution of at least $0.55 per common unit ($2.20 annualized) and generate distributable cash flow of $1.5 billion or more on a trailing four quarter basis (subject to adjustment under certain circumstances to account for significant asset sales), 25% will become earned on the first date subsequent to March 31, 2017 upon which we pay a quarterly distribution of at least $0.625 per common unit ($2.50 annualized, and 25% will become earned on the first date subsequent to March 31, 2017 on which we pay a quarterly distribution of at least $0.70 per common unit ($2.80 annualized). These AAP Management Units are subject to a call right in the event Mr. Chiang’s employment is terminated under certain circumstances prior to December 31, 2022. If Mr. Chiang remains employed after such date, his AAP Management Units will be deemed to have vested. Mr. Chiang’s employment agreement provides for the accelerated vesting of his AAP Management Units under certain circumstances prior to December 31, 2018. See “—Employment Contracts” and “—Potential Payments Upon Termination or Change-in-Control.”</w:t>
      </w:r>
    </w:p>
    <w:p>
      <w:pPr>
        <w:spacing w:after="0" w:line="82" w:lineRule="exact"/>
        <w:rPr>
          <w:rFonts w:ascii="Arial" w:cs="Arial" w:eastAsia="Arial" w:hAnsi="Arial"/>
          <w:sz w:val="24"/>
          <w:szCs w:val="24"/>
          <w:color w:val="auto"/>
          <w:vertAlign w:val="superscript"/>
        </w:rPr>
      </w:pPr>
    </w:p>
    <w:p>
      <w:pPr>
        <w:ind w:left="340" w:right="260" w:hanging="332"/>
        <w:spacing w:after="0" w:line="250" w:lineRule="auto"/>
        <w:tabs>
          <w:tab w:leader="none" w:pos="340"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color w:val="auto"/>
        </w:rPr>
        <w:t>Represents the pre-conversion number of earned AAP Management Units held by Mr. McGee. Despite the fact that these AAP Management Units are earned, they are treated as stock that has not vested for purposes of this table due to the fact that they remain subject to a call right held by AAP that entitles AAP to purchase such AAP Management Units for (i) an amount equal to 75% of their fair market value upon the termination of employment prior to December 31, 2019 (with respect to 195,755 AAP Management Units) or (ii) an amount equal to 50-75% of their fair market value upon the termination of employment prior to December 31, 2020 (with respect to 183,520 AAP Management Units).</w:t>
      </w:r>
    </w:p>
    <w:p>
      <w:pPr>
        <w:spacing w:after="0" w:line="86" w:lineRule="exact"/>
        <w:rPr>
          <w:rFonts w:ascii="Arial" w:cs="Arial" w:eastAsia="Arial" w:hAnsi="Arial"/>
          <w:sz w:val="24"/>
          <w:szCs w:val="24"/>
          <w:color w:val="auto"/>
          <w:vertAlign w:val="superscript"/>
        </w:rPr>
      </w:pPr>
    </w:p>
    <w:p>
      <w:pPr>
        <w:ind w:left="340" w:right="100" w:hanging="332"/>
        <w:spacing w:after="0" w:line="232" w:lineRule="auto"/>
        <w:tabs>
          <w:tab w:leader="none" w:pos="340" w:val="left"/>
        </w:tabs>
        <w:numPr>
          <w:ilvl w:val="0"/>
          <w:numId w:val="85"/>
        </w:numPr>
        <w:rPr>
          <w:rFonts w:ascii="Arial" w:cs="Arial" w:eastAsia="Arial" w:hAnsi="Arial"/>
          <w:sz w:val="25"/>
          <w:szCs w:val="25"/>
          <w:color w:val="auto"/>
          <w:vertAlign w:val="superscript"/>
        </w:rPr>
      </w:pPr>
      <w:r>
        <w:rPr>
          <w:rFonts w:ascii="Arial" w:cs="Arial" w:eastAsia="Arial" w:hAnsi="Arial"/>
          <w:sz w:val="18"/>
          <w:szCs w:val="18"/>
          <w:color w:val="auto"/>
        </w:rPr>
        <w:t>Represents the remaining 25% of the AAP Management Units originally granted to Mr. McGee in March 2013. These AAP Management Units will become earned on the first date subsequent to March 31, 2017 upon which PAA pays an annualized quarterly distribution of $2.20 per common unit and PAA generates distributable cash flow of $1.5 billion or more on a trailing four quarter basis (subject to adjustment under certain circumstances to account for significant asset sales).</w:t>
      </w:r>
    </w:p>
    <w:p>
      <w:pPr>
        <w:spacing w:after="0" w:line="94" w:lineRule="exact"/>
        <w:rPr>
          <w:rFonts w:ascii="Arial" w:cs="Arial" w:eastAsia="Arial" w:hAnsi="Arial"/>
          <w:sz w:val="25"/>
          <w:szCs w:val="25"/>
          <w:color w:val="auto"/>
          <w:vertAlign w:val="superscript"/>
        </w:rPr>
      </w:pPr>
    </w:p>
    <w:p>
      <w:pPr>
        <w:ind w:left="340" w:hanging="332"/>
        <w:spacing w:after="0" w:line="256" w:lineRule="auto"/>
        <w:tabs>
          <w:tab w:leader="none" w:pos="340"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color w:val="auto"/>
        </w:rPr>
        <w:t>Represents AAP Management Units originally granted to Mr. Nerbonne in July 2015. These AAP Management Units will become earned as follows: (i) subsequent to March 31, 2017, 25% upon the payment by PAA of an annualized quarterly distribution of $2.20 per common unit and the generation by PAA of distributable cash flow of $1.5 billion or more on a trailing four quarter basis; (ii) 25% upon the payment by PAA of an annualized quarterly distribution of $2.30 per common unit and the generation by PAA of distributable cash flow of $1.75 billion or more on a trailing four quarter basis; (iii) 25% upon the payment by PAA of an annualized quarterly distribution of $2.40 per common unit and the generation by PAA of distributable cash flow of $1.9 billion or more on a trailing four quarter basis; and (iv) 25% upon the payment by PAA of an annualized quarterly distribution of $2.40 per common unit and the generation by PAA of distributable cash flow of $2.05 billion or more on a trailing four quarter basis. Distributable cash flow will be subject to adjustment under certain circumstances to account for significant asset sales.</w:t>
      </w:r>
    </w:p>
    <w:p>
      <w:pPr>
        <w:spacing w:after="0" w:line="82" w:lineRule="exact"/>
        <w:rPr>
          <w:rFonts w:ascii="Arial" w:cs="Arial" w:eastAsia="Arial" w:hAnsi="Arial"/>
          <w:sz w:val="24"/>
          <w:szCs w:val="24"/>
          <w:color w:val="auto"/>
          <w:vertAlign w:val="superscript"/>
        </w:rPr>
      </w:pPr>
    </w:p>
    <w:p>
      <w:pPr>
        <w:ind w:left="340" w:hanging="332"/>
        <w:spacing w:after="0" w:line="256" w:lineRule="auto"/>
        <w:tabs>
          <w:tab w:leader="none" w:pos="340"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color w:val="auto"/>
        </w:rPr>
        <w:t>Represents phantom units granted to Mr. Chiang in 2015 under our Long-Term Incentive Plan. In August 2016, the terms of these phantom units were modified such that they will vest 40% on the later of the August 2018 distribution date and the date PAA pays an annualized quarterly distribution of $2.30 per common unit; 30% on the later of the August 2019 distribution date and the date PAA pays an annualized quarterly distribution of $2.40 per common unit; and 30% on the later of the August 2020 distribution date and the date PAA pays an annualized quarterly distribution of $2.50 per common unit. The phantom units also vest upon termination of employment under certain circumstances. See “—Employment Contracts” and “—Potential Payments Upon Termination or Change-in-Control.”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82" w:lineRule="exact"/>
        <w:rPr>
          <w:rFonts w:ascii="Arial" w:cs="Arial" w:eastAsia="Arial" w:hAnsi="Arial"/>
          <w:sz w:val="24"/>
          <w:szCs w:val="24"/>
          <w:color w:val="auto"/>
          <w:vertAlign w:val="superscript"/>
        </w:rPr>
      </w:pPr>
    </w:p>
    <w:p>
      <w:pPr>
        <w:ind w:left="340" w:right="1080" w:hanging="332"/>
        <w:spacing w:after="0" w:line="216" w:lineRule="auto"/>
        <w:tabs>
          <w:tab w:leader="none" w:pos="340" w:val="left"/>
        </w:tabs>
        <w:numPr>
          <w:ilvl w:val="0"/>
          <w:numId w:val="85"/>
        </w:numPr>
        <w:rPr>
          <w:rFonts w:ascii="Arial" w:cs="Arial" w:eastAsia="Arial" w:hAnsi="Arial"/>
          <w:sz w:val="25"/>
          <w:szCs w:val="25"/>
          <w:color w:val="auto"/>
          <w:vertAlign w:val="superscript"/>
        </w:rPr>
      </w:pPr>
      <w:r>
        <w:rPr>
          <w:rFonts w:ascii="Arial" w:cs="Arial" w:eastAsia="Arial" w:hAnsi="Arial"/>
          <w:sz w:val="18"/>
          <w:szCs w:val="18"/>
          <w:color w:val="auto"/>
        </w:rPr>
        <w:t>Represents phantom units granted in 2016 under our Long-Term Incentive Plan. For a description of the vesting terms of these awards, see “Compensation Discussion and Analysis—Application in 2016—Long-Term Incentive Awards”.</w:t>
      </w:r>
    </w:p>
    <w:p>
      <w:pPr>
        <w:spacing w:after="0" w:line="95" w:lineRule="exact"/>
        <w:rPr>
          <w:rFonts w:ascii="Arial" w:cs="Arial" w:eastAsia="Arial" w:hAnsi="Arial"/>
          <w:sz w:val="25"/>
          <w:szCs w:val="25"/>
          <w:color w:val="auto"/>
          <w:vertAlign w:val="superscript"/>
        </w:rPr>
      </w:pPr>
    </w:p>
    <w:p>
      <w:pPr>
        <w:ind w:left="340" w:right="160" w:hanging="332"/>
        <w:spacing w:after="0" w:line="216" w:lineRule="auto"/>
        <w:tabs>
          <w:tab w:leader="none" w:pos="340" w:val="left"/>
        </w:tabs>
        <w:numPr>
          <w:ilvl w:val="0"/>
          <w:numId w:val="85"/>
        </w:numPr>
        <w:rPr>
          <w:rFonts w:ascii="Arial" w:cs="Arial" w:eastAsia="Arial" w:hAnsi="Arial"/>
          <w:sz w:val="25"/>
          <w:szCs w:val="25"/>
          <w:color w:val="auto"/>
          <w:vertAlign w:val="superscript"/>
        </w:rPr>
      </w:pPr>
      <w:r>
        <w:rPr>
          <w:rFonts w:ascii="Arial" w:cs="Arial" w:eastAsia="Arial" w:hAnsi="Arial"/>
          <w:sz w:val="18"/>
          <w:szCs w:val="18"/>
          <w:color w:val="auto"/>
        </w:rPr>
        <w:t>Represents phantom units granted to Mr. Nerbonne in 2016 under our Long-Term Incentive Plan. These phantom units, which include DERs payable in cash, will vest 100% on December 14,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2016 with respect to our Named Executive Officers.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3"/>
          </w:tcPr>
          <w:p>
            <w:pPr>
              <w:ind w:left="1840"/>
              <w:spacing w:after="0"/>
              <w:rPr>
                <w:sz w:val="20"/>
                <w:szCs w:val="20"/>
                <w:color w:val="auto"/>
              </w:rPr>
            </w:pPr>
            <w:r>
              <w:rPr>
                <w:rFonts w:ascii="Arial" w:cs="Arial" w:eastAsia="Arial" w:hAnsi="Arial"/>
                <w:sz w:val="14"/>
                <w:szCs w:val="14"/>
                <w:b w:val="1"/>
                <w:bCs w:val="1"/>
                <w:color w:val="auto"/>
              </w:rPr>
              <w:t>Unit Awards</w:t>
            </w:r>
          </w:p>
        </w:tc>
        <w:tc>
          <w:tcPr>
            <w:tcW w:w="17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Number of Units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Value Realized on</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gridSpan w:val="2"/>
            <w:vMerge w:val="continue"/>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ind w:right="594"/>
              <w:spacing w:after="0"/>
              <w:rPr>
                <w:sz w:val="20"/>
                <w:szCs w:val="20"/>
                <w:color w:val="auto"/>
              </w:rPr>
            </w:pPr>
            <w:r>
              <w:rPr>
                <w:rFonts w:ascii="Arial" w:cs="Arial" w:eastAsia="Arial" w:hAnsi="Arial"/>
                <w:sz w:val="14"/>
                <w:szCs w:val="14"/>
                <w:b w:val="1"/>
                <w:bCs w:val="1"/>
                <w:color w:val="auto"/>
              </w:rPr>
              <w:t>Vesting ($)</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Greg L. Armstrong</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1,457,500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Harry N. Pefanis</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1,311,750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 Swanson</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33,333</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966,657</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McGee</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Dan Nerbonne</w:t>
            </w:r>
          </w:p>
        </w:tc>
        <w:tc>
          <w:tcPr>
            <w:tcW w:w="2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522,000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83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44" w:lineRule="exact"/>
        <w:rPr>
          <w:sz w:val="20"/>
          <w:szCs w:val="20"/>
          <w:color w:val="auto"/>
        </w:rPr>
      </w:pPr>
    </w:p>
    <w:p>
      <w:pPr>
        <w:ind w:left="340" w:right="340" w:hanging="332"/>
        <w:spacing w:after="0" w:line="216" w:lineRule="auto"/>
        <w:tabs>
          <w:tab w:leader="none" w:pos="340" w:val="left"/>
        </w:tabs>
        <w:numPr>
          <w:ilvl w:val="0"/>
          <w:numId w:val="86"/>
        </w:numPr>
        <w:rPr>
          <w:rFonts w:ascii="Arial" w:cs="Arial" w:eastAsia="Arial" w:hAnsi="Arial"/>
          <w:sz w:val="25"/>
          <w:szCs w:val="25"/>
          <w:color w:val="auto"/>
          <w:vertAlign w:val="superscript"/>
        </w:rPr>
      </w:pPr>
      <w:r>
        <w:rPr>
          <w:rFonts w:ascii="Arial" w:cs="Arial" w:eastAsia="Arial" w:hAnsi="Arial"/>
          <w:sz w:val="18"/>
          <w:szCs w:val="18"/>
          <w:color w:val="auto"/>
        </w:rPr>
        <w:t>Represents the gross number of phantom units that vested during the year ended December 31, 2016. The actual number of units delivered was net of income tax withholding.</w:t>
      </w:r>
    </w:p>
    <w:p>
      <w:pPr>
        <w:spacing w:after="0" w:line="95" w:lineRule="exact"/>
        <w:rPr>
          <w:rFonts w:ascii="Arial" w:cs="Arial" w:eastAsia="Arial" w:hAnsi="Arial"/>
          <w:sz w:val="25"/>
          <w:szCs w:val="25"/>
          <w:color w:val="auto"/>
          <w:vertAlign w:val="superscript"/>
        </w:rPr>
      </w:pPr>
    </w:p>
    <w:p>
      <w:pPr>
        <w:ind w:left="340" w:right="340" w:hanging="332"/>
        <w:spacing w:after="0" w:line="227" w:lineRule="auto"/>
        <w:tabs>
          <w:tab w:leader="none" w:pos="340"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Consistent with the terms of the applicable Long-Term Incentive Plan, the value realized upon vesting is computed by multiplying the closing market price ($29.00) of our common units on August 11, 2016 (the date preceding the vesting date) by the number of units that vested.</w:t>
      </w:r>
    </w:p>
    <w:p>
      <w:pPr>
        <w:spacing w:after="0" w:line="94" w:lineRule="exact"/>
        <w:rPr>
          <w:rFonts w:ascii="Arial" w:cs="Arial" w:eastAsia="Arial" w:hAnsi="Arial"/>
          <w:sz w:val="24"/>
          <w:szCs w:val="24"/>
          <w:color w:val="auto"/>
          <w:vertAlign w:val="superscript"/>
        </w:rPr>
      </w:pPr>
    </w:p>
    <w:p>
      <w:pPr>
        <w:ind w:left="340" w:right="340" w:hanging="332"/>
        <w:spacing w:after="0" w:line="216" w:lineRule="auto"/>
        <w:tabs>
          <w:tab w:leader="none" w:pos="340" w:val="left"/>
        </w:tabs>
        <w:numPr>
          <w:ilvl w:val="0"/>
          <w:numId w:val="86"/>
        </w:numPr>
        <w:rPr>
          <w:rFonts w:ascii="Arial" w:cs="Arial" w:eastAsia="Arial" w:hAnsi="Arial"/>
          <w:sz w:val="25"/>
          <w:szCs w:val="25"/>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($29.15) of our common units on August 12, 2016 (the vesting date) by the number of units that vested.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sponsor a 401(k) plan that is available to all U.S. employees, but we do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 nonqualified deferred compensation plan or program for our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30,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By Reason of</w:t>
            </w:r>
          </w:p>
        </w:tc>
        <w:tc>
          <w:tcPr>
            <w:tcW w:w="3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By Reason of</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By Company</w:t>
            </w:r>
          </w:p>
        </w:tc>
        <w:tc>
          <w:tcPr>
            <w:tcW w:w="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By Executive</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In Connection</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without</w:t>
            </w: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 Good</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 a</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Death</w:t>
            </w:r>
          </w:p>
        </w:tc>
        <w:tc>
          <w:tcPr>
            <w:tcW w:w="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Cause</w:t>
            </w: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Reason</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Change In Control</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Greg L. Armstrong</w:t>
            </w: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Salary and Bonus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8,550,000</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(1)</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8,550,000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8,550,000</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(1)</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8,550,000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12,825,000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3,229,000</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3,229,000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3,229,000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(4)</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3,229,000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3,229,000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Health Benefits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36,844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(6)</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36,844</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(6)</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36,844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(6)</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36,844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Gross-up</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112,219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AAP Management Units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11,779,000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11,815,844</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11,815,844</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11,815,844</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16,203,063</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By Reason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Death</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b w:val="1"/>
                <w:bCs w:val="1"/>
                <w:color w:val="auto"/>
              </w:rPr>
              <w:t>Harry N. Pefanis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20" w:type="dxa"/>
            <w:vAlign w:val="bottom"/>
          </w:tcPr>
          <w:p>
            <w:pPr>
              <w:ind w:left="140"/>
              <w:spacing w:after="0"/>
              <w:rPr>
                <w:sz w:val="20"/>
                <w:szCs w:val="20"/>
                <w:color w:val="auto"/>
              </w:rPr>
            </w:pPr>
            <w:r>
              <w:rPr>
                <w:rFonts w:ascii="Arial" w:cs="Arial" w:eastAsia="Arial" w:hAnsi="Arial"/>
                <w:sz w:val="18"/>
                <w:szCs w:val="18"/>
                <w:color w:val="auto"/>
              </w:rPr>
              <w:t>Salary and Bonus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8,200,000</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2,906,100</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Health Benefits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Tax Gross-up</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11,106,100</w:t>
            </w:r>
          </w:p>
        </w:tc>
        <w:tc>
          <w:tcPr>
            <w:tcW w:w="0" w:type="dxa"/>
            <w:vAlign w:val="bottom"/>
          </w:tcPr>
          <w:p>
            <w:pPr>
              <w:spacing w:after="0"/>
              <w:rPr>
                <w:sz w:val="1"/>
                <w:szCs w:val="1"/>
                <w:color w:val="auto"/>
              </w:rPr>
            </w:pPr>
          </w:p>
        </w:tc>
      </w:tr>
      <w:tr>
        <w:trPr>
          <w:trHeight w:val="607"/>
        </w:trPr>
        <w:tc>
          <w:tcPr>
            <w:tcW w:w="2920" w:type="dxa"/>
            <w:vAlign w:val="bottom"/>
          </w:tcPr>
          <w:p>
            <w:pPr>
              <w:spacing w:after="0"/>
              <w:rPr>
                <w:sz w:val="20"/>
                <w:szCs w:val="20"/>
                <w:color w:val="auto"/>
              </w:rPr>
            </w:pPr>
            <w:r>
              <w:rPr>
                <w:rFonts w:ascii="Arial" w:cs="Arial" w:eastAsia="Arial" w:hAnsi="Arial"/>
                <w:sz w:val="18"/>
                <w:szCs w:val="18"/>
                <w:b w:val="1"/>
                <w:bCs w:val="1"/>
                <w:color w:val="auto"/>
              </w:rPr>
              <w:t xml:space="preserve">Wilfred (Willie) C. Chiang </w:t>
            </w:r>
            <w:r>
              <w:rPr>
                <w:rFonts w:ascii="Arial" w:cs="Arial" w:eastAsia="Arial" w:hAnsi="Arial"/>
                <w:sz w:val="25"/>
                <w:szCs w:val="25"/>
                <w:b w:val="1"/>
                <w:bCs w:val="1"/>
                <w:color w:val="auto"/>
                <w:vertAlign w:val="superscript"/>
              </w:rPr>
              <w:t>(10)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6,129,499</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6,129,499</w:t>
            </w:r>
          </w:p>
        </w:tc>
        <w:tc>
          <w:tcPr>
            <w:tcW w:w="0" w:type="dxa"/>
            <w:vAlign w:val="bottom"/>
          </w:tcPr>
          <w:p>
            <w:pPr>
              <w:spacing w:after="0"/>
              <w:rPr>
                <w:sz w:val="1"/>
                <w:szCs w:val="1"/>
                <w:color w:val="auto"/>
              </w:rPr>
            </w:pPr>
          </w:p>
        </w:tc>
      </w:tr>
      <w:tr>
        <w:trPr>
          <w:trHeight w:val="607"/>
        </w:trPr>
        <w:tc>
          <w:tcPr>
            <w:tcW w:w="2920" w:type="dxa"/>
            <w:vAlign w:val="bottom"/>
          </w:tcPr>
          <w:p>
            <w:pPr>
              <w:spacing w:after="0"/>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5"/>
                <w:szCs w:val="25"/>
                <w:b w:val="1"/>
                <w:bCs w:val="1"/>
                <w:color w:val="auto"/>
                <w:vertAlign w:val="superscript"/>
              </w:rPr>
              <w:t>(10)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2,152,645</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2,152,645</w:t>
            </w:r>
          </w:p>
        </w:tc>
        <w:tc>
          <w:tcPr>
            <w:tcW w:w="0" w:type="dxa"/>
            <w:vAlign w:val="bottom"/>
          </w:tcPr>
          <w:p>
            <w:pPr>
              <w:spacing w:after="0"/>
              <w:rPr>
                <w:sz w:val="1"/>
                <w:szCs w:val="1"/>
                <w:color w:val="auto"/>
              </w:rPr>
            </w:pPr>
          </w:p>
        </w:tc>
      </w:tr>
      <w:tr>
        <w:trPr>
          <w:trHeight w:val="607"/>
        </w:trPr>
        <w:tc>
          <w:tcPr>
            <w:tcW w:w="2920" w:type="dxa"/>
            <w:vAlign w:val="bottom"/>
          </w:tcPr>
          <w:p>
            <w:pPr>
              <w:spacing w:after="0"/>
              <w:rPr>
                <w:sz w:val="20"/>
                <w:szCs w:val="20"/>
                <w:color w:val="auto"/>
              </w:rPr>
            </w:pPr>
            <w:r>
              <w:rPr>
                <w:rFonts w:ascii="Arial" w:cs="Arial" w:eastAsia="Arial" w:hAnsi="Arial"/>
                <w:sz w:val="18"/>
                <w:szCs w:val="18"/>
                <w:b w:val="1"/>
                <w:bCs w:val="1"/>
                <w:color w:val="auto"/>
              </w:rPr>
              <w:t xml:space="preserve">Richard McGee </w:t>
            </w:r>
            <w:r>
              <w:rPr>
                <w:rFonts w:ascii="Arial" w:cs="Arial" w:eastAsia="Arial" w:hAnsi="Arial"/>
                <w:sz w:val="25"/>
                <w:szCs w:val="25"/>
                <w:b w:val="1"/>
                <w:bCs w:val="1"/>
                <w:color w:val="auto"/>
                <w:vertAlign w:val="superscript"/>
              </w:rPr>
              <w:t>(10)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1,937,400</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1,937,400</w:t>
            </w:r>
          </w:p>
        </w:tc>
        <w:tc>
          <w:tcPr>
            <w:tcW w:w="0" w:type="dxa"/>
            <w:vAlign w:val="bottom"/>
          </w:tcPr>
          <w:p>
            <w:pPr>
              <w:spacing w:after="0"/>
              <w:rPr>
                <w:sz w:val="1"/>
                <w:szCs w:val="1"/>
                <w:color w:val="auto"/>
              </w:rPr>
            </w:pPr>
          </w:p>
        </w:tc>
      </w:tr>
      <w:tr>
        <w:trPr>
          <w:trHeight w:val="634"/>
        </w:trPr>
        <w:tc>
          <w:tcPr>
            <w:tcW w:w="2920" w:type="dxa"/>
            <w:vAlign w:val="bottom"/>
          </w:tcPr>
          <w:p>
            <w:pPr>
              <w:spacing w:after="0"/>
              <w:rPr>
                <w:sz w:val="20"/>
                <w:szCs w:val="20"/>
                <w:color w:val="auto"/>
              </w:rPr>
            </w:pPr>
            <w:r>
              <w:rPr>
                <w:rFonts w:ascii="Arial" w:cs="Arial" w:eastAsia="Arial" w:hAnsi="Arial"/>
                <w:sz w:val="18"/>
                <w:szCs w:val="18"/>
                <w:b w:val="1"/>
                <w:bCs w:val="1"/>
                <w:color w:val="auto"/>
              </w:rPr>
              <w:t xml:space="preserve">Dan Nerbonne </w:t>
            </w:r>
            <w:r>
              <w:rPr>
                <w:rFonts w:ascii="Arial" w:cs="Arial" w:eastAsia="Arial" w:hAnsi="Arial"/>
                <w:sz w:val="25"/>
                <w:szCs w:val="25"/>
                <w:b w:val="1"/>
                <w:bCs w:val="1"/>
                <w:color w:val="auto"/>
                <w:vertAlign w:val="superscript"/>
              </w:rPr>
              <w:t>(10)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1,162,440</w:t>
            </w: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1,162,440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383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left="-459"/>
        <w:spacing w:after="0"/>
        <w:rPr>
          <w:sz w:val="20"/>
          <w:szCs w:val="20"/>
          <w:color w:val="auto"/>
        </w:rPr>
      </w:pPr>
      <w:r>
        <w:rPr>
          <w:rFonts w:ascii="Arial" w:cs="Arial" w:eastAsia="Arial" w:hAnsi="Arial"/>
          <w:sz w:val="14"/>
          <w:szCs w:val="14"/>
          <w:b w:val="1"/>
          <w:bCs w:val="1"/>
          <w:color w:val="auto"/>
        </w:rPr>
        <w:t>By Reason of</w:t>
      </w:r>
    </w:p>
    <w:p>
      <w:pPr>
        <w:jc w:val="center"/>
        <w:ind w:left="-459"/>
        <w:spacing w:after="0" w:line="226" w:lineRule="auto"/>
        <w:rPr>
          <w:sz w:val="20"/>
          <w:szCs w:val="20"/>
          <w:color w:val="auto"/>
        </w:rPr>
      </w:pPr>
      <w:r>
        <w:rPr>
          <w:rFonts w:ascii="Arial" w:cs="Arial" w:eastAsia="Arial" w:hAnsi="Arial"/>
          <w:sz w:val="14"/>
          <w:szCs w:val="14"/>
          <w:b w:val="1"/>
          <w:bCs w:val="1"/>
          <w:color w:val="auto"/>
        </w:rPr>
        <w:t>Disability</w:t>
      </w:r>
    </w:p>
    <w:p>
      <w:pPr>
        <w:spacing w:after="0" w:line="1" w:lineRule="exact"/>
        <w:rPr>
          <w:sz w:val="20"/>
          <w:szCs w:val="20"/>
          <w:color w:val="auto"/>
        </w:rPr>
      </w:pPr>
    </w:p>
    <w:p>
      <w:pPr>
        <w:jc w:val="center"/>
        <w:ind w:left="-459"/>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13335</wp:posOffset>
            </wp:positionV>
            <wp:extent cx="716915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75" w:lineRule="exact"/>
        <w:rPr>
          <w:sz w:val="20"/>
          <w:szCs w:val="20"/>
          <w:color w:val="auto"/>
        </w:rPr>
      </w:pPr>
    </w:p>
    <w:p>
      <w:pPr>
        <w:ind w:left="860" w:hanging="851"/>
        <w:spacing w:after="0"/>
        <w:tabs>
          <w:tab w:leader="none" w:pos="860" w:val="left"/>
        </w:tabs>
        <w:numPr>
          <w:ilvl w:val="0"/>
          <w:numId w:val="87"/>
        </w:numPr>
        <w:rPr>
          <w:rFonts w:ascii="Arial" w:cs="Arial" w:eastAsia="Arial" w:hAnsi="Arial"/>
          <w:sz w:val="22"/>
          <w:szCs w:val="22"/>
          <w:color w:val="auto"/>
          <w:vertAlign w:val="superscript"/>
        </w:rPr>
      </w:pPr>
      <w:r>
        <w:rPr>
          <w:rFonts w:ascii="Arial" w:cs="Arial" w:eastAsia="Arial" w:hAnsi="Arial"/>
          <w:sz w:val="16"/>
          <w:szCs w:val="16"/>
          <w:color w:val="auto"/>
        </w:rPr>
        <w:t>8,200,000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17145</wp:posOffset>
            </wp:positionV>
            <wp:extent cx="71691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ind w:left="860" w:hanging="851"/>
        <w:spacing w:after="0"/>
        <w:tabs>
          <w:tab w:leader="none" w:pos="860"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2,906,100</w:t>
      </w:r>
    </w:p>
    <w:p>
      <w:pPr>
        <w:spacing w:after="0" w:line="55" w:lineRule="exact"/>
        <w:rPr>
          <w:rFonts w:ascii="Arial" w:cs="Arial" w:eastAsia="Arial" w:hAnsi="Arial"/>
          <w:sz w:val="22"/>
          <w:szCs w:val="22"/>
          <w:color w:val="auto"/>
          <w:vertAlign w:val="superscript"/>
        </w:rPr>
      </w:pPr>
    </w:p>
    <w:p>
      <w:pPr>
        <w:ind w:left="1080"/>
        <w:spacing w:after="0"/>
        <w:rPr>
          <w:rFonts w:ascii="Arial" w:cs="Arial" w:eastAsia="Arial" w:hAnsi="Arial"/>
          <w:sz w:val="22"/>
          <w:szCs w:val="22"/>
          <w:color w:val="auto"/>
          <w:vertAlign w:val="superscript"/>
        </w:rPr>
      </w:pPr>
      <w:r>
        <w:rPr>
          <w:rFonts w:ascii="Arial" w:cs="Arial" w:eastAsia="Arial" w:hAnsi="Arial"/>
          <w:sz w:val="16"/>
          <w:szCs w:val="16"/>
          <w:color w:val="auto"/>
        </w:rPr>
        <w:t>57,286</w:t>
      </w:r>
    </w:p>
    <w:p>
      <w:pPr>
        <w:spacing w:after="0" w:line="70"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63"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-310515</wp:posOffset>
            </wp:positionV>
            <wp:extent cx="71691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31750</wp:posOffset>
            </wp:positionV>
            <wp:extent cx="716915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11,163,386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220980</wp:posOffset>
            </wp:positionV>
            <wp:extent cx="71691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70" w:lineRule="exact"/>
        <w:rPr>
          <w:sz w:val="20"/>
          <w:szCs w:val="20"/>
          <w:color w:val="auto"/>
        </w:rPr>
      </w:pPr>
    </w:p>
    <w:p>
      <w:pPr>
        <w:ind w:left="1400" w:hanging="1391"/>
        <w:spacing w:after="0"/>
        <w:tabs>
          <w:tab w:leader="none" w:pos="1400" w:val="left"/>
        </w:tabs>
        <w:numPr>
          <w:ilvl w:val="0"/>
          <w:numId w:val="89"/>
        </w:numPr>
        <w:rPr>
          <w:rFonts w:ascii="Arial" w:cs="Arial" w:eastAsia="Arial" w:hAnsi="Arial"/>
          <w:sz w:val="11"/>
          <w:szCs w:val="11"/>
          <w:color w:val="auto"/>
        </w:rPr>
      </w:pPr>
      <w:r>
        <w:rPr>
          <w:rFonts w:ascii="Arial" w:cs="Arial" w:eastAsia="Arial" w:hAnsi="Arial"/>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119380</wp:posOffset>
            </wp:positionV>
            <wp:extent cx="71691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158" w:lineRule="exact"/>
        <w:rPr>
          <w:sz w:val="20"/>
          <w:szCs w:val="20"/>
          <w:color w:val="auto"/>
        </w:rPr>
      </w:pPr>
    </w:p>
    <w:p>
      <w:pPr>
        <w:ind w:left="860" w:hanging="851"/>
        <w:spacing w:after="0"/>
        <w:tabs>
          <w:tab w:leader="none" w:pos="860" w:val="left"/>
        </w:tabs>
        <w:numPr>
          <w:ilvl w:val="0"/>
          <w:numId w:val="90"/>
        </w:numPr>
        <w:rPr>
          <w:rFonts w:ascii="Arial" w:cs="Arial" w:eastAsia="Arial" w:hAnsi="Arial"/>
          <w:sz w:val="22"/>
          <w:szCs w:val="22"/>
          <w:color w:val="auto"/>
          <w:vertAlign w:val="superscript"/>
        </w:rPr>
      </w:pPr>
      <w:r>
        <w:rPr>
          <w:rFonts w:ascii="Arial" w:cs="Arial" w:eastAsia="Arial" w:hAnsi="Arial"/>
          <w:sz w:val="16"/>
          <w:szCs w:val="16"/>
          <w:color w:val="auto"/>
        </w:rPr>
        <w:t>6,129,499</w:t>
      </w:r>
    </w:p>
    <w:p>
      <w:pPr>
        <w:spacing w:after="0" w:line="69" w:lineRule="exact"/>
        <w:rPr>
          <w:rFonts w:ascii="Arial" w:cs="Arial" w:eastAsia="Arial" w:hAnsi="Arial"/>
          <w:sz w:val="22"/>
          <w:szCs w:val="22"/>
          <w:color w:val="auto"/>
          <w:vertAlign w:val="superscript"/>
        </w:rPr>
      </w:pPr>
    </w:p>
    <w:p>
      <w:pPr>
        <w:ind w:left="860"/>
        <w:spacing w:after="0"/>
        <w:rPr>
          <w:rFonts w:ascii="Arial" w:cs="Arial" w:eastAsia="Arial" w:hAnsi="Arial"/>
          <w:sz w:val="22"/>
          <w:szCs w:val="22"/>
          <w:color w:val="auto"/>
          <w:vertAlign w:val="superscript"/>
        </w:rPr>
      </w:pPr>
      <w:r>
        <w:rPr>
          <w:rFonts w:ascii="Arial" w:cs="Arial" w:eastAsia="Arial" w:hAnsi="Arial"/>
          <w:sz w:val="16"/>
          <w:szCs w:val="16"/>
          <w:color w:val="auto"/>
        </w:rPr>
        <w:t>6,129,499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36195</wp:posOffset>
            </wp:positionV>
            <wp:extent cx="716915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396875</wp:posOffset>
            </wp:positionV>
            <wp:extent cx="71691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-142875</wp:posOffset>
            </wp:positionV>
            <wp:extent cx="866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860" w:hanging="851"/>
        <w:spacing w:after="0"/>
        <w:tabs>
          <w:tab w:leader="none" w:pos="860" w:val="left"/>
        </w:tabs>
        <w:numPr>
          <w:ilvl w:val="0"/>
          <w:numId w:val="91"/>
        </w:numPr>
        <w:rPr>
          <w:rFonts w:ascii="Arial" w:cs="Arial" w:eastAsia="Arial" w:hAnsi="Arial"/>
          <w:sz w:val="22"/>
          <w:szCs w:val="22"/>
          <w:color w:val="auto"/>
          <w:vertAlign w:val="superscript"/>
        </w:rPr>
      </w:pPr>
      <w:r>
        <w:rPr>
          <w:rFonts w:ascii="Arial" w:cs="Arial" w:eastAsia="Arial" w:hAnsi="Arial"/>
          <w:sz w:val="16"/>
          <w:szCs w:val="16"/>
          <w:color w:val="auto"/>
        </w:rPr>
        <w:t>2,152,645</w:t>
      </w:r>
    </w:p>
    <w:p>
      <w:pPr>
        <w:spacing w:after="0" w:line="55"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21590</wp:posOffset>
            </wp:positionV>
            <wp:extent cx="716915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220980</wp:posOffset>
            </wp:positionV>
            <wp:extent cx="71691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860" w:hanging="851"/>
        <w:spacing w:after="0"/>
        <w:tabs>
          <w:tab w:leader="none" w:pos="860" w:val="left"/>
        </w:tabs>
        <w:numPr>
          <w:ilvl w:val="0"/>
          <w:numId w:val="92"/>
        </w:numPr>
        <w:rPr>
          <w:rFonts w:ascii="Arial" w:cs="Arial" w:eastAsia="Arial" w:hAnsi="Arial"/>
          <w:sz w:val="22"/>
          <w:szCs w:val="22"/>
          <w:color w:val="auto"/>
          <w:vertAlign w:val="superscript"/>
        </w:rPr>
      </w:pPr>
      <w:r>
        <w:rPr>
          <w:rFonts w:ascii="Arial" w:cs="Arial" w:eastAsia="Arial" w:hAnsi="Arial"/>
          <w:sz w:val="16"/>
          <w:szCs w:val="16"/>
          <w:color w:val="auto"/>
        </w:rPr>
        <w:t>1,937,400</w:t>
      </w:r>
    </w:p>
    <w:p>
      <w:pPr>
        <w:spacing w:after="0" w:line="55"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-149225</wp:posOffset>
            </wp:positionV>
            <wp:extent cx="716915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1,937,400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31750</wp:posOffset>
            </wp:positionV>
            <wp:extent cx="716915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2057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409575</wp:posOffset>
            </wp:positionV>
            <wp:extent cx="716915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hanging="851"/>
        <w:spacing w:after="0"/>
        <w:tabs>
          <w:tab w:leader="none" w:pos="860"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1,162,440</w:t>
      </w:r>
    </w:p>
    <w:p>
      <w:pPr>
        <w:spacing w:after="0" w:line="55"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21590</wp:posOffset>
            </wp:positionV>
            <wp:extent cx="716915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1,162,440</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By Company</w:t>
            </w:r>
          </w:p>
        </w:tc>
        <w:tc>
          <w:tcPr>
            <w:tcW w:w="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By Executive</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In Connection</w:t>
            </w:r>
          </w:p>
        </w:tc>
        <w:tc>
          <w:tcPr>
            <w:tcW w:w="180" w:type="dxa"/>
            <w:vAlign w:val="bottom"/>
          </w:tcPr>
          <w:p>
            <w:pPr>
              <w:spacing w:after="0"/>
              <w:rPr>
                <w:sz w:val="14"/>
                <w:szCs w:val="14"/>
                <w:color w:val="auto"/>
              </w:rPr>
            </w:pPr>
          </w:p>
        </w:tc>
      </w:tr>
      <w:tr>
        <w:trPr>
          <w:trHeight w:val="149"/>
        </w:trPr>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without</w:t>
            </w: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 Good</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 a</w:t>
            </w:r>
          </w:p>
        </w:tc>
        <w:tc>
          <w:tcPr>
            <w:tcW w:w="180" w:type="dxa"/>
            <w:vAlign w:val="bottom"/>
          </w:tcPr>
          <w:p>
            <w:pPr>
              <w:spacing w:after="0"/>
              <w:rPr>
                <w:sz w:val="12"/>
                <w:szCs w:val="12"/>
                <w:color w:val="auto"/>
              </w:rPr>
            </w:pPr>
          </w:p>
        </w:tc>
      </w:tr>
      <w:tr>
        <w:trPr>
          <w:trHeight w:val="149"/>
        </w:trPr>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Cause</w:t>
            </w: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Reason</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Change In Control</w:t>
            </w:r>
          </w:p>
        </w:tc>
        <w:tc>
          <w:tcPr>
            <w:tcW w:w="180" w:type="dxa"/>
            <w:vAlign w:val="bottom"/>
          </w:tcPr>
          <w:p>
            <w:pPr>
              <w:spacing w:after="0"/>
              <w:rPr>
                <w:sz w:val="12"/>
                <w:szCs w:val="12"/>
                <w:color w:val="auto"/>
              </w:rPr>
            </w:pPr>
          </w:p>
        </w:tc>
      </w:tr>
      <w:tr>
        <w:trPr>
          <w:trHeight w:val="192"/>
        </w:trPr>
        <w:tc>
          <w:tcPr>
            <w:tcW w:w="3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r>
      <w:tr>
        <w:trPr>
          <w:trHeight w:val="513"/>
        </w:trPr>
        <w:tc>
          <w:tcPr>
            <w:tcW w:w="320" w:type="dxa"/>
            <w:vAlign w:val="bottom"/>
          </w:tcPr>
          <w:p>
            <w:pPr>
              <w:spacing w:after="0"/>
              <w:rPr>
                <w:sz w:val="20"/>
                <w:szCs w:val="20"/>
                <w:color w:val="auto"/>
              </w:rPr>
            </w:pPr>
            <w:r>
              <w:rPr>
                <w:rFonts w:ascii="Arial" w:cs="Arial" w:eastAsia="Arial" w:hAnsi="Arial"/>
                <w:sz w:val="13"/>
                <w:szCs w:val="13"/>
                <w:color w:val="auto"/>
              </w:rPr>
              <w:t>(1)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8,200,000</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(1)</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8,200,000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12,300,000</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2,906,100</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2,906,100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2,906,100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57,286</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(6)</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57,286</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(6)</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57,286</w:t>
            </w: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603,349</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11,163,386</w:t>
            </w:r>
          </w:p>
        </w:tc>
        <w:tc>
          <w:tcPr>
            <w:tcW w:w="3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11,163,386</w:t>
            </w:r>
          </w:p>
        </w:tc>
        <w:tc>
          <w:tcPr>
            <w:tcW w:w="3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15,866,735</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3,874,800</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3,874,800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9,202,650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(11)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12,258,999</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12,258,999</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12,258,999</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16,133,799</w:t>
            </w:r>
          </w:p>
        </w:tc>
        <w:tc>
          <w:tcPr>
            <w:tcW w:w="3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16,133,799</w:t>
            </w:r>
          </w:p>
        </w:tc>
        <w:tc>
          <w:tcPr>
            <w:tcW w:w="3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21,461,649</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2,152,645</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6,608,665</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2,152,645</w:t>
            </w:r>
          </w:p>
        </w:tc>
        <w:tc>
          <w:tcPr>
            <w:tcW w:w="3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6,608,665</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1,937,400</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6,393,420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7,189,285</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7,189,285</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8,187,801</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9,126,685</w:t>
            </w:r>
          </w:p>
        </w:tc>
        <w:tc>
          <w:tcPr>
            <w:tcW w:w="3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7,189,285</w:t>
            </w:r>
          </w:p>
        </w:tc>
        <w:tc>
          <w:tcPr>
            <w:tcW w:w="3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14,581,221</w:t>
            </w:r>
          </w:p>
        </w:tc>
        <w:tc>
          <w:tcPr>
            <w:tcW w:w="180" w:type="dxa"/>
            <w:vAlign w:val="bottom"/>
          </w:tcPr>
          <w:p>
            <w:pPr>
              <w:spacing w:after="0"/>
              <w:rPr>
                <w:sz w:val="20"/>
                <w:szCs w:val="20"/>
                <w:color w:val="auto"/>
              </w:rPr>
            </w:pPr>
          </w:p>
        </w:tc>
      </w:tr>
      <w:tr>
        <w:trPr>
          <w:trHeight w:val="864"/>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1,162,440</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5,037,240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459,709</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1,162,440</w:t>
            </w:r>
          </w:p>
        </w:tc>
        <w:tc>
          <w:tcPr>
            <w:tcW w:w="3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5,496,949</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4220" w:space="20"/>
            <w:col w:w="1580" w:space="140"/>
            <w:col w:w="5360"/>
          </w:cols>
          <w:pgMar w:left="240" w:top="125" w:right="339" w:bottom="1440" w:gutter="0" w:footer="0" w:header="0"/>
          <w:type w:val="continuous"/>
        </w:sectPr>
      </w:pPr>
    </w:p>
    <w:p>
      <w:pPr>
        <w:spacing w:after="0" w:line="191" w:lineRule="exact"/>
        <w:rPr>
          <w:sz w:val="20"/>
          <w:szCs w:val="20"/>
          <w:color w:val="auto"/>
        </w:rPr>
      </w:pPr>
    </w:p>
    <w:p>
      <w:pPr>
        <w:ind w:left="340" w:hanging="332"/>
        <w:spacing w:after="0" w:line="256" w:lineRule="auto"/>
        <w:tabs>
          <w:tab w:leader="none" w:pos="340" w:val="left"/>
        </w:tabs>
        <w:numPr>
          <w:ilvl w:val="0"/>
          <w:numId w:val="94"/>
        </w:numPr>
        <w:rPr>
          <w:rFonts w:ascii="Arial" w:cs="Arial" w:eastAsia="Arial" w:hAnsi="Arial"/>
          <w:sz w:val="24"/>
          <w:szCs w:val="24"/>
          <w:color w:val="auto"/>
          <w:vertAlign w:val="superscript"/>
        </w:rPr>
      </w:pPr>
      <w:r>
        <w:rPr>
          <w:rFonts w:ascii="Arial" w:cs="Arial" w:eastAsia="Arial" w:hAnsi="Arial"/>
          <w:sz w:val="17"/>
          <w:szCs w:val="17"/>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 (b)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30, 2016, and also assumes a highest annual base salary of $375,000 and highest annual bonus of $3,900,000 for Mr. Armstrong, and a highest annual base salary of $300,000 and highest annual bonus of $3,800,000 for Mr. Pefanis.</w:t>
      </w:r>
    </w:p>
    <w:p>
      <w:pPr>
        <w:spacing w:after="0" w:line="82" w:lineRule="exact"/>
        <w:rPr>
          <w:rFonts w:ascii="Arial" w:cs="Arial" w:eastAsia="Arial" w:hAnsi="Arial"/>
          <w:sz w:val="24"/>
          <w:szCs w:val="24"/>
          <w:color w:val="auto"/>
          <w:vertAlign w:val="superscript"/>
        </w:rPr>
      </w:pPr>
    </w:p>
    <w:p>
      <w:pPr>
        <w:ind w:left="340" w:right="120"/>
        <w:spacing w:after="0" w:line="272" w:lineRule="auto"/>
        <w:rPr>
          <w:rFonts w:ascii="Arial" w:cs="Arial" w:eastAsia="Arial" w:hAnsi="Arial"/>
          <w:sz w:val="24"/>
          <w:szCs w:val="24"/>
          <w:color w:val="auto"/>
          <w:vertAlign w:val="superscript"/>
        </w:rPr>
      </w:pPr>
      <w:r>
        <w:rPr>
          <w:rFonts w:ascii="Arial" w:cs="Arial" w:eastAsia="Arial" w:hAnsi="Arial"/>
          <w:sz w:val="17"/>
          <w:szCs w:val="17"/>
          <w:color w:val="auto"/>
        </w:rPr>
        <w:t>The employment agreements between GP LLC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20"/>
          </w:cols>
          <w:pgMar w:left="240" w:top="125" w:right="3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be obligated to pay base salary through the date of termination, with no other payment obligations triggered by the termination under the employment agreement or other employment arrangement.</w:t>
      </w:r>
    </w:p>
    <w:p>
      <w:pPr>
        <w:spacing w:after="0" w:line="62"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87" w:lineRule="exact"/>
        <w:rPr>
          <w:sz w:val="20"/>
          <w:szCs w:val="20"/>
          <w:color w:val="auto"/>
        </w:rPr>
      </w:pPr>
    </w:p>
    <w:p>
      <w:pPr>
        <w:ind w:left="340" w:right="160" w:hanging="332"/>
        <w:spacing w:after="0" w:line="237" w:lineRule="auto"/>
        <w:tabs>
          <w:tab w:leader="none" w:pos="340" w:val="left"/>
        </w:tabs>
        <w:numPr>
          <w:ilvl w:val="0"/>
          <w:numId w:val="95"/>
        </w:numPr>
        <w:rPr>
          <w:rFonts w:ascii="Arial" w:cs="Arial" w:eastAsia="Arial" w:hAnsi="Arial"/>
          <w:sz w:val="25"/>
          <w:szCs w:val="25"/>
          <w:color w:val="auto"/>
          <w:vertAlign w:val="superscript"/>
        </w:rPr>
      </w:pPr>
      <w:r>
        <w:rPr>
          <w:rFonts w:ascii="Arial" w:cs="Arial" w:eastAsia="Arial" w:hAnsi="Arial"/>
          <w:sz w:val="18"/>
          <w:szCs w:val="18"/>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30, 2016, and also assumes a highest annual base salary of $375,000 and highest annual bonus of $3,900,000 for Mr. Armstrong, and a highest annual base salary of $300,000 and highest annual bonus of $3,800,000 for Mr. Pefanis.</w:t>
      </w:r>
    </w:p>
    <w:p>
      <w:pPr>
        <w:spacing w:after="0" w:line="98" w:lineRule="exact"/>
        <w:rPr>
          <w:rFonts w:ascii="Arial" w:cs="Arial" w:eastAsia="Arial" w:hAnsi="Arial"/>
          <w:sz w:val="25"/>
          <w:szCs w:val="25"/>
          <w:color w:val="auto"/>
          <w:vertAlign w:val="superscript"/>
        </w:rPr>
      </w:pPr>
    </w:p>
    <w:p>
      <w:pPr>
        <w:ind w:left="340"/>
        <w:spacing w:after="0" w:line="286" w:lineRule="auto"/>
        <w:rPr>
          <w:rFonts w:ascii="Arial" w:cs="Arial" w:eastAsia="Arial" w:hAnsi="Arial"/>
          <w:sz w:val="25"/>
          <w:szCs w:val="25"/>
          <w:color w:val="auto"/>
          <w:vertAlign w:val="superscript"/>
        </w:rPr>
      </w:pPr>
      <w:r>
        <w:rPr>
          <w:rFonts w:ascii="Arial" w:cs="Arial" w:eastAsia="Arial" w:hAnsi="Arial"/>
          <w:sz w:val="16"/>
          <w:szCs w:val="16"/>
          <w:color w:val="auto"/>
        </w:rPr>
        <w:t>In conjunction with events occurring in 2005, 2010 and 2013, Messrs. Armstrong and Pefanis executed various agreements waiving their rights to terminate employment and receive separation benefits under their employment agreements. In connection with such waivers,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PAGP GP; (iii) 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63" w:lineRule="exact"/>
        <w:rPr>
          <w:rFonts w:ascii="Arial" w:cs="Arial" w:eastAsia="Arial" w:hAnsi="Arial"/>
          <w:sz w:val="25"/>
          <w:szCs w:val="25"/>
          <w:color w:val="auto"/>
          <w:vertAlign w:val="superscript"/>
        </w:rPr>
      </w:pPr>
    </w:p>
    <w:p>
      <w:pPr>
        <w:ind w:left="340" w:hanging="332"/>
        <w:spacing w:after="0" w:line="277" w:lineRule="auto"/>
        <w:tabs>
          <w:tab w:leader="none" w:pos="340" w:val="left"/>
        </w:tabs>
        <w:numPr>
          <w:ilvl w:val="0"/>
          <w:numId w:val="95"/>
        </w:numPr>
        <w:rPr>
          <w:rFonts w:ascii="Arial" w:cs="Arial" w:eastAsia="Arial" w:hAnsi="Arial"/>
          <w:sz w:val="22"/>
          <w:szCs w:val="22"/>
          <w:color w:val="auto"/>
          <w:vertAlign w:val="superscript"/>
        </w:rPr>
      </w:pPr>
      <w:r>
        <w:rPr>
          <w:rFonts w:ascii="Arial" w:cs="Arial" w:eastAsia="Arial" w:hAnsi="Arial"/>
          <w:sz w:val="16"/>
          <w:szCs w:val="16"/>
          <w:color w:val="auto"/>
        </w:rPr>
        <w:t>The letters evidencing the 2013 phantom unit grants awarded to our Named Executive Officers, and the 2015 phantom unit grant awarded to Mr. Chiang,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The letters evidencing the 2016 phantom unit grants awarded to our Named Executive Officers provide that in the event of their death or disability (as defined below), the following terms shall apply: (a) if such death or disability takes place prior to the second anniversary of the date of the applicable grant (August 25, 2018), all of their then outstanding phantom units and associated DERs will be automatically forfeited as of such date, and (b) if such death or disability takes place on or after such second anniversary,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For these purposes, “disability” means a physical or mental infirmity that impairs the ability substantially to perform duties for a period of eighteen (18) months or that the general partner otherwise determines constitutes a disability.</w:t>
      </w:r>
    </w:p>
    <w:p>
      <w:pPr>
        <w:spacing w:after="0" w:line="69" w:lineRule="exact"/>
        <w:rPr>
          <w:rFonts w:ascii="Arial" w:cs="Arial" w:eastAsia="Arial" w:hAnsi="Arial"/>
          <w:sz w:val="22"/>
          <w:szCs w:val="22"/>
          <w:color w:val="auto"/>
          <w:vertAlign w:val="superscript"/>
        </w:rPr>
      </w:pPr>
    </w:p>
    <w:p>
      <w:pPr>
        <w:ind w:left="340" w:right="100"/>
        <w:spacing w:after="0" w:line="264" w:lineRule="auto"/>
        <w:rPr>
          <w:rFonts w:ascii="Arial" w:cs="Arial" w:eastAsia="Arial" w:hAnsi="Arial"/>
          <w:sz w:val="22"/>
          <w:szCs w:val="22"/>
          <w:color w:val="auto"/>
          <w:vertAlign w:val="superscript"/>
        </w:rPr>
      </w:pPr>
      <w:r>
        <w:rPr>
          <w:rFonts w:ascii="Arial" w:cs="Arial" w:eastAsia="Arial" w:hAnsi="Arial"/>
          <w:sz w:val="18"/>
          <w:szCs w:val="18"/>
          <w:color w:val="auto"/>
        </w:rPr>
        <w:t>Assuming death or disability occurred on December 31, 2016, (A) all of the phantom unit grants and associated DERs held by our Named Executive Officers pursuant to their 2013 grant letters would have become nonforfeitable effective as of December 31, 2016, and would vest on February 14, 2017 (the February 2017 distribution date) given that the performance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80"/>
        <w:spacing w:after="0" w:line="289" w:lineRule="auto"/>
        <w:rPr>
          <w:sz w:val="20"/>
          <w:szCs w:val="20"/>
          <w:color w:val="auto"/>
        </w:rPr>
      </w:pPr>
      <w:r>
        <w:rPr>
          <w:rFonts w:ascii="Arial" w:cs="Arial" w:eastAsia="Arial" w:hAnsi="Arial"/>
          <w:sz w:val="16"/>
          <w:szCs w:val="16"/>
          <w:color w:val="auto"/>
        </w:rPr>
        <w:t>vesting criteria for all of the phantom units issued pursuant to such 2013 grant letters has already been satisfied, (B) all of the phantom unit grants and associated DERs held by our Named Executive Officers pursuant to their 2016 grant letters would have become automatically forfeited as of such date given that such death or disability would have taken place prior to the second anniversary of the date of such grants, and (C) all of the phantom units and associated DERs held by Mr. Chiang pursuant to his 2015 phantom unit grant letter would not have been forfeited but would vest on the future distribution date on which the applicable distribution vesting criteria is satisfied. At December 30, 2016, an annualized distribution level of $2.20 was deemed probable of occurrence. Because none of the performance thresholds contained in Mr. Chiang’s 2015 phantom unit grant letter were deemed probable of occurrence as of December 31, 2016, no value is given in the table. All of the performance thresholds for the 2013 LTIP grants have been satisfied and all outstanding 2013 grants were assumed to vest as a result. The dollar value given for the Named Executive Officers who hold 2013 phantom units is based on the market value of PAA’s common units on December 30, 2016 ($32.29 per unit) without discount for service period.</w:t>
      </w:r>
    </w:p>
    <w:p>
      <w:pPr>
        <w:spacing w:after="0" w:line="59" w:lineRule="exact"/>
        <w:rPr>
          <w:sz w:val="20"/>
          <w:szCs w:val="20"/>
          <w:color w:val="auto"/>
        </w:rPr>
      </w:pPr>
    </w:p>
    <w:p>
      <w:pPr>
        <w:ind w:left="340" w:right="60" w:hanging="332"/>
        <w:spacing w:after="0" w:line="279" w:lineRule="auto"/>
        <w:tabs>
          <w:tab w:leader="none" w:pos="3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Pursuant to the 2013 phantom unit grants held by our Named Executive Officers,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Pursuant to the 2016 phantom unit grants held by our Named Executive Officers,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would, but for such termination and forfeiture, vest on a specified distribution date (either August 2019, August 2020, August 2021 or August 2022) during the twelve month period immediately following such termination, shall be deemed nonforfeitable on the date of such termination and shall vest on the next following distribution date. Mr. Chiang’s employment agreement also provides that his 2015 phantom unit grant will vest in full if he has not received the Executive Promotion and is terminated by GP LLC other than for cause or he terminates his employment for good reason prior to December 31, 2018 (see “—Employment Contracts” for additional information regarding Mr. Chiang’s employment agreement). The dollar value amount provided assumes that (i) our Named Executive Officers (other than Mr. Chiang) were terminated without cause on December 30, 2016, and (ii) Mr. Chiang had not received the Executive Promotion and was terminated without cause or terminated his employment for good reason on December 30, 2016. As a result of the foregoing, in the event of the termination of our Named Executive Officers under the circumstances described above on December 31, 2016, (i) all of the phantom units covered by the 2013 phantom unit grants held by our Named Executive Officers and the 2015 phantom unit grant held by Mr. Chiang would have vested on or before February 14, 2017 (the February 2017 distribution date), and (ii) all remaining phantom units held by our Named Executive Officers would have become automatically forfeited as of such date of termination. That portion of the dollar value given that is attributable to PAA phantom units is based on the market value of PAA’s common units on December 30, 2016 ($32.29 per unit).</w:t>
      </w:r>
    </w:p>
    <w:p>
      <w:pPr>
        <w:spacing w:after="0" w:line="290" w:lineRule="exact"/>
        <w:rPr>
          <w:rFonts w:ascii="Arial" w:cs="Arial" w:eastAsia="Arial" w:hAnsi="Arial"/>
          <w:sz w:val="22"/>
          <w:szCs w:val="22"/>
          <w:color w:val="auto"/>
          <w:vertAlign w:val="superscript"/>
        </w:rPr>
      </w:pPr>
    </w:p>
    <w:p>
      <w:pPr>
        <w:ind w:left="340" w:right="40"/>
        <w:spacing w:after="0" w:line="264" w:lineRule="auto"/>
        <w:rPr>
          <w:rFonts w:ascii="Arial" w:cs="Arial" w:eastAsia="Arial" w:hAnsi="Arial"/>
          <w:sz w:val="22"/>
          <w:szCs w:val="22"/>
          <w:color w:val="auto"/>
          <w:vertAlign w:val="superscript"/>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Long-Term Incentive Plan would immediately vest.</w:t>
      </w:r>
    </w:p>
    <w:p>
      <w:pPr>
        <w:spacing w:after="0" w:line="73" w:lineRule="exact"/>
        <w:rPr>
          <w:rFonts w:ascii="Arial" w:cs="Arial" w:eastAsia="Arial" w:hAnsi="Arial"/>
          <w:sz w:val="22"/>
          <w:szCs w:val="22"/>
          <w:color w:val="auto"/>
          <w:vertAlign w:val="superscript"/>
        </w:rPr>
      </w:pPr>
    </w:p>
    <w:p>
      <w:pPr>
        <w:ind w:left="340" w:hanging="332"/>
        <w:spacing w:after="0" w:line="258" w:lineRule="auto"/>
        <w:tabs>
          <w:tab w:leader="none" w:pos="340" w:val="left"/>
        </w:tabs>
        <w:numPr>
          <w:ilvl w:val="0"/>
          <w:numId w:val="96"/>
        </w:numPr>
        <w:rPr>
          <w:rFonts w:ascii="Arial" w:cs="Arial" w:eastAsia="Arial" w:hAnsi="Arial"/>
          <w:sz w:val="24"/>
          <w:szCs w:val="24"/>
          <w:color w:val="auto"/>
          <w:vertAlign w:val="superscript"/>
        </w:rPr>
      </w:pPr>
      <w:r>
        <w:rPr>
          <w:rFonts w:ascii="Arial" w:cs="Arial" w:eastAsia="Arial" w:hAnsi="Arial"/>
          <w:sz w:val="17"/>
          <w:szCs w:val="17"/>
          <w:color w:val="auto"/>
        </w:rPr>
        <w:t>The letters evidencing phantom unit grants awarded to our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Additionally, Mr. Chiang’s employment agreement provides that his phantom unit grants will vest in full if he terminates his employment within 90 days after a change of control (as defined below) prior to December 31, 2018 and in connection therewith he does not receive the Executive Promotion (see “—Employment Contracts” for additional information regarding Mr. Chiang’s employment agreement). Assuming (i) that a change in status occurred on December 30, 2016, (ii) that a change of control occurred 90 days prior to December 30, 2016, and (iii) that, in connection with the change of control, Mr. Chiang did not receive the Executive Promotion and terminated his employment on December 30, 2016, all outstanding phantom units and the associated DERs would have become nonforfeitable as of December 30, 2016, and such phantom units would vest on the February 2017 distribution date. That portion of the dollar value given that is attributable to PAA phantom units is based on the market value of PAA’s common units on December 30, 2016 ($32.29 per unit), without discount for service period.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85"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The phrase “change of control” is defined in the phantom unit grants awarded to our Named Executive Officers other than Mr. Chiang to mean,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our partnership or GP LLC to any person and/or its affiliates, other than to us or GP LLC, including any employee benefit plan thereof; (iii) the consolidation, reorganization, merger, or any other similar transaction involving (A) a person other than us or GP LLC and (B) us,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w:t>
      </w:r>
    </w:p>
    <w:p>
      <w:pPr>
        <w:spacing w:after="0" w:line="6" w:lineRule="exact"/>
        <w:rPr>
          <w:sz w:val="20"/>
          <w:szCs w:val="20"/>
          <w:color w:val="auto"/>
        </w:rPr>
      </w:pPr>
    </w:p>
    <w:p>
      <w:pPr>
        <w:ind w:left="340" w:right="40" w:hanging="8"/>
        <w:spacing w:after="0" w:line="271" w:lineRule="auto"/>
        <w:tabs>
          <w:tab w:leader="none" w:pos="595" w:val="left"/>
        </w:tabs>
        <w:numPr>
          <w:ilvl w:val="0"/>
          <w:numId w:val="97"/>
        </w:numPr>
        <w:rPr>
          <w:rFonts w:ascii="Arial" w:cs="Arial" w:eastAsia="Arial" w:hAnsi="Arial"/>
          <w:sz w:val="17"/>
          <w:szCs w:val="17"/>
          <w:color w:val="auto"/>
        </w:rPr>
      </w:pPr>
      <w:r>
        <w:rPr>
          <w:rFonts w:ascii="Arial" w:cs="Arial" w:eastAsia="Arial" w:hAnsi="Arial"/>
          <w:sz w:val="17"/>
          <w:szCs w:val="17"/>
          <w:color w:val="auto"/>
        </w:rPr>
        <w:t>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means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respect to Mr. Chiang’s phantom units, “Change of Control” means the determination by the board that one of the following events has occurred:</w:t>
      </w:r>
    </w:p>
    <w:p>
      <w:pPr>
        <w:spacing w:after="0" w:line="46" w:lineRule="exact"/>
        <w:rPr>
          <w:sz w:val="20"/>
          <w:szCs w:val="20"/>
          <w:color w:val="auto"/>
        </w:rPr>
      </w:pPr>
    </w:p>
    <w:p>
      <w:pPr>
        <w:ind w:left="340" w:right="60" w:hanging="8"/>
        <w:spacing w:after="0" w:line="281" w:lineRule="auto"/>
        <w:tabs>
          <w:tab w:leader="none" w:pos="555"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the member interest beneficially owned by such “person” or “group” exceeds the aggregate member interest in the general partner of PAGP beneficially owned, directly or indirectly, by the Owner Affiliates; or</w:t>
      </w:r>
    </w:p>
    <w:p>
      <w:pPr>
        <w:spacing w:after="0" w:line="3" w:lineRule="exact"/>
        <w:rPr>
          <w:rFonts w:ascii="Arial" w:cs="Arial" w:eastAsia="Arial" w:hAnsi="Arial"/>
          <w:sz w:val="16"/>
          <w:szCs w:val="16"/>
          <w:color w:val="auto"/>
        </w:rPr>
      </w:pPr>
    </w:p>
    <w:p>
      <w:pPr>
        <w:ind w:left="340" w:right="100" w:hanging="8"/>
        <w:spacing w:after="0" w:line="281" w:lineRule="auto"/>
        <w:tabs>
          <w:tab w:leader="none" w:pos="655" w:val="left"/>
        </w:tabs>
        <w:numPr>
          <w:ilvl w:val="1"/>
          <w:numId w:val="99"/>
        </w:numPr>
        <w:rPr>
          <w:rFonts w:ascii="Arial" w:cs="Arial" w:eastAsia="Arial" w:hAnsi="Arial"/>
          <w:sz w:val="16"/>
          <w:szCs w:val="16"/>
          <w:color w:val="auto"/>
        </w:rPr>
      </w:pPr>
      <w:r>
        <w:rPr>
          <w:rFonts w:ascii="Arial" w:cs="Arial" w:eastAsia="Arial" w:hAnsi="Arial"/>
          <w:sz w:val="16"/>
          <w:szCs w:val="16"/>
          <w:color w:val="auto"/>
        </w:rPr>
        <w:t>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 “Cause” is defined in Mr. Chiang’s phantom unit grant agreement as</w:t>
      </w:r>
    </w:p>
    <w:p>
      <w:pPr>
        <w:spacing w:after="0" w:line="2" w:lineRule="exact"/>
        <w:rPr>
          <w:rFonts w:ascii="Arial" w:cs="Arial" w:eastAsia="Arial" w:hAnsi="Arial"/>
          <w:sz w:val="16"/>
          <w:szCs w:val="16"/>
          <w:color w:val="auto"/>
        </w:rPr>
      </w:pPr>
    </w:p>
    <w:p>
      <w:pPr>
        <w:ind w:left="340" w:right="20" w:hanging="8"/>
        <w:spacing w:after="0" w:line="290" w:lineRule="auto"/>
        <w:tabs>
          <w:tab w:leader="none" w:pos="55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substantial failure to perform the duties and responsibilities of his position at an acceptable level as reasonably determined in good faith by the CEO and President-COO of GP LLC (or if 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56" w:lineRule="exact"/>
        <w:rPr>
          <w:rFonts w:ascii="Arial" w:cs="Arial" w:eastAsia="Arial" w:hAnsi="Arial"/>
          <w:sz w:val="16"/>
          <w:szCs w:val="16"/>
          <w:color w:val="auto"/>
        </w:rPr>
      </w:pPr>
    </w:p>
    <w:p>
      <w:pPr>
        <w:ind w:left="340" w:right="120" w:hanging="332"/>
        <w:spacing w:after="0" w:line="250" w:lineRule="auto"/>
        <w:tabs>
          <w:tab w:leader="none" w:pos="340" w:val="left"/>
        </w:tabs>
        <w:numPr>
          <w:ilvl w:val="0"/>
          <w:numId w:val="101"/>
        </w:numPr>
        <w:rPr>
          <w:rFonts w:ascii="Arial" w:cs="Arial" w:eastAsia="Arial" w:hAnsi="Arial"/>
          <w:sz w:val="24"/>
          <w:szCs w:val="24"/>
          <w:color w:val="auto"/>
          <w:vertAlign w:val="superscript"/>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30, 2016.</w:t>
      </w:r>
    </w:p>
    <w:p>
      <w:pPr>
        <w:spacing w:after="0" w:line="86" w:lineRule="exact"/>
        <w:rPr>
          <w:rFonts w:ascii="Arial" w:cs="Arial" w:eastAsia="Arial" w:hAnsi="Arial"/>
          <w:sz w:val="24"/>
          <w:szCs w:val="24"/>
          <w:color w:val="auto"/>
          <w:vertAlign w:val="superscript"/>
        </w:rPr>
      </w:pPr>
    </w:p>
    <w:p>
      <w:pPr>
        <w:ind w:left="340" w:right="80" w:hanging="332"/>
        <w:spacing w:after="0" w:line="238" w:lineRule="auto"/>
        <w:tabs>
          <w:tab w:leader="none" w:pos="340" w:val="left"/>
        </w:tabs>
        <w:numPr>
          <w:ilvl w:val="0"/>
          <w:numId w:val="101"/>
        </w:numPr>
        <w:rPr>
          <w:rFonts w:ascii="Arial" w:cs="Arial" w:eastAsia="Arial" w:hAnsi="Arial"/>
          <w:sz w:val="24"/>
          <w:szCs w:val="24"/>
          <w:color w:val="auto"/>
          <w:vertAlign w:val="superscript"/>
        </w:rPr>
      </w:pPr>
      <w:r>
        <w:rPr>
          <w:rFonts w:ascii="Arial" w:cs="Arial" w:eastAsia="Arial" w:hAnsi="Arial"/>
          <w:sz w:val="17"/>
          <w:szCs w:val="17"/>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30, 2016.</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hanging="332"/>
        <w:spacing w:after="0" w:line="277"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Pursuant to the AAP Management Unit grant agreements of Messrs. Chiang, McGee and Nerbonne,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2020 for Mr. McGee’s 2011 grant, January 1, 2021 for Mr. McGee’s 2013 grant and January 1, 2023 for the grants to Messrs. Chiang and Nerbonne;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in the event of his death or disability. Additionally, Mr. Chiang’s employment agreement provides that his AAP Management Units will vest in full if he has not received the Executive Promotion and is terminated by GP LLC other than for cause (as defined below) or he terminates his employment for good reason prior to December 31, 2018 (see “—Employment Contracts” for additional information regarding Mr. Chiang’s employment agreement). If Messrs. Chiang, McGee and Nerbonne are terminated without cause or terminate their employment for good reason, or if such Named Executive Officer remains employed past their Applicable Stated Date, any earned AAP Management Units are no longer subject to the call right and are deemed to have “vested.” As of December 31, 2016, approximately 86% of the AAP Management Units held by Mr. McGee had been earned, but all of such AAP Management Units remained subject to AAP’s call right, and none of the AAP Management Units held by Mr. Chiang or Mr. Nerbonne had been earned. Assuming a termination of employment without cause or for good reason on December 31, 2016 and assuming that Mr. Chiang had not received the Executive Promotion prior to that date, all of the AAP Management Units held by Mr. Chiang, 86% of the AAP Management Units held by Mr. McGee, and none of the AAP Management Units held by Mr. Nerbonne would become vested and would no longer be subject to the call right. Because the call right provides for a discounted purchase price equal to 50% of fair market value in the case of Mr. McGee, in such event the applicable Named Executive Officer would “benefit” by virtue of the fact that such officer’s AAP Management Units could no longer be purchased by AAP at a discount. The value reflected in the table above for Mr. McGee represents the implied value of such “benefit”, calculated as of December 31, 2016 by (i) assuming that Mr. McGee’s earned AAP Management Units are converted into AAP units based on the conversion factor of approximately 0.941 AAP units and PAGP Class B shares for each AAP Management Unit,</w:t>
      </w:r>
    </w:p>
    <w:p>
      <w:pPr>
        <w:spacing w:after="0" w:line="16" w:lineRule="exact"/>
        <w:rPr>
          <w:rFonts w:ascii="Arial" w:cs="Arial" w:eastAsia="Arial" w:hAnsi="Arial"/>
          <w:sz w:val="22"/>
          <w:szCs w:val="22"/>
          <w:color w:val="auto"/>
          <w:vertAlign w:val="superscript"/>
        </w:rPr>
      </w:pPr>
    </w:p>
    <w:p>
      <w:pPr>
        <w:ind w:left="340" w:right="8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(ii) assuming the exchange of the resulting AAP units and PAGP Class B shares for PAGP Class A shares on a one-for-one basis, and (iii) multiplying such resulting number of PAGP Class A shares by an amount equal to 50% of the closing market price ($34.68) of PAGP’s Class A shares at December 30, 2016 (the last trading day of the fiscal year). The value reflected in the table above for Mr. Chiang represents the implied value of such “benefit”, calculated as of December 30, 2016 by (i) assuming that Mr. Chiang’s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100% of the closing market price ($34.68) of PAGP’s Class A shares at December 30, 2016 (the last trading day of the fiscal year).</w:t>
      </w:r>
    </w:p>
    <w:p>
      <w:pPr>
        <w:spacing w:after="0" w:line="84" w:lineRule="exact"/>
        <w:rPr>
          <w:sz w:val="20"/>
          <w:szCs w:val="20"/>
          <w:color w:val="auto"/>
        </w:rPr>
      </w:pPr>
    </w:p>
    <w:p>
      <w:pPr>
        <w:ind w:left="340" w:right="40"/>
        <w:spacing w:after="0" w:line="285" w:lineRule="auto"/>
        <w:rPr>
          <w:sz w:val="20"/>
          <w:szCs w:val="20"/>
          <w:color w:val="auto"/>
        </w:rPr>
      </w:pPr>
      <w:r>
        <w:rPr>
          <w:rFonts w:ascii="Arial" w:cs="Arial" w:eastAsia="Arial" w:hAnsi="Arial"/>
          <w:sz w:val="16"/>
          <w:szCs w:val="16"/>
          <w:color w:val="auto"/>
        </w:rPr>
        <w:t>“Cause” is defined in the AAP Management Unit grant agreements of Messrs. McGee and Nerbonne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w:t>
      </w:r>
    </w:p>
    <w:p>
      <w:pPr>
        <w:spacing w:after="0" w:line="2" w:lineRule="exact"/>
        <w:rPr>
          <w:sz w:val="20"/>
          <w:szCs w:val="20"/>
          <w:color w:val="auto"/>
        </w:rPr>
      </w:pPr>
    </w:p>
    <w:p>
      <w:pPr>
        <w:ind w:left="340" w:right="20" w:hanging="8"/>
        <w:spacing w:after="0" w:line="290" w:lineRule="auto"/>
        <w:tabs>
          <w:tab w:leader="none" w:pos="5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substantial failure to perform the duties and responsibilities of his position at an acceptable level as reasonably determined in good faith by the CEO and President-COO of GP LLC (or if 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56" w:lineRule="exact"/>
        <w:rPr>
          <w:sz w:val="20"/>
          <w:szCs w:val="20"/>
          <w:color w:val="auto"/>
        </w:rPr>
      </w:pPr>
    </w:p>
    <w:p>
      <w:pPr>
        <w:jc w:val="both"/>
        <w:ind w:left="340" w:right="380"/>
        <w:spacing w:after="0" w:line="264"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73"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340" w:hanging="332"/>
        <w:spacing w:after="0" w:line="256" w:lineRule="auto"/>
        <w:tabs>
          <w:tab w:leader="none" w:pos="340"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pursuant to the applicable grant becomes vested.</w:t>
      </w:r>
    </w:p>
    <w:p>
      <w:pPr>
        <w:ind w:left="340"/>
        <w:spacing w:after="0" w:line="266" w:lineRule="auto"/>
        <w:rPr>
          <w:rFonts w:ascii="Arial" w:cs="Arial" w:eastAsia="Arial" w:hAnsi="Arial"/>
          <w:sz w:val="22"/>
          <w:szCs w:val="22"/>
          <w:color w:val="auto"/>
          <w:vertAlign w:val="superscript"/>
        </w:rPr>
      </w:pPr>
      <w:r>
        <w:rPr>
          <w:rFonts w:ascii="Arial" w:cs="Arial" w:eastAsia="Arial" w:hAnsi="Arial"/>
          <w:sz w:val="17"/>
          <w:szCs w:val="17"/>
          <w:color w:val="auto"/>
        </w:rPr>
        <w:t>Mr. Chiang’s employment agreement also provides that his AAP Management Units will vest in full if he terminates his employment within 90 days after a change of control prior to December 31, 2018 and in connection therewith he does not receive the Executive Promotion (see “—Employment Contracts” for additional information regarding Mr. Chiang’s employment agreement). As of December 31, 2016, none of the AAP Management Units held by Mr. Chiang or Mr. Nerbonne had been earned, but all of Mr. McGee’s AAP Management Units had become earned with the exception of 25% of the units covered by his 2013 grant. Accordingly, assuming that a Change in Control occurred on December 30, 2016 (or in the case of Mr. Chiang, 90 days prior to December 30, 2016) and that in connection with such Change in Control, Mr. Chiang had not received the Executive Promotion, all of the AAP Management Units held by Mr. Chiang and Mr. McGee, and 25% held by Mr. Nerbonne would become vested and would no longer be subject to the call right. Because the call right provides for a discounted purchase price relative to fair market value as described above, the applicable Named Executive Officer would “benefit” from a Change in Control by virtue of the fact that such officer’s AAP Management Units could no longer be purchased by AAP at such discount. The value reflected in the table above for Messrs. Chiang, McGee and Nerbonne represents the implied value of such “benefit”, calculated as of December 30, 2016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(100% for Mr. Chiang, 50% for Mr. McGee’s 2011 grant, 62.5% for Mr. McGee’s 2013 grant, and 25% for Mr. Nerbonne) (taking any applicable discount into account) of the closing market price ($34.68) of PAGP’s Class A shares at December 30, 2016 (the last trading day of the fiscal year).</w:t>
      </w:r>
    </w:p>
    <w:p>
      <w:pPr>
        <w:spacing w:after="0" w:line="84" w:lineRule="exact"/>
        <w:rPr>
          <w:rFonts w:ascii="Arial" w:cs="Arial" w:eastAsia="Arial" w:hAnsi="Arial"/>
          <w:sz w:val="22"/>
          <w:szCs w:val="22"/>
          <w:color w:val="auto"/>
          <w:vertAlign w:val="superscript"/>
        </w:rPr>
      </w:pPr>
    </w:p>
    <w:p>
      <w:pPr>
        <w:ind w:left="340"/>
        <w:spacing w:after="0" w:line="289" w:lineRule="auto"/>
        <w:rPr>
          <w:rFonts w:ascii="Arial" w:cs="Arial" w:eastAsia="Arial" w:hAnsi="Arial"/>
          <w:sz w:val="22"/>
          <w:szCs w:val="22"/>
          <w:color w:val="auto"/>
          <w:vertAlign w:val="superscript"/>
        </w:rPr>
      </w:pPr>
      <w:r>
        <w:rPr>
          <w:rFonts w:ascii="Arial" w:cs="Arial" w:eastAsia="Arial" w:hAnsi="Arial"/>
          <w:sz w:val="16"/>
          <w:szCs w:val="16"/>
          <w:color w:val="auto"/>
        </w:rPr>
        <w:t xml:space="preserve">“Change in Control” means the determination by the board that one of the following events has occurred: (i) the Persons who own member interests in PAGP GP immediately following the closing of the GP IPO,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58" w:lineRule="exact"/>
        <w:rPr>
          <w:rFonts w:ascii="Arial" w:cs="Arial" w:eastAsia="Arial" w:hAnsi="Arial"/>
          <w:sz w:val="22"/>
          <w:szCs w:val="22"/>
          <w:color w:val="auto"/>
          <w:vertAlign w:val="superscript"/>
        </w:rPr>
      </w:pPr>
    </w:p>
    <w:p>
      <w:pPr>
        <w:ind w:left="340" w:right="700" w:hanging="332"/>
        <w:spacing w:after="0" w:line="227" w:lineRule="auto"/>
        <w:tabs>
          <w:tab w:leader="none" w:pos="340" w:val="left"/>
        </w:tabs>
        <w:numPr>
          <w:ilvl w:val="0"/>
          <w:numId w:val="104"/>
        </w:numPr>
        <w:rPr>
          <w:rFonts w:ascii="Arial" w:cs="Arial" w:eastAsia="Arial" w:hAnsi="Arial"/>
          <w:sz w:val="24"/>
          <w:szCs w:val="24"/>
          <w:color w:val="auto"/>
          <w:vertAlign w:val="superscript"/>
        </w:rPr>
      </w:pPr>
      <w:r>
        <w:rPr>
          <w:rFonts w:ascii="Arial" w:cs="Arial" w:eastAsia="Arial" w:hAnsi="Arial"/>
          <w:sz w:val="17"/>
          <w:szCs w:val="17"/>
          <w:color w:val="auto"/>
        </w:rPr>
        <w:t>If Messrs. Swanson, Chiang, McGee or Nerbonne were terminated for cause, GP LLC would be obligated to pay base salary through the date of termination, with no other payment obligation triggered by the termination under any employment arrangement.</w:t>
      </w:r>
    </w:p>
    <w:p>
      <w:pPr>
        <w:spacing w:after="0" w:line="94" w:lineRule="exact"/>
        <w:rPr>
          <w:rFonts w:ascii="Arial" w:cs="Arial" w:eastAsia="Arial" w:hAnsi="Arial"/>
          <w:sz w:val="24"/>
          <w:szCs w:val="24"/>
          <w:color w:val="auto"/>
          <w:vertAlign w:val="superscript"/>
        </w:rPr>
      </w:pPr>
    </w:p>
    <w:p>
      <w:pPr>
        <w:ind w:left="340" w:right="20" w:hanging="332"/>
        <w:spacing w:after="0" w:line="243" w:lineRule="auto"/>
        <w:tabs>
          <w:tab w:leader="none" w:pos="34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Mr. Chiang’s employment agreement provides that in the event of his death or disability prior to December 31, 2018, if less than 187,760 of his AAP Management Units have been earned, he shall vest in such number of additional AAP Management Units as may be necessary to cause the total number of vested AAP Management Units to equal 187,760. Mr. Chiang’s AAP Management Unit grant agreement also provides that in the event of his death or disability, AAP will not have a call right and all of his earned AAP Management Units will vest. As of December 30, 2016, none of Mr. Chiang’s AAP Management Units had been earned. The dollar value given assumes Mr. Chiang’s death or disability on December 30, 2016 and represents the implied value of such “benefit,” calculated as of December 30, 2016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($34.68) of PAGP’s Class A shares at December 30, 2016 (the last trading day of the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ind w:right="100"/>
        <w:spacing w:after="0" w:line="261" w:lineRule="auto"/>
        <w:rPr>
          <w:sz w:val="20"/>
          <w:szCs w:val="20"/>
          <w:color w:val="auto"/>
        </w:rPr>
      </w:pPr>
      <w:r>
        <w:rPr>
          <w:rFonts w:ascii="Arial" w:cs="Arial" w:eastAsia="Arial" w:hAnsi="Arial"/>
          <w:sz w:val="18"/>
          <w:szCs w:val="18"/>
          <w:color w:val="auto"/>
        </w:rPr>
        <w:t>Mr. Chiang has agreed to maintain confidentiality and not to solicit customers, assets and employees for two years following termination of his employment. Mr. Nerbonne and Mr. McGee have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125"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agreed to maintain confidentiality and not to solicit customers for a period of two years after termination of his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 result of the Simplification Transactions completed in November 2016, the board of directors of GP LLC was eliminated and the board of directors of PAGP GP now has responsibility for managing the business and affairs of PAGP, PAA and AAP. The following table sets forth a summary of the compensation paid to each person who served as a non-employee director of GP LLC or PAGP GP in 2016:</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Fees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Earned</w:t>
            </w:r>
          </w:p>
        </w:tc>
        <w:tc>
          <w:tcPr>
            <w:tcW w:w="17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Stock</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700" w:type="dxa"/>
            <w:vAlign w:val="bottom"/>
            <w:gridSpan w:val="2"/>
            <w:vMerge w:val="continue"/>
          </w:tcPr>
          <w:p>
            <w:pPr>
              <w:spacing w:after="0"/>
              <w:rPr>
                <w:sz w:val="12"/>
                <w:szCs w:val="12"/>
                <w:color w:val="auto"/>
              </w:rPr>
            </w:pPr>
          </w:p>
        </w:tc>
        <w:tc>
          <w:tcPr>
            <w:tcW w:w="15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Cash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Victor Burk</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42,500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87,540</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Ben Figlock </w:t>
            </w:r>
            <w:r>
              <w:rPr>
                <w:rFonts w:ascii="Arial" w:cs="Arial" w:eastAsia="Arial" w:hAnsi="Arial"/>
                <w:sz w:val="25"/>
                <w:szCs w:val="25"/>
                <w:color w:val="auto"/>
                <w:vertAlign w:val="superscript"/>
              </w:rPr>
              <w:t>(3)</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3"/>
                <w:szCs w:val="23"/>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n/a</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Everardo Goyanes</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172,774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247,774</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Gary R. Petersen</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121,250</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72,875</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194,125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T. Raymond</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117,875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Bobby S. Shackouls</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40,875</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45,040</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85,915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V. Sinnott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119,875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 Taft Symonds</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138,250</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145,750</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284,000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Christopher M. Temple</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145,750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300,750</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83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44" w:lineRule="exact"/>
        <w:rPr>
          <w:sz w:val="20"/>
          <w:szCs w:val="20"/>
          <w:color w:val="auto"/>
        </w:rPr>
      </w:pPr>
    </w:p>
    <w:p>
      <w:pPr>
        <w:ind w:left="340" w:right="80" w:hanging="332"/>
        <w:spacing w:after="0" w:line="216" w:lineRule="auto"/>
        <w:tabs>
          <w:tab w:leader="none" w:pos="34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For Messrs. Petersen, Symonds and Temple, fees paid in 2016 include fees for service on the conflicts committee established by the board of directors of GP LLC in connection with the Simplification Transactions.</w:t>
      </w:r>
    </w:p>
    <w:p>
      <w:pPr>
        <w:spacing w:after="0" w:line="95" w:lineRule="exact"/>
        <w:rPr>
          <w:rFonts w:ascii="Arial" w:cs="Arial" w:eastAsia="Arial" w:hAnsi="Arial"/>
          <w:sz w:val="25"/>
          <w:szCs w:val="25"/>
          <w:color w:val="auto"/>
          <w:vertAlign w:val="superscript"/>
        </w:rPr>
      </w:pPr>
    </w:p>
    <w:p>
      <w:pPr>
        <w:ind w:left="340" w:right="20" w:hanging="332"/>
        <w:spacing w:after="0" w:line="259" w:lineRule="auto"/>
        <w:tabs>
          <w:tab w:leader="none" w:pos="340" w:val="left"/>
        </w:tabs>
        <w:numPr>
          <w:ilvl w:val="0"/>
          <w:numId w:val="105"/>
        </w:numPr>
        <w:rPr>
          <w:rFonts w:ascii="Arial" w:cs="Arial" w:eastAsia="Arial" w:hAnsi="Arial"/>
          <w:sz w:val="24"/>
          <w:szCs w:val="24"/>
          <w:color w:val="auto"/>
          <w:vertAlign w:val="superscript"/>
        </w:rPr>
      </w:pPr>
      <w:r>
        <w:rPr>
          <w:rFonts w:ascii="Arial" w:cs="Arial" w:eastAsia="Arial" w:hAnsi="Arial"/>
          <w:sz w:val="17"/>
          <w:szCs w:val="17"/>
          <w:color w:val="auto"/>
        </w:rPr>
        <w:t>The dollar value of LTIPs granted during 2016 is based on the grant date fair value computed in accordance with FASB ASC Topic 718. See Note 16 to our Consolidated Financial Statements for additional discussion regarding the calculation of grant date fair values. In connection with the August 2016 vesting of director LTIP awards issued prior to the consummation of the Simplification Transactions, Messrs. Goyanes, Symonds and Temple each were granted 5,000 PAA phantom units, and Messrs. Petersen, Raymond and Sinnott each were granted 2,500 PAA phantom units by virtue of the automatic re-grant feature of the vested awards. Upon vesting of such PAA director LTIP awards in August 2016 (other than the incremental audit committee awards), a cash payment of $89,600 was made to Oxy as directed by Mr. Figlock. Such cash payment was based on the unit value of Mr. Sinnott’s award on the previous year’s vesting date. In connection with the February 2016 vesting of PAGP director LTIP awards, Messrs. Burk and Shackouls each were granted 3,004 phantom PAGP Class A shares and Mr. Goyanes was granted 1,803 phantom PAGP Class A shares by virtue of the automatic re-grant feature of the vested awards. As of December 31, 2016, the number of outstanding PAA LTIPs held by our directors was as follows: Goyanes - 20,000; Petersen - 10,000; Raymond - 10,000; Sinnott - 10,000; Symonds - 20,000; and Temple - 20,000. As of December 31, 2016, the number of outstanding PAGP LTIPs held by our directors was as follows: Burk - 12,016; Goyanes - 7,210; and Shackouls - 12,016. These arrangements were modified in February 2017 (see below for a description of the modified arrangements).</w:t>
      </w:r>
    </w:p>
    <w:p>
      <w:pPr>
        <w:spacing w:after="0" w:line="25"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Mr. Figlock’s compensation is assigned to Oxy.</w:t>
      </w:r>
    </w:p>
    <w:p>
      <w:pPr>
        <w:spacing w:after="0" w:line="20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w:t>
      </w:r>
    </w:p>
    <w:p>
      <w:pPr>
        <w:ind w:right="180"/>
        <w:spacing w:after="0" w:line="254" w:lineRule="auto"/>
        <w:rPr>
          <w:sz w:val="20"/>
          <w:szCs w:val="20"/>
          <w:color w:val="auto"/>
        </w:rPr>
      </w:pPr>
      <w:r>
        <w:rPr>
          <w:rFonts w:ascii="Arial" w:cs="Arial" w:eastAsia="Arial" w:hAnsi="Arial"/>
          <w:sz w:val="18"/>
          <w:szCs w:val="18"/>
          <w:color w:val="auto"/>
        </w:rPr>
        <w:t>Messrs. Armstrong, Chiang and Pefanis are otherwise compensated for their services as employees and therefore receive no separate compensation for services as directors.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w:t>
      </w:r>
    </w:p>
    <w:p>
      <w:pPr>
        <w:spacing w:after="0" w:line="1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non-employee directors receive LTIP awards or cash equivalent awards as part of their compensation. In February 2017, the board of directors approved a modified equity compensation structure for non-employee directors and a plan for transitioning to the new structure. Specifically, the board of directors approved making new grants, cancelling existing grants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or amending and restating the director’s existing grants as necessary to effect the following (with the grants described below being denominated in either PAA phantom units or PAGP phantom units based on a one-time election to be made by each director): (i) for each designated director other than the Oxy designee (i.e., Messrs. Raymond and Sinnott, but excluding Mr. Figlock), a phantom unit grant of 10,000 units vesting 25% on the August distribution date of each year, with an automatic re-grant of an additional 25% immediately upon each such vesting, together with associated DERs, (ii) for each independent director who is not serving on the Audit Committee (Messrs. Petersen, Shackouls and Temple), a phantom unit grant of 15,000 units vesting 25% on the August distribution date of each year, with an automatic re-grant of an additional 25% immediately upon each such vesting, together with associated DERs, (iii) for each independent director who is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Oxy (Mr. Figlock), concurrent with the annual August vesting of the awards made to the other designated directors, a cash payment will be made to Oxy based on the unit value of Mr. Sinnott’s award on the previous year’s vesting date.</w:t>
      </w:r>
    </w:p>
    <w:p>
      <w:pPr>
        <w:spacing w:after="0" w:line="38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All director LTIP awards vest in full upon the next following distribution date after the death or disability (as determined in good faith by the board) of the director. For supplemental audit committee grants, the awards also vest in full if such director (i) retires (no longer with full-time employment and no longer serving as an officer or director of any public company) or (ii) is removed from the board of directors or the Audit Committee or is not reelected to the board of directors or the Audit Committee, unless such removal or failure to reelect is for “good cause,” as defined in the letter granting the units.</w:t>
      </w:r>
    </w:p>
    <w:p>
      <w:pPr>
        <w:spacing w:after="0" w:line="15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During 2016, prior to the closing of the Simplification Transactions, Messrs. Figlock, Goyanes, Raymond and Sinnott also served as directors of PAGP GP, and Mr. Goyanes served as chairman of the PAGP GP audit committee. Messrs. Figlock, Raymond and Sinnott did not receive additional compensation for their service on the PAGP GP board. During 2016, prior to the closing of the Simplification Transactions, Messrs. Sinnott and Goyanes served as chairmen of the compensation and audit committees, respectively, of the GP LLC board. Mr. Symonds served as chairman of the governance committee of the GP LLC board prior to the Simplification Transactions; Mr. Shackouls has served as chairman of the governance committee of the PAGP GP board since the Simplification Transactions.</w:t>
      </w:r>
    </w:p>
    <w:p>
      <w:pPr>
        <w:spacing w:after="0" w:line="19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2016, prior to the Simplification Transactions, Messrs. Burk and Shackouls each received an annual retainer of $40,000 for service on the PAGP GP board and audit committee. Messrs. Burk and Shackouls each also received initial equity compensation in the form of an LTIP award for 12,016 phantom Class A shares of PAGP. Mr. Goyanes did not receive additional cash compensation for his service as a director and chairman of the audit committee of the PAGP GP board, but he received initial equity compensation in the form of an LTIP award for 7,210 phantom Class A shares of PAGP.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Limited Partner Interest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common units and Preferred Units outstanding represent 100% of our equity (limited partner interest). Ownership of the non-economic general partner interest is discussed separately below under “—Beneficial Ownership of General Partner Interest.” The following table sets forth the beneficial ownership of limited partner units held by beneficial owners of 5% or more of our common units and Preferred Units, directors, the Named Executive Officers, and all directors and executive officers as a group as of February 15,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 of Beneficial</w:t>
            </w:r>
          </w:p>
        </w:tc>
        <w:tc>
          <w:tcPr>
            <w:tcW w:w="13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Common</w:t>
            </w:r>
          </w:p>
        </w:tc>
        <w:tc>
          <w:tcPr>
            <w:tcW w:w="46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Preferred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52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Common</w:t>
            </w:r>
          </w:p>
        </w:tc>
        <w:tc>
          <w:tcPr>
            <w:tcW w:w="136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Preferred</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Owner and Address (in the case of Owners of more than 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Units</w:t>
            </w:r>
          </w:p>
        </w:tc>
        <w:tc>
          <w:tcPr>
            <w:tcW w:w="4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Units</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EnCap Partners LLC </w:t>
            </w:r>
            <w:r>
              <w:rPr>
                <w:rFonts w:ascii="Arial" w:cs="Arial" w:eastAsia="Arial" w:hAnsi="Arial"/>
                <w:sz w:val="25"/>
                <w:szCs w:val="25"/>
                <w:color w:val="auto"/>
                <w:vertAlign w:val="superscript"/>
              </w:rPr>
              <w:t>(2)</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23,426,064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0"/>
        </w:trPr>
        <w:tc>
          <w:tcPr>
            <w:tcW w:w="55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EMG Fund IV PAA Holdings, LLC </w:t>
            </w:r>
            <w:r>
              <w:rPr>
                <w:rFonts w:ascii="Arial" w:cs="Arial" w:eastAsia="Arial" w:hAnsi="Arial"/>
                <w:sz w:val="25"/>
                <w:szCs w:val="25"/>
                <w:color w:val="auto"/>
                <w:vertAlign w:val="superscript"/>
              </w:rPr>
              <w:t>(3)</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18,824,515</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FR KA Plains Holdings LLC </w:t>
            </w:r>
            <w:r>
              <w:rPr>
                <w:rFonts w:ascii="Arial" w:cs="Arial" w:eastAsia="Arial" w:hAnsi="Arial"/>
                <w:sz w:val="25"/>
                <w:szCs w:val="25"/>
                <w:color w:val="auto"/>
                <w:vertAlign w:val="superscript"/>
              </w:rPr>
              <w:t>(4)</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11,713,032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55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Stonepeak Partners LLC </w:t>
            </w:r>
            <w:r>
              <w:rPr>
                <w:rFonts w:ascii="Arial" w:cs="Arial" w:eastAsia="Arial" w:hAnsi="Arial"/>
                <w:sz w:val="25"/>
                <w:szCs w:val="25"/>
                <w:color w:val="auto"/>
                <w:vertAlign w:val="superscript"/>
              </w:rPr>
              <w:t>(5)</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5,856,515</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AAP, L.P.</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243,383,735</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Richard A. Kayne/Kayne Anderson Capital Advisors, L.P. </w:t>
            </w:r>
            <w:r>
              <w:rPr>
                <w:rFonts w:ascii="Arial" w:cs="Arial" w:eastAsia="Arial" w:hAnsi="Arial"/>
                <w:sz w:val="25"/>
                <w:szCs w:val="25"/>
                <w:color w:val="auto"/>
                <w:vertAlign w:val="superscript"/>
              </w:rPr>
              <w:t>(6)</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13,361,597</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5,856,500</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Greg L. Armstrong</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1,467,871</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Harry N. Pefanis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847,532</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Al Swanson</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100,998</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McGee</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Daniel J. Nerbonne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Victor Burk</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14,543</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Ben Figlock</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Everardo Goyanes</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88,400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Gary R. Petersen </w:t>
            </w:r>
            <w:r>
              <w:rPr>
                <w:rFonts w:ascii="Arial" w:cs="Arial" w:eastAsia="Arial" w:hAnsi="Arial"/>
                <w:sz w:val="25"/>
                <w:szCs w:val="25"/>
                <w:color w:val="auto"/>
                <w:vertAlign w:val="superscript"/>
              </w:rPr>
              <w:t>(2)</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49,450</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23,426,064</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5"/>
                <w:szCs w:val="25"/>
                <w:color w:val="auto"/>
                <w:vertAlign w:val="superscript"/>
              </w:rPr>
              <w:t>(3)</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1,599,616</w:t>
            </w:r>
          </w:p>
        </w:tc>
        <w:tc>
          <w:tcPr>
            <w:tcW w:w="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18,824,515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Bobby Shackouls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19,418</w:t>
            </w:r>
          </w:p>
        </w:tc>
        <w:tc>
          <w:tcPr>
            <w:tcW w:w="46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V. Sinnott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346,393</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(7)(8)</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J. Taft Symonds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104,050</w:t>
            </w:r>
          </w:p>
        </w:tc>
        <w:tc>
          <w:tcPr>
            <w:tcW w:w="460" w:type="dxa"/>
            <w:vAlign w:val="bottom"/>
          </w:tcPr>
          <w:p>
            <w:pPr>
              <w:ind w:left="40"/>
              <w:spacing w:after="0"/>
              <w:rPr>
                <w:sz w:val="20"/>
                <w:szCs w:val="20"/>
                <w:color w:val="auto"/>
              </w:rPr>
            </w:pPr>
            <w:r>
              <w:rPr>
                <w:rFonts w:ascii="Arial" w:cs="Arial" w:eastAsia="Arial" w:hAnsi="Arial"/>
                <w:sz w:val="13"/>
                <w:szCs w:val="13"/>
                <w:color w:val="auto"/>
              </w:rPr>
              <w:t>(7)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Christopher M. Temple</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(18 persons)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5,212,489</w:t>
            </w:r>
          </w:p>
        </w:tc>
        <w:tc>
          <w:tcPr>
            <w:tcW w:w="460" w:type="dxa"/>
            <w:vAlign w:val="bottom"/>
          </w:tcPr>
          <w:p>
            <w:pPr>
              <w:ind w:left="40"/>
              <w:spacing w:after="0"/>
              <w:rPr>
                <w:sz w:val="20"/>
                <w:szCs w:val="20"/>
                <w:color w:val="auto"/>
              </w:rPr>
            </w:pPr>
            <w:r>
              <w:rPr>
                <w:rFonts w:ascii="Arial" w:cs="Arial" w:eastAsia="Arial" w:hAnsi="Arial"/>
                <w:sz w:val="13"/>
                <w:szCs w:val="13"/>
                <w:color w:val="auto"/>
              </w:rPr>
              <w:t>(7)(9)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42,250,579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1"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ind w:left="340" w:right="60" w:hanging="332"/>
        <w:spacing w:after="0" w:line="232" w:lineRule="auto"/>
        <w:tabs>
          <w:tab w:leader="none" w:pos="340" w:val="left"/>
        </w:tabs>
        <w:numPr>
          <w:ilvl w:val="0"/>
          <w:numId w:val="107"/>
        </w:numPr>
        <w:rPr>
          <w:rFonts w:ascii="Arial" w:cs="Arial" w:eastAsia="Arial" w:hAnsi="Arial"/>
          <w:sz w:val="25"/>
          <w:szCs w:val="25"/>
          <w:color w:val="auto"/>
          <w:vertAlign w:val="superscript"/>
        </w:rPr>
      </w:pPr>
      <w:r>
        <w:rPr>
          <w:rFonts w:ascii="Arial" w:cs="Arial" w:eastAsia="Arial" w:hAnsi="Arial"/>
          <w:sz w:val="18"/>
          <w:szCs w:val="18"/>
          <w:color w:val="auto"/>
        </w:rPr>
        <w:t>The Preferred Units will vote on an as-converted basis with the common units and will have certain other class voting rights with respect to any amendment to our partnership agreement that would adversely affect any rights, preferences or privileges of the Preferred Units. The Preferred Units are convertible, generally on a one-for-one basis and subject to customary anti-dilution adjustments, (i) by the holders after January 28, 2018, and (ii) by us after January 28, 2019.</w:t>
      </w:r>
    </w:p>
    <w:p>
      <w:pPr>
        <w:spacing w:after="0" w:line="94" w:lineRule="exact"/>
        <w:rPr>
          <w:rFonts w:ascii="Arial" w:cs="Arial" w:eastAsia="Arial" w:hAnsi="Arial"/>
          <w:sz w:val="25"/>
          <w:szCs w:val="25"/>
          <w:color w:val="auto"/>
          <w:vertAlign w:val="superscript"/>
        </w:rPr>
      </w:pPr>
    </w:p>
    <w:p>
      <w:pPr>
        <w:ind w:left="340" w:right="160" w:hanging="332"/>
        <w:spacing w:after="0" w:line="232" w:lineRule="auto"/>
        <w:tabs>
          <w:tab w:leader="none" w:pos="340" w:val="left"/>
        </w:tabs>
        <w:numPr>
          <w:ilvl w:val="0"/>
          <w:numId w:val="107"/>
        </w:numPr>
        <w:rPr>
          <w:rFonts w:ascii="Arial" w:cs="Arial" w:eastAsia="Arial" w:hAnsi="Arial"/>
          <w:sz w:val="25"/>
          <w:szCs w:val="25"/>
          <w:color w:val="auto"/>
          <w:vertAlign w:val="superscript"/>
        </w:rPr>
      </w:pPr>
      <w:r>
        <w:rPr>
          <w:rFonts w:ascii="Arial" w:cs="Arial" w:eastAsia="Arial" w:hAnsi="Arial"/>
          <w:sz w:val="18"/>
          <w:szCs w:val="18"/>
          <w:color w:val="auto"/>
        </w:rPr>
        <w:t>The Preferred Units are owned by funds managed by EnCap Partners, LLC, whose address is 1100 Louisiana, Suite 4900, Houston, Texas 77002. Gary R. Petersen may be deemed to be the beneficial owner of the Preferred Units owned by these holders by virtue of being a member of EnCap Partners, LLC, the managing member of each holder’s general partner. Mr. Petersen disclaims beneficial ownership of the Preferred Units except to the extent of his pecuniary interest therein.</w:t>
      </w:r>
    </w:p>
    <w:p>
      <w:pPr>
        <w:spacing w:after="0" w:line="94" w:lineRule="exact"/>
        <w:rPr>
          <w:rFonts w:ascii="Arial" w:cs="Arial" w:eastAsia="Arial" w:hAnsi="Arial"/>
          <w:sz w:val="25"/>
          <w:szCs w:val="25"/>
          <w:color w:val="auto"/>
          <w:vertAlign w:val="superscript"/>
        </w:rPr>
      </w:pPr>
    </w:p>
    <w:p>
      <w:pPr>
        <w:ind w:left="340" w:hanging="332"/>
        <w:spacing w:after="0" w:line="232" w:lineRule="auto"/>
        <w:tabs>
          <w:tab w:leader="none" w:pos="340" w:val="left"/>
        </w:tabs>
        <w:numPr>
          <w:ilvl w:val="0"/>
          <w:numId w:val="107"/>
        </w:numPr>
        <w:rPr>
          <w:rFonts w:ascii="Arial" w:cs="Arial" w:eastAsia="Arial" w:hAnsi="Arial"/>
          <w:sz w:val="25"/>
          <w:szCs w:val="25"/>
          <w:color w:val="auto"/>
          <w:vertAlign w:val="superscript"/>
        </w:rPr>
      </w:pPr>
      <w:r>
        <w:rPr>
          <w:rFonts w:ascii="Arial" w:cs="Arial" w:eastAsia="Arial" w:hAnsi="Arial"/>
          <w:sz w:val="18"/>
          <w:szCs w:val="18"/>
          <w:color w:val="auto"/>
        </w:rPr>
        <w:t>The address for this holder is 811 Main Street, Suite 4200, Houston, Texas 77002. John T. Raymond has sole voting and dispositive power over the Preferred Units and may be deemed to be the beneficial owner of the Preferred Units owned by the holder by virtue of being the sole member of the general partner of the holder’s manager. Mr. Raymond disclaims beneficial ownership of the Preferred Units except to the extent of his pecuniary interest therein.</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07"/>
        </w:numPr>
        <w:rPr>
          <w:rFonts w:ascii="Arial" w:cs="Arial" w:eastAsia="Arial" w:hAnsi="Arial"/>
          <w:sz w:val="25"/>
          <w:szCs w:val="25"/>
          <w:color w:val="auto"/>
          <w:vertAlign w:val="superscript"/>
        </w:rPr>
      </w:pPr>
      <w:r>
        <w:rPr>
          <w:rFonts w:ascii="Arial" w:cs="Arial" w:eastAsia="Arial" w:hAnsi="Arial"/>
          <w:sz w:val="18"/>
          <w:szCs w:val="18"/>
          <w:color w:val="auto"/>
        </w:rPr>
        <w:t>The address for this holder is 600 Travis, Suite 6000, Houston, Texas 77002.</w:t>
      </w:r>
    </w:p>
    <w:p>
      <w:pPr>
        <w:spacing w:after="0" w:line="98" w:lineRule="exact"/>
        <w:rPr>
          <w:rFonts w:ascii="Arial" w:cs="Arial" w:eastAsia="Arial" w:hAnsi="Arial"/>
          <w:sz w:val="25"/>
          <w:szCs w:val="25"/>
          <w:color w:val="auto"/>
          <w:vertAlign w:val="superscript"/>
        </w:rPr>
      </w:pPr>
    </w:p>
    <w:p>
      <w:pPr>
        <w:ind w:left="340" w:right="320" w:hanging="332"/>
        <w:spacing w:after="0" w:line="214" w:lineRule="auto"/>
        <w:tabs>
          <w:tab w:leader="none" w:pos="340" w:val="left"/>
        </w:tabs>
        <w:numPr>
          <w:ilvl w:val="0"/>
          <w:numId w:val="107"/>
        </w:numPr>
        <w:rPr>
          <w:rFonts w:ascii="Arial" w:cs="Arial" w:eastAsia="Arial" w:hAnsi="Arial"/>
          <w:sz w:val="25"/>
          <w:szCs w:val="25"/>
          <w:color w:val="auto"/>
          <w:vertAlign w:val="superscript"/>
        </w:rPr>
      </w:pPr>
      <w:r>
        <w:rPr>
          <w:rFonts w:ascii="Arial" w:cs="Arial" w:eastAsia="Arial" w:hAnsi="Arial"/>
          <w:sz w:val="18"/>
          <w:szCs w:val="18"/>
          <w:color w:val="auto"/>
        </w:rPr>
        <w:t>The Preferred Units are owned by a fund managed by Stonepeak Partners LLC, whose address is 717 Fifth Avenue, 25th Floor, New York, New York 10022.</w:t>
      </w:r>
    </w:p>
    <w:p>
      <w:pPr>
        <w:spacing w:after="0" w:line="94" w:lineRule="exact"/>
        <w:rPr>
          <w:rFonts w:ascii="Arial" w:cs="Arial" w:eastAsia="Arial" w:hAnsi="Arial"/>
          <w:sz w:val="25"/>
          <w:szCs w:val="25"/>
          <w:color w:val="auto"/>
          <w:vertAlign w:val="superscript"/>
        </w:rPr>
      </w:pPr>
    </w:p>
    <w:p>
      <w:pPr>
        <w:ind w:left="340" w:right="40" w:hanging="332"/>
        <w:spacing w:after="0" w:line="250" w:lineRule="auto"/>
        <w:tabs>
          <w:tab w:leader="none" w:pos="340" w:val="left"/>
        </w:tabs>
        <w:numPr>
          <w:ilvl w:val="0"/>
          <w:numId w:val="107"/>
        </w:numPr>
        <w:rPr>
          <w:rFonts w:ascii="Arial" w:cs="Arial" w:eastAsia="Arial" w:hAnsi="Arial"/>
          <w:sz w:val="24"/>
          <w:szCs w:val="24"/>
          <w:color w:val="auto"/>
          <w:vertAlign w:val="superscript"/>
        </w:rPr>
      </w:pPr>
      <w:r>
        <w:rPr>
          <w:rFonts w:ascii="Arial" w:cs="Arial" w:eastAsia="Arial" w:hAnsi="Arial"/>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9,918,015 common units and 5,856,500 Preferred Units. Mr. Kayne may be deemed to beneficially own such units. In addition, Mr. Kayne directly owns or has sole voting and dispositive power over 3,443,582 common units. Mr. Kayne disclaims beneficial ownership of any of our partner interests other than units held by him or interests attributable to him by virtue of his interests in the accounts that own our partner interests. The address for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Kayne and Kayne Anderson Investment Management, Inc. is 1800 Avenue of the Stars, 3rd Floor, Los Angeles, California 90067.</w:t>
      </w:r>
    </w:p>
    <w:p>
      <w:pPr>
        <w:spacing w:after="0" w:line="131" w:lineRule="exact"/>
        <w:rPr>
          <w:sz w:val="20"/>
          <w:szCs w:val="20"/>
          <w:color w:val="auto"/>
        </w:rPr>
      </w:pPr>
    </w:p>
    <w:p>
      <w:pPr>
        <w:ind w:left="340" w:right="240" w:hanging="332"/>
        <w:spacing w:after="0" w:line="216" w:lineRule="auto"/>
        <w:tabs>
          <w:tab w:leader="none" w:pos="340" w:val="left"/>
        </w:tabs>
        <w:numPr>
          <w:ilvl w:val="0"/>
          <w:numId w:val="108"/>
        </w:numPr>
        <w:rPr>
          <w:rFonts w:ascii="Arial" w:cs="Arial" w:eastAsia="Arial" w:hAnsi="Arial"/>
          <w:sz w:val="25"/>
          <w:szCs w:val="25"/>
          <w:color w:val="auto"/>
          <w:vertAlign w:val="superscript"/>
        </w:rPr>
      </w:pPr>
      <w:r>
        <w:rPr>
          <w:rFonts w:ascii="Arial" w:cs="Arial" w:eastAsia="Arial" w:hAnsi="Arial"/>
          <w:sz w:val="18"/>
          <w:szCs w:val="18"/>
          <w:color w:val="auto"/>
        </w:rPr>
        <w:t>Does not include unvested phantom units granted under our Long-Term Incentive Plans, none of which will vest within 60 days of the date hereof. See Item 11. “Executive Compensation—Outstanding Equity Awards at Fiscal Year-End” and “— Director Compensation.”</w:t>
      </w:r>
    </w:p>
    <w:p>
      <w:pPr>
        <w:spacing w:after="0" w:line="95" w:lineRule="exact"/>
        <w:rPr>
          <w:rFonts w:ascii="Arial" w:cs="Arial" w:eastAsia="Arial" w:hAnsi="Arial"/>
          <w:sz w:val="25"/>
          <w:szCs w:val="25"/>
          <w:color w:val="auto"/>
          <w:vertAlign w:val="superscript"/>
        </w:rPr>
      </w:pPr>
    </w:p>
    <w:p>
      <w:pPr>
        <w:ind w:left="340" w:hanging="332"/>
        <w:spacing w:after="0" w:line="271" w:lineRule="auto"/>
        <w:tabs>
          <w:tab w:leader="none" w:pos="340" w:val="left"/>
        </w:tabs>
        <w:numPr>
          <w:ilvl w:val="0"/>
          <w:numId w:val="108"/>
        </w:numPr>
        <w:rPr>
          <w:rFonts w:ascii="Arial" w:cs="Arial" w:eastAsia="Arial" w:hAnsi="Arial"/>
          <w:sz w:val="22"/>
          <w:szCs w:val="22"/>
          <w:color w:val="auto"/>
          <w:vertAlign w:val="superscript"/>
        </w:rPr>
      </w:pPr>
      <w:r>
        <w:rPr>
          <w:rFonts w:ascii="Arial" w:cs="Arial" w:eastAsia="Arial" w:hAnsi="Arial"/>
          <w:sz w:val="16"/>
          <w:szCs w:val="16"/>
          <w:color w:val="auto"/>
        </w:rPr>
        <w:t>Pursuant to the PAGP GP LLC Agreement, Mr. Sinnott is designated as a member of the board of directors of PAGP GP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14"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08"/>
        </w:numPr>
        <w:rPr>
          <w:rFonts w:ascii="Arial" w:cs="Arial" w:eastAsia="Arial" w:hAnsi="Arial"/>
          <w:sz w:val="25"/>
          <w:szCs w:val="25"/>
          <w:color w:val="auto"/>
          <w:vertAlign w:val="superscript"/>
        </w:rPr>
      </w:pPr>
      <w:r>
        <w:rPr>
          <w:rFonts w:ascii="Arial" w:cs="Arial" w:eastAsia="Arial" w:hAnsi="Arial"/>
          <w:sz w:val="18"/>
          <w:szCs w:val="18"/>
          <w:color w:val="auto"/>
        </w:rPr>
        <w:t>As of February 15, 2017, no units were pledged by directors or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owns a significant limited partner interest in us and, through its 100% member interest in PAA GP LLC, our non-economic general partner interest. GP LLC owns a limited partner interest and non-economic general partner interest in AAP. The Class A limited partners of AAP, together with the holders of the AAP Management Units, collectively own 100% of the economic interests in AAP. The following table sets forth the percentage ownership of each of the Class A limited partners of AAP and the resulting economic interest of each such limited partner and the holders of the AAP Management Units as a group, in each case as of February 15, 2017: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00" w:type="dxa"/>
            <w:vAlign w:val="bottom"/>
            <w:vMerge w:val="restart"/>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Class A LP</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AAP, L.P. </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8"/>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Plains GP Holdings, L.P. and Plains All American GP LLC</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333 Clay Street, Suite 1600</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Houston, TX 77002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EMG Investment, LLC</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20"/>
              <w:spacing w:after="0"/>
              <w:rPr>
                <w:sz w:val="20"/>
                <w:szCs w:val="20"/>
                <w:color w:val="auto"/>
              </w:rPr>
            </w:pPr>
            <w:r>
              <w:rPr>
                <w:rFonts w:ascii="Arial" w:cs="Arial" w:eastAsia="Arial" w:hAnsi="Arial"/>
                <w:sz w:val="18"/>
                <w:szCs w:val="18"/>
                <w:color w:val="auto"/>
              </w:rPr>
              <w:t>811 Main, Suite 4200</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20"/>
              <w:spacing w:after="0"/>
              <w:rPr>
                <w:sz w:val="20"/>
                <w:szCs w:val="20"/>
                <w:color w:val="auto"/>
              </w:rPr>
            </w:pPr>
            <w:r>
              <w:rPr>
                <w:rFonts w:ascii="Arial" w:cs="Arial" w:eastAsia="Arial" w:hAnsi="Arial"/>
                <w:sz w:val="18"/>
                <w:szCs w:val="18"/>
                <w:color w:val="auto"/>
              </w:rPr>
              <w:t>Houston, TX 77002</w:t>
            </w:r>
          </w:p>
        </w:tc>
        <w:tc>
          <w:tcPr>
            <w:tcW w:w="16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KAFU Holdings, L.P. and Affiliates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1800 Avenue of the Stars, 3rd Floor</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 Angeles, CA 90067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Oxy Holding Company (Pipeline), Inc.</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20"/>
              <w:spacing w:after="0"/>
              <w:rPr>
                <w:sz w:val="20"/>
                <w:szCs w:val="20"/>
                <w:color w:val="auto"/>
              </w:rPr>
            </w:pPr>
            <w:r>
              <w:rPr>
                <w:rFonts w:ascii="Arial" w:cs="Arial" w:eastAsia="Arial" w:hAnsi="Arial"/>
                <w:sz w:val="18"/>
                <w:szCs w:val="18"/>
                <w:color w:val="auto"/>
              </w:rPr>
              <w:t>5 Greenway Plaza</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20"/>
              <w:spacing w:after="0"/>
              <w:rPr>
                <w:sz w:val="20"/>
                <w:szCs w:val="20"/>
                <w:color w:val="auto"/>
              </w:rPr>
            </w:pPr>
            <w:r>
              <w:rPr>
                <w:rFonts w:ascii="Arial" w:cs="Arial" w:eastAsia="Arial" w:hAnsi="Arial"/>
                <w:sz w:val="18"/>
                <w:szCs w:val="18"/>
                <w:color w:val="auto"/>
              </w:rPr>
              <w:t>Houston, TX 77046</w:t>
            </w:r>
          </w:p>
        </w:tc>
        <w:tc>
          <w:tcPr>
            <w:tcW w:w="16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Strome PAA, L.P. and Affiliate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Windy, L.L.C.</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Lynx Holdings I, LLC</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80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Various Individual Investors and Former PAA Management LP Investors </w:t>
            </w:r>
            <w:r>
              <w:rPr>
                <w:rFonts w:ascii="Arial" w:cs="Arial" w:eastAsia="Arial" w:hAnsi="Arial"/>
                <w:sz w:val="25"/>
                <w:szCs w:val="25"/>
                <w:color w:val="auto"/>
                <w:vertAlign w:val="superscript"/>
              </w:rPr>
              <w:t>(2)(3)</w:t>
            </w:r>
          </w:p>
        </w:tc>
        <w:tc>
          <w:tcPr>
            <w:tcW w:w="16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80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AAP Management Unitholders </w:t>
            </w:r>
            <w:r>
              <w:rPr>
                <w:rFonts w:ascii="Arial" w:cs="Arial" w:eastAsia="Arial" w:hAnsi="Arial"/>
                <w:sz w:val="25"/>
                <w:szCs w:val="25"/>
                <w:color w:val="auto"/>
                <w:vertAlign w:val="superscript"/>
              </w:rPr>
              <w:t>(4)</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504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40" w:right="360" w:hanging="332"/>
        <w:spacing w:after="0" w:line="216" w:lineRule="auto"/>
        <w:tabs>
          <w:tab w:leader="none" w:pos="340"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AAP owns approximately 243.4 million common units and a 100% member interest in PAA GP LLC, which owns our non-economic general partner interest.</w:t>
      </w:r>
    </w:p>
    <w:p>
      <w:pPr>
        <w:spacing w:after="0" w:line="95" w:lineRule="exact"/>
        <w:rPr>
          <w:rFonts w:ascii="Arial" w:cs="Arial" w:eastAsia="Arial" w:hAnsi="Arial"/>
          <w:sz w:val="25"/>
          <w:szCs w:val="25"/>
          <w:color w:val="auto"/>
          <w:vertAlign w:val="superscript"/>
        </w:rPr>
      </w:pPr>
    </w:p>
    <w:p>
      <w:pPr>
        <w:ind w:left="340" w:right="160" w:hanging="332"/>
        <w:spacing w:after="0" w:line="268" w:lineRule="auto"/>
        <w:tabs>
          <w:tab w:leader="none" w:pos="340" w:val="left"/>
        </w:tabs>
        <w:numPr>
          <w:ilvl w:val="0"/>
          <w:numId w:val="109"/>
        </w:numPr>
        <w:rPr>
          <w:rFonts w:ascii="Arial" w:cs="Arial" w:eastAsia="Arial" w:hAnsi="Arial"/>
          <w:sz w:val="22"/>
          <w:szCs w:val="22"/>
          <w:color w:val="auto"/>
          <w:vertAlign w:val="superscript"/>
        </w:rPr>
      </w:pPr>
      <w:r>
        <w:rPr>
          <w:rFonts w:ascii="Arial" w:cs="Arial" w:eastAsia="Arial" w:hAnsi="Arial"/>
          <w:sz w:val="16"/>
          <w:szCs w:val="16"/>
          <w:color w:val="auto"/>
        </w:rPr>
        <w:t>Prior to December 31, 2016, PAA Management, L.P. owned an approximate 3.3% interest in AAP represented by approximately 8.2 million AAP units. Effective as of December 31, 2016, PAA Management, L.P. was liquidated and the AAP units owned by it (together with the associated Class B shares and GP Units) were distributed pro rata to its owners, including certain current and former members of senior management. AAP units received by our Named Executive Officers in connection with this pro rata distribution included 2,071,859 for Mr. Armstrong; 1,181,676 for Mr. Pefanis;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right="100"/>
        <w:spacing w:after="0" w:line="324" w:lineRule="auto"/>
        <w:rPr>
          <w:sz w:val="20"/>
          <w:szCs w:val="20"/>
          <w:color w:val="auto"/>
        </w:rPr>
      </w:pPr>
      <w:r>
        <w:rPr>
          <w:rFonts w:ascii="Arial" w:cs="Arial" w:eastAsia="Arial" w:hAnsi="Arial"/>
          <w:sz w:val="18"/>
          <w:szCs w:val="18"/>
          <w:color w:val="auto"/>
        </w:rPr>
        <w:t>433,620 for Mr. Swanson; 14,739 for Mr. McGee and 4,913 for Mr. Nerbonne; all executive officers as a group received an aggregate of 4,840,602 AAP units. Mr. Chiang did not have an ownership interest in PAA Management, L.P.</w:t>
      </w:r>
    </w:p>
    <w:p>
      <w:pPr>
        <w:spacing w:after="0" w:line="35" w:lineRule="exact"/>
        <w:rPr>
          <w:sz w:val="20"/>
          <w:szCs w:val="20"/>
          <w:color w:val="auto"/>
        </w:rPr>
      </w:pPr>
    </w:p>
    <w:p>
      <w:pPr>
        <w:ind w:left="340" w:right="120" w:hanging="332"/>
        <w:spacing w:after="0" w:line="226" w:lineRule="auto"/>
        <w:tabs>
          <w:tab w:leader="none" w:pos="34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Includes, among others, certain current and former members of management who (i) have converted AAP Management Units into AAP units and PAGP Class B shares and (ii) received AAP units and PAGP Class B shares as a result of the pro rata distribution by PAA Management, L.P. described in footnote 2 above.</w:t>
      </w:r>
    </w:p>
    <w:p>
      <w:pPr>
        <w:spacing w:after="0" w:line="95" w:lineRule="exact"/>
        <w:rPr>
          <w:rFonts w:ascii="Arial" w:cs="Arial" w:eastAsia="Arial" w:hAnsi="Arial"/>
          <w:sz w:val="25"/>
          <w:szCs w:val="25"/>
          <w:color w:val="auto"/>
          <w:vertAlign w:val="superscript"/>
        </w:rPr>
      </w:pPr>
    </w:p>
    <w:p>
      <w:pPr>
        <w:ind w:left="340" w:right="240" w:hanging="332"/>
        <w:spacing w:after="0" w:line="271" w:lineRule="auto"/>
        <w:tabs>
          <w:tab w:leader="none" w:pos="340" w:val="left"/>
        </w:tabs>
        <w:numPr>
          <w:ilvl w:val="0"/>
          <w:numId w:val="110"/>
        </w:numPr>
        <w:rPr>
          <w:rFonts w:ascii="Arial" w:cs="Arial" w:eastAsia="Arial" w:hAnsi="Arial"/>
          <w:sz w:val="22"/>
          <w:szCs w:val="22"/>
          <w:color w:val="auto"/>
          <w:vertAlign w:val="superscript"/>
        </w:rPr>
      </w:pPr>
      <w:r>
        <w:rPr>
          <w:rFonts w:ascii="Arial" w:cs="Arial" w:eastAsia="Arial" w:hAnsi="Arial"/>
          <w:sz w:val="16"/>
          <w:szCs w:val="16"/>
          <w:color w:val="auto"/>
        </w:rPr>
        <w:t>Represents a profits interest in AAP in the form of AAP Management Units owned by certain members of management. On January 1, 2016, a significant number of AAP Management Units vested and a portion of such vested units have since been converted into AAP units and PAGP Class B shares. Additionally, a portion of the resulting AAP units and PAGP Class B shares has been exchanged for PAGP Class A shares. As a result of such conversions and exchanges as well as open market purchases, as of February 15, 2017, Named Executive Officers and executive officers as a group owned the following AAP Management Units, AAP units and PAGP Class A shares (none of our outside directors own any AAP Management Units):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Owner</w:t>
            </w:r>
          </w:p>
        </w:tc>
        <w:tc>
          <w:tcPr>
            <w:tcW w:w="120" w:type="dxa"/>
            <w:vAlign w:val="bottom"/>
            <w:vMerge w:val="restart"/>
          </w:tcPr>
          <w:p>
            <w:pPr>
              <w:spacing w:after="0"/>
              <w:rPr>
                <w:sz w:val="14"/>
                <w:szCs w:val="14"/>
                <w:color w:val="auto"/>
              </w:rPr>
            </w:pPr>
          </w:p>
        </w:tc>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AAP Management</w:t>
            </w:r>
          </w:p>
        </w:tc>
        <w:tc>
          <w:tcPr>
            <w:tcW w:w="17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AAP Units*</w:t>
            </w:r>
          </w:p>
        </w:tc>
        <w:tc>
          <w:tcPr>
            <w:tcW w:w="100" w:type="dxa"/>
            <w:vAlign w:val="bottom"/>
            <w:vMerge w:val="restart"/>
          </w:tcPr>
          <w:p>
            <w:pPr>
              <w:spacing w:after="0"/>
              <w:rPr>
                <w:sz w:val="14"/>
                <w:szCs w:val="14"/>
                <w:color w:val="auto"/>
              </w:rPr>
            </w:pPr>
          </w:p>
        </w:tc>
        <w:tc>
          <w:tcPr>
            <w:tcW w:w="1680" w:type="dxa"/>
            <w:vAlign w:val="bottom"/>
          </w:tcPr>
          <w:p>
            <w:pPr>
              <w:jc w:val="right"/>
              <w:ind w:right="314"/>
              <w:spacing w:after="0"/>
              <w:rPr>
                <w:sz w:val="20"/>
                <w:szCs w:val="20"/>
                <w:color w:val="auto"/>
              </w:rPr>
            </w:pPr>
            <w:r>
              <w:rPr>
                <w:rFonts w:ascii="Arial" w:cs="Arial" w:eastAsia="Arial" w:hAnsi="Arial"/>
                <w:sz w:val="14"/>
                <w:szCs w:val="14"/>
                <w:b w:val="1"/>
                <w:bCs w:val="1"/>
                <w:color w:val="auto"/>
              </w:rPr>
              <w:t>PAGP Class A</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5,757,268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450,625</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Harry N. Pefanis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3,768,988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183,654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Wilfred (Willie) C. Chiang</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375,521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75,104</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Al Swanson</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433,620</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918,219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McGee</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440,449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Daniel J. Nerbonne</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56,328</w:t>
            </w: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184,010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executive officers as a group</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1,019,115</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11,113,323</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3,739,871</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AAP units acquired upon liquidation of PAA Management, L.P. See footnote 2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sets forth certain information with respect to our equity compensation plans as of December 31, 2016. For a description of these plans, see Item 13. “Certain Relationships and Related Transactions, and Director Independence—Equity-Based Long-Term Incentive Plans.”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36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Exercise/Vesting</w:t>
            </w:r>
          </w:p>
        </w:tc>
        <w:tc>
          <w:tcPr>
            <w:tcW w:w="36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6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36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Plan</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36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36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unitholders: 2013 Long</w:t>
            </w: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 Incentive Plan</w:t>
            </w:r>
          </w:p>
        </w:tc>
        <w:tc>
          <w:tcPr>
            <w:tcW w:w="17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4,095,569</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w:t>
            </w:r>
          </w:p>
        </w:tc>
        <w:tc>
          <w:tcPr>
            <w:tcW w:w="2040" w:type="dxa"/>
            <w:vAlign w:val="bottom"/>
            <w:gridSpan w:val="2"/>
            <w:shd w:val="clear" w:color="auto" w:fill="CCEEFF"/>
          </w:tcPr>
          <w:p>
            <w:pPr>
              <w:ind w:left="1360"/>
              <w:spacing w:after="0" w:line="257"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(2)</w:t>
            </w:r>
          </w:p>
        </w:tc>
        <w:tc>
          <w:tcPr>
            <w:tcW w:w="17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7,502,103</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4"/>
              </w:rPr>
              <w:t>(1)(3)</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unitholders: PNG</w:t>
            </w: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Successor LTIP</w:t>
            </w:r>
          </w:p>
        </w:tc>
        <w:tc>
          <w:tcPr>
            <w:tcW w:w="17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581,670</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w:t>
            </w:r>
          </w:p>
        </w:tc>
        <w:tc>
          <w:tcPr>
            <w:tcW w:w="2040" w:type="dxa"/>
            <w:vAlign w:val="bottom"/>
            <w:gridSpan w:val="2"/>
            <w:shd w:val="clear" w:color="auto" w:fill="CCEEFF"/>
          </w:tcPr>
          <w:p>
            <w:pPr>
              <w:ind w:left="1360"/>
              <w:spacing w:after="0" w:line="257"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(2)</w:t>
            </w:r>
          </w:p>
        </w:tc>
        <w:tc>
          <w:tcPr>
            <w:tcW w:w="17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570,607</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340" w:hanging="332"/>
        <w:spacing w:after="0" w:line="241" w:lineRule="auto"/>
        <w:tabs>
          <w:tab w:leader="none" w:pos="34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3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Phantom unit awards under the 2013 Plan and PNG Successor Plan vest without payment by recipients.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In accordance with Item 201(d) of Regulation S-K, column (c) excludes the securities disclosed in column (a). However, as discussed in footnotes (1) and</w:t>
      </w:r>
    </w:p>
    <w:p>
      <w:pPr>
        <w:spacing w:after="0" w:line="1" w:lineRule="exact"/>
        <w:rPr>
          <w:rFonts w:ascii="Arial" w:cs="Arial" w:eastAsia="Arial" w:hAnsi="Arial"/>
          <w:sz w:val="22"/>
          <w:szCs w:val="22"/>
          <w:color w:val="auto"/>
          <w:vertAlign w:val="superscript"/>
        </w:rPr>
      </w:pPr>
    </w:p>
    <w:p>
      <w:pPr>
        <w:ind w:left="340"/>
        <w:spacing w:after="0"/>
        <w:rPr>
          <w:rFonts w:ascii="Arial" w:cs="Arial" w:eastAsia="Arial" w:hAnsi="Arial"/>
          <w:sz w:val="22"/>
          <w:szCs w:val="22"/>
          <w:color w:val="auto"/>
          <w:vertAlign w:val="superscript"/>
        </w:rPr>
      </w:pPr>
      <w:r>
        <w:rPr>
          <w:rFonts w:ascii="Arial" w:cs="Arial" w:eastAsia="Arial" w:hAnsi="Arial"/>
          <w:sz w:val="18"/>
          <w:szCs w:val="18"/>
          <w:color w:val="auto"/>
        </w:rPr>
        <w:t>(4), any phantom units represented in column (a) that are not satisfied by the issuance of units become “available for future issuance.”</w:t>
      </w:r>
    </w:p>
    <w:p>
      <w:pPr>
        <w:spacing w:after="0" w:line="101" w:lineRule="exact"/>
        <w:rPr>
          <w:rFonts w:ascii="Arial" w:cs="Arial" w:eastAsia="Arial" w:hAnsi="Arial"/>
          <w:sz w:val="22"/>
          <w:szCs w:val="22"/>
          <w:color w:val="auto"/>
          <w:vertAlign w:val="superscript"/>
        </w:rPr>
      </w:pPr>
    </w:p>
    <w:p>
      <w:pPr>
        <w:ind w:left="340" w:right="20" w:hanging="332"/>
        <w:spacing w:after="0" w:line="242" w:lineRule="auto"/>
        <w:tabs>
          <w:tab w:leader="none" w:pos="340" w:val="left"/>
        </w:tabs>
        <w:numPr>
          <w:ilvl w:val="0"/>
          <w:numId w:val="112"/>
        </w:numPr>
        <w:rPr>
          <w:rFonts w:ascii="Arial" w:cs="Arial" w:eastAsia="Arial" w:hAnsi="Arial"/>
          <w:sz w:val="25"/>
          <w:szCs w:val="25"/>
          <w:color w:val="auto"/>
          <w:vertAlign w:val="superscript"/>
        </w:rPr>
      </w:pPr>
      <w:r>
        <w:rPr>
          <w:rFonts w:ascii="Arial" w:cs="Arial" w:eastAsia="Arial" w:hAnsi="Arial"/>
          <w:sz w:val="18"/>
          <w:szCs w:val="18"/>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2016 were approximately $514 million.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Prior to completion of the Simplification Transactions on November 15, 2016, our general partner was entitled to receive (i) distributions resulting from its ownership of a 2% economic general partner interest in us, and (ii) incentive distributions resulting from its ownership of all of the incentive distribution rights (“IDRs”) in us if the amount we distributed with respect to any quarter exceeded certain specified levels. Under the quarterly distribution provisions in our partnership agreement in effect prior to the Simplification Transactions, our general partner was generally entitled, without duplication and except for the agreed upon adjustments discussed below, to 2% of amounts we distributed up to $0.2250 ($0.90 annualized) per common unit, 15% of amounts we distributed in excess of $0.2250 ($0.90 annualized) per common unit, 25% of the amounts we distributed in excess of $0.2475 ($0.99 annualized) per common unit and 50% of amounts we distributed in excess of $0.3375 ($1.35 annualized) per common unit. Our general partner’s incentive distributions were reduced by approximately $23 million, $22 million and $18 million in 2014, 2015 and 2016, respectively. These reductions were agreed to in connection with certain acquisitions and other transactions.</w:t>
      </w:r>
    </w:p>
    <w:p>
      <w:pPr>
        <w:spacing w:after="0" w:line="182"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As a result of the Simplification Transactions, the IDRs were eliminated and our general partner now owns a non-economic general partner interest in us and, as of December 31, 2016, approximately 241.7 million common units, representing an approximate 33% limited partner interest in us. This limited partner interest entitles our general partner to receive quarterly distributions at the same rate as other common unitholders.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Long-Term Incentive Plans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of directors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vesting or exercise (as applicable) of such awards. Our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4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7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Phantom Units. </w:t>
      </w:r>
      <w:r>
        <w:rPr>
          <w:rFonts w:ascii="Arial" w:cs="Arial" w:eastAsia="Arial" w:hAnsi="Arial"/>
          <w:sz w:val="17"/>
          <w:szCs w:val="17"/>
          <w:color w:val="auto"/>
        </w:rPr>
        <w:t>A phantom unit entitles the grantee to receive, upon the vesting of the phantom unit, a common unit (or cash equivalent, depending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December 31, 2016, grants of approximately 4,377,736 and 587,073 unvested phantom units were outstanding under the 2013 Plan and PNG Successor Plan, respectively, and approximately 7,502,103 and 570,607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Unit Appreciation Rights. </w:t>
      </w:r>
      <w:r>
        <w:rPr>
          <w:rFonts w:ascii="Arial" w:cs="Arial" w:eastAsia="Arial" w:hAnsi="Arial"/>
          <w:sz w:val="17"/>
          <w:szCs w:val="17"/>
          <w:color w:val="auto"/>
        </w:rPr>
        <w:t>A unit appreciation right is an award that, upon exercise, entitles the holder to receive the excess, if any,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a common unit on the 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Restricted Unit Awards. </w:t>
      </w:r>
      <w:r>
        <w:rPr>
          <w:rFonts w:ascii="Arial" w:cs="Arial" w:eastAsia="Arial" w:hAnsi="Arial"/>
          <w:sz w:val="16"/>
          <w:szCs w:val="16"/>
          <w:color w:val="auto"/>
        </w:rPr>
        <w:t>A restricted unit is a common unit granted under the Plan that is subject to a risk of forfeiture, restrictions on transferability,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other restrictions that may be imposed by the plan administrator in its discretion. No restricted unit awards have been granted under the Plans to date.</w:t>
      </w:r>
    </w:p>
    <w:p>
      <w:pPr>
        <w:spacing w:after="0" w:line="124"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 xml:space="preserve">Unit Options. </w:t>
      </w:r>
      <w:r>
        <w:rPr>
          <w:rFonts w:ascii="Arial" w:cs="Arial" w:eastAsia="Arial" w:hAnsi="Arial"/>
          <w:sz w:val="16"/>
          <w:szCs w:val="16"/>
          <w:color w:val="auto"/>
        </w:rPr>
        <w:t>Options may be granted under the Plan to purchase a specific number of common units at a set exercise price. The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granted under the Plan 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AAP Management Units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long-term incentives for our management. Each AAP Management Unit represents a “profits interest” in AAP, which entitles the holder to participate in future profits and losses from operations, current distributions from operations, and an interest in future appreciation or depreciation in AAP’s asset values. As of December 31, 2016, 3,414,812 AAP Management Units were issued and outstanding. The compensation committee does not plan to issue any additional AAP Management Units.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outstanding AAP Management Units are subject to restrictions on transfer and generally become “earned” (entitled to receive a portion of the distributions that would otherwise be paid to holders of AAP units) in percentage increments when certain performance thresholds related to achievement of targeted distribution levels and/or targeted distributable cash flow levels are achieved. As of February 15, 2017, approximately 73% of the outstanding AAP Management Units had been earned. The remaining AAP Management Units will be earned upon achievement of certain distribution and distributable cash flow levels.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January 1, 2017, AAP Management Units granted in 2007, 2009 and 2010 are no longer subject to such call right and have vested. The applicable vesting dates for the remaining AAP Management Unit grants range from January 1, 2020 for AAP Management Units granted in 2011 to January 1, 2023 for AAP Management Units granted in 2015.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long as the PAGP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subject to certain limitations, redeemable for PAA common units, in each case on a one-for-one basis as provided in the AAP limited partnership agreement. Between January 1, 2016 and February 15, 2017, approximately 17.1 million AAP Management Units became vested, of which 10.0 million were converted into 9.4 million AAP units and PAGP Class B shares, and 5.9 million were converted and then exchanged for an aggregate of 5.6 million PAGP Class A shares. As of February 15, 2017, none of the converted AAP Management Units had been redeemed for PAA common units.</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Prior to the Simplification Transactions, the entire economic burden of the AAP Management Units was borne by AAP. However, in connection with the closing of the Simplification Transactions, AAP received one PAA common unit for each outstanding earned and vested AAP Management Unit, and PAA withheld approximately 841,000 units from the Simplification consideration for future distribution or issuance when and if such units become earned.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Agreement</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connection with the closing of the initial public offering of PAGP in 2013, PAA entered into an administrative agreement (the “Administrative Agreement”) with PAGP, PAGP GP, AAP, PAA GP LLC and GP LLC to address, among other things, potential conflicts with respect to business opportunities that may arise among PAGP, PAGP GP, AAP, PAA, PAA GP LLC and GP LLC. The agreement provides that if any business opportunity is presented to PAGP, PAGP GP, AAP, PAA, PAA GP LLC or GP LLC, then PAA will have the first right to pursue such business opportunity. PAGP will have the right to pursue and/or participate in such business opportunity if invited to do so by PAA, or if PAA abandons the business opportunity and GP LLC so notifies PAGP GP. PAA also granted PAGP a license to use the names “PAA” and “Plains” and any associated or related marks.</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Under the Administrative Agreement, AAP was required to pay GP LLC an annual fee for general and administrative services performed by GP LLC on behalf of PAGP. During 2016, the annual fee paid by AAP to GP LLC totaled $1.5 million. The Administrative Agreement also provided that any direct expenses incurred by PAGP, PAGP GP and AAP (other than income taxes payable by PAGP) would be borne by AAP and that AAP would be required to reimburse GP LLC and PAGP GP for any additional expenses incurred by them on PAGP’s or PAGP GP’s behalf.</w:t>
      </w:r>
    </w:p>
    <w:p>
      <w:pPr>
        <w:spacing w:after="0" w:line="17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connection with the Simplification Transactions completed in November 2016, the Administrative Agreement was amended to remove the annual fee payment obligation and expense allocation provisions; allocation expense provisions are now included in the Omnibus Agreement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Simplification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Simplification Transactions completed in November 2016 included, among other things:</w:t>
      </w:r>
    </w:p>
    <w:p>
      <w:pPr>
        <w:spacing w:after="0" w:line="225" w:lineRule="exact"/>
        <w:rPr>
          <w:sz w:val="20"/>
          <w:szCs w:val="20"/>
          <w:color w:val="auto"/>
        </w:rPr>
      </w:pPr>
    </w:p>
    <w:p>
      <w:pPr>
        <w:ind w:left="660" w:right="60" w:hanging="328"/>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permanent elimination of our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w:t>
      </w:r>
    </w:p>
    <w:p>
      <w:pPr>
        <w:spacing w:after="0" w:line="18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70"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provision for annual PAGP shareholder elections beginning in 2018 with certain directors with expiring terms in 2018, and the participation of our common unitholders and Series A preferred unitholders in such elections through our ownership of newly issued Class C shares in PAGP, which provide us, as the sole holder, the right to vote in elections of eligible PAGP directors together with the holders of PAGP Class A and Class B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125"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254"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execution by AAP of a reverse split to adjust the number of AAP units such that the number of outstanding AAP units (assuming the conversion of AAP Management Units into AAP units) equaled the number of our common units received by AAP at the closing of the Simplification Transactions. Simultaneously, PAGP executed a reverse split to adjust the number of PAGP Class A and Class B shares outstanding to equal the number of AAP units it owns following AAP’s reverse unit split. These reverse splits, along with the Omnibus Agreement described below, resulted in economic alignment between our common unitholders and PAGP’s Class A shareholders, such that the number of outstanding PAGP Class A shares equals the number of AAP units owned by PAGP, which in turn equals the number of our common units held by AAP. We also entered into an Omnibus Agreement with the PAGP Entities, pursuant to which such one-to-one relationship will be maintained subsequent to the closing of the Simplification Transactions; and</w:t>
      </w:r>
    </w:p>
    <w:p>
      <w:pPr>
        <w:spacing w:after="0" w:line="19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creation of a right, subject to certain limitations, for certain holders of the AAP units to cause AAP to redeem such AAP units in exchange for an equal number of our common units held by AAP (an “AAP Unit Redemption”).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Simplification Transactions completed in November 2016, PAA entered into an omnibus agreement (the “Omnibus Agreement”) with PAGP, PAGP GP, AAP, PAA GP LLC and GP LLC (collectively with PAA, the “Plains Entities”), which provides for, among other things, the following:</w:t>
      </w:r>
    </w:p>
    <w:p>
      <w:pPr>
        <w:spacing w:after="0" w:line="181" w:lineRule="exact"/>
        <w:rPr>
          <w:sz w:val="20"/>
          <w:szCs w:val="20"/>
          <w:color w:val="auto"/>
        </w:rPr>
      </w:pPr>
    </w:p>
    <w:p>
      <w:pPr>
        <w:ind w:left="660" w:right="160" w:hanging="328"/>
        <w:spacing w:after="0" w:line="259"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all direct or indirect expenses of any of the Plains Entities will be paid by PAA, other than income taxes, if any, of PAGP GP, PAGP, GP LLC, AAP and PAA GP LLC.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mechanics by which the number of PAGP Class C shares outstanding will equal, at all times, the number of PAA’s units that are outstanding and entitled to vote, other than such voting units held by AAP;</w:t>
      </w:r>
    </w:p>
    <w:p>
      <w:pPr>
        <w:spacing w:after="0" w:line="170"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mechanics by which (i) the total number of PAGP’s outstanding Class A shares will equal the number of AAP Units held by PAGP, and (ii) the total number of PAA common units held by AAP will equal the sum of the number of outstanding AAP units and the number of AAP units that are issuable to the holders of vested and earned AAP Management Units;</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ability of PAGP to issue additional Class A shares and related obligation of PAGP to use the net proceeds therefrom to purchase a like number of AAP units from AAP, and the corresponding obligation of AAP to use the net proceeds therefrom to purchase a like number of PAA common units from PAA; and</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obligation to lend such proceeds to PAA, in each case on substantially the same terms as incurred by PAGP (also clarifying that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AAP Credit Agreement</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Simplification Transactions completed in November 2016, PAA assumed all of the outstanding indebtedness, obligations and liabilities of AAP under the Second Amended and Restated Credit Agreement dated as of September 26, 2013 among AAP, Citibank, N.A. and the lenders party thereto (the “AAP Credit Agreement”). Immediately prior to the closing of the Simplification, AAP had $550 million of term loan borrowings and $92 million of revolving credit facility borrowings outstanding under the AAP Credit Agreement. On November 15, 2016, PAA repaid the AAP Credit Agreement in full and terminated the AAP Credit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9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Simplification Transactions completed in November 2016, the holders of AAP Units other than PAGP and GP LLC (the “Holders”) entered into a Registration Rights Agreement with PAA, pursuant to which PAA agreed to use commercially reasonable efforts to file, and cause to be continuously effective, a shelf registration statement to permit the public resale of the PAA common units held by AAP immediately following the closing of the Simplification Transactions that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are distributable to the Holders pursuant to an AAP Unit Redemption. Additionally, PAA agreed to register the resale of any PAA common units issued to AAP following the closing of the Simplification Transactions pursuant to the Omnibus Agreement in respect of certain of the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 Offering</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January 2016, we sold approximately 61.0 million unregistered Series A Convertible Preferred Units (the “Preferred Units”) in a private placement offering to a group of purchasers that included affiliates of EnCap, KAFU and EMG. Net proceeds of the sale, after deducting offering expenses and a transaction fee due to the purchasers and including our general partner’s 2% equity contribution, were approximately $1.6 billion.</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the closing of our private placement of Preferred Units, we entered into a Registration Rights Agreement (the “Registration Rights Agreement”) with the purchasers of the Preferred Units relating to the registered resale of the common units issuable upon conversion of the Preferred Units. Pursuant to the Registration Rights Agreement, we are required to file or cause to be filed a registration statement for such registered resale and are required to cause the registration statement to become effective no later than two years after the closing.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Preferred Units have been converted into common units pursuant to our partnership agreement and (ii) the earlier of (x) the date on which such holder is no longer an “affiliate” as such term is defined in Rule 144 promulgated under the Securities Act of 1933, as amended, and (y) the tenth anniversary of the closing.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2016, we recognized sales and transportation revenues of approximately $655 million from companies affiliated with Oxy. During 2016, we also purchased approximately $42 million of petroleum products from companies affiliated with Oxy. These transactions were conducted at posted tariff rates or prices that we believe approximate market. Included in these transactions was a crude oil buy/sell agreement that includes a multi-year minimum volume commitment. These amounts do not include revenues from unconsolidated equity investments.</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2016, we recognized sales and transportation and storage revenues of approximately $9 million from companies affiliated with EMG. During 2016, we also purchased approximately $191 million of oil from companies affiliated with EMG. These transactions were conducted at posted tariff rates or prices that we believe approximate market.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2016, we purchased approximately $5 million of oil from companies owned and controlled by funds managed by KACALP. We pay the same amount per barrel to these companies that we pay to other producers in the area.</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An employee in our marketing department is the son of Phil Kramer, who served as an executive officer during 2016. Mr. Kramer’s son’s total compensation for 2016 (which amount includes the grant date fair value of LTIPs awarded to him on terms consistent with all eligible employees) was approximately $231,000.</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 employee in our supply chain management department is the son of Daniel J. Nerbonne, one of our executive officers. Mr. Nerbonne’s son’s total compensation for 2016 (which amount includes the grant date fair value of LTIPs awarded to him on terms consistent with all eligible employees) was approximately $140,000.</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 employee in our marketing department is the son of Daniel J. Nerbonne, one of our executive officers. Mr. Nerbonne’s son’s total compensation for 2016 (which amount includes the grant date fair value of LTIPs awarded to him on terms consistent with all eligible employees) was approximately $189,000.</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An employee with our Canadian operations is the son of W. David Duckett, who served as an executive officer during 2016. Mr. Duckett’s son’s total compensation for 2016 (which amount includes the grant date fair value of LTIPs awarded to him on terms consistent with all eligible employees) was approximately $649,000.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87"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of directors or by a “conflicts committee” meeting the definitional requirements for such a committee under the partnership agreements.</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0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340" w:right="440" w:hanging="332"/>
        <w:spacing w:after="0" w:line="216" w:lineRule="auto"/>
        <w:tabs>
          <w:tab w:leader="none" w:pos="34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95" w:lineRule="exact"/>
        <w:rPr>
          <w:rFonts w:ascii="Arial" w:cs="Arial" w:eastAsia="Arial" w:hAnsi="Arial"/>
          <w:sz w:val="25"/>
          <w:szCs w:val="25"/>
          <w:color w:val="auto"/>
          <w:vertAlign w:val="superscript"/>
        </w:rPr>
      </w:pPr>
    </w:p>
    <w:p>
      <w:pPr>
        <w:jc w:val="both"/>
        <w:ind w:left="340" w:right="240" w:hanging="332"/>
        <w:spacing w:after="0" w:line="226" w:lineRule="auto"/>
        <w:tabs>
          <w:tab w:leader="none" w:pos="34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Audit-related fees for the year ended December 31, 2016 are primarily comprised of fees associated with the audits of financial statements prepared in conjunction with divestiture transactions. Such fees were reimbursed to us by the purchasers. Audit-related fees also include fees for the audits of our benefit plan in both periods presented.</w:t>
      </w:r>
    </w:p>
    <w:p>
      <w:pPr>
        <w:spacing w:after="0" w:line="95" w:lineRule="exact"/>
        <w:rPr>
          <w:rFonts w:ascii="Arial" w:cs="Arial" w:eastAsia="Arial" w:hAnsi="Arial"/>
          <w:sz w:val="25"/>
          <w:szCs w:val="25"/>
          <w:color w:val="auto"/>
          <w:vertAlign w:val="superscript"/>
        </w:rPr>
      </w:pPr>
    </w:p>
    <w:p>
      <w:pPr>
        <w:ind w:left="340" w:right="100" w:hanging="332"/>
        <w:spacing w:after="0" w:line="216" w:lineRule="auto"/>
        <w:tabs>
          <w:tab w:leader="none" w:pos="34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Tax fees are related to tax processing as well as the preparation of Forms K-1 for our unitholders and international tax planning work associated with the structure of our Canadian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discussed above, we have an audit committee that reviews our external financial reporting, engages our independent auditors and reviews the adequacy of our internal accounting controls. All services provided by our independent auditor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2016 and 2015 were approved in advance by our audit committee.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00" w:hanging="268"/>
        <w:spacing w:after="0"/>
        <w:tabs>
          <w:tab w:leader="none" w:pos="6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040" w:hanging="384"/>
        <w:spacing w:after="0"/>
        <w:tabs>
          <w:tab w:leader="none" w:pos="1040" w:val="left"/>
        </w:tabs>
        <w:numPr>
          <w:ilvl w:val="0"/>
          <w:numId w:val="118"/>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040" w:hanging="384"/>
        <w:spacing w:after="0"/>
        <w:tabs>
          <w:tab w:leader="none" w:pos="1040" w:val="left"/>
        </w:tabs>
        <w:numPr>
          <w:ilvl w:val="0"/>
          <w:numId w:val="119"/>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240" w:top="125" w:right="5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ALL AMERICAN PIPELINE, L.P.</w:t>
      </w:r>
    </w:p>
    <w:p>
      <w:pPr>
        <w:spacing w:after="0" w:line="35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PAA GP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Plains AAP, L.P.,</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sole member</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PLAINS ALL AMERICAN GP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Greg L. Armstrong,</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Vice President —Accounting and Chief Accounting Officer of Plains</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All American GP LLC</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125" w:right="2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6600" w:type="dxa"/>
            <w:vAlign w:val="bottom"/>
            <w:gridSpan w:val="2"/>
          </w:tcPr>
          <w:p>
            <w:pPr>
              <w:ind w:left="3100"/>
              <w:spacing w:after="0"/>
              <w:rPr>
                <w:sz w:val="20"/>
                <w:szCs w:val="20"/>
                <w:color w:val="auto"/>
              </w:rPr>
            </w:pPr>
            <w:r>
              <w:rPr>
                <w:rFonts w:ascii="Arial" w:cs="Arial" w:eastAsia="Arial" w:hAnsi="Arial"/>
                <w:sz w:val="14"/>
                <w:szCs w:val="14"/>
                <w:b w:val="1"/>
                <w:bCs w:val="1"/>
                <w:color w:val="auto"/>
              </w:rPr>
              <w:t>Title</w:t>
            </w:r>
          </w:p>
        </w:tc>
        <w:tc>
          <w:tcPr>
            <w:tcW w:w="18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2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5"/>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Chairman of the Board and Director of PAA GP Holdings LLC and Chief Executive</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Officer of Plains All American GP LLC (Principal Executive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4"/>
              </w:rPr>
              <w:t>Greg L. Armstrong</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3"/>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w w:val="96"/>
              </w:rPr>
              <w:t>Director of PAA GP Holdings LLC and President and Chief Operating Officer of Plains</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All American GP LLC</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0"/>
              </w:rPr>
              <w:t>Harry N. Pefanis</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3"/>
        </w:trPr>
        <w:tc>
          <w:tcPr>
            <w:tcW w:w="2880" w:type="dxa"/>
            <w:vAlign w:val="bottom"/>
          </w:tcPr>
          <w:p>
            <w:pPr>
              <w:jc w:val="center"/>
              <w:spacing w:after="0"/>
              <w:rPr>
                <w:sz w:val="20"/>
                <w:szCs w:val="20"/>
                <w:color w:val="auto"/>
              </w:rPr>
            </w:pPr>
            <w:r>
              <w:rPr>
                <w:rFonts w:ascii="Arial" w:cs="Arial" w:eastAsia="Arial" w:hAnsi="Arial"/>
                <w:sz w:val="18"/>
                <w:szCs w:val="18"/>
                <w:color w:val="auto"/>
                <w:w w:val="96"/>
              </w:rPr>
              <w:t>/s/ Willie Chiang</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w w:val="97"/>
              </w:rPr>
              <w:t>Director of PAA GP Holdings LLC and Executive Vice President and Chief Operating</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Officer (U.S.) of Plains All American GP LLC</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5"/>
              </w:rPr>
              <w:t>Willie Chiang</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w w:val="98"/>
              </w:rPr>
              <w:t>Executive Vice President and Chief Financial Officer of Plains All American GP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3"/>
        </w:trPr>
        <w:tc>
          <w:tcPr>
            <w:tcW w:w="288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Vice President—Accounting and Chief Accounting Officer of Plains All</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American GP LLC (Principal 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4"/>
              </w:rPr>
              <w:t>Chris Herbold</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96"/>
              </w:rPr>
              <w:t>/s/ Victor Burk</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5"/>
              </w:rPr>
              <w:t>Victor Burk</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880" w:type="dxa"/>
            <w:vAlign w:val="bottom"/>
          </w:tcPr>
          <w:p>
            <w:pPr>
              <w:jc w:val="center"/>
              <w:spacing w:after="0"/>
              <w:rPr>
                <w:sz w:val="20"/>
                <w:szCs w:val="20"/>
                <w:color w:val="auto"/>
              </w:rPr>
            </w:pPr>
            <w:r>
              <w:rPr>
                <w:rFonts w:ascii="Arial" w:cs="Arial" w:eastAsia="Arial" w:hAnsi="Arial"/>
                <w:sz w:val="18"/>
                <w:szCs w:val="18"/>
                <w:color w:val="auto"/>
                <w:w w:val="93"/>
              </w:rPr>
              <w:t>/s/ Bernard Figlock</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1"/>
              </w:rPr>
              <w:t>Bernard Figlock</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/s/ Everardo Goyanes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7"/>
              </w:rPr>
              <w:t>Everardo Goyanes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Gary R. Petersen</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Bobby S. Shackouls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Robert V. Sinnott</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 J. Taft Symonds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 Christopher M. Temple</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420"/>
          </w:cols>
          <w:pgMar w:left="240" w:top="125" w:right="23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30"/>
        </w:trPr>
        <w:tc>
          <w:tcPr>
            <w:tcW w:w="10480" w:type="dxa"/>
            <w:vAlign w:val="bottom"/>
            <w:gridSpan w:val="32"/>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155">
              <w:r>
                <w:rPr>
                  <w:rFonts w:ascii="Arial" w:cs="Arial" w:eastAsia="Arial" w:hAnsi="Arial"/>
                  <w:sz w:val="18"/>
                  <w:szCs w:val="18"/>
                  <w:color w:val="0000EE"/>
                  <w:w w:val="91"/>
                </w:rPr>
                <w:t>Management’s Report on Internal Control Over Financial Reporting</w:t>
              </w:r>
            </w:hyperlink>
          </w:p>
        </w:tc>
        <w:tc>
          <w:tcPr>
            <w:tcW w:w="558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55">
              <w:r>
                <w:rPr>
                  <w:rFonts w:ascii="Arial" w:cs="Arial" w:eastAsia="Arial" w:hAnsi="Arial"/>
                  <w:sz w:val="18"/>
                  <w:szCs w:val="18"/>
                  <w:color w:val="0000EE"/>
                </w:rPr>
                <w:t>F-2</w:t>
              </w:r>
            </w:hyperlink>
          </w:p>
        </w:tc>
      </w:tr>
      <w:tr>
        <w:trPr>
          <w:trHeight w:val="250"/>
        </w:trPr>
        <w:tc>
          <w:tcPr>
            <w:tcW w:w="422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Report of Independent Registered Public Accounting Firm</w:t>
              </w:r>
            </w:hyperlink>
          </w:p>
        </w:tc>
        <w:tc>
          <w:tcPr>
            <w:tcW w:w="6260" w:type="dxa"/>
            <w:vAlign w:val="bottom"/>
            <w:gridSpan w:val="10"/>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56">
              <w:r>
                <w:rPr>
                  <w:rFonts w:ascii="Arial" w:cs="Arial" w:eastAsia="Arial" w:hAnsi="Arial"/>
                  <w:sz w:val="18"/>
                  <w:szCs w:val="18"/>
                  <w:color w:val="0000EE"/>
                </w:rPr>
                <w:t>F-3</w:t>
              </w:r>
            </w:hyperlink>
          </w:p>
        </w:tc>
      </w:tr>
      <w:tr>
        <w:trPr>
          <w:trHeight w:val="250"/>
        </w:trPr>
        <w:tc>
          <w:tcPr>
            <w:tcW w:w="10480" w:type="dxa"/>
            <w:vAlign w:val="bottom"/>
            <w:gridSpan w:val="32"/>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Consolidated Balance Sheets as of December 31, 2016 and 2015</w:t>
              </w:r>
            </w:hyperlink>
          </w:p>
        </w:tc>
        <w:tc>
          <w:tcPr>
            <w:tcW w:w="900" w:type="dxa"/>
            <w:vAlign w:val="bottom"/>
          </w:tcPr>
          <w:p>
            <w:pPr>
              <w:jc w:val="right"/>
              <w:spacing w:after="0"/>
              <w:rPr>
                <w:rFonts w:ascii="Arial" w:cs="Arial" w:eastAsia="Arial" w:hAnsi="Arial"/>
                <w:sz w:val="18"/>
                <w:szCs w:val="18"/>
                <w:color w:val="0000EE"/>
              </w:rPr>
            </w:pPr>
            <w:hyperlink w:anchor="page157">
              <w:r>
                <w:rPr>
                  <w:rFonts w:ascii="Arial" w:cs="Arial" w:eastAsia="Arial" w:hAnsi="Arial"/>
                  <w:sz w:val="18"/>
                  <w:szCs w:val="18"/>
                  <w:color w:val="0000EE"/>
                </w:rPr>
                <w:t>F-4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2"/>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Operations for the years ended December 31, 2016, 2015 and 2014</w:t>
              </w:r>
            </w:hyperlink>
          </w:p>
        </w:tc>
        <w:tc>
          <w:tcPr>
            <w:tcW w:w="900" w:type="dxa"/>
            <w:vAlign w:val="bottom"/>
          </w:tcPr>
          <w:p>
            <w:pPr>
              <w:jc w:val="right"/>
              <w:spacing w:after="0"/>
              <w:rPr>
                <w:rFonts w:ascii="Arial" w:cs="Arial" w:eastAsia="Arial" w:hAnsi="Arial"/>
                <w:sz w:val="18"/>
                <w:szCs w:val="18"/>
                <w:color w:val="0000EE"/>
              </w:rPr>
            </w:pPr>
            <w:hyperlink w:anchor="page158">
              <w:r>
                <w:rPr>
                  <w:rFonts w:ascii="Arial" w:cs="Arial" w:eastAsia="Arial" w:hAnsi="Arial"/>
                  <w:sz w:val="18"/>
                  <w:szCs w:val="18"/>
                  <w:color w:val="0000EE"/>
                </w:rPr>
                <w:t>F-5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Consolidated Statements of Comprehensive Income for the years ended December 31, 2016, 2015 and 2014</w:t>
              </w:r>
            </w:hyperlink>
          </w:p>
        </w:tc>
        <w:tc>
          <w:tcPr>
            <w:tcW w:w="270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59">
              <w:r>
                <w:rPr>
                  <w:rFonts w:ascii="Arial" w:cs="Arial" w:eastAsia="Arial" w:hAnsi="Arial"/>
                  <w:sz w:val="18"/>
                  <w:szCs w:val="18"/>
                  <w:color w:val="0000EE"/>
                </w:rPr>
                <w:t>F-6</w:t>
              </w:r>
            </w:hyperlink>
          </w:p>
        </w:tc>
      </w:tr>
      <w:tr>
        <w:trPr>
          <w:trHeight w:val="250"/>
        </w:trPr>
        <w:tc>
          <w:tcPr>
            <w:tcW w:w="10480" w:type="dxa"/>
            <w:vAlign w:val="bottom"/>
            <w:gridSpan w:val="32"/>
          </w:tcPr>
          <w:p>
            <w:pPr>
              <w:spacing w:after="0"/>
              <w:rPr>
                <w:rFonts w:ascii="Arial" w:cs="Arial" w:eastAsia="Arial" w:hAnsi="Arial"/>
                <w:sz w:val="18"/>
                <w:szCs w:val="18"/>
                <w:color w:val="0000EE"/>
                <w:w w:val="92"/>
              </w:rPr>
            </w:pPr>
            <w:hyperlink w:anchor="page159">
              <w:r>
                <w:rPr>
                  <w:rFonts w:ascii="Arial" w:cs="Arial" w:eastAsia="Arial" w:hAnsi="Arial"/>
                  <w:sz w:val="18"/>
                  <w:szCs w:val="18"/>
                  <w:color w:val="0000EE"/>
                  <w:w w:val="92"/>
                </w:rPr>
                <w:t>Consolidated Statements of Changes in Accumulated Other Comprehensive Income/(Loss) for the years ended December 31, 2016, 2015 and</w:t>
              </w:r>
            </w:hyperlink>
          </w:p>
        </w:tc>
        <w:tc>
          <w:tcPr>
            <w:tcW w:w="900" w:type="dxa"/>
            <w:vAlign w:val="bottom"/>
          </w:tcPr>
          <w:p>
            <w:pPr>
              <w:spacing w:after="0"/>
              <w:rPr>
                <w:sz w:val="21"/>
                <w:szCs w:val="21"/>
                <w:color w:val="auto"/>
              </w:rPr>
            </w:pPr>
          </w:p>
        </w:tc>
      </w:tr>
      <w:tr>
        <w:trPr>
          <w:trHeight w:val="196"/>
        </w:trPr>
        <w:tc>
          <w:tcPr>
            <w:tcW w:w="520" w:type="dxa"/>
            <w:vAlign w:val="bottom"/>
            <w:tcBorders>
              <w:top w:val="single" w:sz="8" w:color="0000EE"/>
            </w:tcBorders>
            <w:gridSpan w:val="5"/>
          </w:tcPr>
          <w:p>
            <w:pPr>
              <w:ind w:left="160"/>
              <w:spacing w:after="0" w:line="196" w:lineRule="exact"/>
              <w:rPr>
                <w:rFonts w:ascii="Arial" w:cs="Arial" w:eastAsia="Arial" w:hAnsi="Arial"/>
                <w:sz w:val="18"/>
                <w:szCs w:val="18"/>
                <w:color w:val="0000EE"/>
                <w:w w:val="84"/>
              </w:rPr>
            </w:pPr>
            <w:hyperlink w:anchor="page159">
              <w:r>
                <w:rPr>
                  <w:rFonts w:ascii="Arial" w:cs="Arial" w:eastAsia="Arial" w:hAnsi="Arial"/>
                  <w:sz w:val="18"/>
                  <w:szCs w:val="18"/>
                  <w:color w:val="0000EE"/>
                  <w:w w:val="84"/>
                </w:rPr>
                <w:t>2014</w:t>
              </w:r>
            </w:hyperlink>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F-6</w:t>
              </w:r>
            </w:hyperlink>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Consolidated Statements of Cash Flows for the years ended December 31, 2016, 2015 and 2014</w:t>
              </w:r>
            </w:hyperlink>
          </w:p>
        </w:tc>
        <w:tc>
          <w:tcPr>
            <w:tcW w:w="900" w:type="dxa"/>
            <w:vAlign w:val="bottom"/>
          </w:tcPr>
          <w:p>
            <w:pPr>
              <w:jc w:val="right"/>
              <w:spacing w:after="0"/>
              <w:rPr>
                <w:rFonts w:ascii="Arial" w:cs="Arial" w:eastAsia="Arial" w:hAnsi="Arial"/>
                <w:sz w:val="18"/>
                <w:szCs w:val="18"/>
                <w:color w:val="0000EE"/>
              </w:rPr>
            </w:pPr>
            <w:hyperlink w:anchor="page160">
              <w:r>
                <w:rPr>
                  <w:rFonts w:ascii="Arial" w:cs="Arial" w:eastAsia="Arial" w:hAnsi="Arial"/>
                  <w:sz w:val="18"/>
                  <w:szCs w:val="18"/>
                  <w:color w:val="0000EE"/>
                </w:rPr>
                <w:t>F-7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Changes in Partners’ Capital for the years ended December 31, 2016, 2015 and 2014</w:t>
              </w:r>
            </w:hyperlink>
          </w:p>
        </w:tc>
        <w:tc>
          <w:tcPr>
            <w:tcW w:w="900" w:type="dxa"/>
            <w:vAlign w:val="bottom"/>
          </w:tcPr>
          <w:p>
            <w:pPr>
              <w:jc w:val="right"/>
              <w:spacing w:after="0"/>
              <w:rPr>
                <w:rFonts w:ascii="Arial" w:cs="Arial" w:eastAsia="Arial" w:hAnsi="Arial"/>
                <w:sz w:val="18"/>
                <w:szCs w:val="18"/>
                <w:color w:val="0000EE"/>
              </w:rPr>
            </w:pPr>
            <w:hyperlink w:anchor="page161">
              <w:r>
                <w:rPr>
                  <w:rFonts w:ascii="Arial" w:cs="Arial" w:eastAsia="Arial" w:hAnsi="Arial"/>
                  <w:sz w:val="18"/>
                  <w:szCs w:val="18"/>
                  <w:color w:val="0000EE"/>
                </w:rPr>
                <w:t>F-8</w:t>
              </w:r>
            </w:hyperlink>
          </w:p>
        </w:tc>
      </w:tr>
      <w:tr>
        <w:trPr>
          <w:trHeight w:val="250"/>
        </w:trPr>
        <w:tc>
          <w:tcPr>
            <w:tcW w:w="34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162">
              <w:r>
                <w:rPr>
                  <w:rFonts w:ascii="Arial" w:cs="Arial" w:eastAsia="Arial" w:hAnsi="Arial"/>
                  <w:sz w:val="18"/>
                  <w:szCs w:val="18"/>
                  <w:color w:val="0000EE"/>
                  <w:w w:val="89"/>
                </w:rPr>
                <w:t>Notes to the Consolidated Financial Statements:</w:t>
              </w:r>
            </w:hyperlink>
          </w:p>
        </w:tc>
        <w:tc>
          <w:tcPr>
            <w:tcW w:w="4660" w:type="dxa"/>
            <w:vAlign w:val="bottom"/>
            <w:tcBorders>
              <w:top w:val="single" w:sz="8" w:color="0000EE"/>
            </w:tcBorders>
            <w:gridSpan w:val="12"/>
          </w:tcPr>
          <w:p>
            <w:pPr>
              <w:spacing w:after="0"/>
              <w:rPr>
                <w:sz w:val="21"/>
                <w:szCs w:val="21"/>
                <w:color w:val="auto"/>
              </w:rPr>
            </w:pPr>
          </w:p>
        </w:tc>
        <w:tc>
          <w:tcPr>
            <w:tcW w:w="236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62">
              <w:r>
                <w:rPr>
                  <w:rFonts w:ascii="Arial" w:cs="Arial" w:eastAsia="Arial" w:hAnsi="Arial"/>
                  <w:sz w:val="18"/>
                  <w:szCs w:val="18"/>
                  <w:color w:val="0000EE"/>
                </w:rPr>
                <w:t>F-9</w:t>
              </w:r>
            </w:hyperlink>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62">
              <w:r>
                <w:rPr>
                  <w:rFonts w:ascii="Arial" w:cs="Arial" w:eastAsia="Arial" w:hAnsi="Arial"/>
                  <w:sz w:val="18"/>
                  <w:szCs w:val="18"/>
                  <w:color w:val="0000EE"/>
                  <w:w w:val="79"/>
                </w:rPr>
                <w:t>1.</w:t>
              </w:r>
            </w:hyperlink>
          </w:p>
        </w:tc>
        <w:tc>
          <w:tcPr>
            <w:tcW w:w="10200" w:type="dxa"/>
            <w:vAlign w:val="bottom"/>
            <w:gridSpan w:val="29"/>
          </w:tcPr>
          <w:p>
            <w:pPr>
              <w:ind w:left="40"/>
              <w:spacing w:after="0"/>
              <w:rPr>
                <w:rFonts w:ascii="Arial" w:cs="Arial" w:eastAsia="Arial" w:hAnsi="Arial"/>
                <w:sz w:val="18"/>
                <w:szCs w:val="18"/>
                <w:color w:val="0000EE"/>
              </w:rPr>
            </w:pPr>
            <w:hyperlink w:anchor="page162">
              <w:r>
                <w:rPr>
                  <w:rFonts w:ascii="Arial" w:cs="Arial" w:eastAsia="Arial" w:hAnsi="Arial"/>
                  <w:sz w:val="18"/>
                  <w:szCs w:val="18"/>
                  <w:color w:val="0000EE"/>
                </w:rPr>
                <w:t>Organization and Basis of Consolidation and Presentation</w:t>
              </w:r>
            </w:hyperlink>
          </w:p>
        </w:tc>
        <w:tc>
          <w:tcPr>
            <w:tcW w:w="900" w:type="dxa"/>
            <w:vAlign w:val="bottom"/>
          </w:tcPr>
          <w:p>
            <w:pPr>
              <w:jc w:val="right"/>
              <w:spacing w:after="0"/>
              <w:rPr>
                <w:rFonts w:ascii="Arial" w:cs="Arial" w:eastAsia="Arial" w:hAnsi="Arial"/>
                <w:sz w:val="18"/>
                <w:szCs w:val="18"/>
                <w:color w:val="0000EE"/>
              </w:rPr>
            </w:pPr>
            <w:hyperlink w:anchor="page162">
              <w:r>
                <w:rPr>
                  <w:rFonts w:ascii="Arial" w:cs="Arial" w:eastAsia="Arial" w:hAnsi="Arial"/>
                  <w:sz w:val="18"/>
                  <w:szCs w:val="18"/>
                  <w:color w:val="0000EE"/>
                </w:rPr>
                <w:t>F-9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63">
              <w:r>
                <w:rPr>
                  <w:rFonts w:ascii="Arial" w:cs="Arial" w:eastAsia="Arial" w:hAnsi="Arial"/>
                  <w:sz w:val="18"/>
                  <w:szCs w:val="18"/>
                  <w:color w:val="0000EE"/>
                  <w:w w:val="79"/>
                </w:rPr>
                <w:t>2.</w:t>
              </w:r>
            </w:hyperlink>
          </w:p>
        </w:tc>
        <w:tc>
          <w:tcPr>
            <w:tcW w:w="10200" w:type="dxa"/>
            <w:vAlign w:val="bottom"/>
            <w:gridSpan w:val="29"/>
          </w:tcPr>
          <w:p>
            <w:pPr>
              <w:ind w:left="40"/>
              <w:spacing w:after="0"/>
              <w:rPr>
                <w:rFonts w:ascii="Arial" w:cs="Arial" w:eastAsia="Arial" w:hAnsi="Arial"/>
                <w:sz w:val="18"/>
                <w:szCs w:val="18"/>
                <w:color w:val="0000EE"/>
              </w:rPr>
            </w:pPr>
            <w:hyperlink w:anchor="page163">
              <w:r>
                <w:rPr>
                  <w:rFonts w:ascii="Arial" w:cs="Arial" w:eastAsia="Arial" w:hAnsi="Arial"/>
                  <w:sz w:val="18"/>
                  <w:szCs w:val="18"/>
                  <w:color w:val="0000EE"/>
                </w:rPr>
                <w:t>Summary of Significant Accounting Policies</w:t>
              </w:r>
            </w:hyperlink>
          </w:p>
        </w:tc>
        <w:tc>
          <w:tcPr>
            <w:tcW w:w="900" w:type="dxa"/>
            <w:vAlign w:val="bottom"/>
          </w:tcPr>
          <w:p>
            <w:pPr>
              <w:jc w:val="right"/>
              <w:spacing w:after="0"/>
              <w:rPr>
                <w:rFonts w:ascii="Arial" w:cs="Arial" w:eastAsia="Arial" w:hAnsi="Arial"/>
                <w:sz w:val="18"/>
                <w:szCs w:val="18"/>
                <w:color w:val="0000EE"/>
              </w:rPr>
            </w:pPr>
            <w:hyperlink w:anchor="page163">
              <w:r>
                <w:rPr>
                  <w:rFonts w:ascii="Arial" w:cs="Arial" w:eastAsia="Arial" w:hAnsi="Arial"/>
                  <w:sz w:val="18"/>
                  <w:szCs w:val="18"/>
                  <w:color w:val="0000EE"/>
                </w:rPr>
                <w:t>F-10</w:t>
              </w:r>
            </w:hyperlink>
          </w:p>
        </w:tc>
      </w:tr>
      <w:tr>
        <w:trPr>
          <w:trHeight w:val="250"/>
        </w:trPr>
        <w:tc>
          <w:tcPr>
            <w:tcW w:w="14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68">
              <w:r>
                <w:rPr>
                  <w:rFonts w:ascii="Arial" w:cs="Arial" w:eastAsia="Arial" w:hAnsi="Arial"/>
                  <w:sz w:val="18"/>
                  <w:szCs w:val="18"/>
                  <w:color w:val="0000EE"/>
                  <w:w w:val="90"/>
                </w:rPr>
                <w:t>3. Net Income Per Common Unit</w:t>
              </w:r>
            </w:hyperlink>
          </w:p>
        </w:tc>
        <w:tc>
          <w:tcPr>
            <w:tcW w:w="1020" w:type="dxa"/>
            <w:vAlign w:val="bottom"/>
            <w:tcBorders>
              <w:top w:val="single" w:sz="8" w:color="0000EE"/>
            </w:tcBorders>
            <w:gridSpan w:val="6"/>
          </w:tcPr>
          <w:p>
            <w:pPr>
              <w:spacing w:after="0"/>
              <w:rPr>
                <w:sz w:val="21"/>
                <w:szCs w:val="21"/>
                <w:color w:val="auto"/>
              </w:rPr>
            </w:pPr>
          </w:p>
        </w:tc>
        <w:tc>
          <w:tcPr>
            <w:tcW w:w="6940" w:type="dxa"/>
            <w:vAlign w:val="bottom"/>
            <w:gridSpan w:val="1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68">
              <w:r>
                <w:rPr>
                  <w:rFonts w:ascii="Arial" w:cs="Arial" w:eastAsia="Arial" w:hAnsi="Arial"/>
                  <w:sz w:val="18"/>
                  <w:szCs w:val="18"/>
                  <w:color w:val="0000EE"/>
                </w:rPr>
                <w:t>F-15</w:t>
              </w:r>
            </w:hyperlink>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70">
              <w:r>
                <w:rPr>
                  <w:rFonts w:ascii="Arial" w:cs="Arial" w:eastAsia="Arial" w:hAnsi="Arial"/>
                  <w:sz w:val="18"/>
                  <w:szCs w:val="18"/>
                  <w:color w:val="0000EE"/>
                  <w:w w:val="79"/>
                </w:rPr>
                <w:t>4.</w:t>
              </w:r>
            </w:hyperlink>
          </w:p>
        </w:tc>
        <w:tc>
          <w:tcPr>
            <w:tcW w:w="10200" w:type="dxa"/>
            <w:vAlign w:val="bottom"/>
            <w:gridSpan w:val="29"/>
          </w:tcPr>
          <w:p>
            <w:pPr>
              <w:ind w:left="40"/>
              <w:spacing w:after="0"/>
              <w:rPr>
                <w:rFonts w:ascii="Arial" w:cs="Arial" w:eastAsia="Arial" w:hAnsi="Arial"/>
                <w:sz w:val="18"/>
                <w:szCs w:val="18"/>
                <w:color w:val="0000EE"/>
              </w:rPr>
            </w:pPr>
            <w:hyperlink w:anchor="page170">
              <w:r>
                <w:rPr>
                  <w:rFonts w:ascii="Arial" w:cs="Arial" w:eastAsia="Arial" w:hAnsi="Arial"/>
                  <w:sz w:val="18"/>
                  <w:szCs w:val="18"/>
                  <w:color w:val="0000EE"/>
                </w:rPr>
                <w:t>Inventory, Linefill and Base Gas and Long-term Inventory</w:t>
              </w:r>
            </w:hyperlink>
          </w:p>
        </w:tc>
        <w:tc>
          <w:tcPr>
            <w:tcW w:w="900" w:type="dxa"/>
            <w:vAlign w:val="bottom"/>
          </w:tcPr>
          <w:p>
            <w:pPr>
              <w:jc w:val="right"/>
              <w:spacing w:after="0"/>
              <w:rPr>
                <w:rFonts w:ascii="Arial" w:cs="Arial" w:eastAsia="Arial" w:hAnsi="Arial"/>
                <w:sz w:val="18"/>
                <w:szCs w:val="18"/>
                <w:color w:val="0000EE"/>
              </w:rPr>
            </w:pPr>
            <w:hyperlink w:anchor="page170">
              <w:r>
                <w:rPr>
                  <w:rFonts w:ascii="Arial" w:cs="Arial" w:eastAsia="Arial" w:hAnsi="Arial"/>
                  <w:sz w:val="18"/>
                  <w:szCs w:val="18"/>
                  <w:color w:val="0000EE"/>
                </w:rPr>
                <w:t>F-17</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5.</w:t>
              </w:r>
            </w:hyperlink>
          </w:p>
        </w:tc>
        <w:tc>
          <w:tcPr>
            <w:tcW w:w="10200" w:type="dxa"/>
            <w:vAlign w:val="bottom"/>
            <w:gridSpan w:val="29"/>
          </w:tcPr>
          <w:p>
            <w:pPr>
              <w:ind w:left="40"/>
              <w:spacing w:after="0"/>
              <w:rPr>
                <w:rFonts w:ascii="Arial" w:cs="Arial" w:eastAsia="Arial" w:hAnsi="Arial"/>
                <w:sz w:val="18"/>
                <w:szCs w:val="18"/>
                <w:color w:val="0000EE"/>
              </w:rPr>
            </w:pPr>
            <w:hyperlink w:anchor="page172">
              <w:r>
                <w:rPr>
                  <w:rFonts w:ascii="Arial" w:cs="Arial" w:eastAsia="Arial" w:hAnsi="Arial"/>
                  <w:sz w:val="18"/>
                  <w:szCs w:val="18"/>
                  <w:color w:val="0000EE"/>
                </w:rPr>
                <w:t>Property and Equipment</w:t>
              </w:r>
            </w:hyperlink>
          </w:p>
        </w:tc>
        <w:tc>
          <w:tcPr>
            <w:tcW w:w="900" w:type="dxa"/>
            <w:vAlign w:val="bottom"/>
          </w:tcPr>
          <w:p>
            <w:pPr>
              <w:jc w:val="right"/>
              <w:spacing w:after="0"/>
              <w:rPr>
                <w:rFonts w:ascii="Arial" w:cs="Arial" w:eastAsia="Arial" w:hAnsi="Arial"/>
                <w:sz w:val="18"/>
                <w:szCs w:val="18"/>
                <w:color w:val="0000EE"/>
              </w:rPr>
            </w:pPr>
            <w:hyperlink w:anchor="page172">
              <w:r>
                <w:rPr>
                  <w:rFonts w:ascii="Arial" w:cs="Arial" w:eastAsia="Arial" w:hAnsi="Arial"/>
                  <w:sz w:val="18"/>
                  <w:szCs w:val="18"/>
                  <w:color w:val="0000EE"/>
                </w:rPr>
                <w:t>F-19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74">
              <w:r>
                <w:rPr>
                  <w:rFonts w:ascii="Arial" w:cs="Arial" w:eastAsia="Arial" w:hAnsi="Arial"/>
                  <w:sz w:val="18"/>
                  <w:szCs w:val="18"/>
                  <w:color w:val="0000EE"/>
                  <w:w w:val="79"/>
                </w:rPr>
                <w:t>6.</w:t>
              </w:r>
            </w:hyperlink>
          </w:p>
        </w:tc>
        <w:tc>
          <w:tcPr>
            <w:tcW w:w="10200" w:type="dxa"/>
            <w:vAlign w:val="bottom"/>
            <w:gridSpan w:val="29"/>
          </w:tcPr>
          <w:p>
            <w:pPr>
              <w:ind w:left="40"/>
              <w:spacing w:after="0"/>
              <w:rPr>
                <w:rFonts w:ascii="Arial" w:cs="Arial" w:eastAsia="Arial" w:hAnsi="Arial"/>
                <w:sz w:val="18"/>
                <w:szCs w:val="18"/>
                <w:color w:val="0000EE"/>
              </w:rPr>
            </w:pPr>
            <w:hyperlink w:anchor="page174">
              <w:r>
                <w:rPr>
                  <w:rFonts w:ascii="Arial" w:cs="Arial" w:eastAsia="Arial" w:hAnsi="Arial"/>
                  <w:sz w:val="18"/>
                  <w:szCs w:val="18"/>
                  <w:color w:val="0000EE"/>
                </w:rPr>
                <w:t>Acquisitions and Dispositions</w:t>
              </w:r>
            </w:hyperlink>
          </w:p>
        </w:tc>
        <w:tc>
          <w:tcPr>
            <w:tcW w:w="900" w:type="dxa"/>
            <w:vAlign w:val="bottom"/>
          </w:tcPr>
          <w:p>
            <w:pPr>
              <w:jc w:val="right"/>
              <w:spacing w:after="0"/>
              <w:rPr>
                <w:rFonts w:ascii="Arial" w:cs="Arial" w:eastAsia="Arial" w:hAnsi="Arial"/>
                <w:sz w:val="18"/>
                <w:szCs w:val="18"/>
                <w:color w:val="0000EE"/>
              </w:rPr>
            </w:pPr>
            <w:hyperlink w:anchor="page172">
              <w:r>
                <w:rPr>
                  <w:rFonts w:ascii="Arial" w:cs="Arial" w:eastAsia="Arial" w:hAnsi="Arial"/>
                  <w:sz w:val="18"/>
                  <w:szCs w:val="18"/>
                  <w:color w:val="0000EE"/>
                </w:rPr>
                <w:t>F-19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7.</w:t>
              </w:r>
            </w:hyperlink>
          </w:p>
        </w:tc>
        <w:tc>
          <w:tcPr>
            <w:tcW w:w="10200" w:type="dxa"/>
            <w:vAlign w:val="bottom"/>
            <w:gridSpan w:val="29"/>
          </w:tcPr>
          <w:p>
            <w:pPr>
              <w:ind w:left="40"/>
              <w:spacing w:after="0"/>
              <w:rPr>
                <w:rFonts w:ascii="Arial" w:cs="Arial" w:eastAsia="Arial" w:hAnsi="Arial"/>
                <w:sz w:val="18"/>
                <w:szCs w:val="18"/>
                <w:color w:val="0000EE"/>
              </w:rPr>
            </w:pPr>
            <w:hyperlink w:anchor="page175">
              <w:r>
                <w:rPr>
                  <w:rFonts w:ascii="Arial" w:cs="Arial" w:eastAsia="Arial" w:hAnsi="Arial"/>
                  <w:sz w:val="18"/>
                  <w:szCs w:val="18"/>
                  <w:color w:val="0000EE"/>
                </w:rPr>
                <w:t>Goodwill</w:t>
              </w:r>
            </w:hyperlink>
          </w:p>
        </w:tc>
        <w:tc>
          <w:tcPr>
            <w:tcW w:w="900" w:type="dxa"/>
            <w:vAlign w:val="bottom"/>
          </w:tcPr>
          <w:p>
            <w:pPr>
              <w:jc w:val="right"/>
              <w:spacing w:after="0"/>
              <w:rPr>
                <w:rFonts w:ascii="Arial" w:cs="Arial" w:eastAsia="Arial" w:hAnsi="Arial"/>
                <w:sz w:val="18"/>
                <w:szCs w:val="18"/>
                <w:color w:val="0000EE"/>
              </w:rPr>
            </w:pPr>
            <w:hyperlink w:anchor="page175">
              <w:r>
                <w:rPr>
                  <w:rFonts w:ascii="Arial" w:cs="Arial" w:eastAsia="Arial" w:hAnsi="Arial"/>
                  <w:sz w:val="18"/>
                  <w:szCs w:val="18"/>
                  <w:color w:val="0000EE"/>
                </w:rPr>
                <w:t>F-22</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8.</w:t>
              </w:r>
            </w:hyperlink>
          </w:p>
        </w:tc>
        <w:tc>
          <w:tcPr>
            <w:tcW w:w="10200" w:type="dxa"/>
            <w:vAlign w:val="bottom"/>
            <w:gridSpan w:val="29"/>
          </w:tcPr>
          <w:p>
            <w:pPr>
              <w:ind w:left="40"/>
              <w:spacing w:after="0"/>
              <w:rPr>
                <w:rFonts w:ascii="Arial" w:cs="Arial" w:eastAsia="Arial" w:hAnsi="Arial"/>
                <w:sz w:val="18"/>
                <w:szCs w:val="18"/>
                <w:color w:val="0000EE"/>
              </w:rPr>
            </w:pPr>
            <w:hyperlink w:anchor="page175">
              <w:r>
                <w:rPr>
                  <w:rFonts w:ascii="Arial" w:cs="Arial" w:eastAsia="Arial" w:hAnsi="Arial"/>
                  <w:sz w:val="18"/>
                  <w:szCs w:val="18"/>
                  <w:color w:val="0000EE"/>
                </w:rPr>
                <w:t>Investments in Unconsolidated Entities</w:t>
              </w:r>
            </w:hyperlink>
          </w:p>
        </w:tc>
        <w:tc>
          <w:tcPr>
            <w:tcW w:w="900" w:type="dxa"/>
            <w:vAlign w:val="bottom"/>
          </w:tcPr>
          <w:p>
            <w:pPr>
              <w:jc w:val="right"/>
              <w:spacing w:after="0"/>
              <w:rPr>
                <w:rFonts w:ascii="Arial" w:cs="Arial" w:eastAsia="Arial" w:hAnsi="Arial"/>
                <w:sz w:val="18"/>
                <w:szCs w:val="18"/>
                <w:color w:val="0000EE"/>
              </w:rPr>
            </w:pPr>
            <w:hyperlink w:anchor="page175">
              <w:r>
                <w:rPr>
                  <w:rFonts w:ascii="Arial" w:cs="Arial" w:eastAsia="Arial" w:hAnsi="Arial"/>
                  <w:sz w:val="18"/>
                  <w:szCs w:val="18"/>
                  <w:color w:val="0000EE"/>
                </w:rPr>
                <w:t>F-22</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9.</w:t>
              </w:r>
            </w:hyperlink>
          </w:p>
        </w:tc>
        <w:tc>
          <w:tcPr>
            <w:tcW w:w="10200" w:type="dxa"/>
            <w:vAlign w:val="bottom"/>
            <w:gridSpan w:val="29"/>
          </w:tcPr>
          <w:p>
            <w:pPr>
              <w:ind w:left="40"/>
              <w:spacing w:after="0"/>
              <w:rPr>
                <w:rFonts w:ascii="Arial" w:cs="Arial" w:eastAsia="Arial" w:hAnsi="Arial"/>
                <w:sz w:val="18"/>
                <w:szCs w:val="18"/>
                <w:color w:val="0000EE"/>
              </w:rPr>
            </w:pPr>
            <w:hyperlink w:anchor="page177">
              <w:r>
                <w:rPr>
                  <w:rFonts w:ascii="Arial" w:cs="Arial" w:eastAsia="Arial" w:hAnsi="Arial"/>
                  <w:sz w:val="18"/>
                  <w:szCs w:val="18"/>
                  <w:color w:val="0000EE"/>
                </w:rPr>
                <w:t>Other Long-Term Assets, Net</w:t>
              </w:r>
            </w:hyperlink>
          </w:p>
        </w:tc>
        <w:tc>
          <w:tcPr>
            <w:tcW w:w="900" w:type="dxa"/>
            <w:vAlign w:val="bottom"/>
          </w:tcPr>
          <w:p>
            <w:pPr>
              <w:jc w:val="right"/>
              <w:spacing w:after="0"/>
              <w:rPr>
                <w:rFonts w:ascii="Arial" w:cs="Arial" w:eastAsia="Arial" w:hAnsi="Arial"/>
                <w:sz w:val="18"/>
                <w:szCs w:val="18"/>
                <w:color w:val="0000EE"/>
              </w:rPr>
            </w:pPr>
            <w:hyperlink w:anchor="page177">
              <w:r>
                <w:rPr>
                  <w:rFonts w:ascii="Arial" w:cs="Arial" w:eastAsia="Arial" w:hAnsi="Arial"/>
                  <w:sz w:val="18"/>
                  <w:szCs w:val="18"/>
                  <w:color w:val="0000EE"/>
                </w:rPr>
                <w:t>F-24</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10.</w:t>
              </w:r>
            </w:hyperlink>
          </w:p>
        </w:tc>
        <w:tc>
          <w:tcPr>
            <w:tcW w:w="10100" w:type="dxa"/>
            <w:vAlign w:val="bottom"/>
            <w:gridSpan w:val="28"/>
          </w:tcPr>
          <w:p>
            <w:pPr>
              <w:ind w:left="20"/>
              <w:spacing w:after="0"/>
              <w:rPr>
                <w:rFonts w:ascii="Arial" w:cs="Arial" w:eastAsia="Arial" w:hAnsi="Arial"/>
                <w:sz w:val="18"/>
                <w:szCs w:val="18"/>
                <w:color w:val="0000EE"/>
              </w:rPr>
            </w:pPr>
            <w:hyperlink w:anchor="page178">
              <w:r>
                <w:rPr>
                  <w:rFonts w:ascii="Arial" w:cs="Arial" w:eastAsia="Arial" w:hAnsi="Arial"/>
                  <w:sz w:val="18"/>
                  <w:szCs w:val="18"/>
                  <w:color w:val="0000EE"/>
                </w:rPr>
                <w:t>Debt</w:t>
              </w:r>
            </w:hyperlink>
          </w:p>
        </w:tc>
        <w:tc>
          <w:tcPr>
            <w:tcW w:w="900" w:type="dxa"/>
            <w:vAlign w:val="bottom"/>
          </w:tcPr>
          <w:p>
            <w:pPr>
              <w:jc w:val="right"/>
              <w:spacing w:after="0"/>
              <w:rPr>
                <w:rFonts w:ascii="Arial" w:cs="Arial" w:eastAsia="Arial" w:hAnsi="Arial"/>
                <w:sz w:val="18"/>
                <w:szCs w:val="18"/>
                <w:color w:val="0000EE"/>
              </w:rPr>
            </w:pPr>
            <w:hyperlink w:anchor="page178">
              <w:r>
                <w:rPr>
                  <w:rFonts w:ascii="Arial" w:cs="Arial" w:eastAsia="Arial" w:hAnsi="Arial"/>
                  <w:sz w:val="18"/>
                  <w:szCs w:val="18"/>
                  <w:color w:val="0000EE"/>
                </w:rPr>
                <w:t>F-25</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7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82">
              <w:r>
                <w:rPr>
                  <w:rFonts w:ascii="Arial" w:cs="Arial" w:eastAsia="Arial" w:hAnsi="Arial"/>
                  <w:sz w:val="18"/>
                  <w:szCs w:val="18"/>
                  <w:color w:val="0000EE"/>
                  <w:w w:val="90"/>
                </w:rPr>
                <w:t>11. Partners’ Capital and Distributions</w:t>
              </w:r>
            </w:hyperlink>
          </w:p>
        </w:tc>
        <w:tc>
          <w:tcPr>
            <w:tcW w:w="7580" w:type="dxa"/>
            <w:vAlign w:val="bottom"/>
            <w:gridSpan w:val="17"/>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82">
              <w:r>
                <w:rPr>
                  <w:rFonts w:ascii="Arial" w:cs="Arial" w:eastAsia="Arial" w:hAnsi="Arial"/>
                  <w:sz w:val="18"/>
                  <w:szCs w:val="18"/>
                  <w:color w:val="0000EE"/>
                </w:rPr>
                <w:t>F-29</w:t>
              </w:r>
            </w:hyperlink>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5">
              <w:r>
                <w:rPr>
                  <w:rFonts w:ascii="Arial" w:cs="Arial" w:eastAsia="Arial" w:hAnsi="Arial"/>
                  <w:sz w:val="18"/>
                  <w:szCs w:val="18"/>
                  <w:color w:val="0000EE"/>
                  <w:w w:val="87"/>
                </w:rPr>
                <w:t>12.</w:t>
              </w:r>
            </w:hyperlink>
          </w:p>
        </w:tc>
        <w:tc>
          <w:tcPr>
            <w:tcW w:w="10100" w:type="dxa"/>
            <w:vAlign w:val="bottom"/>
            <w:gridSpan w:val="28"/>
          </w:tcPr>
          <w:p>
            <w:pPr>
              <w:ind w:left="20"/>
              <w:spacing w:after="0"/>
              <w:rPr>
                <w:rFonts w:ascii="Arial" w:cs="Arial" w:eastAsia="Arial" w:hAnsi="Arial"/>
                <w:sz w:val="18"/>
                <w:szCs w:val="18"/>
                <w:color w:val="0000EE"/>
              </w:rPr>
            </w:pPr>
            <w:hyperlink w:anchor="page185">
              <w:r>
                <w:rPr>
                  <w:rFonts w:ascii="Arial" w:cs="Arial" w:eastAsia="Arial" w:hAnsi="Arial"/>
                  <w:sz w:val="18"/>
                  <w:szCs w:val="18"/>
                  <w:color w:val="0000EE"/>
                </w:rPr>
                <w:t>Derivatives and Risk Management Activities</w:t>
              </w:r>
            </w:hyperlink>
          </w:p>
        </w:tc>
        <w:tc>
          <w:tcPr>
            <w:tcW w:w="900" w:type="dxa"/>
            <w:vAlign w:val="bottom"/>
          </w:tcPr>
          <w:p>
            <w:pPr>
              <w:jc w:val="right"/>
              <w:spacing w:after="0"/>
              <w:rPr>
                <w:rFonts w:ascii="Arial" w:cs="Arial" w:eastAsia="Arial" w:hAnsi="Arial"/>
                <w:sz w:val="18"/>
                <w:szCs w:val="18"/>
                <w:color w:val="0000EE"/>
              </w:rPr>
            </w:pPr>
            <w:hyperlink w:anchor="page185">
              <w:r>
                <w:rPr>
                  <w:rFonts w:ascii="Arial" w:cs="Arial" w:eastAsia="Arial" w:hAnsi="Arial"/>
                  <w:sz w:val="18"/>
                  <w:szCs w:val="18"/>
                  <w:color w:val="0000EE"/>
                </w:rPr>
                <w:t>F-32</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94">
              <w:r>
                <w:rPr>
                  <w:rFonts w:ascii="Arial" w:cs="Arial" w:eastAsia="Arial" w:hAnsi="Arial"/>
                  <w:sz w:val="18"/>
                  <w:szCs w:val="18"/>
                  <w:color w:val="0000EE"/>
                  <w:w w:val="87"/>
                </w:rPr>
                <w:t>13.</w:t>
              </w:r>
            </w:hyperlink>
          </w:p>
        </w:tc>
        <w:tc>
          <w:tcPr>
            <w:tcW w:w="10100" w:type="dxa"/>
            <w:vAlign w:val="bottom"/>
            <w:gridSpan w:val="28"/>
          </w:tcPr>
          <w:p>
            <w:pPr>
              <w:ind w:left="20"/>
              <w:spacing w:after="0"/>
              <w:rPr>
                <w:rFonts w:ascii="Arial" w:cs="Arial" w:eastAsia="Arial" w:hAnsi="Arial"/>
                <w:sz w:val="18"/>
                <w:szCs w:val="18"/>
                <w:color w:val="0000EE"/>
              </w:rPr>
            </w:pPr>
            <w:hyperlink w:anchor="page194">
              <w:r>
                <w:rPr>
                  <w:rFonts w:ascii="Arial" w:cs="Arial" w:eastAsia="Arial" w:hAnsi="Arial"/>
                  <w:sz w:val="18"/>
                  <w:szCs w:val="18"/>
                  <w:color w:val="0000EE"/>
                </w:rPr>
                <w:t>Income Taxes</w:t>
              </w:r>
            </w:hyperlink>
          </w:p>
        </w:tc>
        <w:tc>
          <w:tcPr>
            <w:tcW w:w="900" w:type="dxa"/>
            <w:vAlign w:val="bottom"/>
          </w:tcPr>
          <w:p>
            <w:pPr>
              <w:jc w:val="right"/>
              <w:spacing w:after="0"/>
              <w:rPr>
                <w:rFonts w:ascii="Arial" w:cs="Arial" w:eastAsia="Arial" w:hAnsi="Arial"/>
                <w:sz w:val="18"/>
                <w:szCs w:val="18"/>
                <w:color w:val="0000EE"/>
              </w:rPr>
            </w:pPr>
            <w:hyperlink w:anchor="page194">
              <w:r>
                <w:rPr>
                  <w:rFonts w:ascii="Arial" w:cs="Arial" w:eastAsia="Arial" w:hAnsi="Arial"/>
                  <w:sz w:val="18"/>
                  <w:szCs w:val="18"/>
                  <w:color w:val="0000EE"/>
                </w:rPr>
                <w:t>F-41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96">
              <w:r>
                <w:rPr>
                  <w:rFonts w:ascii="Arial" w:cs="Arial" w:eastAsia="Arial" w:hAnsi="Arial"/>
                  <w:sz w:val="18"/>
                  <w:szCs w:val="18"/>
                  <w:color w:val="0000EE"/>
                  <w:w w:val="87"/>
                </w:rPr>
                <w:t>14.</w:t>
              </w:r>
            </w:hyperlink>
          </w:p>
        </w:tc>
        <w:tc>
          <w:tcPr>
            <w:tcW w:w="10100" w:type="dxa"/>
            <w:vAlign w:val="bottom"/>
            <w:gridSpan w:val="28"/>
          </w:tcPr>
          <w:p>
            <w:pPr>
              <w:ind w:left="20"/>
              <w:spacing w:after="0"/>
              <w:rPr>
                <w:rFonts w:ascii="Arial" w:cs="Arial" w:eastAsia="Arial" w:hAnsi="Arial"/>
                <w:sz w:val="18"/>
                <w:szCs w:val="18"/>
                <w:color w:val="0000EE"/>
              </w:rPr>
            </w:pPr>
            <w:hyperlink w:anchor="page196">
              <w:r>
                <w:rPr>
                  <w:rFonts w:ascii="Arial" w:cs="Arial" w:eastAsia="Arial" w:hAnsi="Arial"/>
                  <w:sz w:val="18"/>
                  <w:szCs w:val="18"/>
                  <w:color w:val="0000EE"/>
                </w:rPr>
                <w:t>Major Customers and Concentration of Credit Risk</w:t>
              </w:r>
            </w:hyperlink>
          </w:p>
        </w:tc>
        <w:tc>
          <w:tcPr>
            <w:tcW w:w="900" w:type="dxa"/>
            <w:vAlign w:val="bottom"/>
          </w:tcPr>
          <w:p>
            <w:pPr>
              <w:jc w:val="right"/>
              <w:spacing w:after="0"/>
              <w:rPr>
                <w:rFonts w:ascii="Arial" w:cs="Arial" w:eastAsia="Arial" w:hAnsi="Arial"/>
                <w:sz w:val="18"/>
                <w:szCs w:val="18"/>
                <w:color w:val="0000EE"/>
              </w:rPr>
            </w:pPr>
            <w:hyperlink w:anchor="page196">
              <w:r>
                <w:rPr>
                  <w:rFonts w:ascii="Arial" w:cs="Arial" w:eastAsia="Arial" w:hAnsi="Arial"/>
                  <w:sz w:val="18"/>
                  <w:szCs w:val="18"/>
                  <w:color w:val="0000EE"/>
                </w:rPr>
                <w:t>F-43</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96">
              <w:r>
                <w:rPr>
                  <w:rFonts w:ascii="Arial" w:cs="Arial" w:eastAsia="Arial" w:hAnsi="Arial"/>
                  <w:sz w:val="18"/>
                  <w:szCs w:val="18"/>
                  <w:color w:val="0000EE"/>
                  <w:w w:val="87"/>
                </w:rPr>
                <w:t>15.</w:t>
              </w:r>
            </w:hyperlink>
          </w:p>
        </w:tc>
        <w:tc>
          <w:tcPr>
            <w:tcW w:w="10100" w:type="dxa"/>
            <w:vAlign w:val="bottom"/>
            <w:gridSpan w:val="28"/>
          </w:tcPr>
          <w:p>
            <w:pPr>
              <w:ind w:left="20"/>
              <w:spacing w:after="0"/>
              <w:rPr>
                <w:rFonts w:ascii="Arial" w:cs="Arial" w:eastAsia="Arial" w:hAnsi="Arial"/>
                <w:sz w:val="18"/>
                <w:szCs w:val="18"/>
                <w:color w:val="0000EE"/>
              </w:rPr>
            </w:pPr>
            <w:hyperlink w:anchor="page196">
              <w:r>
                <w:rPr>
                  <w:rFonts w:ascii="Arial" w:cs="Arial" w:eastAsia="Arial" w:hAnsi="Arial"/>
                  <w:sz w:val="18"/>
                  <w:szCs w:val="18"/>
                  <w:color w:val="0000EE"/>
                </w:rPr>
                <w:t>Related Party Transactions</w:t>
              </w:r>
            </w:hyperlink>
          </w:p>
        </w:tc>
        <w:tc>
          <w:tcPr>
            <w:tcW w:w="900" w:type="dxa"/>
            <w:vAlign w:val="bottom"/>
          </w:tcPr>
          <w:p>
            <w:pPr>
              <w:jc w:val="right"/>
              <w:spacing w:after="0"/>
              <w:rPr>
                <w:rFonts w:ascii="Arial" w:cs="Arial" w:eastAsia="Arial" w:hAnsi="Arial"/>
                <w:sz w:val="18"/>
                <w:szCs w:val="18"/>
                <w:color w:val="0000EE"/>
              </w:rPr>
            </w:pPr>
            <w:hyperlink w:anchor="page196">
              <w:r>
                <w:rPr>
                  <w:rFonts w:ascii="Arial" w:cs="Arial" w:eastAsia="Arial" w:hAnsi="Arial"/>
                  <w:sz w:val="18"/>
                  <w:szCs w:val="18"/>
                  <w:color w:val="0000EE"/>
                </w:rPr>
                <w:t>F-43</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98">
              <w:r>
                <w:rPr>
                  <w:rFonts w:ascii="Arial" w:cs="Arial" w:eastAsia="Arial" w:hAnsi="Arial"/>
                  <w:sz w:val="18"/>
                  <w:szCs w:val="18"/>
                  <w:color w:val="0000EE"/>
                  <w:w w:val="87"/>
                </w:rPr>
                <w:t>16.</w:t>
              </w:r>
            </w:hyperlink>
          </w:p>
        </w:tc>
        <w:tc>
          <w:tcPr>
            <w:tcW w:w="10100" w:type="dxa"/>
            <w:vAlign w:val="bottom"/>
            <w:gridSpan w:val="28"/>
          </w:tcPr>
          <w:p>
            <w:pPr>
              <w:ind w:left="20"/>
              <w:spacing w:after="0"/>
              <w:rPr>
                <w:rFonts w:ascii="Arial" w:cs="Arial" w:eastAsia="Arial" w:hAnsi="Arial"/>
                <w:sz w:val="18"/>
                <w:szCs w:val="18"/>
                <w:color w:val="0000EE"/>
              </w:rPr>
            </w:pPr>
            <w:hyperlink w:anchor="page198">
              <w:r>
                <w:rPr>
                  <w:rFonts w:ascii="Arial" w:cs="Arial" w:eastAsia="Arial" w:hAnsi="Arial"/>
                  <w:sz w:val="18"/>
                  <w:szCs w:val="18"/>
                  <w:color w:val="0000EE"/>
                </w:rPr>
                <w:t>Equity-Indexed Compensation Plans</w:t>
              </w:r>
            </w:hyperlink>
          </w:p>
        </w:tc>
        <w:tc>
          <w:tcPr>
            <w:tcW w:w="900" w:type="dxa"/>
            <w:vAlign w:val="bottom"/>
          </w:tcPr>
          <w:p>
            <w:pPr>
              <w:jc w:val="right"/>
              <w:spacing w:after="0"/>
              <w:rPr>
                <w:rFonts w:ascii="Arial" w:cs="Arial" w:eastAsia="Arial" w:hAnsi="Arial"/>
                <w:sz w:val="18"/>
                <w:szCs w:val="18"/>
                <w:color w:val="0000EE"/>
              </w:rPr>
            </w:pPr>
            <w:hyperlink w:anchor="page198">
              <w:r>
                <w:rPr>
                  <w:rFonts w:ascii="Arial" w:cs="Arial" w:eastAsia="Arial" w:hAnsi="Arial"/>
                  <w:sz w:val="18"/>
                  <w:szCs w:val="18"/>
                  <w:color w:val="0000EE"/>
                </w:rPr>
                <w:t>F-45</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02">
              <w:r>
                <w:rPr>
                  <w:rFonts w:ascii="Arial" w:cs="Arial" w:eastAsia="Arial" w:hAnsi="Arial"/>
                  <w:sz w:val="18"/>
                  <w:szCs w:val="18"/>
                  <w:color w:val="0000EE"/>
                  <w:w w:val="87"/>
                </w:rPr>
                <w:t>17.</w:t>
              </w:r>
            </w:hyperlink>
          </w:p>
        </w:tc>
        <w:tc>
          <w:tcPr>
            <w:tcW w:w="10100" w:type="dxa"/>
            <w:vAlign w:val="bottom"/>
            <w:gridSpan w:val="28"/>
          </w:tcPr>
          <w:p>
            <w:pPr>
              <w:ind w:left="20"/>
              <w:spacing w:after="0"/>
              <w:rPr>
                <w:rFonts w:ascii="Arial" w:cs="Arial" w:eastAsia="Arial" w:hAnsi="Arial"/>
                <w:sz w:val="18"/>
                <w:szCs w:val="18"/>
                <w:color w:val="0000EE"/>
              </w:rPr>
            </w:pPr>
            <w:hyperlink w:anchor="page202">
              <w:r>
                <w:rPr>
                  <w:rFonts w:ascii="Arial" w:cs="Arial" w:eastAsia="Arial" w:hAnsi="Arial"/>
                  <w:sz w:val="18"/>
                  <w:szCs w:val="18"/>
                  <w:color w:val="0000EE"/>
                </w:rPr>
                <w:t>Commitments and Contingencies</w:t>
              </w:r>
            </w:hyperlink>
          </w:p>
        </w:tc>
        <w:tc>
          <w:tcPr>
            <w:tcW w:w="900" w:type="dxa"/>
            <w:vAlign w:val="bottom"/>
          </w:tcPr>
          <w:p>
            <w:pPr>
              <w:jc w:val="right"/>
              <w:spacing w:after="0"/>
              <w:rPr>
                <w:rFonts w:ascii="Arial" w:cs="Arial" w:eastAsia="Arial" w:hAnsi="Arial"/>
                <w:sz w:val="18"/>
                <w:szCs w:val="18"/>
                <w:color w:val="0000EE"/>
              </w:rPr>
            </w:pPr>
            <w:hyperlink w:anchor="page202">
              <w:r>
                <w:rPr>
                  <w:rFonts w:ascii="Arial" w:cs="Arial" w:eastAsia="Arial" w:hAnsi="Arial"/>
                  <w:sz w:val="18"/>
                  <w:szCs w:val="18"/>
                  <w:color w:val="0000EE"/>
                </w:rPr>
                <w:t>F-49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08">
              <w:r>
                <w:rPr>
                  <w:rFonts w:ascii="Arial" w:cs="Arial" w:eastAsia="Arial" w:hAnsi="Arial"/>
                  <w:sz w:val="18"/>
                  <w:szCs w:val="18"/>
                  <w:color w:val="0000EE"/>
                  <w:w w:val="87"/>
                </w:rPr>
                <w:t>18.</w:t>
              </w:r>
            </w:hyperlink>
          </w:p>
        </w:tc>
        <w:tc>
          <w:tcPr>
            <w:tcW w:w="10100" w:type="dxa"/>
            <w:vAlign w:val="bottom"/>
            <w:gridSpan w:val="28"/>
          </w:tcPr>
          <w:p>
            <w:pPr>
              <w:ind w:left="20"/>
              <w:spacing w:after="0"/>
              <w:rPr>
                <w:rFonts w:ascii="Arial" w:cs="Arial" w:eastAsia="Arial" w:hAnsi="Arial"/>
                <w:sz w:val="18"/>
                <w:szCs w:val="18"/>
                <w:color w:val="0000EE"/>
              </w:rPr>
            </w:pPr>
            <w:hyperlink w:anchor="page208">
              <w:r>
                <w:rPr>
                  <w:rFonts w:ascii="Arial" w:cs="Arial" w:eastAsia="Arial" w:hAnsi="Arial"/>
                  <w:sz w:val="18"/>
                  <w:szCs w:val="18"/>
                  <w:color w:val="0000EE"/>
                </w:rPr>
                <w:t>Quarterly Financial Data (Unaudited)</w:t>
              </w:r>
            </w:hyperlink>
          </w:p>
        </w:tc>
        <w:tc>
          <w:tcPr>
            <w:tcW w:w="900" w:type="dxa"/>
            <w:vAlign w:val="bottom"/>
          </w:tcPr>
          <w:p>
            <w:pPr>
              <w:jc w:val="right"/>
              <w:spacing w:after="0"/>
              <w:rPr>
                <w:rFonts w:ascii="Arial" w:cs="Arial" w:eastAsia="Arial" w:hAnsi="Arial"/>
                <w:sz w:val="18"/>
                <w:szCs w:val="18"/>
                <w:color w:val="0000EE"/>
              </w:rPr>
            </w:pPr>
            <w:hyperlink w:anchor="page208">
              <w:r>
                <w:rPr>
                  <w:rFonts w:ascii="Arial" w:cs="Arial" w:eastAsia="Arial" w:hAnsi="Arial"/>
                  <w:sz w:val="18"/>
                  <w:szCs w:val="18"/>
                  <w:color w:val="0000EE"/>
                </w:rPr>
                <w:t>F-55</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08">
              <w:r>
                <w:rPr>
                  <w:rFonts w:ascii="Arial" w:cs="Arial" w:eastAsia="Arial" w:hAnsi="Arial"/>
                  <w:sz w:val="18"/>
                  <w:szCs w:val="18"/>
                  <w:color w:val="0000EE"/>
                  <w:w w:val="87"/>
                </w:rPr>
                <w:t>19.</w:t>
              </w:r>
            </w:hyperlink>
          </w:p>
        </w:tc>
        <w:tc>
          <w:tcPr>
            <w:tcW w:w="10100" w:type="dxa"/>
            <w:vAlign w:val="bottom"/>
            <w:gridSpan w:val="28"/>
          </w:tcPr>
          <w:p>
            <w:pPr>
              <w:ind w:left="20"/>
              <w:spacing w:after="0"/>
              <w:rPr>
                <w:rFonts w:ascii="Arial" w:cs="Arial" w:eastAsia="Arial" w:hAnsi="Arial"/>
                <w:sz w:val="18"/>
                <w:szCs w:val="18"/>
                <w:color w:val="0000EE"/>
              </w:rPr>
            </w:pPr>
            <w:hyperlink w:anchor="page208">
              <w:r>
                <w:rPr>
                  <w:rFonts w:ascii="Arial" w:cs="Arial" w:eastAsia="Arial" w:hAnsi="Arial"/>
                  <w:sz w:val="18"/>
                  <w:szCs w:val="18"/>
                  <w:color w:val="0000EE"/>
                </w:rPr>
                <w:t>Operating Segments</w:t>
              </w:r>
            </w:hyperlink>
          </w:p>
        </w:tc>
        <w:tc>
          <w:tcPr>
            <w:tcW w:w="900" w:type="dxa"/>
            <w:vAlign w:val="bottom"/>
          </w:tcPr>
          <w:p>
            <w:pPr>
              <w:jc w:val="right"/>
              <w:spacing w:after="0"/>
              <w:rPr>
                <w:rFonts w:ascii="Arial" w:cs="Arial" w:eastAsia="Arial" w:hAnsi="Arial"/>
                <w:sz w:val="18"/>
                <w:szCs w:val="18"/>
                <w:color w:val="0000EE"/>
              </w:rPr>
            </w:pPr>
            <w:hyperlink w:anchor="page208">
              <w:r>
                <w:rPr>
                  <w:rFonts w:ascii="Arial" w:cs="Arial" w:eastAsia="Arial" w:hAnsi="Arial"/>
                  <w:sz w:val="18"/>
                  <w:szCs w:val="18"/>
                  <w:color w:val="0000EE"/>
                </w:rPr>
                <w:t>F-55</w:t>
              </w:r>
            </w:hyperlink>
          </w:p>
        </w:tc>
      </w:tr>
      <w:tr>
        <w:trPr>
          <w:trHeight w:val="723"/>
        </w:trPr>
        <w:tc>
          <w:tcPr>
            <w:tcW w:w="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6"/>
          </w:tcPr>
          <w:p>
            <w:pPr>
              <w:ind w:left="64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2016.</w:t>
      </w:r>
    </w:p>
    <w:p>
      <w:pPr>
        <w:spacing w:after="0" w:line="147"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2016 has been audited by PricewaterhouseCoopers LLP, an independent registered public accounting firm, as stated in their report which appears on Page F-3.</w:t>
      </w:r>
    </w:p>
    <w:p>
      <w:pPr>
        <w:spacing w:after="0" w:line="28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Chief Executive Officer of Plains All American GP LLC</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American GP LLC</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25" w:right="2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accumulated other comprehensive income/(loss), of changes in partners’ capital, and of cash flows present fairly, in all material respects, the financial position of Plains All American Pipeline, L.P.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Partnership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84"/>
        </w:trPr>
        <w:tc>
          <w:tcPr>
            <w:tcW w:w="8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916</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2,969</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15,654</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13,474</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2,027</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22,288</w:t>
            </w:r>
          </w:p>
        </w:tc>
      </w:tr>
      <w:tr>
        <w:trPr>
          <w:trHeight w:val="271"/>
        </w:trPr>
        <w:tc>
          <w:tcPr>
            <w:tcW w:w="8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3,407</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677</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10,942</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17)</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(64,388,853 units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Common unitholders (669,194,419 and 397,727,624 units outstanding, respectively)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7,580</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7,881</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7,939</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22,288</w:t>
            </w: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018"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19,004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21,927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42,114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43,464</w:t>
            </w: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39,500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41,665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1,799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$47, $57 and $48, respectively)</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1"/>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attributable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878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r>
      <w:tr>
        <w:trPr>
          <w:trHeight w:val="304"/>
        </w:trPr>
        <w:tc>
          <w:tcPr>
            <w:tcW w:w="7440" w:type="dxa"/>
            <w:vAlign w:val="bottom"/>
          </w:tcPr>
          <w:p>
            <w:pPr>
              <w:ind w:left="18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84"/>
        </w:trPr>
        <w:tc>
          <w:tcPr>
            <w:tcW w:w="744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attributable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878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730</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loss on cash flow hedges, net of tax</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2014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2015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2014</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1,386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12)</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Trade accounts receivable and 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23"/>
        </w:trPr>
        <w:tc>
          <w:tcPr>
            <w:tcW w:w="7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 (Note 6)</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 (Note 8)</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commercial paper program (Note 10)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borrowings under senior secured hedged inventory facility (Note 10)</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under AAP senior secured revolving credit facility (Note 10)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Repayment of AAP term loan (Note 10)</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senior notes (Note 10)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Repayments of senior notes (Note 10)</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Series A preferred units (Note 11)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proceeds from the sale of common units (Note 11)</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from general partner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 (Note 11)</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general partner (Note 11)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r>
      <w:tr>
        <w:trPr>
          <w:trHeight w:val="223"/>
        </w:trPr>
        <w:tc>
          <w:tcPr>
            <w:tcW w:w="7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vMerge w:val="restart"/>
          </w:tcPr>
          <w:p>
            <w:pPr>
              <w:jc w:val="right"/>
              <w:ind w:right="652"/>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Partners’ Capital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9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Excluding</w:t>
            </w: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jc w:val="center"/>
              <w:ind w:right="153"/>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Series A Preferred</w:t>
            </w:r>
          </w:p>
        </w:tc>
        <w:tc>
          <w:tcPr>
            <w:tcW w:w="1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4"/>
                <w:szCs w:val="14"/>
                <w:color w:val="auto"/>
              </w:rPr>
            </w:pPr>
          </w:p>
        </w:tc>
        <w:tc>
          <w:tcPr>
            <w:tcW w:w="102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Uniholders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Unitholders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303"/>
        </w:trPr>
        <w:tc>
          <w:tcPr>
            <w:tcW w:w="298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84"/>
        </w:trPr>
        <w:tc>
          <w:tcPr>
            <w:tcW w:w="29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Sale of common units</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Cash distributions to partners</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Simplification Transactions (Note 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19 for further discussion of our operating segments.</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December 31, 2016, AAP also owned an approximate 33% limited partner interest in us represented by 241.7 million of our common units. Plains All American GP LLC (“GP LLC”), a Delaware limited liability company, is AAP’s general partner. Plains GP Holdings, L.P. (“PAGP”) is the sole and managing member of GP LLC, and, at December 31, 2016, owned an approximate 42% limited partner interest in AAP. PAA GP Holdings LLC (“PAGP GP”) is the general partner of PAGP.</w:t>
      </w:r>
    </w:p>
    <w:p>
      <w:pPr>
        <w:spacing w:after="0" w:line="173"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(“PMC”).</w:t>
      </w:r>
    </w:p>
    <w:p>
      <w:pPr>
        <w:spacing w:after="0" w:line="16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jc w:val="both"/>
        <w:ind w:left="660" w:right="240" w:hanging="328"/>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permanent elimination of our incentive distribution rights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70" w:lineRule="exact"/>
        <w:rPr>
          <w:rFonts w:ascii="Arial" w:cs="Arial" w:eastAsia="Arial" w:hAnsi="Arial"/>
          <w:sz w:val="18"/>
          <w:szCs w:val="18"/>
          <w:color w:val="auto"/>
        </w:rPr>
      </w:pPr>
    </w:p>
    <w:p>
      <w:pPr>
        <w:ind w:left="660" w:right="40" w:hanging="328"/>
        <w:spacing w:after="0" w:line="312"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provision for annual PAGP shareholder elections beginning in 2018 with certain directors with expiring terms in 2018, and the participation of our common unitholders and Series A preferred unitholders in such elections through our ownership of newly issued Class C shares in PAGP, which provide us, as the sole holder, the right to vote in elections of eligible PAGP directors together with the holders of PAGP Class A and Class B shares;</w:t>
      </w:r>
    </w:p>
    <w:p>
      <w:pPr>
        <w:spacing w:after="0" w:line="146" w:lineRule="exact"/>
        <w:rPr>
          <w:rFonts w:ascii="Arial" w:cs="Arial" w:eastAsia="Arial" w:hAnsi="Arial"/>
          <w:sz w:val="16"/>
          <w:szCs w:val="16"/>
          <w:color w:val="auto"/>
        </w:rPr>
      </w:pPr>
    </w:p>
    <w:p>
      <w:pPr>
        <w:ind w:left="660" w:right="100" w:hanging="328"/>
        <w:spacing w:after="0" w:line="273"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execution by AAP of a reverse split to adjust the number of AAP Class A units (“AAP units”) such that the number of outstanding AAP units (assuming the conversion of AAP Class B units (the “AAP Management Units”) into AAP units) equaled the number of our common units received by AAP at the closing of the Simplification Transactions. Simultaneously, PAGP executed a reverse split to adjust the number of PAGP Class A and Class B shares outstanding to equal the number of AAP units it owns following AAP’s reverse unit split. These reverse splits, along with the Omnibus Agreement, resulted in economic alignment between our common unitholders and PAGP’s Class A shareholders, such that the number of outstanding PAGP Class A shares equals the number of AAP units owned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57" w:lineRule="auto"/>
        <w:rPr>
          <w:sz w:val="20"/>
          <w:szCs w:val="20"/>
          <w:color w:val="auto"/>
        </w:rPr>
      </w:pPr>
      <w:r>
        <w:rPr>
          <w:rFonts w:ascii="Arial" w:cs="Arial" w:eastAsia="Arial" w:hAnsi="Arial"/>
          <w:sz w:val="17"/>
          <w:szCs w:val="17"/>
          <w:color w:val="auto"/>
        </w:rPr>
        <w:t>PAGP, which in turn equals the number of our common units held by AAP. The Plains Entities also entered into an Omnibus Agreement, pursuant to which such one-to-one relationship will be maintained subsequent to the closing of the Simplification Transactions; and</w:t>
      </w:r>
    </w:p>
    <w:p>
      <w:pPr>
        <w:spacing w:after="0" w:line="121" w:lineRule="exact"/>
        <w:rPr>
          <w:sz w:val="20"/>
          <w:szCs w:val="20"/>
          <w:color w:val="auto"/>
        </w:rPr>
      </w:pPr>
    </w:p>
    <w:p>
      <w:pPr>
        <w:ind w:left="66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creation of a right for certain holders of the AAP units to cause AAP to redeem such AAP units in exchange for an equal number of our common units held by 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Simplification Transactions were between and among consolidated subsidiaries of PAGP that are considered entities under common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equity transactions did not result in a change in the carrying value of the underlying assets and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AOCI</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Bcf</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Billion cubic feet</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Btu</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British thermal unit</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CAD</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Canadian dollar</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DERs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EBITDA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EPA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FASB</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GAAP</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ICE</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Intercontinental Exchange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IPO</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Initial public offering</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LTIP</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Long-term incentive plan</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Mcf</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Thousand cubic feet</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MLP</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Master limited partnership</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NGL</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NYMEX</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Oxy</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PLA</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Pipeline loss allowance</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USD</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United States dollar</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WTI</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2016 and 2015, and the consolidated results of our operations, cash flows, changes in partners’ capital, comprehensive income and changes in accumulated other comprehensive income/(loss) for the years ended December 31, 2016, 2015 and 2014. All significant intercompany transactions have been eliminated in consolidation, and certain reclassifications have been made to information from previous years to conform to the current presentation. These reclassifications do not affect net income attributable to PAA. 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6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125" w:right="2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equity-indexed compensation plan accruals, (v) property and equipment, depreciation expense and asset retirement obligations, (vi) allowance for doubtful accounts and (vii) inventory valuations. Although we believe these estimates are reasonable, actual results could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Transportation Segment Revenues. </w:t>
      </w:r>
      <w:r>
        <w:rPr>
          <w:rFonts w:ascii="Arial" w:cs="Arial" w:eastAsia="Arial" w:hAnsi="Arial"/>
          <w:sz w:val="18"/>
          <w:szCs w:val="18"/>
          <w:color w:val="auto"/>
        </w:rPr>
        <w:t>Our Transportation segment operations generally consist of fee-based activities associated with transporting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on pipelines, gathering systems, trucks and barges. Revenues from pipeline tariffs and fees are associated with the transportation of crude oil and NGL at a published tariff, as well as revenues associated with agreements for committed space on various assets. Tariff revenues are recognized either at the point of delivery or at the point of receipt pursuant to specifications outlined in the tariffs. Revenues associated with fees are recognized in the month to which the fee applies.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w:t>
      </w:r>
    </w:p>
    <w:p>
      <w:pPr>
        <w:spacing w:after="0" w:line="192" w:lineRule="exact"/>
        <w:rPr>
          <w:sz w:val="20"/>
          <w:szCs w:val="20"/>
          <w:color w:val="auto"/>
        </w:rPr>
      </w:pPr>
    </w:p>
    <w:p>
      <w:pPr>
        <w:ind w:firstLine="702"/>
        <w:spacing w:after="0" w:line="255" w:lineRule="auto"/>
        <w:rPr>
          <w:sz w:val="20"/>
          <w:szCs w:val="20"/>
          <w:color w:val="auto"/>
        </w:rPr>
      </w:pPr>
      <w:r>
        <w:rPr>
          <w:rFonts w:ascii="Arial" w:cs="Arial" w:eastAsia="Arial" w:hAnsi="Arial"/>
          <w:sz w:val="18"/>
          <w:szCs w:val="18"/>
          <w:i w:val="1"/>
          <w:iCs w:val="1"/>
          <w:color w:val="auto"/>
        </w:rPr>
        <w:t xml:space="preserve">Facilities Segment Revenues.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89" w:lineRule="exact"/>
        <w:rPr>
          <w:sz w:val="20"/>
          <w:szCs w:val="20"/>
          <w:color w:val="auto"/>
        </w:rPr>
      </w:pPr>
    </w:p>
    <w:p>
      <w:pPr>
        <w:ind w:right="200" w:firstLine="702"/>
        <w:spacing w:after="0" w:line="297" w:lineRule="auto"/>
        <w:rPr>
          <w:sz w:val="20"/>
          <w:szCs w:val="20"/>
          <w:color w:val="auto"/>
        </w:rPr>
      </w:pPr>
      <w:r>
        <w:rPr>
          <w:rFonts w:ascii="Arial" w:cs="Arial" w:eastAsia="Arial" w:hAnsi="Arial"/>
          <w:sz w:val="16"/>
          <w:szCs w:val="16"/>
          <w:color w:val="auto"/>
        </w:rPr>
        <w:t>We generate revenue through a combination of month-to-month and multi-year agreements.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deliver, transport or throughput a minimum volume over</w:t>
      </w:r>
      <w:r>
        <w:rPr>
          <w:rFonts w:ascii="Arial" w:cs="Arial" w:eastAsia="Arial" w:hAnsi="Arial"/>
          <w:sz w:val="17"/>
          <w:szCs w:val="17"/>
          <w:i w:val="1"/>
          <w:iCs w:val="1"/>
          <w:color w:val="auto"/>
        </w:rPr>
        <w:t xml:space="preserve"> </w:t>
      </w:r>
      <w:r>
        <w:rPr>
          <w:rFonts w:ascii="Arial" w:cs="Arial" w:eastAsia="Arial" w:hAnsi="Arial"/>
          <w:sz w:val="17"/>
          <w:szCs w:val="17"/>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December 31, 2016 and 2015, counterparty deficiencies associated with agreements that include minimum volume commitments totaled $66 million and $33 million, respectively, of which $54 million and $17 million, respectively, was recorded as deferred revenue. The balance of $12 million and $16 million at each respective date was related to deficiencies for which the counterparties had not met their contractual minimum commitments and were not reflected in our Consolidated Financial Statements as we had not yet billed or collected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Purchases and related costs include (i) the cost of crude oil, NGL and natural gas obtained in outright purchases, (ii) fees incurred for third-party storage and transportation, whether by pipeline, truck, rail, ship or barge and (iii) performance-related bonus costs. These costs are recognized when incurred except in the case of products purchased, which are recognized at the time title transfers to us. Purchases that are part of inventory exchanges under buy/sell transactions are netted with the related sales, with any margin presented in “Purchases and related costs” in our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Field operating costs consist of various field operating expenses, including fuel and power costs (including the impact of gains and losses from derivative related activities), telecommunications, payroll and benefit costs (including equity-indexed compensation expense) for truck drivers and field and other operations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loss of $8 million for the year ended December 31, 2016, a net gain of $21 million for the year ended December 31, 2015 and a net loss of $13 million for the year ended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2016 and 2015, accounts payable included $66 million and $60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sustained decrease in commodity prices since late 2014 has caused liquidity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December 31, 2016 and 2015, we had received $89 million and $88 million, respectively, of advance cash payments from third parties to mitigate credit risk. We also received $66 million and $36 million as of December 31, 2016 and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7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2016 and 2015, substantially all of our trade accounts receivable (net of allowance for doubtful accounts) were less than 30 days past their scheduled invoice date. Our allowance for doubtful accounts receivable totaled $3 million and $4 million at December 31, 2016 and 2015, respectively.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11 for additional discussion regarding our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6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$44 million and $35 million, respectively, at December 31, 2016 and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See the respective footnotes for our accounting policies regarding (i) net income per common unit, (ii) inventory, linefill and base gas and long-term inventory, (iii) property and equipment, (iv) acquisitions, (v) goodwill, (vi) investments in unconsolidated entities, (vii) other long-term assets, net, (viii) income allocation for partners’ capital presentation purposes,(ix) derivatives and risk management activities, (x) income taxes, (xi) equity-indexed compensation and (xii) legal and environmental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November 2016, the FASB issued guidance requiring that a statement of cash flows explain the change in total cash, cash equivalents, and amounts generally described as restricted 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will become effective for interim and annual periods beginning after December 31, 2017. We expect to adopt this guidance on January 1, 2018, and we do not currently anticipate that our adoption will have a material impact on our statement of cash flows.</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October 2016, the FASB issued guidance to improve the accounting for the income tax consequences of intra-entity transfers of assets other than inventory. This guidance will become effective for interim and annual periods beginning after December 15, 2017, with early adoption permitted in the first interim period of an annual reporting period. We expect to adopt this guidance on January 1, 2018, and we are currently evaluating the effect that adopting this guidance will have on our financial position, results of operations and cash flows.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October 2016, the FASB issued guidance changing how a reporting entity that is the single decision maker of a variable interest entity (“VIE”) should treat indirect interests in the entity held through related parties that are under common control with the reporting entity when determining whether it is the primary beneficiary of that VIE. This guidance is effective for interim and annual periods beginning after December 31, 2016. We adopted this guidance on January 1, 2017. Our adoption did not have a material impact on our financial position, results of operations or cash flows.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August 2016, the FASB issued guidance relating to the classification and presentation of eight specific cash flow issues. This guidance will become effective for interim and annual periods beginning after December 15, 2018, with early adoption permitted. We early adopted this guidance during the fourth quarter of 2016, and our adoption had no impact on our statement of cash flows.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June 2016, the FASB issued new guidance for the accounting for credit losses on certain financial instruments. This guidance will become effective for interim and annual periods beginning after December 15, 2019, with early adoption permitted by one year. We expect to adopt this guidance on January 1, 2020, and we are currently evaluating the effect that adopting this guidance will have on our financial position, results of operations and cash flows.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is effective for interim and annual periods beginning after December 15, 2016, with early adoption permitted. We adopted this guidance on January 1, 2017 and elected to account for forfeitures as they occur, utilizing the modified retrospective approach of adoption. Our adoption did not have a material impact on our financial position, results of operations or cash flows.</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September 2015, the FASB issued guidance to simplify the accounting for measurement-period adjustments for provisional amounts recognized in a business combination by eliminating the requirement for an acquirer to retrospectively account for measurement-period adjustments. Under the updated guidance, the acquirer must recognize adjustments in the reporting period in which the adjustment amounts are determined and the effect on earnings as a result of the change to the provisional amounts must be calculated as if the accounting had been completed at the acquisition date. This guidance was effective for interim and annual periods beginning after December 15, 2015, with early adoption permitted, and prospective application required. We adopted this guidance on January 1, 2016. Our adoption did not have a material impact on our financial position, results of operations or cash flows.</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July 2015, the FASB issued guidance to simplify the measurement of inventory. This updated guidance requires entities to measure inventory at the lower of cost and net realizable value; however, inventory measured using last-in, first-out and the retail inventory method is unchanged by this update. This guidance is effective for interim and annual periods beginning after December 15, 2016, with prospective application required. We adopted this guidance on January 1, 2017. Our adoption did not have a material impact on our financial position, results of operations or cash flows.</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20" w:firstLine="8"/>
        <w:spacing w:after="0" w:line="253" w:lineRule="auto"/>
        <w:tabs>
          <w:tab w:leader="none" w:pos="2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was effective for interim and annual periods beginning after December 15, 2015, with early adoption permitted. We adopted this guidance on January 1, 2016. Our adoption did not have a material impact on our financial position, results of operations or cash flows.</w:t>
      </w:r>
    </w:p>
    <w:p>
      <w:pPr>
        <w:spacing w:after="0" w:line="19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August 2014, the FASB issued guidance that requires management to evaluate whether there is substantial doubt about an entity’s ability to continue as a going concern and to provide related footnote disclosures in certain situations. This guidance is effective for the annual period ending after December 15, 2016, and for interim and annual periods thereafter. We adopted this guidance for the 2016 annual reporting period. Our adoption has not had any impact on our financial position, results of operations or cash flows.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This guidance is effective for interim and annual periods beginning after December 15, 2017. We implemented a process to evaluate the impact of adopting this guidance on each type of revenue contract entered into with customers and our implementation team is in the process of determining appropriate changes to our business processes, systems and controls to support recognition and disclosure under the new standard. In addition, while we have not identified any significant revenue recognition timing differences for types of revenue streams assessed to date, our evaluation is not complete, and we have not quantified the impact to our financial statements, including assessing the impact of changes to disclosures. We expect this determination will near completion during the first half of 2017. We will adopt this guidance on January 1, 2018, and are currently evaluating which transition approach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6"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After consideration of distributions to preferred unitholders (whether cash or paid-in-kind), basic and diluted net income per common unit is determined pursuant to the two-class method as prescribed in FASB guidance. This method is an earnings allocation formula that is used to determine allocations to the general partner,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general partner, common unitholders and participating securities based on their respective rights to share in distributions, regardless of whether those earnings would actually be distributed during a particular period from an economic or practical perspective. Participating securities include LTIP awards that have vested DERs, which entitle the grantee to a cash payment equal to the cash distribution paid on our outstanding common units.</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Simplification Transactions, which closed on November 15, 2016, included the permanent elimination of our IDRs and the economic rights associated with our 2% general partner interest in exchange for the issuance by us to AAP of approximately 244.7 million common units and the assumption by us of AAP’s debt. In addition, we will issue to AAP up to 0.8 million common units in connection with certain AAP Management Units becoming earned in future periods. As such, beginning with the distribution pertaining to the fourth quarter of 2016, our general partner is no longer entitled to receive distributions on the IDRs or general partner interest. See Note 1 for additional discussion of the Simplification Transactions.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amounts allocated to the preferred unitholders and participating securities, and for applicable periods, the 2% general partner’s interest and IDRs) by the basic and diluted weighted-average number of common units outstanding during the period.</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Diluted net income per common unit is computed based on the weighted-average number of common units plus the effect of potentially dilutive securities outstanding during the period, which include (i) our Series A preferred units, (ii) our LTIP awards and (iii) units that are issuable to AAP when certain AAP Management Units are earned. See Note 11 for additional information regarding our Series A preferred units. See Note 16 for a complete discussion of our LTIP awards, including specific discussion regarding DERs, and the AAP Management Units. When applying the if-converted method prescribed by FASB guidance, the possible conversion of our Series A preferred units was excluded from the calculation of diluted net income per common unit for the year ended December 31, 2016 as the effect was antidilutive. Our LTIP awards and certain AAP Management Units that contemplate the issuance of common units are considered dilutive unless (i) vesting occurs only upon the satisfaction of a performance condition and (ii) that performance condition has yet to be satisfied. LTIP awards that were deemed to be dilutive for the periods presented were reduced by a hypothetical common unit repurchase based on the remaining unamortized fair value, as prescribed by the treasury stock method in guidance issued by the FASB. As none of the necessary conditions for the remaining AAP Management Units to become earned had been satisfied by December 31, 2016, no units issuable to AAP were contemplated in the calculation of diluted net income per common unit.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200" w:lineRule="exact"/>
        <w:rPr>
          <w:sz w:val="20"/>
          <w:szCs w:val="20"/>
          <w:color w:val="auto"/>
        </w:rPr>
      </w:pPr>
    </w:p>
    <w:p>
      <w:pPr>
        <w:spacing w:after="0" w:line="246"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74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3"/>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Basic Net Income per Common Unit</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attributable to PAA</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1,384</w:t>
            </w:r>
          </w:p>
        </w:tc>
        <w:tc>
          <w:tcPr>
            <w:tcW w:w="0" w:type="dxa"/>
            <w:vAlign w:val="bottom"/>
          </w:tcPr>
          <w:p>
            <w:pPr>
              <w:spacing w:after="0"/>
              <w:rPr>
                <w:sz w:val="1"/>
                <w:szCs w:val="1"/>
                <w:color w:val="auto"/>
              </w:rPr>
            </w:pPr>
          </w:p>
        </w:tc>
      </w:tr>
      <w:tr>
        <w:trPr>
          <w:trHeight w:val="270"/>
        </w:trPr>
        <w:tc>
          <w:tcPr>
            <w:tcW w:w="6740" w:type="dxa"/>
            <w:vAlign w:val="bottom"/>
          </w:tcPr>
          <w:p>
            <w:pPr>
              <w:ind w:left="280"/>
              <w:spacing w:after="0" w:line="270" w:lineRule="exact"/>
              <w:rPr>
                <w:sz w:val="20"/>
                <w:szCs w:val="20"/>
                <w:color w:val="auto"/>
              </w:rPr>
            </w:pPr>
            <w:r>
              <w:rPr>
                <w:rFonts w:ascii="Arial" w:cs="Arial" w:eastAsia="Arial" w:hAnsi="Arial"/>
                <w:sz w:val="17"/>
                <w:szCs w:val="17"/>
                <w:color w:val="auto"/>
              </w:rPr>
              <w:t xml:space="preserve">Distributions to Series A preferred units </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80"/>
              <w:spacing w:after="0" w:line="270" w:lineRule="exact"/>
              <w:rPr>
                <w:sz w:val="20"/>
                <w:szCs w:val="20"/>
                <w:color w:val="auto"/>
              </w:rPr>
            </w:pPr>
            <w:r>
              <w:rPr>
                <w:rFonts w:ascii="Arial" w:cs="Arial" w:eastAsia="Arial" w:hAnsi="Arial"/>
                <w:sz w:val="17"/>
                <w:szCs w:val="17"/>
                <w:color w:val="auto"/>
              </w:rPr>
              <w:t xml:space="preserve">Distributions to general partner </w:t>
            </w:r>
            <w:r>
              <w:rPr>
                <w:rFonts w:ascii="Arial" w:cs="Arial" w:eastAsia="Arial" w:hAnsi="Arial"/>
                <w:sz w:val="28"/>
                <w:szCs w:val="28"/>
                <w:color w:val="auto"/>
                <w:vertAlign w:val="superscript"/>
              </w:rPr>
              <w:t>(1)</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70"/>
        </w:trPr>
        <w:tc>
          <w:tcPr>
            <w:tcW w:w="6740" w:type="dxa"/>
            <w:vAlign w:val="bottom"/>
          </w:tcPr>
          <w:p>
            <w:pPr>
              <w:ind w:left="280"/>
              <w:spacing w:after="0" w:line="270" w:lineRule="exact"/>
              <w:rPr>
                <w:sz w:val="20"/>
                <w:szCs w:val="20"/>
                <w:color w:val="auto"/>
              </w:rPr>
            </w:pPr>
            <w:r>
              <w:rPr>
                <w:rFonts w:ascii="Arial" w:cs="Arial" w:eastAsia="Arial" w:hAnsi="Arial"/>
                <w:sz w:val="17"/>
                <w:szCs w:val="17"/>
                <w:color w:val="auto"/>
              </w:rPr>
              <w:t xml:space="preserve">Distributions to participating securities </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80"/>
              <w:spacing w:after="0" w:line="270" w:lineRule="exact"/>
              <w:rPr>
                <w:sz w:val="20"/>
                <w:szCs w:val="20"/>
                <w:color w:val="auto"/>
              </w:rPr>
            </w:pPr>
            <w:r>
              <w:rPr>
                <w:rFonts w:ascii="Arial" w:cs="Arial" w:eastAsia="Arial" w:hAnsi="Arial"/>
                <w:sz w:val="17"/>
                <w:szCs w:val="17"/>
                <w:color w:val="auto"/>
              </w:rPr>
              <w:t xml:space="preserve">Undistributed loss allocated to general partner </w:t>
            </w:r>
            <w:r>
              <w:rPr>
                <w:rFonts w:ascii="Arial" w:cs="Arial" w:eastAsia="Arial" w:hAnsi="Arial"/>
                <w:sz w:val="28"/>
                <w:szCs w:val="28"/>
                <w:color w:val="auto"/>
                <w:vertAlign w:val="superscript"/>
              </w:rPr>
              <w:t>(1)</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Other</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ind w:left="180"/>
              <w:spacing w:after="0" w:line="192" w:lineRule="exact"/>
              <w:rPr>
                <w:sz w:val="20"/>
                <w:szCs w:val="20"/>
                <w:color w:val="auto"/>
              </w:rPr>
            </w:pPr>
            <w:r>
              <w:rPr>
                <w:rFonts w:ascii="Arial" w:cs="Arial" w:eastAsia="Arial" w:hAnsi="Arial"/>
                <w:sz w:val="17"/>
                <w:szCs w:val="17"/>
                <w:color w:val="auto"/>
                <w:w w:val="94"/>
              </w:rPr>
              <w:t>Net income allocated to common unitholders in accordance with application of the two-class</w:t>
            </w:r>
          </w:p>
        </w:tc>
        <w:tc>
          <w:tcPr>
            <w:tcW w:w="1000" w:type="dxa"/>
            <w:vAlign w:val="bottom"/>
            <w:vMerge w:val="restart"/>
            <w:shd w:val="clear" w:color="auto" w:fill="CCEEFF"/>
          </w:tcPr>
          <w:p>
            <w:pPr>
              <w:jc w:val="right"/>
              <w:ind w:right="796"/>
              <w:spacing w:after="0"/>
              <w:rPr>
                <w:sz w:val="20"/>
                <w:szCs w:val="20"/>
                <w:color w:val="auto"/>
              </w:rPr>
            </w:pPr>
            <w:r>
              <w:rPr>
                <w:rFonts w:ascii="Arial" w:cs="Arial" w:eastAsia="Arial" w:hAnsi="Arial"/>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5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2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method</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Basic weighted average common units outstanding </w:t>
            </w:r>
            <w:r>
              <w:rPr>
                <w:rFonts w:ascii="Arial" w:cs="Arial" w:eastAsia="Arial" w:hAnsi="Arial"/>
                <w:sz w:val="28"/>
                <w:szCs w:val="28"/>
                <w:color w:val="auto"/>
                <w:vertAlign w:val="superscript"/>
              </w:rPr>
              <w:t>(2)</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 net income per common unit</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Diluted Net Income per Common Unit</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Net income attributable to PAA</w:t>
            </w:r>
          </w:p>
        </w:tc>
        <w:tc>
          <w:tcPr>
            <w:tcW w:w="1000" w:type="dxa"/>
            <w:vAlign w:val="bottom"/>
          </w:tcPr>
          <w:p>
            <w:pPr>
              <w:jc w:val="right"/>
              <w:ind w:right="796"/>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20"/>
                <w:szCs w:val="20"/>
                <w:color w:val="auto"/>
              </w:rPr>
            </w:pP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903</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1,384</w:t>
            </w: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280"/>
              <w:spacing w:after="0" w:line="270" w:lineRule="exact"/>
              <w:rPr>
                <w:sz w:val="20"/>
                <w:szCs w:val="20"/>
                <w:color w:val="auto"/>
              </w:rPr>
            </w:pPr>
            <w:r>
              <w:rPr>
                <w:rFonts w:ascii="Arial" w:cs="Arial" w:eastAsia="Arial" w:hAnsi="Arial"/>
                <w:sz w:val="17"/>
                <w:szCs w:val="17"/>
                <w:color w:val="auto"/>
              </w:rPr>
              <w:t xml:space="preserve">Distributions to Series A preferred units </w:t>
            </w:r>
            <w:r>
              <w:rPr>
                <w:rFonts w:ascii="Arial" w:cs="Arial" w:eastAsia="Arial" w:hAnsi="Arial"/>
                <w:sz w:val="28"/>
                <w:szCs w:val="28"/>
                <w:color w:val="auto"/>
                <w:vertAlign w:val="superscript"/>
              </w:rPr>
              <w:t>(1)</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280"/>
              <w:spacing w:after="0" w:line="270" w:lineRule="exact"/>
              <w:rPr>
                <w:sz w:val="20"/>
                <w:szCs w:val="20"/>
                <w:color w:val="auto"/>
              </w:rPr>
            </w:pPr>
            <w:r>
              <w:rPr>
                <w:rFonts w:ascii="Arial" w:cs="Arial" w:eastAsia="Arial" w:hAnsi="Arial"/>
                <w:sz w:val="17"/>
                <w:szCs w:val="17"/>
                <w:color w:val="auto"/>
              </w:rPr>
              <w:t xml:space="preserve">Distributions to general partner </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80"/>
              <w:spacing w:after="0" w:line="270" w:lineRule="exact"/>
              <w:rPr>
                <w:sz w:val="20"/>
                <w:szCs w:val="20"/>
                <w:color w:val="auto"/>
              </w:rPr>
            </w:pPr>
            <w:r>
              <w:rPr>
                <w:rFonts w:ascii="Arial" w:cs="Arial" w:eastAsia="Arial" w:hAnsi="Arial"/>
                <w:sz w:val="17"/>
                <w:szCs w:val="17"/>
                <w:color w:val="auto"/>
              </w:rPr>
              <w:t xml:space="preserve">Distributions to participating securities </w:t>
            </w:r>
            <w:r>
              <w:rPr>
                <w:rFonts w:ascii="Arial" w:cs="Arial" w:eastAsia="Arial" w:hAnsi="Arial"/>
                <w:sz w:val="28"/>
                <w:szCs w:val="28"/>
                <w:color w:val="auto"/>
                <w:vertAlign w:val="superscript"/>
              </w:rPr>
              <w:t>(1)</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70"/>
        </w:trPr>
        <w:tc>
          <w:tcPr>
            <w:tcW w:w="6740" w:type="dxa"/>
            <w:vAlign w:val="bottom"/>
          </w:tcPr>
          <w:p>
            <w:pPr>
              <w:ind w:left="280"/>
              <w:spacing w:after="0" w:line="270" w:lineRule="exact"/>
              <w:rPr>
                <w:sz w:val="20"/>
                <w:szCs w:val="20"/>
                <w:color w:val="auto"/>
              </w:rPr>
            </w:pPr>
            <w:r>
              <w:rPr>
                <w:rFonts w:ascii="Arial" w:cs="Arial" w:eastAsia="Arial" w:hAnsi="Arial"/>
                <w:sz w:val="17"/>
                <w:szCs w:val="17"/>
                <w:color w:val="auto"/>
              </w:rPr>
              <w:t xml:space="preserve">Undistributed loss allocated to general partner </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6740" w:type="dxa"/>
            <w:vAlign w:val="bottom"/>
          </w:tcPr>
          <w:p>
            <w:pPr>
              <w:ind w:left="180"/>
              <w:spacing w:after="0" w:line="192" w:lineRule="exact"/>
              <w:rPr>
                <w:sz w:val="20"/>
                <w:szCs w:val="20"/>
                <w:color w:val="auto"/>
              </w:rPr>
            </w:pPr>
            <w:r>
              <w:rPr>
                <w:rFonts w:ascii="Arial" w:cs="Arial" w:eastAsia="Arial" w:hAnsi="Arial"/>
                <w:sz w:val="17"/>
                <w:szCs w:val="17"/>
                <w:color w:val="auto"/>
                <w:w w:val="94"/>
              </w:rPr>
              <w:t>Net income allocated to common unitholders in accordance with application of the two-class</w:t>
            </w:r>
          </w:p>
        </w:tc>
        <w:tc>
          <w:tcPr>
            <w:tcW w:w="1000" w:type="dxa"/>
            <w:vAlign w:val="bottom"/>
            <w:tcBorders>
              <w:top w:val="single" w:sz="8" w:color="auto"/>
            </w:tcBorders>
            <w:vMerge w:val="restart"/>
          </w:tcPr>
          <w:p>
            <w:pPr>
              <w:jc w:val="right"/>
              <w:ind w:right="796"/>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6"/>
                <w:szCs w:val="16"/>
                <w:color w:val="auto"/>
              </w:rPr>
            </w:pPr>
          </w:p>
        </w:tc>
        <w:tc>
          <w:tcPr>
            <w:tcW w:w="980" w:type="dxa"/>
            <w:vAlign w:val="bottom"/>
            <w:tcBorders>
              <w:top w:val="single" w:sz="8" w:color="auto"/>
            </w:tcBorders>
            <w:vMerge w:val="restart"/>
          </w:tcPr>
          <w:p>
            <w:pPr>
              <w:jc w:val="right"/>
              <w:ind w:right="776"/>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6"/>
                <w:szCs w:val="16"/>
                <w:color w:val="auto"/>
              </w:rPr>
            </w:pPr>
          </w:p>
        </w:tc>
        <w:tc>
          <w:tcPr>
            <w:tcW w:w="36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67"/>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method</w:t>
            </w:r>
          </w:p>
        </w:tc>
        <w:tc>
          <w:tcPr>
            <w:tcW w:w="100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5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vMerge w:val="continue"/>
          </w:tcPr>
          <w:p>
            <w:pPr>
              <w:spacing w:after="0"/>
              <w:rPr>
                <w:sz w:val="23"/>
                <w:szCs w:val="23"/>
                <w:color w:val="auto"/>
              </w:rPr>
            </w:pPr>
          </w:p>
        </w:tc>
        <w:tc>
          <w:tcPr>
            <w:tcW w:w="11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7"/>
                <w:szCs w:val="17"/>
                <w:color w:val="auto"/>
              </w:rPr>
              <w:t xml:space="preserve">Basic weighted average common units outstanding </w:t>
            </w:r>
            <w:r>
              <w:rPr>
                <w:rFonts w:ascii="Arial" w:cs="Arial" w:eastAsia="Arial" w:hAnsi="Arial"/>
                <w:sz w:val="28"/>
                <w:szCs w:val="28"/>
                <w:color w:val="auto"/>
                <w:vertAlign w:val="superscript"/>
              </w:rPr>
              <w:t>(2)</w:t>
            </w:r>
          </w:p>
        </w:tc>
        <w:tc>
          <w:tcPr>
            <w:tcW w:w="1000" w:type="dxa"/>
            <w:vAlign w:val="bottom"/>
          </w:tcPr>
          <w:p>
            <w:pPr>
              <w:spacing w:after="0"/>
              <w:rPr>
                <w:sz w:val="23"/>
                <w:szCs w:val="23"/>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Effect of dilutive securities: Weighted average LTIP units</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Diluted weighted average common units outstanding</w:t>
            </w:r>
          </w:p>
        </w:tc>
        <w:tc>
          <w:tcPr>
            <w:tcW w:w="10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466</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396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Pr>
          <w:p>
            <w:pPr>
              <w:ind w:left="180"/>
              <w:spacing w:after="0"/>
              <w:rPr>
                <w:sz w:val="20"/>
                <w:szCs w:val="20"/>
                <w:color w:val="auto"/>
              </w:rPr>
            </w:pPr>
            <w:r>
              <w:rPr>
                <w:rFonts w:ascii="Arial" w:cs="Arial" w:eastAsia="Arial" w:hAnsi="Arial"/>
                <w:sz w:val="17"/>
                <w:szCs w:val="17"/>
                <w:color w:val="auto"/>
              </w:rPr>
              <w:t>Diluted net income per common unit</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32" w:lineRule="auto"/>
        <w:tabs>
          <w:tab w:leader="none" w:pos="66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w:t>
      </w:r>
    </w:p>
    <w:p>
      <w:pPr>
        <w:spacing w:after="0" w:line="94" w:lineRule="exact"/>
        <w:rPr>
          <w:rFonts w:ascii="Arial" w:cs="Arial" w:eastAsia="Arial" w:hAnsi="Arial"/>
          <w:sz w:val="25"/>
          <w:szCs w:val="25"/>
          <w:color w:val="auto"/>
          <w:vertAlign w:val="superscript"/>
        </w:rPr>
      </w:pPr>
    </w:p>
    <w:p>
      <w:pPr>
        <w:ind w:left="660" w:right="320" w:hanging="652"/>
        <w:spacing w:after="0" w:line="238" w:lineRule="auto"/>
        <w:tabs>
          <w:tab w:leader="none" w:pos="660" w:val="left"/>
        </w:tabs>
        <w:numPr>
          <w:ilvl w:val="0"/>
          <w:numId w:val="123"/>
        </w:numPr>
        <w:rPr>
          <w:rFonts w:ascii="Arial" w:cs="Arial" w:eastAsia="Arial" w:hAnsi="Arial"/>
          <w:sz w:val="24"/>
          <w:szCs w:val="24"/>
          <w:color w:val="auto"/>
          <w:vertAlign w:val="superscript"/>
        </w:rPr>
      </w:pPr>
      <w:r>
        <w:rPr>
          <w:rFonts w:ascii="Arial" w:cs="Arial" w:eastAsia="Arial" w:hAnsi="Arial"/>
          <w:sz w:val="17"/>
          <w:szCs w:val="17"/>
          <w:color w:val="auto"/>
        </w:rPr>
        <w:t>We have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net income allocated to common unitholders.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2016, 2015 and 2014, we recorded charges of $3 million, $117 million and $289 million, respectively, related to the writedown of our crude oil, NGL and natural gas inventory due to declines in prices. In addition, the charges recorded during the year ended December 31, 2014 included the writedown of our natural gas inventory that was purchased in conjunction with managing natural gas storage deliverability requirements during the extended period of severe cold weather in the first quarter of 2014. A portion of these inventory valuation adjustments was offset by the recognition of gains on derivative instruments being utilized to hedge the future sales of our crude oil and NGL inventory. Substantially all of such gains were recorded to “Supply and Logistics segment revenues” in our accompanying Consolidated Statement of Operations. See Note 12 for discussion of our derivative and risk management activities.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00" w:firstLine="8"/>
        <w:spacing w:after="0" w:line="253" w:lineRule="auto"/>
        <w:tabs>
          <w:tab w:leader="none" w:pos="2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We recognized gains of less than $1 million and $8 million during 2015 and 2014, respectively, on the sale of linefill and base gas for proceeds of $1 million and $24 million, respectively. We did not conduct any sales of linefill and base gas during 2016.</w:t>
      </w:r>
    </w:p>
    <w:p>
      <w:pPr>
        <w:spacing w:after="0" w:line="19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5 for further discussion regarding impairment of long-lived assets. During 2016, 2015 and 2014, we did not recognize any impairments of linefill and base gas.</w:t>
      </w:r>
    </w:p>
    <w:p>
      <w:pPr>
        <w:spacing w:after="0" w:line="18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23,589</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16,345</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14,540</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12,273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30,812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60" w:hanging="652"/>
        <w:spacing w:after="0" w:line="216" w:lineRule="auto"/>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2016, 2015 and 2014, capitalized interest recorded to property and equipment was $34 million, $49 million and $48 million, respectively. In addition, we capitalize interest related to investments in certain unconsolidated entities. See Note 8 for additional information.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20"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6640" w:type="dxa"/>
            <w:vAlign w:val="bottom"/>
          </w:tcPr>
          <w:p>
            <w:pPr>
              <w:spacing w:after="0"/>
              <w:rPr>
                <w:sz w:val="4"/>
                <w:szCs w:val="4"/>
                <w:color w:val="auto"/>
              </w:rPr>
            </w:pPr>
          </w:p>
        </w:tc>
        <w:tc>
          <w:tcPr>
            <w:tcW w:w="172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5"/>
                <w:szCs w:val="25"/>
                <w:color w:val="auto"/>
                <w:vertAlign w:val="superscript"/>
              </w:rPr>
              <w:t>(1)</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9,025</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8,395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Storage, terminal and rail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Trucking equipment and 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property and equipment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and other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w:t>
      </w:r>
    </w:p>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2016, 2015 and 2014 was $470 million, $380 million and $319 million, respectively. Such amounts for the 2016 period include $33 million of costs associated with the discontinuation of certain capital projects during 2016 and an $18 million charge related to the write-off of the remaining book value of assets taken out of service. Such assets were included in our Transportation and Facilities segments. We also classify gains and losses on sales of assets and asset impairments as a component of “Depreciation and amortization” in our Consolidated Statements of Operations. See Note 6 for a discussion of our acquisition and disposition activities. See “Impairment of Long-Lived Assets” below for a discussion of our policy for the recognition of asset impairments.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During the year ended December 31, 2016, we recognized $80 million of non-cash impairment losses on certain of our long-lived rail and other terminal assets included in our Facilities segment. Such impairment losses are reflected in “Depreciation and amortization”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this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6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did not recognize any impairments during the year ended December 31, 2015. During the year ended December 31, 2014, we recognized impairments of $10 million primarily related to assets that were taken out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following acquisitions, excluding acquired interests accounted for under the equity method of accounting mentioned specifically below, were accounted for using the acquisition method of accounting and the determination of the fair value of the assets and liabilities acquired has been estimated in accordance with the applicable accounting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2017</w:t>
      </w:r>
      <w:r>
        <w:rPr>
          <w:rFonts w:ascii="Arial" w:cs="Arial" w:eastAsia="Arial" w:hAnsi="Arial"/>
          <w:sz w:val="17"/>
          <w:szCs w:val="17"/>
          <w:color w:val="auto"/>
        </w:rPr>
        <w:t>. On February 14, 2017, we acquired 100% of the equity interests of Alpha Holding Company, LLC (“Alpha Holding”) for cash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$1.215 billion, subject to working capital and other adjustments. Alpha Holding indirectly owns the Alpha Crude Connector (“ACC”) gathering system located in the Northern Delaware Basin in Southeastern New Mexico and West Texas. The ACC gathering system is comprised of 515 miles of recently constructed gathering and transmission lines and five market interconnects, including to our Basin Pipeline at Wink, and is supported by long-term acreage dedications. The initial accounting for this acquisition was not complete as of the financial statement issuance date.</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2016</w:t>
      </w:r>
      <w:r>
        <w:rPr>
          <w:rFonts w:ascii="Arial" w:cs="Arial" w:eastAsia="Arial" w:hAnsi="Arial"/>
          <w:sz w:val="18"/>
          <w:szCs w:val="18"/>
          <w:color w:val="auto"/>
        </w:rPr>
        <w:t>. During the year ended December 31, 2016, we completed two acquisitions for aggregate cash consideration of $289 million.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included (i) an integrated system of NGL assets in Western Canada for cash consideration of approximately $204 million and (ii) the remaining interest in a Gulf Coast pipeline that was subsequently sold in July 2016. The assets acquired were primarily included in our Transportation and Facilities segments. We did not recognize any goodwill related to these acquisitions.</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2015. </w:t>
      </w:r>
      <w:r>
        <w:rPr>
          <w:rFonts w:ascii="Arial" w:cs="Arial" w:eastAsia="Arial" w:hAnsi="Arial"/>
          <w:sz w:val="17"/>
          <w:szCs w:val="17"/>
          <w:color w:val="auto"/>
        </w:rPr>
        <w:t>During the year ended December 31, 2015, we completed three acquisitions for aggregate cash consideration of $105 million.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included (i) an additional approximate 28% interest in Frontier Aspen LLC, which is accounted for under the equity method of accounting, (ii) a crude oil terminal included in our Facilities segment and (iii) the remaining interest in a pipeline system included in our Transportation segment. We recognized goodwill of $11 million related to these acquisitions. See Note 8 for additional discussion of our equity method investments.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2014</w:t>
      </w:r>
      <w:r>
        <w:rPr>
          <w:rFonts w:ascii="Arial" w:cs="Arial" w:eastAsia="Arial" w:hAnsi="Arial"/>
          <w:sz w:val="18"/>
          <w:szCs w:val="18"/>
          <w:color w:val="auto"/>
        </w:rPr>
        <w:t>. During the year ended December 31, 2014, we completed three acquisitions for aggregate cash consideration of $1.099 billion.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acquisitions was a 50% interest in BridgeTex Pipeline Company, LLC from Oxy. We account for this investment under the equity method of accounting. See Note 8 for additional discussion. The remaining acquisitions were a crude oil terminal and a propane terminal included in our Facilities segment. We recognized goodwill of $1 million related to these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and Divestitures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year ended December 31, 2016, we sold several non-core assets, including certain of our Gulf Coast pipelines and East Coast refined products terminals. In addition, we sold interests in Cheyenne Pipeline LLC and STACK Pipeline LLC. See Note 8 for additional discussion. In the aggregate, we recognized a net gain of approximately $100 million related to these transactions, which is included in “Depreciation and amortization” on our Consolidated Statement of Operations. Such amount is comprised of gains of $158 million and losses of $58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2015 and 2014, we sold various property and equipment and recognized a net loss of $2 million and a net gain of $1 million, respectively.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December 31, 2016, we classified approximately $275 million of assets as held for sale on our Consolidated Balance Sheet (in “Other current assets”) primarily related to definitive agreements to sell non-core assets, a majority of which are property and equipment and included in our Facilities segment. We expect the sales to be consummated in the first half of 2017, subject to customary closing conditions, as applicable. As of December 31, 2015, we did not have any assets classified as held for sale.</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During the first quarter of 2017, we completed the sale of an undivided interest in a segment of our Red River Pipeline for proceeds of approximately $70 million. In addition, we executed definitive agreements to sell two non-core assets for aggregate proceeds of approximately $310 million. These transactions include a natural gas storage facility and a non-core pipeline segment and are expected to close during the first half of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2016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to the book value. A goodwill impairment loss is recognized if the carrying amount exceeds its fair value.</w:t>
      </w:r>
    </w:p>
    <w:p>
      <w:pPr>
        <w:spacing w:after="0" w:line="18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therefore, goodwill was not considered impaired. We did not recognize any material impairments of goodwill during the last three years.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26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F-22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8—Investments in Unconsolidated Entities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by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vMerge w:val="restart"/>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BridgeTex Pipeline Company, LLC (“BridgeTex”)</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Butte Pipe Line Company</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Caddo Pipeline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Cheyenne Pipeline LLC (“Cheyenne”)</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 (“Diamond”)</w:t>
            </w:r>
          </w:p>
        </w:tc>
        <w:tc>
          <w:tcPr>
            <w:tcW w:w="25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5"/>
                <w:szCs w:val="25"/>
                <w:color w:val="auto"/>
                <w:w w:val="91"/>
                <w:vertAlign w:val="superscript"/>
              </w:rPr>
              <w:t>(1)</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Terminals”)</w:t>
            </w:r>
          </w:p>
        </w:tc>
        <w:tc>
          <w:tcPr>
            <w:tcW w:w="2520" w:type="dxa"/>
            <w:vAlign w:val="bottom"/>
            <w:shd w:val="clear" w:color="auto" w:fill="CCEEFF"/>
          </w:tcPr>
          <w:p>
            <w:pPr>
              <w:jc w:val="center"/>
              <w:spacing w:after="0" w:line="257"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(1)</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Frontier Aspen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Saddlehorn Pipeline Company,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Settoon, Towing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Barge Transportation Services</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STACK Pipeline LLC (“STACK”)</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White Cliffs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2"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June 2016, we sold 50% of our investment in Cheyenne, and in August 2016 we sold 50% of our investment in STACK. As a result of these transactions, we now account for our remaining 50% equity interest in such entities under the equity method of accounting. See Note 6 for additional information related to these transactions.</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November 2014, we acquired a 50% interest in BridgeTex from Oxy. BridgeTex owns a crude oil pipeline that extends from Colorado City in West Texas to a crude oil terminal in East Houston, which we believe is complementary to our existing West Texas assets. We paid cash of $1.088 billion, including working capital adjustments of $13 million, for our interest in BridgeTex.</w:t>
      </w:r>
    </w:p>
    <w:p>
      <w:pPr>
        <w:spacing w:after="0" w:line="18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2016, 2015 and 2014, we made cash contributions of $288 million, $245 million and $158 million, respectively, to certain of our equity method investees. The contributions amount for 2015 is net of $53 million of cash received as a return of our investment. In addition, we capitalized interest of $13 million and $8 million during the years ended December 31, 2016 and 2015, respectively, related to contributions to unconsolidated entities for projects under development and construction. We anticipate that we will make additional contributions related to ongoing projects at BridgeTex, Diamond, Eagle Ford Terminals and STACK over the next few years.</w:t>
      </w:r>
    </w:p>
    <w:p>
      <w:pPr>
        <w:spacing w:after="0" w:line="17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investments in unconsolidated entities exceeded our share of the underlying equity in the net assets of such entities by $736 million and $760 million at December 31, 2016 and 2015,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basis difference is primarily related to our acquisition of an interest in BridgeTex in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2,901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184</w:t>
            </w:r>
          </w:p>
        </w:tc>
      </w:tr>
      <w:tr>
        <w:trPr>
          <w:trHeight w:val="642"/>
        </w:trPr>
        <w:tc>
          <w:tcPr>
            <w:tcW w:w="67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r>
      <w:tr>
        <w:trPr>
          <w:trHeight w:val="27"/>
        </w:trPr>
        <w:tc>
          <w:tcPr>
            <w:tcW w:w="6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9—Other Long-Term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instruments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16" w:lineRule="auto"/>
        <w:tabs>
          <w:tab w:leader="none" w:pos="66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5 for a discussion of property and equipment.</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for finite-lived intangible assets for the years ended December 31, 2016, 2015 and 2014 was $44 million, $49 million and $57 million, respectively.</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Intangible assets that have finite lives are tested for impairment when events or circumstances indicate that the carrying value may not be recoverable. Our intangible assets that have finite lives consisted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Estimated Useful</w:t>
            </w:r>
          </w:p>
        </w:tc>
        <w:tc>
          <w:tcPr>
            <w:tcW w:w="260" w:type="dxa"/>
            <w:vAlign w:val="bottom"/>
          </w:tcPr>
          <w:p>
            <w:pPr>
              <w:spacing w:after="0"/>
              <w:rPr>
                <w:sz w:val="13"/>
                <w:szCs w:val="13"/>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Customer contracts and relationships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 –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Property tax abatement</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7 – 13</w:t>
            </w:r>
          </w:p>
        </w:tc>
        <w:tc>
          <w:tcPr>
            <w:tcW w:w="2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agreements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25 – 70</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5"/>
                <w:szCs w:val="25"/>
                <w:color w:val="auto"/>
                <w:vertAlign w:val="superscript"/>
              </w:rPr>
              <w:t>(1)</w:t>
            </w:r>
          </w:p>
        </w:tc>
        <w:tc>
          <w:tcPr>
            <w:tcW w:w="16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0260" w:type="dxa"/>
            <w:vAlign w:val="bottom"/>
          </w:tcPr>
          <w:p>
            <w:pPr>
              <w:jc w:val="right"/>
              <w:ind w:right="250"/>
              <w:spacing w:after="0"/>
              <w:rPr>
                <w:sz w:val="20"/>
                <w:szCs w:val="20"/>
                <w:color w:val="auto"/>
              </w:rPr>
            </w:pPr>
            <w:r>
              <w:rPr>
                <w:rFonts w:ascii="Arial" w:cs="Arial" w:eastAsia="Arial" w:hAnsi="Arial"/>
                <w:sz w:val="18"/>
                <w:szCs w:val="18"/>
                <w:color w:val="auto"/>
                <w:w w:val="93"/>
              </w:rPr>
              <w:t>We estimate that our amortization expense related to finite-lived intangible assets for the next five years will be as follows (in millions):</w:t>
            </w:r>
          </w:p>
        </w:tc>
        <w:tc>
          <w:tcPr>
            <w:tcW w:w="640" w:type="dxa"/>
            <w:vAlign w:val="bottom"/>
          </w:tcPr>
          <w:p>
            <w:pPr>
              <w:spacing w:after="0"/>
              <w:rPr>
                <w:sz w:val="20"/>
                <w:szCs w:val="20"/>
                <w:color w:val="auto"/>
              </w:rPr>
            </w:pPr>
          </w:p>
        </w:tc>
      </w:tr>
      <w:tr>
        <w:trPr>
          <w:trHeight w:val="135"/>
        </w:trPr>
        <w:tc>
          <w:tcPr>
            <w:tcW w:w="520" w:type="dxa"/>
            <w:vAlign w:val="bottom"/>
          </w:tcPr>
          <w:p>
            <w:pPr>
              <w:spacing w:after="0"/>
              <w:rPr>
                <w:sz w:val="11"/>
                <w:szCs w:val="11"/>
                <w:color w:val="auto"/>
              </w:rPr>
            </w:pPr>
          </w:p>
        </w:tc>
        <w:tc>
          <w:tcPr>
            <w:tcW w:w="10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2017</w:t>
            </w:r>
          </w:p>
        </w:tc>
        <w:tc>
          <w:tcPr>
            <w:tcW w:w="102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2018</w:t>
            </w:r>
          </w:p>
        </w:tc>
        <w:tc>
          <w:tcPr>
            <w:tcW w:w="102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2019</w:t>
            </w:r>
          </w:p>
        </w:tc>
        <w:tc>
          <w:tcPr>
            <w:tcW w:w="102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2020</w:t>
            </w:r>
          </w:p>
        </w:tc>
        <w:tc>
          <w:tcPr>
            <w:tcW w:w="102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2021</w:t>
            </w:r>
          </w:p>
        </w:tc>
        <w:tc>
          <w:tcPr>
            <w:tcW w:w="102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891"/>
        </w:trPr>
        <w:tc>
          <w:tcPr>
            <w:tcW w:w="520" w:type="dxa"/>
            <w:vAlign w:val="bottom"/>
          </w:tcPr>
          <w:p>
            <w:pPr>
              <w:spacing w:after="0"/>
              <w:rPr>
                <w:sz w:val="24"/>
                <w:szCs w:val="24"/>
                <w:color w:val="auto"/>
              </w:rPr>
            </w:pPr>
          </w:p>
        </w:tc>
        <w:tc>
          <w:tcPr>
            <w:tcW w:w="10260" w:type="dxa"/>
            <w:vAlign w:val="bottom"/>
          </w:tcPr>
          <w:p>
            <w:pPr>
              <w:jc w:val="right"/>
              <w:ind w:right="4810"/>
              <w:spacing w:after="0"/>
              <w:rPr>
                <w:sz w:val="20"/>
                <w:szCs w:val="20"/>
                <w:color w:val="auto"/>
              </w:rPr>
            </w:pPr>
            <w:r>
              <w:rPr>
                <w:rFonts w:ascii="Arial" w:cs="Arial" w:eastAsia="Arial" w:hAnsi="Arial"/>
                <w:sz w:val="18"/>
                <w:szCs w:val="18"/>
                <w:color w:val="auto"/>
              </w:rPr>
              <w:t>F-25</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Commercial paper notes, bearing a weighted-average interest rate of 1.6% and 1.1%, respectively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 xml:space="preserve">Senior secured hedged inventory facility, bearing a weighted-average interest rate of 1.8% and 1.4%, respectively </w:t>
            </w:r>
            <w:r>
              <w:rPr>
                <w:rFonts w:ascii="Arial" w:cs="Arial" w:eastAsia="Arial" w:hAnsi="Arial"/>
                <w:sz w:val="25"/>
                <w:szCs w:val="25"/>
                <w:color w:val="auto"/>
                <w:w w:val="91"/>
                <w:vertAlign w:val="superscript"/>
              </w:rPr>
              <w:t>(1)</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ind w:left="380"/>
              <w:spacing w:after="0" w:line="264" w:lineRule="exact"/>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r>
      <w:tr>
        <w:trPr>
          <w:trHeight w:val="297"/>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5.88% senior notes due August 2016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6.13% senior notes due January 2017</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6.50% senior notes due May 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8.75% senior notes due May 2019</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2.60% senior notes due December 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5.75% senior notes due January 2020</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5.00% senior notes due February 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3.65% senior notes due June 2022</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2.85% senior notes due January 2023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3.85% senior notes due October 2023</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3.60% senior notes due November 2024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4.65% senior notes due October 2025</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4.50% senior notes due December 2026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6.70% senior notes due May 2036</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5.15% senior notes due June 2042</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4.30% senior notes due January 2043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4.70% senior notes due June 2044</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4.90% senior notes due February 2045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9,698</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Commercial paper notes, bearing a weighted-average interest rate of 1.6% and 1.1%, respectively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672</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10,375</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11,374</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20" w:hanging="652"/>
        <w:spacing w:after="0" w:line="226" w:lineRule="auto"/>
        <w:tabs>
          <w:tab w:leader="none" w:pos="660" w:val="left"/>
        </w:tabs>
        <w:numPr>
          <w:ilvl w:val="0"/>
          <w:numId w:val="131"/>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at December 31, 2016 and 2015, as these notes and borrowings were primarily designated as working capital borrowings, were required to be repaid within one year and were primarily for hedged NGL and crude oil inventory and NYMEX and ICE margin deposits.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60" w:hanging="652"/>
        <w:spacing w:after="0" w:line="216" w:lineRule="auto"/>
        <w:tabs>
          <w:tab w:leader="none" w:pos="66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At December 31, 2016, includes borrowings of $410 million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120" w:hanging="652"/>
        <w:spacing w:after="0" w:line="226" w:lineRule="auto"/>
        <w:tabs>
          <w:tab w:leader="none" w:pos="66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As of December 31, 2016 and 2015, we classified a portion of our commercial paper notes as long-term and as of December 31, 2015, we classified our $175 million, 5.88% senior notes due August 2016 as long-term based on our ability and intent to refinance such amounts on a long-term basis under our credit facilities.</w:t>
      </w:r>
    </w:p>
    <w:p>
      <w:pPr>
        <w:spacing w:after="0" w:line="95" w:lineRule="exact"/>
        <w:rPr>
          <w:rFonts w:ascii="Arial" w:cs="Arial" w:eastAsia="Arial" w:hAnsi="Arial"/>
          <w:sz w:val="25"/>
          <w:szCs w:val="25"/>
          <w:color w:val="auto"/>
          <w:vertAlign w:val="superscript"/>
        </w:rPr>
      </w:pPr>
    </w:p>
    <w:p>
      <w:pPr>
        <w:ind w:left="660" w:hanging="652"/>
        <w:spacing w:after="0" w:line="239" w:lineRule="auto"/>
        <w:tabs>
          <w:tab w:leader="none" w:pos="66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Our fixed-rate senior notes (including current maturities) had a face value of approximately $10.3 billion and $9.8 billion as of December 31, 2016 and 2015, respectively. We estimated the aggregate fair value of these notes as of December 31, 2016 and 2015 to be approximately $10.4 billion and $8.6 billion, respectively. Our fixed-rate senior notes are traded among institutions, and these trades are routinely published by a reporting service. Our determination of fair value is based on reported trading activity near year end.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have a commercial paper program under which we may issue (and have outstanding at any time) up to $3.0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i w:val="1"/>
          <w:iCs w:val="1"/>
          <w:color w:val="auto"/>
        </w:rPr>
        <w:t>Senior secured hedged inventory facility</w:t>
      </w:r>
      <w:r>
        <w:rPr>
          <w:rFonts w:ascii="Arial" w:cs="Arial" w:eastAsia="Arial" w:hAnsi="Arial"/>
          <w:sz w:val="16"/>
          <w:szCs w:val="16"/>
          <w:color w:val="auto"/>
        </w:rPr>
        <w:t>. We have a credit agreement that provides for a senior secured hedged inventory facility with a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either the Eurocurrency Rate or the Base Rate, in each case plus a margin based on our credit rating at the applicable time. The agreement also provides for one or more one-year extensions, subject to applicable approval. In August 2016, we amended this agreement to, among other things, extend the maturity date of the facility to August 2019 for each extending lender. The maturity date with respect to each non-extending lender (which represent aggregate commitments of approximately $126.3 million out of total commitments of $1.4 billion from all lenders) remains August 2018.</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Senior unsecured revolving credit facility. </w:t>
      </w:r>
      <w:r>
        <w:rPr>
          <w:rFonts w:ascii="Arial" w:cs="Arial" w:eastAsia="Arial" w:hAnsi="Arial"/>
          <w:sz w:val="17"/>
          <w:szCs w:val="17"/>
          <w:color w:val="auto"/>
        </w:rPr>
        <w:t>We have a credit agreement that provides for a senior unsecured revolving credit facility with a committed</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capacity of $1.6 billion. Subject to obtaining additional or increased lender commitments, the committed capacity may be increased to $2.1 billion. The credit agreement also provides for the issuance of letters of credit. Borrowings accrue interest based, at our election, on the Eurocurrency Rate, the Base Rate or the Canadian Prime Rate, in each case plus a margin based on our credit rating at the applicable time. The agreement also provides for one or more one-year extensions, subject to applicable approval. In August 2016, we amended this agreement to, among other things, extend the maturity date of the facility to August 2021 for each extending lender. The maturity date with respect to each non-extending lender (which represent aggregate commitments of $140 million out of total commitments of $1.6 billion from all lenders) remains August 2020.</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Senior unsecured 364-day revolving credit facility. </w:t>
      </w:r>
      <w:r>
        <w:rPr>
          <w:rFonts w:ascii="Arial" w:cs="Arial" w:eastAsia="Arial" w:hAnsi="Arial"/>
          <w:sz w:val="18"/>
          <w:szCs w:val="18"/>
          <w:color w:val="auto"/>
        </w:rPr>
        <w:t>We have a credit agreement that provides for a 364-day senior unsecured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with a borrowing capacity of $1.0 billion. In August 2016, we amended this agreement to extend the maturity date to August 2017. Borrowings accrue interest based, at our election, on either the Eurocurrency Rate or the Base Rate, as defined in the agreement, in each case plus a margin based on our credit rating at the applicable time.</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AAP senior secured credit agreement</w:t>
      </w:r>
      <w:r>
        <w:rPr>
          <w:rFonts w:ascii="Arial" w:cs="Arial" w:eastAsia="Arial" w:hAnsi="Arial"/>
          <w:sz w:val="18"/>
          <w:szCs w:val="18"/>
          <w:color w:val="auto"/>
        </w:rPr>
        <w:t>. In connection with the Simplification Transactions, on November 15, 2016, we assumed all of AAP’s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borrowings under the AAP senior secured credit agreement, and immediately repaid such amounts and canceled the credit agreement. See Note 1 for further discussion of the Simplification Transactions.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issuances of senior unsecured notes during 2016, 2015 and 2014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Face Value</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Payment Dates</w:t>
            </w:r>
          </w:p>
        </w:tc>
      </w:tr>
      <w:tr>
        <w:trPr>
          <w:trHeight w:val="250"/>
        </w:trPr>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4.50% Senior Notes issued at 99.716% of face value</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4.65% Senior Notes issued at 99.846% of face value</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April 15 and October 15</w:t>
            </w: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2.60% Senior Notes issued at 99.813% of face value</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243"/>
        </w:trPr>
        <w:tc>
          <w:tcPr>
            <w:tcW w:w="58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4.90% Senior Notes issued at 99.876% of face value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2045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February 15 and August 15</w:t>
            </w:r>
          </w:p>
        </w:tc>
      </w:tr>
      <w:tr>
        <w:trPr>
          <w:trHeight w:val="27"/>
        </w:trPr>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3.60% Senior Notes issued at 99.842% of face value</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May 1 and November 1</w:t>
            </w:r>
          </w:p>
        </w:tc>
      </w:tr>
      <w:tr>
        <w:trPr>
          <w:trHeight w:val="243"/>
        </w:trPr>
        <w:tc>
          <w:tcPr>
            <w:tcW w:w="58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4.70% Senior Notes issued at 99.734% of face value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2044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June 15 and December 15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 Repayments</w:t>
      </w:r>
    </w:p>
    <w:p>
      <w:pPr>
        <w:spacing w:after="0" w:line="225"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Our $400 million, 6.13% senior notes were repaid in January 2017. Our $175 million, 5.88% senior notes were repaid in August 2016. We utilized cash on hand and available capacity under our commercial paper program and credit facilities to repay these notes.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$150 million, 5.25% senior notes and $400 million, 3.95% senior notes were repaid in June 2015 and September 2015, respectively. We utilized cash on hand and available capacity under our commercial paper program to repay these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2016 was approximately 11 years. The following table presents the aggregate contractually scheduled maturities of such long-term debt for the next five years and thereafter. The amounts presented exclude unamortized discounts and debt issuance costs.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Calendar Year</w:t>
            </w:r>
          </w:p>
        </w:tc>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vMerge w:val="continue"/>
          </w:tcPr>
          <w:p>
            <w:pPr>
              <w:spacing w:after="0"/>
              <w:rPr>
                <w:sz w:val="16"/>
                <w:szCs w:val="16"/>
                <w:color w:val="auto"/>
              </w:rPr>
            </w:pPr>
          </w:p>
        </w:tc>
        <w:tc>
          <w:tcPr>
            <w:tcW w:w="6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2018</w:t>
            </w: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2020</w:t>
            </w: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7040" w:type="dxa"/>
            <w:vAlign w:val="bottom"/>
            <w:gridSpan w:val="3"/>
          </w:tcPr>
          <w:p>
            <w:pPr>
              <w:jc w:val="right"/>
              <w:ind w:right="4400"/>
              <w:spacing w:after="0"/>
              <w:rPr>
                <w:sz w:val="20"/>
                <w:szCs w:val="20"/>
                <w:color w:val="auto"/>
              </w:rPr>
            </w:pPr>
            <w:r>
              <w:rPr>
                <w:rFonts w:ascii="Arial" w:cs="Arial" w:eastAsia="Arial" w:hAnsi="Arial"/>
                <w:sz w:val="18"/>
                <w:szCs w:val="18"/>
                <w:color w:val="auto"/>
              </w:rPr>
              <w:t>F-28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credit agreements (which impact our ability to access our commercial paper program because they provide the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295" w:lineRule="exact"/>
        <w:rPr>
          <w:sz w:val="20"/>
          <w:szCs w:val="20"/>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credit agreements for our senior unsecured revolving credit facility, senior secured hedged inventory facility and senior unsecured 364-day revolving credit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and/or during the GP Simplification Period (the period beginning on November 15, 2016 and ending on December 31, 2017)).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default under our credit facilities would permit the lenders to accelerate the maturity of the outstanding debt. As long as we are in compliance with our credit agreements, our ability to make distributions of available cash is not restricted. As of December 31, 2016, we were in compliance with the covenants contained in our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agreements and commercial paper program for the years ended December 31, 2016, 2015 and 2014 were approximately $60.3 billion, $62.2 billion and $70.9 billion, respectively. Total repayments under our credit agreements and commercial paper program were approximately $61.0 billion, $61.3 billion and $71.3 billion for the years ended December 31, 2016,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2016 and 2015, we had outstanding letters of credit of $73 million and $46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December 31, 2016, partners’ capital consisted of outstanding common units and Series A preferred units, which represent limited partner interests in us, which give the holders thereof the right to participate in distributions and to exercise the other rights or privileges as outlined in our partnership agreement. Our general partner has a non-economic interest in us. However, prior to the closing of the Simplification Transactions, our outstanding common units and Series A preferred units represented a 98% effective aggregate ownership interest in us and our subsidiaries after giving effect to the 2% general partner interest. See Note 1 for discussion of the Simplification Transactions.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Series A preferred units and common units: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680" w:type="dxa"/>
            <w:vAlign w:val="bottom"/>
            <w:gridSpan w:val="3"/>
          </w:tcPr>
          <w:p>
            <w:pPr>
              <w:jc w:val="right"/>
              <w:ind w:right="1570"/>
              <w:spacing w:after="0"/>
              <w:rPr>
                <w:sz w:val="20"/>
                <w:szCs w:val="20"/>
                <w:color w:val="auto"/>
              </w:rPr>
            </w:pPr>
            <w:r>
              <w:rPr>
                <w:rFonts w:ascii="Arial" w:cs="Arial" w:eastAsia="Arial" w:hAnsi="Arial"/>
                <w:sz w:val="18"/>
                <w:szCs w:val="18"/>
                <w:b w:val="1"/>
                <w:bCs w:val="1"/>
                <w:color w:val="auto"/>
              </w:rPr>
              <w:t>Limited Partners</w:t>
            </w:r>
          </w:p>
        </w:tc>
      </w:tr>
      <w:tr>
        <w:trPr>
          <w:trHeight w:val="27"/>
        </w:trPr>
        <w:tc>
          <w:tcPr>
            <w:tcW w:w="6740" w:type="dxa"/>
            <w:vAlign w:val="bottom"/>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420" w:type="dxa"/>
            <w:vAlign w:val="bottom"/>
            <w:gridSpan w:val="2"/>
          </w:tcPr>
          <w:p>
            <w:pPr>
              <w:ind w:left="560"/>
              <w:spacing w:after="0"/>
              <w:rPr>
                <w:sz w:val="20"/>
                <w:szCs w:val="20"/>
                <w:color w:val="auto"/>
              </w:rPr>
            </w:pPr>
            <w:r>
              <w:rPr>
                <w:rFonts w:ascii="Arial" w:cs="Arial" w:eastAsia="Arial" w:hAnsi="Arial"/>
                <w:sz w:val="18"/>
                <w:szCs w:val="18"/>
                <w:b w:val="1"/>
                <w:bCs w:val="1"/>
                <w:color w:val="auto"/>
              </w:rPr>
              <w:t>Preferred Units</w:t>
            </w:r>
          </w:p>
        </w:tc>
        <w:tc>
          <w:tcPr>
            <w:tcW w:w="2260" w:type="dxa"/>
            <w:vAlign w:val="bottom"/>
          </w:tcPr>
          <w:p>
            <w:pPr>
              <w:jc w:val="right"/>
              <w:ind w:right="470"/>
              <w:spacing w:after="0"/>
              <w:rPr>
                <w:sz w:val="20"/>
                <w:szCs w:val="20"/>
                <w:color w:val="auto"/>
              </w:rPr>
            </w:pPr>
            <w:r>
              <w:rPr>
                <w:rFonts w:ascii="Arial" w:cs="Arial" w:eastAsia="Arial" w:hAnsi="Arial"/>
                <w:sz w:val="18"/>
                <w:szCs w:val="18"/>
                <w:b w:val="1"/>
                <w:bCs w:val="1"/>
                <w:color w:val="auto"/>
              </w:rPr>
              <w:t>Common Units</w:t>
            </w:r>
          </w:p>
        </w:tc>
      </w:tr>
      <w:tr>
        <w:trPr>
          <w:trHeight w:val="27"/>
        </w:trPr>
        <w:tc>
          <w:tcPr>
            <w:tcW w:w="67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2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359,133,200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w:t>
            </w:r>
          </w:p>
        </w:tc>
        <w:tc>
          <w:tcPr>
            <w:tcW w:w="2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15,375,810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common units under LTIP</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598,783</w:t>
            </w:r>
          </w:p>
        </w:tc>
      </w:tr>
      <w:tr>
        <w:trPr>
          <w:trHeight w:val="27"/>
        </w:trPr>
        <w:tc>
          <w:tcPr>
            <w:tcW w:w="67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2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375,107,793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w:t>
            </w:r>
          </w:p>
        </w:tc>
        <w:tc>
          <w:tcPr>
            <w:tcW w:w="2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22,133,904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common units under LTIP</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485,927</w:t>
            </w:r>
          </w:p>
        </w:tc>
      </w:tr>
      <w:tr>
        <w:trPr>
          <w:trHeight w:val="27"/>
        </w:trPr>
        <w:tc>
          <w:tcPr>
            <w:tcW w:w="67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2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397,727,624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Series A preferred units</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61,030,127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distributions</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3,358,726</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w:t>
            </w:r>
          </w:p>
        </w:tc>
        <w:tc>
          <w:tcPr>
            <w:tcW w:w="2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26,278,288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common units under LTIP</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480,581</w:t>
            </w:r>
          </w:p>
        </w:tc>
      </w:tr>
      <w:tr>
        <w:trPr>
          <w:trHeight w:val="27"/>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units in connection with Simplification Transactions</w:t>
            </w:r>
          </w:p>
        </w:tc>
        <w:tc>
          <w:tcPr>
            <w:tcW w:w="2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244,707,926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2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64,388,853</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669,194,419</w:t>
            </w:r>
          </w:p>
        </w:tc>
      </w:tr>
      <w:tr>
        <w:trPr>
          <w:trHeight w:val="20"/>
        </w:trPr>
        <w:tc>
          <w:tcPr>
            <w:tcW w:w="67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In accordance with our partnership agreement, after making distributions to holders of outstanding Series A preferred units, we distribute 100% of our available cash within 45 days following the end of each quarter to unitholders of record. Available cash is generally defined as all of our cash and cash equivalents on hand at the end of each quarter, less reserves established in the discretion of our general partner for future requirements.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during the year presented (in millions, except per unit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Distributions Paid</w:t>
      </w:r>
    </w:p>
    <w:tbl>
      <w:tblPr>
        <w:tblLayout w:type="fixed"/>
        <w:tblInd w:w="0" w:type="dxa"/>
        <w:tblCellMar>
          <w:top w:w="0" w:type="dxa"/>
          <w:left w:w="0" w:type="dxa"/>
          <w:bottom w:w="0" w:type="dxa"/>
          <w:right w:w="0" w:type="dxa"/>
        </w:tblCellMar>
      </w:tblPr>
      <w:tr>
        <w:trPr>
          <w:trHeight w:val="47"/>
        </w:trPr>
        <w:tc>
          <w:tcPr>
            <w:tcW w:w="2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vMerge w:val="restart"/>
          </w:tcPr>
          <w:p>
            <w:pPr>
              <w:jc w:val="right"/>
              <w:ind w:right="457"/>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2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1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Common Unitholders</w:t>
            </w:r>
          </w:p>
        </w:tc>
        <w:tc>
          <w:tcPr>
            <w:tcW w:w="100" w:type="dxa"/>
            <w:vAlign w:val="bottom"/>
            <w:vMerge w:val="restart"/>
          </w:tcPr>
          <w:p>
            <w:pPr>
              <w:spacing w:after="0"/>
              <w:rPr>
                <w:sz w:val="5"/>
                <w:szCs w:val="5"/>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General Partner </w:t>
            </w:r>
            <w:r>
              <w:rPr>
                <w:rFonts w:ascii="Arial" w:cs="Arial" w:eastAsia="Arial" w:hAnsi="Arial"/>
                <w:sz w:val="8"/>
                <w:szCs w:val="8"/>
                <w:b w:val="1"/>
                <w:bCs w:val="1"/>
                <w:color w:val="auto"/>
              </w:rPr>
              <w:t>(1)</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jc w:val="right"/>
              <w:ind w:right="81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720" w:type="dxa"/>
            <w:vAlign w:val="bottom"/>
          </w:tcPr>
          <w:p>
            <w:pPr>
              <w:jc w:val="right"/>
              <w:ind w:right="15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590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1,671</w:t>
            </w:r>
          </w:p>
        </w:tc>
        <w:tc>
          <w:tcPr>
            <w:tcW w:w="140" w:type="dxa"/>
            <w:vAlign w:val="bottom"/>
            <w:tcBorders>
              <w:right w:val="single" w:sz="8" w:color="auto"/>
            </w:tcBorders>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5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473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1,407</w:t>
            </w:r>
          </w:p>
        </w:tc>
        <w:tc>
          <w:tcPr>
            <w:tcW w:w="140" w:type="dxa"/>
            <w:vAlign w:val="bottom"/>
            <w:tcBorders>
              <w:right w:val="single" w:sz="8" w:color="auto"/>
            </w:tcBorders>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600" w:hanging="652"/>
        <w:spacing w:after="0" w:line="227" w:lineRule="auto"/>
        <w:tabs>
          <w:tab w:leader="none" w:pos="660" w:val="left"/>
        </w:tabs>
        <w:numPr>
          <w:ilvl w:val="0"/>
          <w:numId w:val="134"/>
        </w:numPr>
        <w:rPr>
          <w:rFonts w:ascii="Arial" w:cs="Arial" w:eastAsia="Arial" w:hAnsi="Arial"/>
          <w:sz w:val="24"/>
          <w:szCs w:val="24"/>
          <w:color w:val="auto"/>
          <w:vertAlign w:val="superscript"/>
        </w:rPr>
      </w:pPr>
      <w:r>
        <w:rPr>
          <w:rFonts w:ascii="Arial" w:cs="Arial" w:eastAsia="Arial" w:hAnsi="Arial"/>
          <w:sz w:val="17"/>
          <w:szCs w:val="17"/>
          <w:color w:val="auto"/>
        </w:rPr>
        <w:t>During the years ended December 31, 2016, 2015 and 2014, our general partner’s incentive distributions were reduced by approximately $18 million, $22 million and $23 million, respectively, which were agreed to in connection with certain acquisitions.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January 9, 2017, we declared a cash distribution of $0.55 per unit on our outstanding common units. The total distribution of $371 million was paid on February 14, 2017 to unitholders of record on January 31, 2017, for the period October 1, 2016 through December 31, 2016.</w:t>
      </w:r>
    </w:p>
    <w:p>
      <w:pPr>
        <w:spacing w:after="0" w:line="14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General Partner Distributions</w:t>
      </w:r>
      <w:r>
        <w:rPr>
          <w:rFonts w:ascii="Arial" w:cs="Arial" w:eastAsia="Arial" w:hAnsi="Arial"/>
          <w:sz w:val="16"/>
          <w:szCs w:val="16"/>
          <w:color w:val="auto"/>
        </w:rPr>
        <w:t>. Prior to the Simplification Transactions, our general partner was entitled to receive (i) distributions representing its</w:t>
      </w:r>
      <w:r>
        <w:rPr>
          <w:rFonts w:ascii="Arial" w:cs="Arial" w:eastAsia="Arial" w:hAnsi="Arial"/>
          <w:sz w:val="16"/>
          <w:szCs w:val="16"/>
          <w:i w:val="1"/>
          <w:iCs w:val="1"/>
          <w:color w:val="auto"/>
        </w:rPr>
        <w:t xml:space="preserve"> </w:t>
      </w:r>
      <w:r>
        <w:rPr>
          <w:rFonts w:ascii="Arial" w:cs="Arial" w:eastAsia="Arial" w:hAnsi="Arial"/>
          <w:sz w:val="16"/>
          <w:szCs w:val="16"/>
          <w:color w:val="auto"/>
        </w:rPr>
        <w:t>2% indirect general partner interest and (ii) as the holder of our IDRs, incentive distributions if the amount we distributed with respect to any quarter exceeded certain specified levels. Under the quarterly distribution provisions contained in our partnership agreements effective prior to the Simplification Transactions, our general partner was entitled directly and indirectly, without duplication and except for the agreed upon adjustments discussed below, to 2% of amounts we distributed up to $0.2250 per unit, referred to as our minimum quarterly distribution, 15% of amounts we distributed in excess of $0.2250 per unit, 25% of the amounts we distributed in excess of $0.2475 per unit and 50% of amounts we distributed in excess of $0.3375 per unit.</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In-kind distributions. </w:t>
      </w:r>
      <w:r>
        <w:rPr>
          <w:rFonts w:ascii="Arial" w:cs="Arial" w:eastAsia="Arial" w:hAnsi="Arial"/>
          <w:sz w:val="18"/>
          <w:szCs w:val="18"/>
          <w:color w:val="auto"/>
        </w:rPr>
        <w:t>In 2016, we issued 3,358,726 additional Series A preferred units in lieu of cash distributions of $89 million. On February 14,</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issued 1,287,773 additional Series A preferred units in lieu of a cash distribution of $34 million. Since this quarterly distribution was declared as payment-in-kind, the distribution payable was accrued to partners’ capital as of December 31, 2016 and thus had no net impact on the Series A preferred unitholders’ capital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11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Common Unit Issuances</w:t>
      </w:r>
      <w:r>
        <w:rPr>
          <w:rFonts w:ascii="Arial" w:cs="Arial" w:eastAsia="Arial" w:hAnsi="Arial"/>
          <w:sz w:val="18"/>
          <w:szCs w:val="18"/>
          <w:color w:val="auto"/>
        </w:rPr>
        <w:t>. We have entered into several equity distribution agreements under our Continuous Offering Program, pursuant to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may offer and sell, through sales agents, common units representing limited partner interests. In addition to our Continuous Offering Program, we may sell common units through overnight or underwritten offerings.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our issuance of common units in connection with our Continuous Offering Program and underwritten offerings (net proceeds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 (2)</w:t>
            </w:r>
          </w:p>
        </w:tc>
        <w:tc>
          <w:tcPr>
            <w:tcW w:w="340" w:type="dxa"/>
            <w:vAlign w:val="bottom"/>
            <w:tcBorders>
              <w:bottom w:val="single" w:sz="8" w:color="CCEEFF"/>
            </w:tcBorders>
          </w:tcPr>
          <w:p>
            <w:pPr>
              <w:spacing w:after="0"/>
              <w:rPr>
                <w:sz w:val="16"/>
                <w:szCs w:val="16"/>
                <w:color w:val="auto"/>
              </w:rPr>
            </w:pPr>
          </w:p>
        </w:tc>
      </w:tr>
      <w:tr>
        <w:trPr>
          <w:trHeight w:val="263"/>
        </w:trPr>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2016 Total</w:t>
            </w:r>
          </w:p>
        </w:tc>
        <w:tc>
          <w:tcPr>
            <w:tcW w:w="4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Continuous Offering Program</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805</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Continuous Offering Program</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43"/>
        </w:trPr>
        <w:tc>
          <w:tcPr>
            <w:tcW w:w="2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4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Underwritten Offering</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21"/>
                <w:szCs w:val="2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2015 Total</w:t>
            </w:r>
          </w:p>
        </w:tc>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22,133,904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1,121</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4"/>
        </w:trPr>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2014 Total</w:t>
            </w:r>
          </w:p>
        </w:tc>
        <w:tc>
          <w:tcPr>
            <w:tcW w:w="4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Continuous Offering Program</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15,375,810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866</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For periods prior to the closing of the Simplification Transactions, amounts include our general partner’s proportionate capital contributions of $9 million, $22 million and $18 million during 2016, 2015 and 2014, respectively.</w:t>
      </w:r>
    </w:p>
    <w:p>
      <w:pPr>
        <w:spacing w:after="0" w:line="94" w:lineRule="exact"/>
        <w:rPr>
          <w:rFonts w:ascii="Arial" w:cs="Arial" w:eastAsia="Arial" w:hAnsi="Arial"/>
          <w:sz w:val="25"/>
          <w:szCs w:val="25"/>
          <w:color w:val="auto"/>
          <w:vertAlign w:val="superscript"/>
        </w:rPr>
      </w:pPr>
    </w:p>
    <w:p>
      <w:pPr>
        <w:ind w:left="660" w:right="80" w:hanging="652"/>
        <w:spacing w:after="0" w:line="216" w:lineRule="auto"/>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 issuances under our Continuous Offering Program. We paid $8 million, $1 million and $9 million of such commissions during 2016, 2015 and 2014, respectively.</w:t>
      </w:r>
    </w:p>
    <w:p>
      <w:pPr>
        <w:spacing w:after="0" w:line="2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Preferred Unit Issuance</w:t>
      </w:r>
      <w:r>
        <w:rPr>
          <w:rFonts w:ascii="Arial" w:cs="Arial" w:eastAsia="Arial" w:hAnsi="Arial"/>
          <w:sz w:val="17"/>
          <w:szCs w:val="17"/>
          <w:color w:val="auto"/>
        </w:rPr>
        <w:t>. On January 28, 2016 (the “Issuance Date”), we completed the private placement of approximately 61.0 million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representing limited partner interests in us for a cash purchase price of $26.25 per unit (the “Issue Price”), resulting in total net proceeds to us, after deducting offering expenses and the 2% transaction fee due to the purchasers and including our general partner’s proportionate capital contribution, of approximately $1.6 billion. Certain of the purchasers or their affiliates are related parties. See Note 15 for additional information.</w:t>
      </w:r>
    </w:p>
    <w:p>
      <w:pPr>
        <w:spacing w:after="0" w:line="17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Series A preferred units are a new class of equity security that ranks senior to all classes or series of our equity securities with respect to distribution rights and rights upon liquidation. The holders of the Series A preferred units receive cumulative quarterly distributions, subject to customary antidilution adjustments, equal to $0.525 per unit ($2.10 per unit annualized). With respect to any quarter ending on or prior to December 31, 2017 (the “Initial Distribution Period”), we may elect to pay distributions on the Series A preferred units in additional preferred units, in cash or a combination of both. With respect to any quarter ending after the Initial Distribution Period, we must pay distributions on the Series A preferred units in cash.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purchasers may convert their Series A preferred units into common units, generally on a one-for-one basis and subject to customary anti-dilution adjustments, at any time after the second anniversary of the Issuance Date (or prior to a liquidation), in whole or in part, subject to certain minimum conversion amounts. We may convert the Series A preferred units into common units at any time (but not more often than once per quarter) after the third anniversary of the Issuance Date, in whole or in part, subject to certain minimum conversion amounts, if the closing price of our common units is greater than 150% of the Issue Price for the preceding 20 trading days. The Series A preferred units will vote on an as-converted basis with our common units and will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preferred units to common units at the then applicable conversion rate.</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a period of 30 days following (a) the fifth anniversary of the Issuance Date of the Series A preferred units and (b) each subsequent anniversary of the Issuance Date, the holders of the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12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the common units for a trading day period specified in our partnership agreement) or a combination of cash and common units at a redemption price equal to 110% of the Issue Price, plus any accrued and unpaid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allocate net income for partners’ capital presentation purposes by applying the allocation methodology in our partnership agreement. Following the closing of the Simplification Transactions, net income is allocated 100% to our common unitholders, after giving effect to income allocations for cash distributions to our preferred unitholders. In accordance with our partnership agreement, our preferred unitholders are not allocated income for paid-in-kind distributions for partners’ capital presentation purposes.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periods prior to the Simplification Transactions, our general partner and common unitholders were allocated income based on their respective partnership percentages, after giving effect to income allocations for (i) incentive distributions, if any, to our general partner for distributions declared and paid following the close of each quarter and (ii) cash distributions to our preferred unitholders. Our preferred unitholders were not allocated income for paid-in-kind distributions for partners’ capital presentation purposes.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cash or paid-in-kind distributions to preferred untiholders. See Note 3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noncontrolling interests in our subsidiaries consisted of a 25% interest in SLC Pipeline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 and Risk Management Activities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2016, net derivative positions related to these activities included:</w:t>
      </w:r>
    </w:p>
    <w:p>
      <w:pPr>
        <w:spacing w:after="0" w:line="38" w:lineRule="exact"/>
        <w:rPr>
          <w:sz w:val="20"/>
          <w:szCs w:val="20"/>
          <w:color w:val="auto"/>
        </w:rPr>
      </w:pPr>
    </w:p>
    <w:p>
      <w:pPr>
        <w:ind w:left="980" w:right="280" w:hanging="324"/>
        <w:spacing w:after="0" w:line="277"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net long position of 3.6 million barrels associated with our crude oil purchases, which was unwound ratably during January 2017 to match monthly average pricing.</w:t>
      </w:r>
    </w:p>
    <w:p>
      <w:pPr>
        <w:spacing w:after="0" w:line="62"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net short time spread position of 5.2 million barrels, which hedges a portion of our anticipated crude oil lease gathering purchases through January 2018.</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crude oil grade basis position of 43.8 million barrels through December 2019. These derivatives allow us to lock in grade basis differentials.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net short position of 12.2 Bcf through May 2017 related to anticipated sales of natural gas inventory.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net short position of 34.5 million barrels through December 2019 related to anticipated net sales of our crude oil and NGL inventory.</w:t>
      </w:r>
    </w:p>
    <w:p>
      <w:pPr>
        <w:spacing w:after="0" w:line="23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allowance oil that is to be collected under our tariffs. As of December 31, 2016, our PLA hedges included a long call option position of 0.9 million barrels through November 2018.</w:t>
      </w:r>
    </w:p>
    <w:p>
      <w:pPr>
        <w:spacing w:after="0" w:line="18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2016, we had a long natural gas position of 61.3 Bcf which hedges our natural gas processing and operational needs through December 2018. We also had a short propane position of 10.6 million barrels through December 2018, a short butane position of 3.2 million barrels through December 2018 and a short WTI position of 1.5 million barrels through December 2018. In addition, we had a long power position of 0.3 million megawatt hours, which hedges a portion of our power supply requirements at our Canadian natural gas processing and fractionation plants through December 2018.</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payments associated with the underlying debt.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125" w:right="27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2016 (notional amounts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Expected</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Average Rate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Termination 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 (30-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year)</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 forward starting swaps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6/15/2018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year)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 (30-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6/14/2019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year)</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2016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7220" w:type="dxa"/>
            <w:vAlign w:val="bottom"/>
            <w:tcBorders>
              <w:top w:val="single" w:sz="8" w:color="CCEEFF"/>
              <w:bottom w:val="single" w:sz="8" w:color="CCEEFF"/>
            </w:tcBorders>
            <w:shd w:val="clear" w:color="auto" w:fill="CCEEFF"/>
          </w:tcPr>
          <w:p>
            <w:pPr>
              <w:jc w:val="right"/>
              <w:ind w:right="263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20" w:type="dxa"/>
            <w:vAlign w:val="bottom"/>
          </w:tcPr>
          <w:p>
            <w:pPr>
              <w:jc w:val="right"/>
              <w:ind w:right="26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7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Sheets. Corresponding changes in fair value are recognized in “Other income/(expense), net” in our Consolidated Statement of Operations. At December 31, 2016, the fair value of this embedded derivative was a liability of approximately $32 million. We recognized gains of approximately $30 million for the year ended December 31, 2016. See Note 11 for additional information regarding our Series A preferred units and the Preferred Distribution Rate Reset 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 2016</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Not Designated</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 xml:space="preserve">Relationships </w:t>
            </w:r>
            <w:r>
              <w:rPr>
                <w:rFonts w:ascii="Arial" w:cs="Arial" w:eastAsia="Arial" w:hAnsi="Arial"/>
                <w:sz w:val="8"/>
                <w:szCs w:val="8"/>
                <w:b w:val="1"/>
                <w:bCs w:val="1"/>
                <w:color w:val="auto"/>
                <w:w w:val="93"/>
              </w:rPr>
              <w:t>(1)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as a Hedge</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 Option</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60" w:type="dxa"/>
            <w:vAlign w:val="bottom"/>
          </w:tcPr>
          <w:p>
            <w:pPr>
              <w:spacing w:after="0"/>
              <w:rPr>
                <w:sz w:val="24"/>
                <w:szCs w:val="24"/>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F-35</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8" w:name="page189"/>
    <w:bookmarkEnd w:id="1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Location of Gain/(Loss)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Transportation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Field operating costs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Location of Gain/(Loss)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Field operating costs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income/(expense), net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504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2499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Not Designated</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 xml:space="preserve">Relationships </w:t>
            </w:r>
            <w:r>
              <w:rPr>
                <w:rFonts w:ascii="Arial" w:cs="Arial" w:eastAsia="Arial" w:hAnsi="Arial"/>
                <w:sz w:val="8"/>
                <w:szCs w:val="8"/>
                <w:b w:val="1"/>
                <w:bCs w:val="1"/>
                <w:color w:val="auto"/>
                <w:w w:val="93"/>
              </w:rPr>
              <w:t>(1)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as a Hedge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 2014</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14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Not Designated</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 xml:space="preserve">Relationships </w:t>
            </w:r>
            <w:r>
              <w:rPr>
                <w:rFonts w:ascii="Arial" w:cs="Arial" w:eastAsia="Arial" w:hAnsi="Arial"/>
                <w:sz w:val="8"/>
                <w:szCs w:val="8"/>
                <w:b w:val="1"/>
                <w:bCs w:val="1"/>
                <w:color w:val="auto"/>
                <w:w w:val="93"/>
              </w:rPr>
              <w:t>(1)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as a Hedge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206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157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-6370955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-6010910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-5650865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-5299075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-4939030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-4587240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-4227195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-3867150</wp:posOffset>
            </wp:positionV>
            <wp:extent cx="72466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-6739890</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-2709545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-2348865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-1997710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-1637030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-1285875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-925830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-565150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-205105</wp:posOffset>
            </wp:positionV>
            <wp:extent cx="724662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-3077845</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5120"/>
          </w:cols>
          <w:pgMar w:left="240" w:top="125" w:right="239" w:bottom="1440" w:gutter="0" w:footer="0" w:header="0"/>
          <w:type w:val="continuous"/>
        </w:sectPr>
      </w:pPr>
    </w:p>
    <w:p>
      <w:pPr>
        <w:spacing w:after="0" w:line="164" w:lineRule="exact"/>
        <w:rPr>
          <w:sz w:val="20"/>
          <w:szCs w:val="20"/>
          <w:color w:val="auto"/>
        </w:rPr>
      </w:pPr>
    </w:p>
    <w:p>
      <w:pPr>
        <w:ind w:left="660" w:right="240" w:hanging="652"/>
        <w:spacing w:after="0" w:line="268" w:lineRule="auto"/>
        <w:tabs>
          <w:tab w:leader="none" w:pos="660" w:val="left"/>
        </w:tabs>
        <w:numPr>
          <w:ilvl w:val="0"/>
          <w:numId w:val="137"/>
        </w:numPr>
        <w:rPr>
          <w:rFonts w:ascii="Arial" w:cs="Arial" w:eastAsia="Arial" w:hAnsi="Arial"/>
          <w:sz w:val="22"/>
          <w:szCs w:val="22"/>
          <w:color w:val="auto"/>
          <w:vertAlign w:val="superscript"/>
        </w:rPr>
      </w:pPr>
      <w:r>
        <w:rPr>
          <w:rFonts w:ascii="Arial" w:cs="Arial" w:eastAsia="Arial" w:hAnsi="Arial"/>
          <w:sz w:val="16"/>
          <w:szCs w:val="16"/>
          <w:color w:val="auto"/>
        </w:rPr>
        <w:t>During the year ended December 31, 2016, we reclassified losses of approximately $2 million and $2 million from AOCI to Supply and Logistics segment revenues and Interest expense, net, respectively, due to anticipated hedged transactions being probable of not occurring. During the year ended December 31, 2015, we reclassified a loss of approximately $4 million from AOCI to Interest expense, net due to an anticipated hedged transaction being probable of not occurring. During the year ended December 31, 2014, all of our hedged transactions were probable of occurring.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80" w:hanging="652"/>
        <w:spacing w:after="0" w:line="227" w:lineRule="auto"/>
        <w:tabs>
          <w:tab w:leader="none" w:pos="660" w:val="left"/>
        </w:tabs>
        <w:numPr>
          <w:ilvl w:val="0"/>
          <w:numId w:val="138"/>
        </w:numPr>
        <w:rPr>
          <w:rFonts w:ascii="Arial" w:cs="Arial" w:eastAsia="Arial" w:hAnsi="Arial"/>
          <w:sz w:val="24"/>
          <w:szCs w:val="24"/>
          <w:color w:val="auto"/>
          <w:vertAlign w:val="superscript"/>
        </w:rPr>
      </w:pPr>
      <w:r>
        <w:rPr>
          <w:rFonts w:ascii="Arial" w:cs="Arial" w:eastAsia="Arial" w:hAnsi="Arial"/>
          <w:sz w:val="17"/>
          <w:szCs w:val="17"/>
          <w:color w:val="auto"/>
        </w:rPr>
        <w:t>Amounts in Interest expense, net include a loss of $4 million during the year ended December 31, 2016 attributable to the ineffective portion of cash flow hedges. No ineffectiveness was recognized for cash flow hedges during the years ended December 31, 2015 and 2014.</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2016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64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64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Total derivatives designated as hedging 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1"/>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instruments: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0"/>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40" w:type="dxa"/>
            <w:vAlign w:val="bottom"/>
            <w:gridSpan w:val="2"/>
            <w:vMerge w:val="restart"/>
          </w:tcPr>
          <w:p>
            <w:pPr>
              <w:ind w:left="1640"/>
              <w:spacing w:after="0"/>
              <w:rPr>
                <w:sz w:val="20"/>
                <w:szCs w:val="20"/>
                <w:color w:val="auto"/>
              </w:rPr>
            </w:pPr>
            <w:r>
              <w:rPr>
                <w:rFonts w:ascii="Arial" w:cs="Arial" w:eastAsia="Arial" w:hAnsi="Arial"/>
                <w:sz w:val="18"/>
                <w:szCs w:val="18"/>
                <w:color w:val="auto"/>
              </w:rPr>
              <w:t>F-37</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64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8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64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Total derivatives designated as hedging 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1"/>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instruments: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3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Variation margin posted/(returned)</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40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receivable/(payable)</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3940" w:type="dxa"/>
            <w:vAlign w:val="bottom"/>
            <w:gridSpan w:val="2"/>
          </w:tcPr>
          <w:p>
            <w:pPr>
              <w:jc w:val="right"/>
              <w:ind w:right="2100"/>
              <w:spacing w:after="0"/>
              <w:rPr>
                <w:sz w:val="20"/>
                <w:szCs w:val="20"/>
                <w:color w:val="auto"/>
              </w:rPr>
            </w:pPr>
            <w:r>
              <w:rPr>
                <w:rFonts w:ascii="Arial" w:cs="Arial" w:eastAsia="Arial" w:hAnsi="Arial"/>
                <w:sz w:val="18"/>
                <w:szCs w:val="18"/>
                <w:color w:val="auto"/>
              </w:rPr>
              <w:t>F-38</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Liability Positions</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2016, there was a net loss of $228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2016, we expect to reclassify a net loss of $8 million to earnings in the next twelve months. The remaining deferred loss of $220 million is expected to be reclassified to earnings through 2049. A portion of these amounts is based on market prices as of December 31,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including tax effects, recognized in AOCI for derivatives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net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rate derivatives, net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 net</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594"/>
        <w:spacing w:after="0" w:line="264" w:lineRule="auto"/>
        <w:rPr>
          <w:sz w:val="20"/>
          <w:szCs w:val="20"/>
          <w:color w:val="auto"/>
        </w:rPr>
      </w:pPr>
      <w:r>
        <w:rPr>
          <w:rFonts w:ascii="Arial" w:cs="Arial" w:eastAsia="Arial" w:hAnsi="Arial"/>
          <w:sz w:val="18"/>
          <w:szCs w:val="18"/>
          <w:color w:val="auto"/>
        </w:rPr>
        <w:t>At December 31,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2"/>
              </w:rPr>
              <w:t>Fair Value as of 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1"/>
              </w:rPr>
              <w:t>Fair Value as of December 31,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w w:val="97"/>
              </w:rPr>
              <w:t>Preferred Distribution Rate Reset Option</w:t>
            </w:r>
          </w:p>
        </w:tc>
        <w:tc>
          <w:tcPr>
            <w:tcW w:w="1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our partnership agreement which is classified as an embedded derivative.</w:t>
      </w:r>
    </w:p>
    <w:p>
      <w:pPr>
        <w:spacing w:after="0" w:line="170" w:lineRule="exact"/>
        <w:rPr>
          <w:sz w:val="20"/>
          <w:szCs w:val="20"/>
          <w:color w:val="auto"/>
        </w:rPr>
      </w:pPr>
    </w:p>
    <w:p>
      <w:pPr>
        <w:ind w:left="340" w:right="6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Consolidated Statements of Operations as Supply and Logistics segment revenues.</w:t>
      </w:r>
    </w:p>
    <w:p>
      <w:pPr>
        <w:spacing w:after="0" w:line="173"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gains for the period included in earnings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unrealized gains/(losses) included in earnings relating to Level 3 derivatives still held at the end of the</w:t>
      </w:r>
    </w:p>
    <w:p>
      <w:pPr>
        <w:spacing w:after="0" w:line="46" w:lineRule="exact"/>
        <w:rPr>
          <w:sz w:val="20"/>
          <w:szCs w:val="20"/>
          <w:color w:val="auto"/>
        </w:rPr>
      </w:pPr>
    </w:p>
    <w:p>
      <w:pPr>
        <w:ind w:left="200"/>
        <w:spacing w:after="0"/>
        <w:tabs>
          <w:tab w:leader="none" w:pos="8340" w:val="left"/>
        </w:tabs>
        <w:rPr>
          <w:sz w:val="20"/>
          <w:szCs w:val="20"/>
          <w:color w:val="auto"/>
        </w:rPr>
      </w:pPr>
      <w:r>
        <w:rPr>
          <w:rFonts w:ascii="Arial" w:cs="Arial" w:eastAsia="Arial" w:hAnsi="Arial"/>
          <w:sz w:val="17"/>
          <w:szCs w:val="17"/>
          <w:color w:val="auto"/>
        </w:rPr>
        <w:t>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460" w:val="left"/>
          <w:tab w:leader="none" w:pos="1620" w:val="left"/>
        </w:tabs>
        <w:rPr>
          <w:sz w:val="20"/>
          <w:szCs w:val="20"/>
          <w:color w:val="auto"/>
        </w:rPr>
      </w:pPr>
      <w:r>
        <w:rPr>
          <w:rFonts w:ascii="Arial" w:cs="Arial" w:eastAsia="Arial" w:hAnsi="Arial"/>
          <w:sz w:val="18"/>
          <w:szCs w:val="18"/>
          <w:color w:val="auto"/>
        </w:rPr>
        <w:t>(36)</w:t>
        <w:tab/>
        <w:t>$</w:t>
      </w:r>
      <w:r>
        <w:rPr>
          <w:sz w:val="20"/>
          <w:szCs w:val="20"/>
          <w:color w:val="auto"/>
        </w:rPr>
        <w:tab/>
      </w:r>
      <w:r>
        <w:rPr>
          <w:rFonts w:ascii="Arial" w:cs="Arial" w:eastAsia="Arial" w:hAnsi="Arial"/>
          <w:sz w:val="16"/>
          <w:szCs w:val="16"/>
          <w:color w:val="auto"/>
        </w:rPr>
        <w:t>10</w:t>
      </w:r>
    </w:p>
    <w:p>
      <w:pPr>
        <w:spacing w:after="0" w:line="202" w:lineRule="exact"/>
        <w:rPr>
          <w:sz w:val="20"/>
          <w:szCs w:val="20"/>
          <w:color w:val="auto"/>
        </w:rPr>
      </w:pPr>
    </w:p>
    <w:p>
      <w:pPr>
        <w:sectPr>
          <w:pgSz w:w="11900" w:h="16838" w:orient="portrait"/>
          <w:cols w:equalWidth="0" w:num="2">
            <w:col w:w="8780" w:space="720"/>
            <w:col w:w="1920"/>
          </w:cols>
          <w:pgMar w:left="240" w:top="125"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2016 and 2015,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2016, 2015, and 2014 was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type w:val="continuous"/>
        </w:sectPr>
      </w:pPr>
    </w:p>
    <w:bookmarkStart w:id="194" w:name="page195"/>
    <w:bookmarkEnd w:id="1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 expense/(benefit):</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income tax expense/(benefit)</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Partnership earnings not subject to current Canadian tax</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9"/>
              </w:rPr>
              <w:t>(723)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(976)</w:t>
            </w:r>
          </w:p>
        </w:tc>
      </w:tr>
      <w:tr>
        <w:trPr>
          <w:trHeight w:val="27"/>
        </w:trPr>
        <w:tc>
          <w:tcPr>
            <w:tcW w:w="4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Canadian federal and provincial corporate tax rate</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at statutory rate</w:t>
            </w: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145</w:t>
            </w:r>
          </w:p>
        </w:tc>
      </w:tr>
      <w:tr>
        <w:trPr>
          <w:trHeight w:val="297"/>
        </w:trPr>
        <w:tc>
          <w:tcPr>
            <w:tcW w:w="4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withholding tax</w:t>
            </w: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Canadian permanent differences and rate changes</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
        </w:trPr>
        <w:tc>
          <w:tcPr>
            <w:tcW w:w="4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w:t>
            </w:r>
          </w:p>
        </w:tc>
        <w:tc>
          <w:tcPr>
            <w:tcW w:w="17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r>
      <w:tr>
        <w:trPr>
          <w:trHeight w:val="257"/>
        </w:trPr>
        <w:tc>
          <w:tcPr>
            <w:tcW w:w="480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17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171</w:t>
            </w: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760" w:type="dxa"/>
            <w:vAlign w:val="bottom"/>
            <w:gridSpan w:val="2"/>
          </w:tcPr>
          <w:p>
            <w:pPr>
              <w:jc w:val="right"/>
              <w:ind w:right="1599"/>
              <w:spacing w:after="0"/>
              <w:rPr>
                <w:sz w:val="20"/>
                <w:szCs w:val="20"/>
                <w:color w:val="auto"/>
              </w:rPr>
            </w:pPr>
            <w:r>
              <w:rPr>
                <w:rFonts w:ascii="Arial" w:cs="Arial" w:eastAsia="Arial" w:hAnsi="Arial"/>
                <w:sz w:val="18"/>
                <w:szCs w:val="18"/>
                <w:color w:val="auto"/>
              </w:rPr>
              <w:t>F-42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91"/>
        </w:trPr>
        <w:tc>
          <w:tcPr>
            <w:tcW w:w="8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in excess of tax values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liabilities</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84"/>
        </w:trPr>
        <w:tc>
          <w:tcPr>
            <w:tcW w:w="8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Balance sheet classification of deferred tax assets/(liabilities):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assets, net</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we had foreign net operating loss carryforwards of $15 million, which will expire beginning in 2034.</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2016. Our U.S. and state tax years are generally open to examination from 2013 to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14—Major Customers and Concentration of Credit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Marathon Petroleum Corporation and its subsidiaries accounted for 18%, 17% and 17% of our revenues for the years ended December 31, 2016, 2015 and 2014, respectively. ExxonMobil Corporation and its subsidiaries accounted for 14%, 13% and 15% of our revenues for the years ended December 31, 2016, 2015 and 2014, respectively. Phillips 66 Company and its subsidiaries accounted for 11% of our revenues for the year ended December 31, 2016. No other customers accounted for 10% or more of our revenues during any of the three years ended December 31, 2016.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December 31, 2016, we owned 491,910,863 Class C shares of PAGP. The Class C shares represent a non-economic limited partner interest in PAGP that provides us, as the sole holder, the right to vote in elections of eligible PAGP GP directors together with the holders of PAGP’s Class A and Class B shares, commencing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Our General Partner and its Affiliates</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Our general partner provides general and administrative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2016, 2015 and 2014 were $514 million, $648 million and $598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connection with the Simplification Transactions completed in November 2016, the Plains Entities entered into an Omnibus Agreement, which provides for the following:</w:t>
      </w:r>
    </w:p>
    <w:p>
      <w:pPr>
        <w:spacing w:after="0" w:line="170" w:lineRule="exact"/>
        <w:rPr>
          <w:sz w:val="20"/>
          <w:szCs w:val="20"/>
          <w:color w:val="auto"/>
        </w:rPr>
      </w:pPr>
    </w:p>
    <w:p>
      <w:pPr>
        <w:ind w:left="660" w:right="60" w:hanging="328"/>
        <w:spacing w:after="0" w:line="259"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that, for all periods following the closing of the Simplification Transactions,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We paid $4 million of such expenses in 2016;</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4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ability to lend such proceeds to us, in each case on substantially the same terms as incurred by PAGP.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discussion of the Simplification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December 31, 2016, Oxy had a representative on the board of directors of PAGP and owned approximately 13% of the limited partner interests in AAP. During the three years ended December 31,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those transactions is included below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1,212</w:t>
            </w:r>
          </w:p>
        </w:tc>
      </w:tr>
      <w:tr>
        <w:trPr>
          <w:trHeight w:val="243"/>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660" w:hanging="652"/>
        <w:spacing w:after="0" w:line="216" w:lineRule="auto"/>
        <w:tabs>
          <w:tab w:leader="none" w:pos="660" w:val="left"/>
        </w:tabs>
        <w:numPr>
          <w:ilvl w:val="0"/>
          <w:numId w:val="141"/>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Consolidated Statements of Operations.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363</w:t>
            </w:r>
          </w:p>
        </w:tc>
      </w:tr>
      <w:tr>
        <w:trPr>
          <w:trHeight w:val="27"/>
        </w:trPr>
        <w:tc>
          <w:tcPr>
            <w:tcW w:w="8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November 2014, we purchased Oxy’s 50% interest in BridgeTex. See Note 8 for further discussion. Also in November 2014, Oxy exchanged a portion of its interest in our general partner for Class A shares of PAGP and immediately sold such shares through a secondary public offering completed by PAGP.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11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also have transactions with companies in which we hold an investment accounted for under the equity method of accounting (see Note 8 for information related to these investments). We recorded revenues of $14 million, $17 million and $3 million during the years ended December 31, 2016, 2015 and 2014, respectively. During the three years ended December 31, 2016, we utilized transportation services and purchased petroleum products provided by these companies. Costs related to these services totaled $209 million, $164 million and $75 million for the years ended December 31, 2016, 2015 and 2014, respectively. These transactions were conducted at posted tariff rates or contracted rates or prices that we believe approximate market. Receivables from our equity method investees totaled $39 million and $14 million at December 31, 2016 and 2015, respectively, and included amounts related to capital activity at several of our investments. In addition, we had prepaid tariff costs related to our equity method investees of $14 million at December 31, 2016. Accounts payable to our equity method investees were $35 million and $25 million at December 31, 2016 and 2015, respectively, and included amounts related to capital activity at several of our investments.</w:t>
      </w:r>
    </w:p>
    <w:p>
      <w:pPr>
        <w:spacing w:after="0" w:line="18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 Issuance</w:t>
      </w:r>
    </w:p>
    <w:p>
      <w:pPr>
        <w:spacing w:after="0" w:line="11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January 2016, we completed a private placement of preferred units. Certain of the purchasers of the preferred units or their affiliates are related parties. Kayne Anderson Capital Advisors, L.P. and certain of its affiliates and an affiliate of The Energy Minerals Group hold ownership interests in our general partner. In addition, certain of the current directors of our general partner are affiliated with certain of the purchasers. See Note 11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11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our common unitholders approved the Plains All American 2013 Long-Term Incentive Plan (the “PAA 2013 LTIP”). The PAA 2013 LTIP authorizes the issuance of an aggregate of approximately 10.1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50"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Our general partner has adopted the Plains All American PNG Successor Long-Term Incentive Plan (the “PNG Successor LTIP”).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Our general partner has adopted the Plains All American GP LLC 2006</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Tracking Unit Plan (the “2006 Plan”) for non-officer employees. The 2006 Plan authorizes the grant of approximately 10.8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general partner is entitled to reimbursement by us for any costs incurred in settling obligations under the PAA 2013 LTIP, the PNG Successor LTIP or the 2006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2016, the following LTIP awards, denominated in PAA units, were outstanding (units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PAA</w:t>
            </w:r>
          </w:p>
        </w:tc>
        <w:tc>
          <w:tcPr>
            <w:tcW w:w="120" w:type="dxa"/>
            <w:vAlign w:val="bottom"/>
          </w:tcPr>
          <w:p>
            <w:pPr>
              <w:spacing w:after="0"/>
              <w:rPr>
                <w:sz w:val="15"/>
                <w:szCs w:val="15"/>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PAA</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4"/>
          </w:tcPr>
          <w:p>
            <w:pPr>
              <w:ind w:left="320"/>
              <w:spacing w:after="0"/>
              <w:rPr>
                <w:sz w:val="20"/>
                <w:szCs w:val="20"/>
                <w:color w:val="auto"/>
              </w:rPr>
            </w:pPr>
            <w:r>
              <w:rPr>
                <w:rFonts w:ascii="Arial" w:cs="Arial" w:eastAsia="Arial" w:hAnsi="Arial"/>
                <w:sz w:val="14"/>
                <w:szCs w:val="14"/>
                <w:b w:val="1"/>
                <w:bCs w:val="1"/>
                <w:color w:val="auto"/>
              </w:rPr>
              <w:t>Estimated Unit Vesting Date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LTIP Units</w:t>
            </w:r>
          </w:p>
        </w:tc>
        <w:tc>
          <w:tcPr>
            <w:tcW w:w="120" w:type="dxa"/>
            <w:vAlign w:val="bottom"/>
            <w:vMerge w:val="restart"/>
          </w:tcPr>
          <w:p>
            <w:pPr>
              <w:spacing w:after="0"/>
              <w:rPr>
                <w:sz w:val="5"/>
                <w:szCs w:val="5"/>
                <w:color w:val="auto"/>
              </w:rPr>
            </w:pPr>
          </w:p>
        </w:tc>
        <w:tc>
          <w:tcPr>
            <w:tcW w:w="19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9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1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1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1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1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Thereafter</w:t>
            </w:r>
          </w:p>
        </w:tc>
        <w:tc>
          <w:tcPr>
            <w:tcW w:w="100" w:type="dxa"/>
            <w:vAlign w:val="bottom"/>
            <w:vMerge w:val="restart"/>
          </w:tcPr>
          <w:p>
            <w:pPr>
              <w:spacing w:after="0"/>
              <w:rPr>
                <w:sz w:val="5"/>
                <w:szCs w:val="5"/>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Outstanding </w:t>
            </w:r>
            <w:r>
              <w:rPr>
                <w:rFonts w:ascii="Arial" w:cs="Arial" w:eastAsia="Arial" w:hAnsi="Arial"/>
                <w:sz w:val="8"/>
                <w:szCs w:val="8"/>
                <w:b w:val="1"/>
                <w:bCs w:val="1"/>
                <w:color w:val="auto"/>
                <w:w w:val="96"/>
              </w:rPr>
              <w:t>(1) (2)</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Required </w:t>
            </w:r>
            <w:r>
              <w:rPr>
                <w:rFonts w:ascii="Arial" w:cs="Arial" w:eastAsia="Arial" w:hAnsi="Arial"/>
                <w:sz w:val="8"/>
                <w:szCs w:val="8"/>
                <w:b w:val="1"/>
                <w:bCs w:val="1"/>
                <w:color w:val="auto"/>
                <w:w w:val="96"/>
              </w:rPr>
              <w:t>(3)</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8.9</w:t>
            </w:r>
          </w:p>
        </w:tc>
        <w:tc>
          <w:tcPr>
            <w:tcW w:w="19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$2.20-$2.65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16" w:lineRule="auto"/>
        <w:tabs>
          <w:tab w:leader="none" w:pos="660" w:val="left"/>
        </w:tabs>
        <w:numPr>
          <w:ilvl w:val="0"/>
          <w:numId w:val="142"/>
        </w:numPr>
        <w:rPr>
          <w:rFonts w:ascii="Arial" w:cs="Arial" w:eastAsia="Arial" w:hAnsi="Arial"/>
          <w:sz w:val="25"/>
          <w:szCs w:val="25"/>
          <w:color w:val="auto"/>
          <w:vertAlign w:val="superscript"/>
        </w:rPr>
      </w:pPr>
      <w:r>
        <w:rPr>
          <w:rFonts w:ascii="Arial" w:cs="Arial" w:eastAsia="Arial" w:hAnsi="Arial"/>
          <w:sz w:val="18"/>
          <w:szCs w:val="18"/>
          <w:color w:val="auto"/>
        </w:rPr>
        <w:t>Approximately 4.3 million of the 8.9 million outstanding PAA LTIP awards also include DERs, of which 1.6 million had vested as of December 31, 2016.</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42"/>
        </w:numPr>
        <w:rPr>
          <w:rFonts w:ascii="Arial" w:cs="Arial" w:eastAsia="Arial" w:hAnsi="Arial"/>
          <w:sz w:val="25"/>
          <w:szCs w:val="25"/>
          <w:color w:val="auto"/>
          <w:vertAlign w:val="superscript"/>
        </w:rPr>
      </w:pPr>
      <w:r>
        <w:rPr>
          <w:rFonts w:ascii="Arial" w:cs="Arial" w:eastAsia="Arial" w:hAnsi="Arial"/>
          <w:sz w:val="18"/>
          <w:szCs w:val="18"/>
          <w:color w:val="auto"/>
        </w:rPr>
        <w:t>LTIP units outstanding do not include AAP Management Units.</w:t>
      </w:r>
    </w:p>
    <w:p>
      <w:pPr>
        <w:spacing w:after="0" w:line="98" w:lineRule="exact"/>
        <w:rPr>
          <w:rFonts w:ascii="Arial" w:cs="Arial" w:eastAsia="Arial" w:hAnsi="Arial"/>
          <w:sz w:val="25"/>
          <w:szCs w:val="25"/>
          <w:color w:val="auto"/>
          <w:vertAlign w:val="superscript"/>
        </w:rPr>
      </w:pPr>
    </w:p>
    <w:p>
      <w:pPr>
        <w:ind w:left="660" w:right="140" w:hanging="652"/>
        <w:spacing w:after="0" w:line="234" w:lineRule="auto"/>
        <w:tabs>
          <w:tab w:leader="none" w:pos="660" w:val="left"/>
        </w:tabs>
        <w:numPr>
          <w:ilvl w:val="0"/>
          <w:numId w:val="142"/>
        </w:numPr>
        <w:rPr>
          <w:rFonts w:ascii="Arial" w:cs="Arial" w:eastAsia="Arial" w:hAnsi="Arial"/>
          <w:sz w:val="25"/>
          <w:szCs w:val="25"/>
          <w:color w:val="auto"/>
          <w:vertAlign w:val="superscript"/>
        </w:rPr>
      </w:pPr>
      <w:r>
        <w:rPr>
          <w:rFonts w:ascii="Arial" w:cs="Arial" w:eastAsia="Arial" w:hAnsi="Arial"/>
          <w:sz w:val="18"/>
          <w:szCs w:val="18"/>
          <w:color w:val="auto"/>
        </w:rPr>
        <w:t>Certain LTIP awards vest upon the later of a certain date or the attainment of performance conditions requiring the attainment of certain annualized PAA distribution levels or upon the attainment of such levels alone. For purposes of this disclosure, vesting dates are based on an estimate of future distribution levels and assume that all grantees remain employed by us through the vesting date. As of December 31, 2016, a distribution of $2.20 per common unit was deemed probable of occurring in the reasonably foreseeable future (and was initially determined to be probable in the third quarter of 2016).</w:t>
      </w:r>
    </w:p>
    <w:p>
      <w:pPr>
        <w:spacing w:after="0" w:line="20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6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Certain LTIP awards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DER awards typically contain performance conditions based on the attainment of certain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they are paid as a reduction of partners’ capital.</w:t>
      </w:r>
    </w:p>
    <w:p>
      <w:pPr>
        <w:spacing w:after="0" w:line="1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third quarter of 2016 modifications were made to the vesting criteria of 2.2 million PAA LTIP units such that the awards, with performance conditions requiring the attainment of an annualized PAA distribution in excess of $2.80, no longer include a distribution performance threshold and will vest based solely on the passage of time during the years 2017 to 2020 (0.9 million of these units would have vested based on the passage of time, but will vest earlier following the modification). There are awards outstanding that were issued prior to the modification in the third quarter of 2016 which had performance conditions requiring the attainment of an annualized PAA distribution between $2.30 and $2.80 which have been satisfied and those awards will vest at the later of the date stated in each award’s respective grant letter.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accrued liability at December 31, 2016 related to all outstanding liability-classified LTIP awards and DERs was $38 million, of which $25 million was classified as short-term and $13 million was classified as long-term. These short- and long-term accrued LTIP liabilities are reflected in “Accounts payable and accrued liabilities” and “Other long-term liabilities and deferred credits,” respectively, on our Consolidated Balance Sheets. These liabilities include accruals associated with our assessment that an annualized distribution of $2.20 per unit is probable of occurring in the reasonably foreseeable future (which was initially determined to be probable in the third quarter of 2016). At December 31, 2015, the accrued liability was $33 million, of which $20 million was classified as short-term and $13 million was classified as long-term.</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(2)</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70"/>
        </w:trPr>
        <w:tc>
          <w:tcPr>
            <w:tcW w:w="92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5"/>
                <w:szCs w:val="25"/>
                <w:color w:val="auto"/>
                <w:vertAlign w:val="superscript"/>
              </w:rPr>
              <w:t>(3)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0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AAP Management Units.</w:t>
      </w:r>
    </w:p>
    <w:p>
      <w:pPr>
        <w:spacing w:after="0" w:line="98" w:lineRule="exact"/>
        <w:rPr>
          <w:rFonts w:ascii="Arial" w:cs="Arial" w:eastAsia="Arial" w:hAnsi="Arial"/>
          <w:sz w:val="25"/>
          <w:szCs w:val="25"/>
          <w:color w:val="auto"/>
          <w:vertAlign w:val="superscript"/>
        </w:rPr>
      </w:pPr>
    </w:p>
    <w:p>
      <w:pPr>
        <w:jc w:val="both"/>
        <w:ind w:left="660" w:right="360" w:hanging="652"/>
        <w:spacing w:after="0" w:line="260" w:lineRule="auto"/>
        <w:tabs>
          <w:tab w:leader="none" w:pos="660" w:val="left"/>
        </w:tabs>
        <w:numPr>
          <w:ilvl w:val="0"/>
          <w:numId w:val="143"/>
        </w:numPr>
        <w:rPr>
          <w:rFonts w:ascii="Arial" w:cs="Arial" w:eastAsia="Arial" w:hAnsi="Arial"/>
          <w:sz w:val="22"/>
          <w:szCs w:val="22"/>
          <w:color w:val="auto"/>
          <w:vertAlign w:val="superscript"/>
        </w:rPr>
      </w:pPr>
      <w:r>
        <w:rPr>
          <w:rFonts w:ascii="Arial" w:cs="Arial" w:eastAsia="Arial" w:hAnsi="Arial"/>
          <w:sz w:val="16"/>
          <w:szCs w:val="16"/>
          <w:color w:val="auto"/>
        </w:rPr>
        <w:t>Approximately 0.5 million, 0.5 million and 0.6 million PAA common units were issued, net of tax withholding of approximately 0.3 million, 0.3 million and 0.3 million units during 2016, 2015 and 2014, respectively, in connection with the settlement of vested awards. The remaining PAA awards (approximately 1.1 million, 1.3 million and 1.0 million units) that vested during 2016, 2015 and 2014, respectively, were settled in cash.</w:t>
      </w:r>
    </w:p>
    <w:p>
      <w:pPr>
        <w:spacing w:after="0" w:line="78" w:lineRule="exact"/>
        <w:rPr>
          <w:rFonts w:ascii="Arial" w:cs="Arial" w:eastAsia="Arial" w:hAnsi="Arial"/>
          <w:sz w:val="22"/>
          <w:szCs w:val="22"/>
          <w:color w:val="auto"/>
          <w:vertAlign w:val="superscript"/>
        </w:rPr>
      </w:pPr>
    </w:p>
    <w:p>
      <w:pPr>
        <w:ind w:left="660" w:right="160" w:hanging="652"/>
        <w:spacing w:after="0" w:line="216" w:lineRule="auto"/>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modifications were made to the vesting criteria of 2.2 million PAA LTIP units. In accordance with FASB guidance on share-based payments, the grant date fair values of these awards were adjusted as of the modification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In August 2007, the owners of AAP authorized the issuance of AAP Management Units (a profits interest) in order to provide additional long-term incentives and encourage retention for certain members of our senior management. In the third quarter of 2016, modifications were made to the distribution performance thresholds of the 0.8 million unearned AAP Management Units such that the awards will become earned based on the attainment of PAA distribution levels between $2.20 and $2.40 and additional performance conditions based on distributable cash flow measures determined by management. Additionally, this plan has been discontinued and there will be no new grants of AAP Management Units. As of December 31, 2016, 0.8 million AAP Management Units were unearned. Once earned, we will issue to AAP approximately 0.941 common units for each AAP Management Unit and each AAP Management Unit will be entitled to a distribution equal to approximately 94.1% of the distribution paid by AAP to an AAP unit on a quarterly basis. Once vested, each AAP Management Unit holder is entitled to convert his or her AAP Management Units into AAP units and a like number of PAGP Class B shares based on a conversion ratio of approximately 0.941 AAP units and Class B shares for each AAP Management Unit.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5"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of AAP Management Units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202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6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Outstanding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Units Earned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 xml:space="preserve">AAP Management Units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2015</w:t>
            </w:r>
          </w:p>
        </w:tc>
        <w:tc>
          <w:tcPr>
            <w:tcW w:w="13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4"/>
                <w:szCs w:val="24"/>
                <w:color w:val="auto"/>
              </w:rPr>
            </w:pPr>
          </w:p>
        </w:tc>
        <w:tc>
          <w:tcPr>
            <w:tcW w:w="1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614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5"/>
                <w:szCs w:val="25"/>
                <w:color w:val="auto"/>
                <w:vertAlign w:val="superscript"/>
              </w:rPr>
              <w:t>(2)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Converted</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(15.6)</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380" w:hanging="652"/>
        <w:spacing w:after="0" w:line="252" w:lineRule="auto"/>
        <w:tabs>
          <w:tab w:leader="none" w:pos="660" w:val="left"/>
        </w:tabs>
        <w:numPr>
          <w:ilvl w:val="0"/>
          <w:numId w:val="144"/>
        </w:numPr>
        <w:rPr>
          <w:rFonts w:ascii="Arial" w:cs="Arial" w:eastAsia="Arial" w:hAnsi="Arial"/>
          <w:sz w:val="22"/>
          <w:szCs w:val="22"/>
          <w:color w:val="auto"/>
          <w:vertAlign w:val="superscript"/>
        </w:rPr>
      </w:pPr>
      <w:r>
        <w:rPr>
          <w:rFonts w:ascii="Arial" w:cs="Arial" w:eastAsia="Arial" w:hAnsi="Arial"/>
          <w:sz w:val="16"/>
          <w:szCs w:val="16"/>
          <w:color w:val="auto"/>
        </w:rPr>
        <w:t>Of the $35 million grant date fair value, $22 million had been recognized through December 31, 2016 on a cumulative basis. Of this amount, $2 million, $1 million and $7 million was recognized as expense during the years ended December 31, 2016, 2015 and 2014, respectively.</w:t>
      </w:r>
    </w:p>
    <w:p>
      <w:pPr>
        <w:spacing w:after="0" w:line="81" w:lineRule="exact"/>
        <w:rPr>
          <w:rFonts w:ascii="Arial" w:cs="Arial" w:eastAsia="Arial" w:hAnsi="Arial"/>
          <w:sz w:val="22"/>
          <w:szCs w:val="22"/>
          <w:color w:val="auto"/>
          <w:vertAlign w:val="superscript"/>
        </w:rPr>
      </w:pPr>
    </w:p>
    <w:p>
      <w:pPr>
        <w:jc w:val="both"/>
        <w:ind w:left="660" w:right="140" w:hanging="652"/>
        <w:spacing w:after="0" w:line="226" w:lineRule="auto"/>
        <w:tabs>
          <w:tab w:leader="none" w:pos="660" w:val="left"/>
        </w:tabs>
        <w:numPr>
          <w:ilvl w:val="0"/>
          <w:numId w:val="144"/>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modifications were made to the distribution performance thresholds of the 0.8 million unearned AAP Management Units. In accordance with FASB guidance on share-based payments, the grant date fair values of these awards were adjusted as of the modification date.</w:t>
      </w:r>
    </w:p>
    <w:p>
      <w:pPr>
        <w:spacing w:after="0" w:line="204"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As the intent of the AAP Management Units is to provide a performance incentive and encourage retention for certain members of our senior management, we recognize the grant date fair value of the AAP Management Units as compensation expense over the service period. The expense is also reflected as a capital contribution and thus, results in a corresponding credit to partners’ capital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our “equity-indexed compensation plans.” The table below summarizes the expense recognized and the value of vested LTIP awards (settled both in common units and cash) under our equity-indexed compensation plans and includes both liability-classified and equity-classified awards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8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LTIP unit-settled vestings</w:t>
            </w:r>
          </w:p>
        </w:tc>
        <w:tc>
          <w:tcPr>
            <w:tcW w:w="36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 cash-settled vestings</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DER cash payments</w:t>
            </w:r>
          </w:p>
        </w:tc>
        <w:tc>
          <w:tcPr>
            <w:tcW w:w="36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702"/>
        </w:trPr>
        <w:tc>
          <w:tcPr>
            <w:tcW w:w="4180" w:type="dxa"/>
            <w:vAlign w:val="bottom"/>
          </w:tcPr>
          <w:p>
            <w:pPr>
              <w:spacing w:after="0"/>
              <w:rPr>
                <w:sz w:val="24"/>
                <w:szCs w:val="24"/>
                <w:color w:val="auto"/>
              </w:rPr>
            </w:pPr>
          </w:p>
        </w:tc>
        <w:tc>
          <w:tcPr>
            <w:tcW w:w="3620" w:type="dxa"/>
            <w:vAlign w:val="bottom"/>
            <w:gridSpan w:val="2"/>
          </w:tcPr>
          <w:p>
            <w:pPr>
              <w:jc w:val="right"/>
              <w:ind w:right="1848"/>
              <w:spacing w:after="0"/>
              <w:rPr>
                <w:sz w:val="20"/>
                <w:szCs w:val="20"/>
                <w:color w:val="auto"/>
              </w:rPr>
            </w:pPr>
            <w:r>
              <w:rPr>
                <w:rFonts w:ascii="Arial" w:cs="Arial" w:eastAsia="Arial" w:hAnsi="Arial"/>
                <w:sz w:val="18"/>
                <w:szCs w:val="18"/>
                <w:color w:val="auto"/>
              </w:rPr>
              <w:t>F-48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Based on the December 31, 2016 fair value measurement and probability assessment regarding future distributions, we expect to recognize $135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23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92"/>
        </w:trPr>
        <w:tc>
          <w:tcPr>
            <w:tcW w:w="8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7"/>
              </w:rPr>
              <w:t xml:space="preserve">Amortization </w:t>
            </w:r>
            <w:r>
              <w:rPr>
                <w:rFonts w:ascii="Arial" w:cs="Arial" w:eastAsia="Arial" w:hAnsi="Arial"/>
                <w:sz w:val="8"/>
                <w:szCs w:val="8"/>
                <w:b w:val="1"/>
                <w:bCs w:val="1"/>
                <w:color w:val="auto"/>
                <w:w w:val="97"/>
              </w:rPr>
              <w:t>(1) (2)</w:t>
            </w:r>
          </w:p>
        </w:tc>
        <w:tc>
          <w:tcPr>
            <w:tcW w:w="0" w:type="dxa"/>
            <w:vAlign w:val="bottom"/>
          </w:tcPr>
          <w:p>
            <w:pPr>
              <w:spacing w:after="0"/>
              <w:rPr>
                <w:sz w:val="1"/>
                <w:szCs w:val="1"/>
                <w:color w:val="auto"/>
              </w:rPr>
            </w:pP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50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right="180" w:hanging="652"/>
        <w:spacing w:after="0" w:line="216" w:lineRule="auto"/>
        <w:tabs>
          <w:tab w:leader="none" w:pos="660" w:val="left"/>
        </w:tabs>
        <w:numPr>
          <w:ilvl w:val="0"/>
          <w:numId w:val="145"/>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2016.</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45"/>
        </w:numPr>
        <w:rPr>
          <w:rFonts w:ascii="Arial" w:cs="Arial" w:eastAsia="Arial" w:hAnsi="Arial"/>
          <w:sz w:val="25"/>
          <w:szCs w:val="25"/>
          <w:color w:val="auto"/>
          <w:vertAlign w:val="superscript"/>
        </w:rPr>
      </w:pPr>
      <w:r>
        <w:rPr>
          <w:rFonts w:ascii="Arial" w:cs="Arial" w:eastAsia="Arial" w:hAnsi="Arial"/>
          <w:sz w:val="18"/>
          <w:szCs w:val="18"/>
          <w:color w:val="auto"/>
        </w:rPr>
        <w:t>Includes unamortized fair value associated with AAP Management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2016, are summarized below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(1)</w:t>
            </w: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195</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1,119</w:t>
            </w: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(2)</w:t>
            </w:r>
          </w:p>
        </w:tc>
        <w:tc>
          <w:tcPr>
            <w:tcW w:w="6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257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1,214</w:t>
            </w: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2,333</w:t>
            </w:r>
          </w:p>
        </w:tc>
      </w:tr>
      <w:tr>
        <w:trPr>
          <w:trHeight w:val="20"/>
        </w:trPr>
        <w:tc>
          <w:tcPr>
            <w:tcW w:w="3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40" w:hanging="652"/>
        <w:spacing w:after="0" w:line="216" w:lineRule="auto"/>
        <w:tabs>
          <w:tab w:leader="none" w:pos="660" w:val="left"/>
        </w:tabs>
        <w:numPr>
          <w:ilvl w:val="0"/>
          <w:numId w:val="146"/>
        </w:numPr>
        <w:rPr>
          <w:rFonts w:ascii="Arial" w:cs="Arial" w:eastAsia="Arial" w:hAnsi="Arial"/>
          <w:sz w:val="25"/>
          <w:szCs w:val="25"/>
          <w:color w:val="auto"/>
          <w:vertAlign w:val="superscript"/>
        </w:rPr>
      </w:pPr>
      <w:r>
        <w:rPr>
          <w:rFonts w:ascii="Arial" w:cs="Arial" w:eastAsia="Arial" w:hAnsi="Arial"/>
          <w:sz w:val="18"/>
          <w:szCs w:val="18"/>
          <w:color w:val="auto"/>
        </w:rPr>
        <w:t>Includes capital and operating leases as defined by FASB guidance as well as obligations for rights-of-way easements. Lease expense for 2016, 2015 and 2014 was $198 million, $164 million and $145 million, respectively.</w:t>
      </w:r>
    </w:p>
    <w:p>
      <w:pPr>
        <w:spacing w:after="0" w:line="203" w:lineRule="exact"/>
        <w:rPr>
          <w:rFonts w:ascii="Arial" w:cs="Arial" w:eastAsia="Arial" w:hAnsi="Arial"/>
          <w:sz w:val="25"/>
          <w:szCs w:val="25"/>
          <w:color w:val="auto"/>
          <w:vertAlign w:val="superscript"/>
        </w:rPr>
      </w:pPr>
    </w:p>
    <w:p>
      <w:pPr>
        <w:ind w:left="660" w:right="200" w:hanging="652"/>
        <w:spacing w:after="0" w:line="262" w:lineRule="auto"/>
        <w:tabs>
          <w:tab w:leader="none" w:pos="660" w:val="left"/>
        </w:tabs>
        <w:numPr>
          <w:ilvl w:val="0"/>
          <w:numId w:val="146"/>
        </w:numPr>
        <w:rPr>
          <w:rFonts w:ascii="Arial" w:cs="Arial" w:eastAsia="Arial" w:hAnsi="Arial"/>
          <w:sz w:val="22"/>
          <w:szCs w:val="22"/>
          <w:color w:val="auto"/>
          <w:vertAlign w:val="superscript"/>
        </w:rPr>
      </w:pPr>
      <w:r>
        <w:rPr>
          <w:rFonts w:ascii="Arial" w:cs="Arial" w:eastAsia="Arial" w:hAnsi="Arial"/>
          <w:sz w:val="16"/>
          <w:szCs w:val="16"/>
          <w:color w:val="auto"/>
        </w:rPr>
        <w:t>Primarily includes third-party storage and transportation agreements and pipeline throughput agreements, as well as approximately $855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2504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December 31, 2016, our estimated undiscounted reserve for environmental liabilities (including liabilities related to the Line 901 incident, as discussed further below) totaled $147 million, of which $61 million was classified as short-term and $86 million was classified as long-term. At December 31, 2015, our estimated undiscounted reserve for environmental liabilities (including liabilities related to the Line 901 incident) totaled $185 million, of which $81 million was classified as short-term and $104 million was classified as long-term. The short- and long-term environmental liabilities referenced above are reflected in “Accounts payable and accrued liabilities” and “Other long-term liabilities and deferred credits,” respectively, on our Consolidated Balance Sheets. At December 31, 2016, we had recorded receivables totaling $56 million for amounts probable of recovery under insurance and from third parties under indemnification agreements, of which $39 million was reflected in “Trade accounts receivable and other receivables, net” and $17 million was reflected in “Other long-term assets, net” on our Consolidated Balance Sheet. At December 31, 2015, we had recorded $161 million of such receivables, of which $138 million was reflected in “Trade accounts receivable and other receivables, net” and $23 million was reflected in “Other long-term assets, net” on our Consolidated Balance Sheet.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126" w:right="2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Our current “worst case” estimate of the amount of oil spilled, representing the maximum volume of oil that we believed could have been spilled based on relevant facts, data and information, is approximately 2,935 barrels.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the section of Line 903 between Pentland Pump Station and Emidio Pump Station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their investigation is still open and we may have fines or penalties imposed upon us, or civil or criminal charges brought against us, in the future.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violated. On May 16, 2016, PAA and one of its employees were charged by a California state grand jury, pursuant to an</w:t>
      </w:r>
    </w:p>
    <w:p>
      <w:pPr>
        <w:spacing w:after="0" w:line="9"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indictment filed in California Superior Court, Santa Barbara County (the “May 2016 Indictment”), with alleged violations of California law in connection with the Line 901 incident. The indictment included a total of 46 counts, 36 of which were</w:t>
      </w:r>
    </w:p>
    <w:p>
      <w:pPr>
        <w:spacing w:after="0" w:line="1" w:lineRule="exact"/>
        <w:rPr>
          <w:sz w:val="20"/>
          <w:szCs w:val="20"/>
          <w:color w:val="auto"/>
        </w:rPr>
      </w:pPr>
    </w:p>
    <w:p>
      <w:pPr>
        <w:ind w:right="2200"/>
        <w:spacing w:after="0" w:line="302" w:lineRule="auto"/>
        <w:rPr>
          <w:sz w:val="20"/>
          <w:szCs w:val="20"/>
          <w:color w:val="auto"/>
        </w:rPr>
      </w:pPr>
      <w:r>
        <w:rPr>
          <w:rFonts w:ascii="Arial" w:cs="Arial" w:eastAsia="Arial" w:hAnsi="Arial"/>
          <w:sz w:val="16"/>
          <w:szCs w:val="16"/>
          <w:color w:val="auto"/>
        </w:rPr>
        <w:t>misdemeanor charges relating to wildlife allegedly taken as a result of the accidental release. The remaining 10 counts (four felony and six misdemeanor charges) relate to the release of crude oil or reporting of the release. PAA believes that the criminal charges are unwarranted and that neither PAA nor any of its employees engaged in any criminal behavior at any time in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125"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connection with this accident. PAA intends to continue to vigorously defend itself against the charges. On July 28, 2016, at an arraignment hearing held in California Superior Court in Santa Barbara County, PAA pled not guilty to all counts.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four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two remaining lawsuits claim that the Partnership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5"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2016, we estimate that the aggregate total costs we have incurred or will incur with respect to the Line 901 incident will be approximately $280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remaining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accrued such estimate of aggregate total costs to “Field operating costs” on our Consolidated Statement of Operations. As of December 31, 2016, we had a remaining undiscounted gross liability of $75 million related to this event, of which approximately $50 million is presented as a current liability in “Accounts payable and accrued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2016, we had collected, subject to customary reservations, $148 million out of the approximate $197 million of release costs that we believe are probable of recovery from insurance carriers, net of deductibles. Therefore, as of December 31, 2016, we have recognized a receivable of approximately $49 million for the portion of the release costs that we believe is probable of recovery from insurance, net of deductibles and amounts already collected. Of this amount, approximately $34 million is recognized as a current asset in “Trade accounts receivable and other receivables, net” on our Consolidated Balance Sheet, with the remainder in “Other long-term assets, net”.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and may potentially have a material adverse effect on our financial conditions, results of operations or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125"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Data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14"/>
                <w:szCs w:val="14"/>
                <w:color w:val="auto"/>
              </w:rPr>
            </w:pPr>
          </w:p>
        </w:tc>
        <w:tc>
          <w:tcPr>
            <w:tcW w:w="1020" w:type="dxa"/>
            <w:vAlign w:val="bottom"/>
          </w:tcPr>
          <w:p>
            <w:pPr>
              <w:jc w:val="center"/>
              <w:ind w:right="172"/>
              <w:spacing w:after="0"/>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4"/>
          </w:tcPr>
          <w:p>
            <w:pPr>
              <w:jc w:val="center"/>
              <w:ind w:left="593"/>
              <w:spacing w:after="0"/>
              <w:rPr>
                <w:sz w:val="20"/>
                <w:szCs w:val="20"/>
                <w:color w:val="auto"/>
              </w:rPr>
            </w:pPr>
            <w:r>
              <w:rPr>
                <w:rFonts w:ascii="Arial" w:cs="Arial" w:eastAsia="Arial" w:hAnsi="Arial"/>
                <w:sz w:val="14"/>
                <w:szCs w:val="14"/>
                <w:b w:val="1"/>
                <w:bCs w:val="1"/>
                <w:color w:val="auto"/>
                <w:w w:val="92"/>
              </w:rPr>
              <w:t>(in millions, except per unit data)</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4"/>
              </w:rPr>
              <w:t>2016</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4,950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5,170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5,952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146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income/(loss)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4"/>
              </w:rPr>
              <w:t>2015</w:t>
            </w:r>
          </w:p>
        </w:tc>
        <w:tc>
          <w:tcPr>
            <w:tcW w:w="4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6,663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5,551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4,996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income/(loss)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25"/>
          <w:szCs w:val="25"/>
          <w:color w:val="auto"/>
          <w:vertAlign w:val="superscript"/>
        </w:rPr>
      </w:pPr>
      <w:r>
        <w:rPr>
          <w:rFonts w:ascii="Arial" w:cs="Arial" w:eastAsia="Arial" w:hAnsi="Arial"/>
          <w:sz w:val="18"/>
          <w:szCs w:val="18"/>
          <w:color w:val="auto"/>
        </w:rPr>
        <w:t>The sum of the four quarters may not equal the total year due to rounding.</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47"/>
        </w:numPr>
        <w:rPr>
          <w:rFonts w:ascii="Arial" w:cs="Arial" w:eastAsia="Arial" w:hAnsi="Arial"/>
          <w:sz w:val="22"/>
          <w:szCs w:val="22"/>
          <w:color w:val="auto"/>
          <w:vertAlign w:val="superscript"/>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147"/>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in the period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19—Operating Segments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measure of segment adjusted EBITDA forms the basis of our internal financial reporting and is the primary performance measure used by our CODM in assessing performance and allocating resources among our operating segments. During the fourth quarter of 2016, we modified our primary segment performance measure to segment adjusted EBITDA from segment profit, and thus prior period segment disclosures have been recast to reflect this change. Prior to the fourth quarter of 2016, our primary segment measure did not include certain adjustments (described further below) that our CODM believes are useful in evaluating the core operating performance of our segments.</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26"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associated with minimum volume commitments, net of applicable amounts subsequently recognized into revenue and (v) other items that our CODM believes are integral to understand our core segment operating performance.</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 </w:t>
            </w:r>
            <w:r>
              <w:rPr>
                <w:rFonts w:ascii="Arial" w:cs="Arial" w:eastAsia="Arial" w:hAnsi="Arial"/>
                <w:sz w:val="8"/>
                <w:szCs w:val="8"/>
                <w:b w:val="1"/>
                <w:bCs w:val="1"/>
                <w:color w:val="auto"/>
                <w:w w:val="94"/>
              </w:rPr>
              <w:t>(1)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10,917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5,737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F-56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 </w:t>
            </w:r>
            <w:r>
              <w:rPr>
                <w:rFonts w:ascii="Arial" w:cs="Arial" w:eastAsia="Arial" w:hAnsi="Arial"/>
                <w:sz w:val="8"/>
                <w:szCs w:val="8"/>
                <w:b w:val="1"/>
                <w:bCs w:val="1"/>
                <w:color w:val="auto"/>
                <w:w w:val="94"/>
              </w:rPr>
              <w:t>(1)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21,927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7,330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22,288</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 </w:t>
            </w:r>
            <w:r>
              <w:rPr>
                <w:rFonts w:ascii="Arial" w:cs="Arial" w:eastAsia="Arial" w:hAnsi="Arial"/>
                <w:sz w:val="8"/>
                <w:szCs w:val="8"/>
                <w:b w:val="1"/>
                <w:bCs w:val="1"/>
                <w:color w:val="auto"/>
                <w:w w:val="94"/>
              </w:rPr>
              <w:t>(1)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42,150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6,843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22,198</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5044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right="100" w:hanging="652"/>
        <w:spacing w:after="0" w:line="271" w:lineRule="auto"/>
        <w:tabs>
          <w:tab w:leader="none" w:pos="660" w:val="left"/>
        </w:tabs>
        <w:numPr>
          <w:ilvl w:val="0"/>
          <w:numId w:val="148"/>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for discussion of our related accounting policy. We have included an estimate of the revenues from these inventory exchanges in our Transportation segment revenue presented above and adjusted those revenues out such that Total revenue from External customers reconciles to our Consolidated Statement of Operations. This presentation is consistent with the information provided to our CODM.</w:t>
      </w:r>
    </w:p>
    <w:p>
      <w:pPr>
        <w:spacing w:after="0" w:line="71" w:lineRule="exact"/>
        <w:rPr>
          <w:rFonts w:ascii="Arial" w:cs="Arial" w:eastAsia="Arial" w:hAnsi="Arial"/>
          <w:sz w:val="22"/>
          <w:szCs w:val="22"/>
          <w:color w:val="auto"/>
          <w:vertAlign w:val="superscript"/>
        </w:rPr>
      </w:pPr>
    </w:p>
    <w:p>
      <w:pPr>
        <w:ind w:left="660" w:right="360" w:hanging="652"/>
        <w:spacing w:after="0" w:line="226" w:lineRule="auto"/>
        <w:tabs>
          <w:tab w:leader="none" w:pos="660" w:val="left"/>
        </w:tabs>
        <w:numPr>
          <w:ilvl w:val="0"/>
          <w:numId w:val="148"/>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Consolidated Statements of Operations. Intersegment sales are conducted at posted tariff rates, rates similar to those charged to third parties or rates that we believe approximate market at the time the agreement is executed or renegotiated.</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48"/>
        </w:numPr>
        <w:rPr>
          <w:rFonts w:ascii="Arial" w:cs="Arial" w:eastAsia="Arial" w:hAnsi="Arial"/>
          <w:sz w:val="25"/>
          <w:szCs w:val="25"/>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5"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w w:val="94"/>
              </w:rPr>
              <w:t xml:space="preserve">Gains/(losses) from derivative activities net of inventory valuation adjustments </w:t>
            </w:r>
            <w:r>
              <w:rPr>
                <w:rFonts w:ascii="Arial" w:cs="Arial" w:eastAsia="Arial" w:hAnsi="Arial"/>
                <w:sz w:val="25"/>
                <w:szCs w:val="25"/>
                <w:color w:val="auto"/>
                <w:w w:val="94"/>
                <w:vertAlign w:val="superscript"/>
              </w:rPr>
              <w:t>(3)</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64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10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50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Includes our proportionate share of the depreciation and amortization of equity method investments.</w:t>
      </w:r>
    </w:p>
    <w:p>
      <w:pPr>
        <w:spacing w:after="0" w:line="98" w:lineRule="exact"/>
        <w:rPr>
          <w:rFonts w:ascii="Arial" w:cs="Arial" w:eastAsia="Arial" w:hAnsi="Arial"/>
          <w:sz w:val="25"/>
          <w:szCs w:val="25"/>
          <w:color w:val="auto"/>
          <w:vertAlign w:val="superscript"/>
        </w:rPr>
      </w:pPr>
    </w:p>
    <w:p>
      <w:pPr>
        <w:ind w:left="660" w:right="20" w:hanging="652"/>
        <w:spacing w:after="0" w:line="238" w:lineRule="auto"/>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49"/>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41" w:lineRule="auto"/>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5"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line="304" w:lineRule="auto"/>
        <w:rPr>
          <w:sz w:val="20"/>
          <w:szCs w:val="20"/>
          <w:color w:val="auto"/>
        </w:rPr>
      </w:pPr>
      <w:r>
        <w:rPr>
          <w:rFonts w:ascii="Arial" w:cs="Arial" w:eastAsia="Arial" w:hAnsi="Arial"/>
          <w:sz w:val="18"/>
          <w:szCs w:val="18"/>
          <w:color w:val="auto"/>
        </w:rPr>
        <w:t>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Amounts for years prior to 2016 were not significant to segment adjusted EBITDA ($13 million and $4 million for the years ended December 31, 2015 and 2014, respectively).</w:t>
      </w:r>
    </w:p>
    <w:p>
      <w:pPr>
        <w:ind w:left="660" w:hanging="652"/>
        <w:spacing w:after="0" w:line="236" w:lineRule="auto"/>
        <w:tabs>
          <w:tab w:leader="none" w:pos="660" w:val="left"/>
        </w:tabs>
        <w:numPr>
          <w:ilvl w:val="0"/>
          <w:numId w:val="150"/>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99"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50"/>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150"/>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34,860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8,604</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43,464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25"/>
          <w:szCs w:val="25"/>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15,942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3,368</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19,936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19,310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25"/>
          <w:szCs w:val="25"/>
          <w:color w:val="auto"/>
          <w:vertAlign w:val="superscript"/>
        </w:rPr>
      </w:pPr>
      <w:r>
        <w:rPr>
          <w:rFonts w:ascii="Arial" w:cs="Arial" w:eastAsia="Arial" w:hAnsi="Arial"/>
          <w:sz w:val="18"/>
          <w:szCs w:val="18"/>
          <w:color w:val="auto"/>
        </w:rPr>
        <w:t>Excludes long-term derivative assets.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125" w:right="25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8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   Share Purchase Agreement dated December 1, 2011 by and among Amoco Canada International Holdings B.V. and Plains Midstream</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0"/>
              </w:rPr>
              <w:t>Canada ULC (the schedules and exhibits have been omitted pursuant to Item 601(b)(2) of Regulation S-K) (incorporated by reference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to Exhibit 2.1 to our Annual Report on Form 10-K for the year ended December 31, 2011).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   Agreement and Plan of Merger dated as of October 21, 2013, by and among Plains All American Pipeline, L.P., PAA Acquisition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Company LLC, PAA Natural Gas Storage, L.P. and PNGS GP LLC (incorporated by reference to Exhibit 2.1 to our Current Report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on Form 8-K filed October 24, 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   Simplification Agreement, dated as of July 11, 2016, by and among PAA GP Holdings LLC, Plains GP Holdings, L.P.,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American GP LLC, Plains AAP, L.P., PAA GP LLC and Plains All American Pipeline, L.P. (incorporated by reference to Exhibit 2.1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to our Current Report on Form 8-K filed July 14,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Sixth Amended and Restated Agreement of Limited Partnership of Plains All American Pipeline, L.P. dated as of November 15, 2016</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(incorporated by reference to Exhibit 3.5 to our Current Report on Form 8-K filed November 21,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Third Amended and Restated Agreement of Limited Partnership of Plains Marketing, L.P. dated as of April 1, 2004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reference to Exhibit 3.2 to our Quarterly Report on Form 10-Q for the quarter ended March 31, 2004).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7"/>
              </w:rPr>
              <w:t>—   Amendment No. 1 dated December 31, 2010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5"/>
              </w:rPr>
              <w:t>Marketing, L.P. (incorporated by reference to Exhibit 3.9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2010).</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Amendment No. 2 dated January 1, 2011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4"/>
              </w:rPr>
              <w:t>Marketing, L.P. (incorporated by reference to Exhibit 3.10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2010).</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Amendment No. 3 dated June 30, 2011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5"/>
              </w:rPr>
              <w:t>Marketing, L.P. (incorporated by reference to Exhibit 3.7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Amendment No. 4 dated January 1, 2013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6"/>
              </w:rPr>
              <w:t>Marketing, L.P (incorporated by reference to Exhibit 3.8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Third Amended and Restated Agreement of Limited Partnership of Plains Pipeline, L.P. dated as of April 1, 2004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Amendment No. 1 dated January 1, 2013 to the Third Amended and Restated Agreement of Limited Partnership of Plains Pipeline,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8"/>
              </w:rPr>
              <w:t>L.P. (incorporated by reference to Exhibit 3.10 to our Annual Report on Form 10-K for the year ended December 31, 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   Seventh Amended and Restated Limited Liability Company Agreement of Plains All American GP LLC dated November 15, 2016</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(incorporated by reference to Exhibit 3.3 to our Current Report on Form 8-K filed November 21,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7"/>
              </w:rPr>
              <w:t>—   Eighth Amended and Restated Limited Partnership Agreement of Plains AAP, L.P. dated November 15, 2016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reference to Exhibit 3.4 to our Current Report on Form 8-K filed November 21, 2016).</w:t>
            </w:r>
          </w:p>
        </w:tc>
      </w:tr>
    </w:tbl>
    <w:p>
      <w:pPr>
        <w:sectPr>
          <w:pgSz w:w="11900" w:h="16838" w:orient="portrait"/>
          <w:cols w:equalWidth="0" w:num="1">
            <w:col w:w="11380"/>
          </w:cols>
          <w:pgMar w:left="240" w:top="108" w:right="27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6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   Certificate of Incorporation of PAA Finance Corp. (f/k/a Pacific Energy Finance Corporation, successor-by-merger to PAA Finance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6"/>
              </w:rPr>
              <w:t>Corp.) (incorporated by reference to Exhibit 3.10 to our Annual Report on Form 10-K for the year ended December 31,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   Bylaws of PAA Finance Corp. (f/k/a Pacific Energy Finance Corporation, successor-by-merger to PAA Finance Corp.) (incorporated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by reference to Exhibit 3.11 to our Annual Report on Form 10-K for the year ended December 31,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Limited Liability Company Agreement of PAA GP LLC dated December 28, 2007 (incorporated by reference to Exhibit 3.3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Current Report on Form 8-K filed January 4,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   Certificate of Limited Partnership of Plains GP Holdings, L.P. (incorporated by reference to Exhibit 3.1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PAGP’s Registration Statement on Form S-1 (333-190227) filed July 29, 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6"/>
              </w:rPr>
              <w:t>—   Second Amended and Restated Agreement of Limited Partnership of Plains GP Holdings, L.P. dated as of November 15, 2016</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(incorporated by reference to Exhibit 3.2 to PAGP’s Current Report on Form 8-K filed November 21,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Certificate of Formation of PAA GP Holdings LLC (incorporated by reference to Exhibit 3.3 to PAGP’s Registration Statement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Form S-1 (333-190227) filed July 29, 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8"/>
              </w:rPr>
              <w:t>—   Third Amended and Restated Limited Liability Company Agreement of PAA GP Holdings LLC dated as of February 16, 2017</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(incorporated by reference to Exhibit 3.1 to our Current Report on Form 8-K filed February 21, 2017).</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   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7"/>
              </w:rPr>
              <w:t>Association, as trustee (incorporated by reference to Exhibit 4.1 to our Quarterly Report on Form 10-Q for the quarter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September 30, 2002).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   Sixth Supplemental Indenture (Series A and Series B 6.70% Senior Notes due 2036) dated May 12, 2006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2"/>
              </w:rPr>
              <w:t>Pipeline, L.P., PAA Finance Corp., the Subsidiary Guarantors named therein and Wachovia Bank, National Association, as trustee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(incorporated by reference to Exhibit 4.1 to our Current Report on Form 8-K filed May 12,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trustee (incorporated by reference to Exhibit 4.1 to our Current Report on Form 8-K filed October 30,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   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   Seventeenth Supplemental Indenture (5.75% Senior Notes due 2020) dated September 4, 2009 among Plains All American Pipeline,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reference to Exhibit 4.1 to our Current Report on Form 8-K filed September 4, 2009).</w:t>
            </w:r>
          </w:p>
        </w:tc>
      </w:tr>
    </w:tbl>
    <w:p>
      <w:pPr>
        <w:sectPr>
          <w:pgSz w:w="11900" w:h="16838" w:orient="portrait"/>
          <w:cols w:equalWidth="0" w:num="1">
            <w:col w:w="11360"/>
          </w:cols>
          <w:pgMar w:left="240" w:top="108" w:right="29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80" w:type="dxa"/>
            <w:vAlign w:val="bottom"/>
          </w:tcPr>
          <w:p>
            <w:pPr>
              <w:spacing w:after="0"/>
              <w:rPr>
                <w:sz w:val="17"/>
                <w:szCs w:val="17"/>
                <w:color w:val="auto"/>
              </w:rPr>
            </w:pPr>
          </w:p>
        </w:tc>
      </w:tr>
      <w:tr>
        <w:trPr>
          <w:trHeight w:val="925"/>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Twentieth Supplemental Indenture (3.65% Senior Notes due 2022) dated March 22, 2012 among Plains All American Pipeline, L.P.,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0"/>
              </w:rPr>
              <w:t>PAA Finance Corp. and U.S. Bank National Association, as trustee (incorporated by reference to Exhibit 4.1 to our Current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Form 8-K filed March 26, 2012).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Twenty-First Supplemental Indenture (5.15% Senior Notes due 2042) dated March 22, 2012 among Plains All American Pipeline,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4"/>
              </w:rPr>
              <w:t>L.P., PAA Finance Corp. and U.S. Bank National Association, as trustee (incorporated by reference to Exhibit 4.3 to our Current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Report on Form 8-K filed March 26, 2012).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7"/>
              </w:rPr>
              <w:t>—   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American Pipeline, L.P., PAA Finance Corp. and U.S. Bank National Association, as trustee (incorporated by reference to Exhibit 4.1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to our Current Report on Form 8-K filed December 12, 2012).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Twenty-Third Supplemental Indenture (4.30% Senior Notes due 2043) dated December 10, 2012,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December 12, 2012).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Twenty-Fourth Supplemental Indenture (3.85% Senior Notes due 2023) dated August 15, 2013,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August 15, 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7"/>
              </w:rPr>
              <w:t>—   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April 29, 2014).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Twenty-Sixth Supplemental Indenture (3.60% Senior Notes due 2024) dated September 9, 2014,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September 11, 2014).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8"/>
              </w:rPr>
              <w:t>—   Twenty-Seventh Supplemental Indenture (2.60% Senior Notes due 2019) dated December 9, 2014, by and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American Pipeline, L.P., PAA Finance Corp. and U.S. Bank National Association, as trustee (incorporated by reference to Exhibit 4.1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to our Current Report on Form 8-K filed December 11, 2014).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Twenty-Eighth Supplemental Indenture (4.90% Senior Notes due 2045) dated December 9, 2014,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December 11, 2014).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Twenty-Ninth Supplemental Indenture (4.65% Senior Notes due 2025) dated August 24, 2015,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August 26, 2015).</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   Thirtieth Supplemental Indenture (4.50% Senior Notes due 2026) dated November 22, 2016,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Current Report on Form 8-K filed November 29, 2016).</w:t>
            </w:r>
          </w:p>
        </w:tc>
      </w:tr>
    </w:tbl>
    <w:p>
      <w:pPr>
        <w:sectPr>
          <w:pgSz w:w="11900" w:h="16838" w:orient="portrait"/>
          <w:cols w:equalWidth="0" w:num="1">
            <w:col w:w="11380"/>
          </w:cols>
          <w:pgMar w:left="240" w:top="108" w:right="27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Registration Rights Agreement dated September 3, 2009 by and between Plains All American Pipeline, L.P. and Vulcan Gas Storage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LLC (incorporated by reference to Exhibit 4.1 to our Registration Statement on Form S-3, File No. 333-162477).</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Registration Rights Agreement, dated as of January 28, 2016 among Plains All American Pipeline, L.P. and the Purchasers named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Registration Rights Agreement by and among Plains All American Pipeline, L.P. and the Holders defined therein, dated November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15, 2016 (incorporated by reference to Exhibit 10.4 to our Current Report on Form 8-K filed November 21,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Credit Agreement dated as of August 19, 2011 among Plains All American Pipeline, L.P., as Borrower; certain subsidiaries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5"/>
              </w:rPr>
              <w:t>All American Pipeline, L.P. from time to time party thereto, as Designated Borrowers; Bank of America, N.A., as Administrative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6"/>
              </w:rPr>
              <w:t>Agent; and the other Lenders party thereto (incorporated by reference to Exhibit 10.1 to our Current Report on Form 8-K filed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August 25, 2011).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First Amendment to Credit Agreement dated as of June 27, 2012, among Plains All American Pipeline, L.P. and Plains Midstream</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Canada ULC, as Borrowers; Bank of America, N.A., as Administrative Agent, Swing Line Lender and L/C Issuer; Wells Fargo Bank,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National Association, as an L/C Issuer; and the other Lenders party thereto (incorporated by reference to Exhibit 10.2 to our Current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Report on Form 8-K filed July 3, 2012).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8"/>
              </w:rPr>
              <w:t>—   Second Amendment to Credit Agreement dated as of August 16, 2013, among Plains All American Pipeline, L.P. and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3"/>
              </w:rPr>
              <w:t>Midstream Canada ULC, as Borrowers; Bank of America, N.A., as Administrative Agent, Swing Line Lender and L/C Issuer; Wells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Fargo Bank, National Association, as an L/C Issuer; and the other Lenders party thereto (incorporated by reference to Exhibit 10.2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our Current Report on Form 8-K filed August 20, 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Third Amendment to Credit Agreement dated as of August 11, 2016, among Plains All American Pipeline, L.P. and Plains Midstream</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Canada ULC, as Borrowers; Bank of America, N.A., as Administrative Agent, Swing Line Lender and L/C Issuer; Wells Fargo Bank,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National Association, as an L/C Issuer; and the other Lenders party thereto (incorporated by reference to Exhibit 10.1 to our Current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Report on Form 8-K filed August 17, 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Contribution, Assignment and Amendment Agreement dated as of June 27, 2001, among Plains All American Pipeline, L.P.,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Marketing, L.P., All American Pipeline, L.P., Plains AAP, L.P., Plains All American GP LLC and Plains Marketing GP Inc.</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(incorporated by reference to Exhibit 10.1 to our Current Report on Form 8-K filed June 27,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Contribution, Assignment and Amendment Agreement dated as of June 8, 2001, among Plains All American Inc., Plains AAP, L.P.</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and Plains All American GP LLC (incorporated by reference to Exhibit 10.1 to our Current Report on Form 8-K filed June 11,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Separation Agreement dated as of June 8, 2001 among Plains Resources Inc., Plains All American Inc.,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American GP LLC, Plains AAP, L.P. and Plains All American Pipeline, L.P. (incorporated by reference to Exhibit 10.2 to our Current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Report on Form 8-K filed June 11,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   Pension and Employee Benefits Assumption and Transition Agreement dated as of June 8, 2001 among Plains Resources Inc.,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4"/>
              </w:rPr>
              <w:t>All American Inc. and Plains All American GP LLC (incorporated by reference to Exhibit 10.3 to our Current Report on Form 8-K</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filed June 11,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   Plains All American GP LLC 2005 Long-Term Incentive Plan (incorporated by reference to Exhibit 10.1 to our Current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Form 8-K filed January 26, 2005).</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   Plains All American GP LLC 1998 Long-Term Incentive Plan (incorporated by reference to Exhibit 99.1 to Registration Statement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on Form S-8, File No. 333-74920) as amended June 27, 2003 (incorporated by reference to Exhibit 10.1 to our Quarterly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Form 10-Q for the quarter ended June 30, 2003).</w:t>
            </w:r>
          </w:p>
        </w:tc>
      </w:tr>
    </w:tbl>
    <w:p>
      <w:pPr>
        <w:sectPr>
          <w:pgSz w:w="11900" w:h="16838" w:orient="portrait"/>
          <w:cols w:equalWidth="0" w:num="1">
            <w:col w:w="11380"/>
          </w:cols>
          <w:pgMar w:left="240" w:top="108" w:right="279" w:bottom="1440" w:gutter="0" w:footer="0" w:header="0"/>
        </w:sectPr>
      </w:pPr>
    </w:p>
    <w:bookmarkStart w:id="216" w:name="page217"/>
    <w:bookmarkEnd w:id="2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80" w:type="dxa"/>
            <w:vAlign w:val="bottom"/>
          </w:tcPr>
          <w:p>
            <w:pPr>
              <w:spacing w:after="0"/>
              <w:rPr>
                <w:sz w:val="17"/>
                <w:szCs w:val="17"/>
                <w:color w:val="auto"/>
              </w:rPr>
            </w:pPr>
          </w:p>
        </w:tc>
      </w:tr>
      <w:tr>
        <w:trPr>
          <w:trHeight w:val="925"/>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Amended and Restated Employment Agreement between Plains All American GP LLC and Greg L. Armstrong dated as of June 30,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2001 (incorporated by reference to Exhibit 10.1 to our Quarterly Report on Form 10-Q for the quarter ended September 30,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Amended and Restated Employment Agreement between Plains All American GP LLC and Harry N. Pefanis dated as of June 30,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2001 (incorporated by reference to Exhibit 10.2 to our Quarterly Report on Form 10-Q for the quarter ended September 30,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   Asset Purchase and Sale Agreement dated February 28, 2001 between Murphy Oil Company Ltd. and Plains Marketing Canada, L.P.</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(incorporated by reference to Exhibit 99.1 to our Current Report on Form 8-K filed May 10, 2001).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Transportation Agreement dated July 30, 1993, between All American Pipeline Company and Exxon Company, U.S.A. (incorporated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by reference to Exhibit 10.9 to our Registration Statement on Form S-1 filed September 23, 1998, File No. 333-64107).</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Transportation Agreement dated August 2, 1993, among All American Pipeline Company, Texaco Trading and Transportation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Chevron U.S.A. and Sun Operating Limited Partnership (incorporated by reference to Exhibit 10.10 to our Registration Statement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Form S-1 filed September 23, 1998, File No. 333-64107).</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Contribution, Conveyance and Assumption Agreement among Plains All American Pipeline, L.P. and certain other parties dated as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1"/>
              </w:rPr>
              <w:t>November 23, 1998 (incorporated by reference to Exhibit 10.3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1998).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8"/>
              </w:rPr>
              <w:t>—   First Amendment to Contribution, Conveyance and Assumption Agreement dated as of December 15, 1998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reference to Exhibit 10.13 to our Annual Report on Form 10-K for the year ended December 31, 1998).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   Agreement for Purchase and Sale of Membership Interest in Scurlock Permian LLC between Marathon Ashland LLC and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2"/>
              </w:rPr>
              <w:t>Marketing, L.P. dated as of March 17, 1999 (incorporated by reference to Exhibit 10.16 to our Annual Report on Form 10-K for the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year ended December 31, 1998).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   PMC (Nova Scotia) Company Bonus Program (incorporated by reference to Exhibit 10.20 to our Annual Report on Form 10-K for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the year ended December 31, 2004).</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   Quarterly Bonus Program Summary (incorporated by reference to Exhibit 10.21 to our Annual Report on Form 10-K for the year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ended December 31, 2005).</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   Form of LTIP Grant Letter (independent directors) (incorporated by reference to Exhibit 10.3 to our Current Report on Form 8-K</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filed February 23, 2005).</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   Form of LTIP Grant Letter (designated directors) (incorporated by reference to Exhibit 10.4 to our Current Report on Form 8-K filed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February 23, 2005).</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   Membership Interest Purchase Agreement by and between Sempra Energy Trading Corporation and PAA/Vulcan Gas Storage, LLC</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w w:val="95"/>
              </w:rPr>
              <w:t>dated August 19, 2005 (incorporated by reference to Exhibit 1.2 to our Current Report on Form 8-K filed September 19, 2005).</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   Waiver Agreement dated as of December 23, 2010 between Plains All American GP LLC and Greg L. Armstrong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Arial" w:cs="Arial" w:eastAsia="Arial" w:hAnsi="Arial"/>
                <w:sz w:val="18"/>
                <w:szCs w:val="18"/>
                <w:color w:val="auto"/>
              </w:rPr>
              <w:t>reference to Exhibit 10.31 to our Annual Report on Form 10-K for the year ended December 31, 2010).</w:t>
            </w:r>
          </w:p>
        </w:tc>
      </w:tr>
    </w:tbl>
    <w:p>
      <w:pPr>
        <w:sectPr>
          <w:pgSz w:w="11900" w:h="16838" w:orient="portrait"/>
          <w:cols w:equalWidth="0" w:num="1">
            <w:col w:w="11380"/>
          </w:cols>
          <w:pgMar w:left="240" w:top="108" w:right="27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6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Waiver Agreement dated as of December 23, 2010 between Plains All American GP LLC and Harry N. Pefanis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reference to Exhibit 10.32 to our Annual Report on Form 10-K for the year ended December 31, 2010).</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   Form of LTIP Grant Letter (audit committee members) (incorporated by reference to Exhibit 10.1 to our Current Report on Form 8-K</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filed August 23,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   Plains All American PPX Successor Long-Term Incentive Plan (incorporated by reference to Exhibit 10.45 to our Annual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Form 10-K for the year ended December 31, 2006).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   Form of Plains AAP, L.P. Class B Restricted Units Agreement (incorporated by reference to Exhibit 10.1 to our Current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Form 8-K filed January 4,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   Third Amended and Restated Credit Agreement dated as of August 19, 2011 by and among Plains Marketing, L.P., as Borrower,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5"/>
              </w:rPr>
              <w:t>Plains All American Pipeline, L.P., as Guarantor, Bank of America, N.A., as Administrative Agent, and the other Lenders party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thereto (incorporated by reference to Exhibit 10.2 to our Current Report on Form 8-K filed August 25, 2011).</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   First Amendment to Third Amended and Restated Credit Agreement dated as of June 27, 2012, among Plains Marketing, L.P.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8"/>
              </w:rPr>
              <w:t>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5"/>
              </w:rPr>
              <w:t>Administrative Agent, Swing Line Lender and L/C Issuer; and the other Lenders and L/C Issuers party thereto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reference to Exhibit 10.1 to our Current Report on Form 8-K filed July 3, 2012).</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   Second Amendment to Third Amended and Restated Credit Agreement dated as of August 16, 2013, among Plains Marketing, L.P.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5"/>
              </w:rPr>
              <w:t>and 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3"/>
              </w:rPr>
              <w:t>Administrative Agent, Swing Line Lender and L/C Issuer; Wells Fargo Bank, National Association, as an L/C Issuer; and the other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1"/>
              </w:rPr>
              <w:t>Lenders and L/C Issuers party thereto (incorporated by reference to Exhibit 10.1 to our Current Report on Form 8-K filed August 20,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2013).</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   Third Amendment to Third Amended and Restated Credit Agreement dated as of August 11, 2016, among Plains Marketing, L.P.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8"/>
              </w:rPr>
              <w:t>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3"/>
              </w:rPr>
              <w:t>Administrative Agent, Swing Line Lender and L/C Issuer; Wells Fargo Bank, National Association, as an L/C Issuer; and the other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1"/>
              </w:rPr>
              <w:t>Lenders and L/C Issuers party thereto (incorporated by reference to Exhibit 10.3 to our Current Report on Form 8-K filed August 17,</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2016).</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   Contribution and Assumption Agreement dated December 28, 2007, by and between Plains AAP, L.P. and PAA GP LLC</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(incorporated by reference to Exhibit 10.2 to our Current Report on Form 8-K filed January 4,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   First Amendment to Amended and Restated Employment Agreement dated December 4, 2008 between Plains All American GP LLC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w w:val="99"/>
              </w:rPr>
              <w:t>and Greg L. Armstrong (incorporated by reference to Exhibit 10.49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December 31,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   First Amendment to Amended and Restated Employment Agreement dated December 4, 2008 between Plains All American GP LLC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and Harry N. Pefanis (incorporated by reference to Exhibit 10.50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December 31,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9"/>
              </w:rPr>
              <w:t>—   First Amendment to Plains All American GP LLC 2005 Long-Term Incentive Plan dated December 4, 2008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reference to Exhibit 10.51 to our Annual Report on Form 10-K for the year ended December 31, 2008).</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6"/>
              </w:rPr>
              <w:t>—   Second Amendment to Plains All American GP LLC 1998 Long-Term Incentive Plan dated December 4, 2008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8"/>
                <w:szCs w:val="18"/>
                <w:color w:val="auto"/>
              </w:rPr>
              <w:t>reference to Exhibit 10.52 to our Annual Report on Form 10-K for the year ended December 31, 2008).</w:t>
            </w:r>
          </w:p>
        </w:tc>
      </w:tr>
    </w:tbl>
    <w:p>
      <w:pPr>
        <w:sectPr>
          <w:pgSz w:w="11900" w:h="16838" w:orient="portrait"/>
          <w:cols w:equalWidth="0" w:num="1">
            <w:col w:w="11360"/>
          </w:cols>
          <w:pgMar w:left="240" w:top="108" w:right="29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right="200" w:hanging="1714"/>
        <w:spacing w:after="0" w:line="277" w:lineRule="auto"/>
        <w:tabs>
          <w:tab w:leader="none" w:pos="12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 Form of Amendment to LTIP grant letters (executive officers) (incorporated by reference to Exhibit 10.53 to our Annual Report on Form 10-K for the year ended December 31, 2008).</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10.39***</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   Form of Amendment to LTIP grant letters (directors) (incorporated by reference to Exhibit 10.54 to our Annual Report on Form 10-K</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for the year ended December 31, 2008).</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10.40</w:t>
            </w:r>
          </w:p>
        </w:tc>
        <w:tc>
          <w:tcPr>
            <w:tcW w:w="10320" w:type="dxa"/>
            <w:vAlign w:val="bottom"/>
          </w:tcPr>
          <w:p>
            <w:pPr>
              <w:ind w:left="240"/>
              <w:spacing w:after="0"/>
              <w:rPr>
                <w:sz w:val="20"/>
                <w:szCs w:val="20"/>
                <w:color w:val="auto"/>
              </w:rPr>
            </w:pPr>
            <w:r>
              <w:rPr>
                <w:rFonts w:ascii="Arial" w:cs="Arial" w:eastAsia="Arial" w:hAnsi="Arial"/>
                <w:sz w:val="18"/>
                <w:szCs w:val="18"/>
                <w:color w:val="auto"/>
                <w:w w:val="98"/>
              </w:rPr>
              <w:t>—   Contribution Agreement dated as of April 29, 2010 by and among PAA Natural Gas Storage, L.P., PNGS GP LLC, Plains All</w:t>
            </w:r>
          </w:p>
        </w:tc>
      </w:tr>
      <w:tr>
        <w:trPr>
          <w:trHeight w:val="216"/>
        </w:trPr>
        <w:tc>
          <w:tcPr>
            <w:tcW w:w="1020" w:type="dxa"/>
            <w:vAlign w:val="bottom"/>
          </w:tcPr>
          <w:p>
            <w:pPr>
              <w:spacing w:after="0"/>
              <w:rPr>
                <w:sz w:val="18"/>
                <w:szCs w:val="18"/>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w w:val="98"/>
              </w:rPr>
              <w:t>American Pipeline, L.P., PAA Natural Gas Storage, LLC, PAA/Vulcan Gas Storage, LLC, Plains Marketing, L.P. and Plains</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Marketing GP Inc. (incorporated by reference to Exhibit 10.1 to PNG’s Current Report on Form 8-K filed May 4, 2010).</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10.41</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   Omnibus Agreement dated May 5, 2010 by and among Plains All American GP LLC, Plains All American Pipeline, L.P., PNGS GP</w:t>
            </w:r>
          </w:p>
        </w:tc>
      </w:tr>
      <w:tr>
        <w:trPr>
          <w:trHeight w:val="216"/>
        </w:trPr>
        <w:tc>
          <w:tcPr>
            <w:tcW w:w="1020" w:type="dxa"/>
            <w:vAlign w:val="bottom"/>
          </w:tcPr>
          <w:p>
            <w:pPr>
              <w:spacing w:after="0"/>
              <w:rPr>
                <w:sz w:val="18"/>
                <w:szCs w:val="18"/>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w w:val="96"/>
              </w:rPr>
              <w:t>LLC and PAA Natural Gas Storage, L.P. (incorporated by reference to Exhibit 10.1 to PNG’s Current Report on Form 8-K filed</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May 11, 2010).</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10.42***</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   Form of 2010 LTIP Grant Letters (incorporated by reference to Exhibit 10.58 to our Annual Report on Form 10-K for the year ended</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December 31, 2010).</w:t>
            </w:r>
          </w:p>
        </w:tc>
      </w:tr>
      <w:tr>
        <w:trPr>
          <w:trHeight w:val="567"/>
        </w:trPr>
        <w:tc>
          <w:tcPr>
            <w:tcW w:w="1020" w:type="dxa"/>
            <w:vAlign w:val="bottom"/>
          </w:tcPr>
          <w:p>
            <w:pPr>
              <w:spacing w:after="0"/>
              <w:rPr>
                <w:sz w:val="20"/>
                <w:szCs w:val="20"/>
                <w:color w:val="auto"/>
              </w:rPr>
            </w:pPr>
            <w:r>
              <w:rPr>
                <w:rFonts w:ascii="Arial" w:cs="Arial" w:eastAsia="Arial" w:hAnsi="Arial"/>
                <w:sz w:val="18"/>
                <w:szCs w:val="18"/>
                <w:color w:val="auto"/>
              </w:rPr>
              <w:t>10.43***†</w:t>
            </w:r>
          </w:p>
        </w:tc>
        <w:tc>
          <w:tcPr>
            <w:tcW w:w="10320" w:type="dxa"/>
            <w:vAlign w:val="bottom"/>
          </w:tcPr>
          <w:p>
            <w:pPr>
              <w:ind w:left="240"/>
              <w:spacing w:after="0"/>
              <w:rPr>
                <w:sz w:val="20"/>
                <w:szCs w:val="20"/>
                <w:color w:val="auto"/>
              </w:rPr>
            </w:pPr>
            <w:r>
              <w:rPr>
                <w:rFonts w:ascii="Arial" w:cs="Arial" w:eastAsia="Arial" w:hAnsi="Arial"/>
                <w:sz w:val="18"/>
                <w:szCs w:val="18"/>
                <w:color w:val="auto"/>
              </w:rPr>
              <w:t>—   Director Compensation Summary</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10.44***</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   Waiver Agreement dated October 21, 2013 to the Amended and Restated Employment Agreement dated June 30, 2001 of Greg L.</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Armstrong (incorporated by reference to Exhibit 10.2 to our Current Report on Form 8-K filed October 25, 2013).</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10.45***</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   Waiver Agreement dated October 21, 2013 to the Amended and Restated Employment Agreement dated June 30, 2001 of Harry N.</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Pefanis (incorporated by reference to Exhibit 10.3 to our Current Report on Form 8-K filed October 25, 2013).</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10.46***</w:t>
            </w:r>
          </w:p>
        </w:tc>
        <w:tc>
          <w:tcPr>
            <w:tcW w:w="10320" w:type="dxa"/>
            <w:vAlign w:val="bottom"/>
          </w:tcPr>
          <w:p>
            <w:pPr>
              <w:ind w:left="240"/>
              <w:spacing w:after="0"/>
              <w:rPr>
                <w:sz w:val="20"/>
                <w:szCs w:val="20"/>
                <w:color w:val="auto"/>
              </w:rPr>
            </w:pPr>
            <w:r>
              <w:rPr>
                <w:rFonts w:ascii="Arial" w:cs="Arial" w:eastAsia="Arial" w:hAnsi="Arial"/>
                <w:sz w:val="18"/>
                <w:szCs w:val="18"/>
                <w:color w:val="auto"/>
                <w:w w:val="92"/>
              </w:rPr>
              <w:t>—   Form of Amendment to the Plains AAP, L.P. Class B Restricted Units Agreement, dated October 18, 2013 (incorporated by reference</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to Exhibit 10.4 to our Current Report on Form 8-K filed October 25, 2013).</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10.47***</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   Plains All American 2013 Long-Term Incentive Plan (incorporated by reference to Exhibit A to our Definitive Proxy Statement filed</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on October 3, 2013).</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10.48***</w:t>
            </w:r>
          </w:p>
        </w:tc>
        <w:tc>
          <w:tcPr>
            <w:tcW w:w="10320" w:type="dxa"/>
            <w:vAlign w:val="bottom"/>
          </w:tcPr>
          <w:p>
            <w:pPr>
              <w:ind w:left="240"/>
              <w:spacing w:after="0"/>
              <w:rPr>
                <w:sz w:val="20"/>
                <w:szCs w:val="20"/>
                <w:color w:val="auto"/>
              </w:rPr>
            </w:pPr>
            <w:r>
              <w:rPr>
                <w:rFonts w:ascii="Arial" w:cs="Arial" w:eastAsia="Arial" w:hAnsi="Arial"/>
                <w:sz w:val="18"/>
                <w:szCs w:val="18"/>
                <w:color w:val="auto"/>
                <w:w w:val="99"/>
              </w:rPr>
              <w:t>—   Plains All American PNG Successor Long-Term Incentive Plan (incorporated by reference to Exhibit 4.4 to our Registration</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Statement on Form S-8 (333-19319) filed December 31, 2013).</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10.49***</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   PAA Natural Gas Storage, L.P. 2010 Long-Term Incentive Plan (incorporated by reference to Exhibit 10.2 to PNG’s Current Report</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on Form 8-K filed May 11, 2010).</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10.50***</w:t>
            </w: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   Form of PAA LTIP Grant Letter for Officers (February 2013) (incorporated by reference to Exhibit 10.1 to our Quarterly Report on</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Form 10-Q for the quarter ended March 31, 2013).</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10.51</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   364-Day Credit Agreement dated January 16, 2015 among Plains All American Pipeline, L.P., as Borrower; Bank of America, N.A.,</w:t>
            </w:r>
          </w:p>
        </w:tc>
      </w:tr>
      <w:tr>
        <w:trPr>
          <w:trHeight w:val="216"/>
        </w:trPr>
        <w:tc>
          <w:tcPr>
            <w:tcW w:w="1020" w:type="dxa"/>
            <w:vAlign w:val="bottom"/>
          </w:tcPr>
          <w:p>
            <w:pPr>
              <w:spacing w:after="0"/>
              <w:rPr>
                <w:sz w:val="18"/>
                <w:szCs w:val="18"/>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w w:val="99"/>
              </w:rPr>
              <w:t>as Administrative Agent; Citibank, N.A., JPMorgan Chase Bank N.A. and Wells Fargo Bank, National Association, as Co-</w:t>
            </w:r>
          </w:p>
        </w:tc>
      </w:tr>
      <w:tr>
        <w:trPr>
          <w:trHeight w:val="216"/>
        </w:trPr>
        <w:tc>
          <w:tcPr>
            <w:tcW w:w="1020" w:type="dxa"/>
            <w:vAlign w:val="bottom"/>
          </w:tcPr>
          <w:p>
            <w:pPr>
              <w:spacing w:after="0"/>
              <w:rPr>
                <w:sz w:val="18"/>
                <w:szCs w:val="18"/>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w w:val="94"/>
              </w:rPr>
              <w:t>Syndication Agents; DNB Bank ASA, New York Branch and Mizuho Bank, Ltd., as Co-Documentation Agents; the other Lenders</w:t>
            </w:r>
          </w:p>
        </w:tc>
      </w:tr>
      <w:tr>
        <w:trPr>
          <w:trHeight w:val="216"/>
        </w:trPr>
        <w:tc>
          <w:tcPr>
            <w:tcW w:w="1020" w:type="dxa"/>
            <w:vAlign w:val="bottom"/>
          </w:tcPr>
          <w:p>
            <w:pPr>
              <w:spacing w:after="0"/>
              <w:rPr>
                <w:sz w:val="18"/>
                <w:szCs w:val="18"/>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w w:val="97"/>
              </w:rPr>
              <w:t>party thereto; and Merrill Lynch, Pierce, Fenner &amp; Smith Incorporated, Citigroup Global Markets Inc., DNB Markets, Inc., J.P.</w:t>
            </w:r>
          </w:p>
        </w:tc>
      </w:tr>
      <w:tr>
        <w:trPr>
          <w:trHeight w:val="216"/>
        </w:trPr>
        <w:tc>
          <w:tcPr>
            <w:tcW w:w="1020" w:type="dxa"/>
            <w:vAlign w:val="bottom"/>
          </w:tcPr>
          <w:p>
            <w:pPr>
              <w:spacing w:after="0"/>
              <w:rPr>
                <w:sz w:val="18"/>
                <w:szCs w:val="18"/>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w w:val="97"/>
              </w:rPr>
              <w:t>Morgan Securities LLC, Mizuho Bank, Ltd. and Wells Fargo Securities, LLC, as Joint Lead Arrangers and Joint Bookrunners</w:t>
            </w:r>
          </w:p>
        </w:tc>
      </w:tr>
      <w:tr>
        <w:trPr>
          <w:trHeight w:val="230"/>
        </w:trPr>
        <w:tc>
          <w:tcPr>
            <w:tcW w:w="1020" w:type="dxa"/>
            <w:vAlign w:val="bottom"/>
          </w:tcPr>
          <w:p>
            <w:pPr>
              <w:spacing w:after="0"/>
              <w:rPr>
                <w:sz w:val="20"/>
                <w:szCs w:val="20"/>
                <w:color w:val="auto"/>
              </w:rPr>
            </w:pPr>
          </w:p>
        </w:tc>
        <w:tc>
          <w:tcPr>
            <w:tcW w:w="10320" w:type="dxa"/>
            <w:vAlign w:val="bottom"/>
          </w:tcPr>
          <w:p>
            <w:pPr>
              <w:ind w:left="700"/>
              <w:spacing w:after="0"/>
              <w:rPr>
                <w:sz w:val="20"/>
                <w:szCs w:val="20"/>
                <w:color w:val="auto"/>
              </w:rPr>
            </w:pPr>
            <w:r>
              <w:rPr>
                <w:rFonts w:ascii="Arial" w:cs="Arial" w:eastAsia="Arial" w:hAnsi="Arial"/>
                <w:sz w:val="18"/>
                <w:szCs w:val="18"/>
                <w:color w:val="auto"/>
              </w:rPr>
              <w:t>(incorporated by reference to Exhibit 10.1 to our Current Report on Form 8-K filed January 20, 2015).</w:t>
            </w:r>
          </w:p>
        </w:tc>
      </w:tr>
    </w:tbl>
    <w:p>
      <w:pPr>
        <w:sectPr>
          <w:pgSz w:w="11900" w:h="16838" w:orient="portrait"/>
          <w:cols w:equalWidth="0" w:num="1">
            <w:col w:w="11380"/>
          </w:cols>
          <w:pgMar w:left="240" w:top="125" w:right="27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   First Amendment to 364-Day Credit Agreement dated August 14, 2015 among Plains All American Pipeline, L.P., as Borrower;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6"/>
              </w:rPr>
              <w:t>Bank of America, N.A., as Administrative Agent; Citibank, N.A., JPMorgan Chase Bank N.A. and Wells Fargo Bank, National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2"/>
              </w:rPr>
              <w:t>Association, as Co-Syndication Agents; DNB Bank ASA, New York Branch and Mizuho Bank, Ltd., as Co-Documentation Agents;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6"/>
              </w:rPr>
              <w:t>the other Lenders party thereto; and Merrill Lynch, Pierce, Fenner &amp; Smith Incorporated, Citigroup Global Markets Inc., DNB</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2"/>
              </w:rPr>
              <w:t>Markets, Inc., J.P. Morgan Securities LLC, Mizuho Bank, Ltd. and Wells Fargo Securities, LLC, as Joint Lead Arrangers and Joint</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Bookrunners (incorporated by reference to Exhibit 10.1 to our Current Report on Form 8-K filed August 14, 2015).</w:t>
            </w:r>
          </w:p>
        </w:tc>
        <w:tc>
          <w:tcPr>
            <w:tcW w:w="0" w:type="dxa"/>
            <w:vAlign w:val="bottom"/>
          </w:tcPr>
          <w:p>
            <w:pPr>
              <w:spacing w:after="0"/>
              <w:rPr>
                <w:sz w:val="1"/>
                <w:szCs w:val="1"/>
                <w:color w:val="auto"/>
              </w:rPr>
            </w:pPr>
          </w:p>
        </w:tc>
      </w:tr>
      <w:tr>
        <w:trPr>
          <w:trHeight w:val="567"/>
        </w:trPr>
        <w:tc>
          <w:tcPr>
            <w:tcW w:w="1280" w:type="dxa"/>
            <w:vAlign w:val="bottom"/>
          </w:tcPr>
          <w:p>
            <w:pPr>
              <w:ind w:left="4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720" w:type="dxa"/>
            <w:vAlign w:val="bottom"/>
            <w:vMerge w:val="restart"/>
          </w:tcPr>
          <w:p>
            <w:pPr>
              <w:ind w:left="140"/>
              <w:spacing w:after="0"/>
              <w:rPr>
                <w:sz w:val="20"/>
                <w:szCs w:val="20"/>
                <w:color w:val="auto"/>
              </w:rPr>
            </w:pPr>
            <w:r>
              <w:rPr>
                <w:rFonts w:ascii="Arial" w:cs="Arial" w:eastAsia="Arial" w:hAnsi="Arial"/>
                <w:sz w:val="18"/>
                <w:szCs w:val="18"/>
                <w:color w:val="auto"/>
                <w:w w:val="96"/>
              </w:rPr>
              <w:t>Second Amendment to 364-Day Credit Agreement dated as of August 11, 2016 among Plains All American Pipeline, L.P., as</w:t>
            </w:r>
          </w:p>
        </w:tc>
        <w:tc>
          <w:tcPr>
            <w:tcW w:w="0" w:type="dxa"/>
            <w:vAlign w:val="bottom"/>
          </w:tcPr>
          <w:p>
            <w:pPr>
              <w:spacing w:after="0"/>
              <w:rPr>
                <w:sz w:val="1"/>
                <w:szCs w:val="1"/>
                <w:color w:val="auto"/>
              </w:rPr>
            </w:pPr>
          </w:p>
        </w:tc>
      </w:tr>
      <w:tr>
        <w:trPr>
          <w:trHeight w:val="67"/>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5"/>
              </w:rPr>
              <w:t>Borrower; Bank of America, N.A., as Administrative Agent; Citibank, N.A., JPMorgan Chase Bank N.A. and Wells Fargo Bank,</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2"/>
              </w:rPr>
              <w:t>National Association, as Co-Syndication Agents; DNB Bank ASA, New York Branch and Mizuho Bank Ltd., as Co-Documentation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4"/>
              </w:rPr>
              <w:t>Agents; the other Lenders party thereto; and Merrill Lynch, Pierce, Fenner &amp; Smith Incorporated, Citigroup Global Markets Inc.,</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2"/>
              </w:rPr>
              <w:t>DNB Markets, Inc., J.P. Morgan Securities LLC, Mizuho Bank, Ltd. and Wells Fargo Securities, LLC, as Joint Lead Arrangers and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Join Bookrunners (incorporated by reference to Exhibit 10.2 to our Current Report on Form 8-K filed August 17, 2016).</w:t>
            </w:r>
          </w:p>
        </w:tc>
        <w:tc>
          <w:tcPr>
            <w:tcW w:w="0" w:type="dxa"/>
            <w:vAlign w:val="bottom"/>
          </w:tcPr>
          <w:p>
            <w:pPr>
              <w:spacing w:after="0"/>
              <w:rPr>
                <w:sz w:val="1"/>
                <w:szCs w:val="1"/>
                <w:color w:val="auto"/>
              </w:rPr>
            </w:pPr>
          </w:p>
        </w:tc>
      </w:tr>
      <w:tr>
        <w:trPr>
          <w:trHeight w:val="634"/>
        </w:trPr>
        <w:tc>
          <w:tcPr>
            <w:tcW w:w="1280" w:type="dxa"/>
            <w:vAlign w:val="bottom"/>
          </w:tcPr>
          <w:p>
            <w:pPr>
              <w:ind w:left="4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   Employment Agreement between Plains All American GP LLC and Willie Chiang dated July 10, 2015 (incorporated by reference to</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Exhibit 10.53 to our Annual Report on Form 10-K for the year ended December 31, 2015).</w:t>
            </w:r>
          </w:p>
        </w:tc>
        <w:tc>
          <w:tcPr>
            <w:tcW w:w="0" w:type="dxa"/>
            <w:vAlign w:val="bottom"/>
          </w:tcPr>
          <w:p>
            <w:pPr>
              <w:spacing w:after="0"/>
              <w:rPr>
                <w:sz w:val="1"/>
                <w:szCs w:val="1"/>
                <w:color w:val="auto"/>
              </w:rPr>
            </w:pP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   Amendment dated August 25, 2016 to LTIP Grant Letter dated August 24, 2015 (Willie Chiang) (incorporated by reference to</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Exhibit 10.7 to our Quarterly Report on Form 10-Q for the quarter ended September 30, 2016).</w:t>
            </w:r>
          </w:p>
        </w:tc>
        <w:tc>
          <w:tcPr>
            <w:tcW w:w="0" w:type="dxa"/>
            <w:vAlign w:val="bottom"/>
          </w:tcPr>
          <w:p>
            <w:pPr>
              <w:spacing w:after="0"/>
              <w:rPr>
                <w:sz w:val="1"/>
                <w:szCs w:val="1"/>
                <w:color w:val="auto"/>
              </w:rPr>
            </w:pP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2"/>
              </w:rPr>
              <w:t>First Amendment to Plains AAP, L.P. Class B Restricted Units Agreement dated August 25, 2016 (Willie Chiang) (incorporated by</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reference to Exhibit 10.8 to our Quarterly Report on Form 10-Q for the quarter ended September 30, 2016).</w:t>
            </w:r>
          </w:p>
        </w:tc>
        <w:tc>
          <w:tcPr>
            <w:tcW w:w="0" w:type="dxa"/>
            <w:vAlign w:val="bottom"/>
          </w:tcPr>
          <w:p>
            <w:pPr>
              <w:spacing w:after="0"/>
              <w:rPr>
                <w:sz w:val="1"/>
                <w:szCs w:val="1"/>
                <w:color w:val="auto"/>
              </w:rPr>
            </w:pP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   Form of PAA LTIP Grant Letter for Officers (August 2016) (incorporated by reference to Exhibit 10.5 to our Quarterly Report on</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Form 10-Q for the quarter ended September 30, 2016).</w:t>
            </w:r>
          </w:p>
        </w:tc>
        <w:tc>
          <w:tcPr>
            <w:tcW w:w="0" w:type="dxa"/>
            <w:vAlign w:val="bottom"/>
          </w:tcPr>
          <w:p>
            <w:pPr>
              <w:spacing w:after="0"/>
              <w:rPr>
                <w:sz w:val="1"/>
                <w:szCs w:val="1"/>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   Form of Amendment to Plains AAP, L.P. Class B Restricted Units Agreement dated August 25, 2016 (incorporated by reference to</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Exhibit 10.6 to our Quarterly Report on Form 10-Q for the quarter ended September 30, 2016).</w:t>
            </w:r>
          </w:p>
        </w:tc>
        <w:tc>
          <w:tcPr>
            <w:tcW w:w="0" w:type="dxa"/>
            <w:vAlign w:val="bottom"/>
          </w:tcPr>
          <w:p>
            <w:pPr>
              <w:spacing w:after="0"/>
              <w:rPr>
                <w:sz w:val="1"/>
                <w:szCs w:val="1"/>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   Omnibus Agreement by and among PAA GP Holdings LLC, Plains GP Holdings, L.P., Plains All American GP LLC, Plains AAP,</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2"/>
              </w:rPr>
              <w:t>L.P., PAA GP LLC, and Plains All American Pipeline, L.P., dated November 15, 2016 (incorporated by reference to Exhibit 10.1 to</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our Current Report on Form 8-K filed November 21, 2016).</w:t>
            </w:r>
          </w:p>
        </w:tc>
        <w:tc>
          <w:tcPr>
            <w:tcW w:w="0" w:type="dxa"/>
            <w:vAlign w:val="bottom"/>
          </w:tcPr>
          <w:p>
            <w:pPr>
              <w:spacing w:after="0"/>
              <w:rPr>
                <w:sz w:val="1"/>
                <w:szCs w:val="1"/>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   Amended and Restated Administrative Agreement by and among PAA GP Holdings LLC, Plains GP Holdings, L.P., Plains All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w w:val="91"/>
              </w:rPr>
              <w:t>American GP LLC, Plains AAP, L.P., PAA GP LLC, and Plains All American Pipeline, L.P., dated November 15, 2016 (incorporated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by reference to Exhibit 10.2 to our Current Report on Form 8-K filed November 21, 2016).</w:t>
            </w:r>
          </w:p>
        </w:tc>
        <w:tc>
          <w:tcPr>
            <w:tcW w:w="0" w:type="dxa"/>
            <w:vAlign w:val="bottom"/>
          </w:tcPr>
          <w:p>
            <w:pPr>
              <w:spacing w:after="0"/>
              <w:rPr>
                <w:sz w:val="1"/>
                <w:szCs w:val="1"/>
                <w:color w:val="auto"/>
              </w:rPr>
            </w:pP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12.1 †</w:t>
            </w:r>
          </w:p>
        </w:tc>
        <w:tc>
          <w:tcPr>
            <w:tcW w:w="10040" w:type="dxa"/>
            <w:vAlign w:val="bottom"/>
            <w:gridSpan w:val="2"/>
          </w:tcPr>
          <w:p>
            <w:pPr>
              <w:spacing w:after="0"/>
              <w:rPr>
                <w:sz w:val="20"/>
                <w:szCs w:val="20"/>
                <w:color w:val="auto"/>
              </w:rPr>
            </w:pPr>
            <w:r>
              <w:rPr>
                <w:rFonts w:ascii="Arial" w:cs="Arial" w:eastAsia="Arial" w:hAnsi="Arial"/>
                <w:sz w:val="18"/>
                <w:szCs w:val="18"/>
                <w:color w:val="auto"/>
              </w:rPr>
              <w:t>—   Computation of Ratio of Earnings to Fixed Charges.</w:t>
            </w:r>
          </w:p>
        </w:tc>
        <w:tc>
          <w:tcPr>
            <w:tcW w:w="0" w:type="dxa"/>
            <w:vAlign w:val="bottom"/>
          </w:tcPr>
          <w:p>
            <w:pPr>
              <w:spacing w:after="0"/>
              <w:rPr>
                <w:sz w:val="1"/>
                <w:szCs w:val="1"/>
                <w:color w:val="auto"/>
              </w:rPr>
            </w:pP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21.1 †</w:t>
            </w:r>
          </w:p>
        </w:tc>
        <w:tc>
          <w:tcPr>
            <w:tcW w:w="10040" w:type="dxa"/>
            <w:vAlign w:val="bottom"/>
            <w:gridSpan w:val="2"/>
          </w:tcPr>
          <w:p>
            <w:pPr>
              <w:spacing w:after="0"/>
              <w:rPr>
                <w:sz w:val="20"/>
                <w:szCs w:val="20"/>
                <w:color w:val="auto"/>
              </w:rPr>
            </w:pPr>
            <w:r>
              <w:rPr>
                <w:rFonts w:ascii="Arial" w:cs="Arial" w:eastAsia="Arial" w:hAnsi="Arial"/>
                <w:sz w:val="18"/>
                <w:szCs w:val="18"/>
                <w:color w:val="auto"/>
              </w:rPr>
              <w:t>—   List of Subsidiaries of Plains All American Pipeline, L.P.</w:t>
            </w:r>
          </w:p>
        </w:tc>
        <w:tc>
          <w:tcPr>
            <w:tcW w:w="0" w:type="dxa"/>
            <w:vAlign w:val="bottom"/>
          </w:tcPr>
          <w:p>
            <w:pPr>
              <w:spacing w:after="0"/>
              <w:rPr>
                <w:sz w:val="1"/>
                <w:szCs w:val="1"/>
                <w:color w:val="auto"/>
              </w:rPr>
            </w:pP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23.1 †</w:t>
            </w:r>
          </w:p>
        </w:tc>
        <w:tc>
          <w:tcPr>
            <w:tcW w:w="10040" w:type="dxa"/>
            <w:vAlign w:val="bottom"/>
            <w:gridSpan w:val="2"/>
          </w:tcPr>
          <w:p>
            <w:pPr>
              <w:spacing w:after="0"/>
              <w:rPr>
                <w:sz w:val="20"/>
                <w:szCs w:val="20"/>
                <w:color w:val="auto"/>
              </w:rPr>
            </w:pPr>
            <w:r>
              <w:rPr>
                <w:rFonts w:ascii="Arial" w:cs="Arial" w:eastAsia="Arial" w:hAnsi="Arial"/>
                <w:sz w:val="18"/>
                <w:szCs w:val="18"/>
                <w:color w:val="auto"/>
              </w:rPr>
              <w:t>—   Consent of PricewaterhouseCoopers LLP.</w:t>
            </w:r>
          </w:p>
        </w:tc>
        <w:tc>
          <w:tcPr>
            <w:tcW w:w="0" w:type="dxa"/>
            <w:vAlign w:val="bottom"/>
          </w:tcPr>
          <w:p>
            <w:pPr>
              <w:spacing w:after="0"/>
              <w:rPr>
                <w:sz w:val="1"/>
                <w:szCs w:val="1"/>
                <w:color w:val="auto"/>
              </w:rPr>
            </w:pP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31.1 †</w:t>
            </w:r>
          </w:p>
        </w:tc>
        <w:tc>
          <w:tcPr>
            <w:tcW w:w="10040" w:type="dxa"/>
            <w:vAlign w:val="bottom"/>
            <w:gridSpan w:val="2"/>
          </w:tcPr>
          <w:p>
            <w:pPr>
              <w:spacing w:after="0"/>
              <w:rPr>
                <w:sz w:val="20"/>
                <w:szCs w:val="20"/>
                <w:color w:val="auto"/>
              </w:rPr>
            </w:pPr>
            <w:r>
              <w:rPr>
                <w:rFonts w:ascii="Arial" w:cs="Arial" w:eastAsia="Arial" w:hAnsi="Arial"/>
                <w:sz w:val="18"/>
                <w:szCs w:val="18"/>
                <w:color w:val="auto"/>
              </w:rPr>
              <w:t>—   Certification of Principal Executive Officer pursuant to Exchange Act Rules 13a-14(a) and 15d-14(a).</w:t>
            </w:r>
          </w:p>
        </w:tc>
        <w:tc>
          <w:tcPr>
            <w:tcW w:w="0" w:type="dxa"/>
            <w:vAlign w:val="bottom"/>
          </w:tcPr>
          <w:p>
            <w:pPr>
              <w:spacing w:after="0"/>
              <w:rPr>
                <w:sz w:val="1"/>
                <w:szCs w:val="1"/>
                <w:color w:val="auto"/>
              </w:rPr>
            </w:pP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31.2 †</w:t>
            </w:r>
          </w:p>
        </w:tc>
        <w:tc>
          <w:tcPr>
            <w:tcW w:w="10040" w:type="dxa"/>
            <w:vAlign w:val="bottom"/>
            <w:gridSpan w:val="2"/>
          </w:tcPr>
          <w:p>
            <w:pPr>
              <w:spacing w:after="0"/>
              <w:rPr>
                <w:sz w:val="20"/>
                <w:szCs w:val="20"/>
                <w:color w:val="auto"/>
              </w:rPr>
            </w:pPr>
            <w:r>
              <w:rPr>
                <w:rFonts w:ascii="Arial" w:cs="Arial" w:eastAsia="Arial" w:hAnsi="Arial"/>
                <w:sz w:val="18"/>
                <w:szCs w:val="18"/>
                <w:color w:val="auto"/>
              </w:rPr>
              <w:t>—   Certification of Principal Financial Officer pursuant to Exchange Act Rules 13a-14(a) and 15d-14(a).</w:t>
            </w:r>
          </w:p>
        </w:tc>
        <w:tc>
          <w:tcPr>
            <w:tcW w:w="0" w:type="dxa"/>
            <w:vAlign w:val="bottom"/>
          </w:tcPr>
          <w:p>
            <w:pPr>
              <w:spacing w:after="0"/>
              <w:rPr>
                <w:sz w:val="1"/>
                <w:szCs w:val="1"/>
                <w:color w:val="auto"/>
              </w:rPr>
            </w:pPr>
          </w:p>
        </w:tc>
      </w:tr>
    </w:tbl>
    <w:p>
      <w:pPr>
        <w:sectPr>
          <w:pgSz w:w="11900" w:h="16838" w:orient="portrait"/>
          <w:cols w:equalWidth="0" w:num="1">
            <w:col w:w="11340"/>
          </w:cols>
          <w:pgMar w:left="240" w:top="108" w:right="31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6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32.1 ††</w:t>
            </w:r>
          </w:p>
        </w:tc>
        <w:tc>
          <w:tcPr>
            <w:tcW w:w="2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5"/>
              </w:rPr>
              <w:t>—   Certification of Principal Executive Officer pursuant to 18 U.S.C. 1350.</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32.2 ††</w:t>
            </w:r>
          </w:p>
        </w:tc>
        <w:tc>
          <w:tcPr>
            <w:tcW w:w="5640" w:type="dxa"/>
            <w:vAlign w:val="bottom"/>
          </w:tcPr>
          <w:p>
            <w:pPr>
              <w:spacing w:after="0"/>
              <w:rPr>
                <w:sz w:val="20"/>
                <w:szCs w:val="20"/>
                <w:color w:val="auto"/>
              </w:rPr>
            </w:pPr>
            <w:r>
              <w:rPr>
                <w:rFonts w:ascii="Arial" w:cs="Arial" w:eastAsia="Arial" w:hAnsi="Arial"/>
                <w:sz w:val="18"/>
                <w:szCs w:val="18"/>
                <w:color w:val="auto"/>
                <w:w w:val="96"/>
              </w:rPr>
              <w:t>—   Certification of Principal Financial Officer pursuant to 18 U.S.C. 1350.</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 INS†</w:t>
            </w:r>
          </w:p>
        </w:tc>
        <w:tc>
          <w:tcPr>
            <w:tcW w:w="5640" w:type="dxa"/>
            <w:vAlign w:val="bottom"/>
          </w:tcPr>
          <w:p>
            <w:pPr>
              <w:spacing w:after="0"/>
              <w:rPr>
                <w:sz w:val="20"/>
                <w:szCs w:val="20"/>
                <w:color w:val="auto"/>
              </w:rPr>
            </w:pPr>
            <w:r>
              <w:rPr>
                <w:rFonts w:ascii="Arial" w:cs="Arial" w:eastAsia="Arial" w:hAnsi="Arial"/>
                <w:sz w:val="18"/>
                <w:szCs w:val="18"/>
                <w:color w:val="auto"/>
              </w:rPr>
              <w:t>—   XBRL Instance Document</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640" w:type="dxa"/>
            <w:vAlign w:val="bottom"/>
          </w:tcPr>
          <w:p>
            <w:pPr>
              <w:spacing w:after="0"/>
              <w:rPr>
                <w:sz w:val="20"/>
                <w:szCs w:val="20"/>
                <w:color w:val="auto"/>
              </w:rPr>
            </w:pPr>
            <w:r>
              <w:rPr>
                <w:rFonts w:ascii="Arial" w:cs="Arial" w:eastAsia="Arial" w:hAnsi="Arial"/>
                <w:sz w:val="18"/>
                <w:szCs w:val="18"/>
                <w:color w:val="auto"/>
              </w:rPr>
              <w:t>—   XBRL Taxonomy Extension Schema Document</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640" w:type="dxa"/>
            <w:vAlign w:val="bottom"/>
          </w:tcPr>
          <w:p>
            <w:pPr>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640" w:type="dxa"/>
            <w:vAlign w:val="bottom"/>
          </w:tcPr>
          <w:p>
            <w:pPr>
              <w:spacing w:after="0"/>
              <w:rPr>
                <w:sz w:val="20"/>
                <w:szCs w:val="20"/>
                <w:color w:val="auto"/>
              </w:rPr>
            </w:pPr>
            <w:r>
              <w:rPr>
                <w:rFonts w:ascii="Arial" w:cs="Arial" w:eastAsia="Arial" w:hAnsi="Arial"/>
                <w:sz w:val="18"/>
                <w:szCs w:val="18"/>
                <w:color w:val="auto"/>
              </w:rPr>
              <w:t>—   XBRL Taxonomy Extension Definition Linkbase Document</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640" w:type="dxa"/>
            <w:vAlign w:val="bottom"/>
          </w:tcPr>
          <w:p>
            <w:pPr>
              <w:spacing w:after="0"/>
              <w:rPr>
                <w:sz w:val="20"/>
                <w:szCs w:val="20"/>
                <w:color w:val="auto"/>
              </w:rPr>
            </w:pPr>
            <w:r>
              <w:rPr>
                <w:rFonts w:ascii="Arial" w:cs="Arial" w:eastAsia="Arial" w:hAnsi="Arial"/>
                <w:sz w:val="18"/>
                <w:szCs w:val="18"/>
                <w:color w:val="auto"/>
              </w:rPr>
              <w:t>—   XBRL Taxonomy Extension Label Linkbase Document</w:t>
            </w:r>
          </w:p>
        </w:tc>
      </w:tr>
      <w:tr>
        <w:trPr>
          <w:trHeight w:val="56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640" w:type="dxa"/>
            <w:vAlign w:val="bottom"/>
          </w:tcPr>
          <w:p>
            <w:pPr>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1"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340" w:hanging="332"/>
        <w:spacing w:after="0" w:line="277" w:lineRule="auto"/>
        <w:tabs>
          <w:tab w:leader="none" w:pos="15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62" w:lineRule="exact"/>
        <w:rPr>
          <w:sz w:val="20"/>
          <w:szCs w:val="20"/>
          <w:color w:val="auto"/>
        </w:rPr>
      </w:pPr>
    </w:p>
    <w:p>
      <w:pPr>
        <w:ind w:left="340" w:right="160" w:hanging="332"/>
        <w:spacing w:after="0" w:line="277" w:lineRule="auto"/>
        <w:tabs>
          <w:tab w:leader="none" w:pos="24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ectPr>
          <w:pgSz w:w="11900" w:h="16838" w:orient="portrait"/>
          <w:cols w:equalWidth="0" w:num="1">
            <w:col w:w="11340"/>
          </w:cols>
          <w:pgMar w:left="240" w:top="108"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10.43</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 Compensation Summary</w:t>
      </w:r>
    </w:p>
    <w:p>
      <w:pPr>
        <w:spacing w:after="0" w:line="279" w:lineRule="exact"/>
        <w:rPr>
          <w:sz w:val="20"/>
          <w:szCs w:val="20"/>
          <w:color w:val="auto"/>
        </w:rPr>
      </w:pPr>
    </w:p>
    <w:p>
      <w:pPr>
        <w:ind w:firstLine="648"/>
        <w:spacing w:after="0" w:line="305" w:lineRule="auto"/>
        <w:rPr>
          <w:sz w:val="20"/>
          <w:szCs w:val="20"/>
          <w:color w:val="auto"/>
        </w:rPr>
      </w:pPr>
      <w:r>
        <w:rPr>
          <w:rFonts w:ascii="Arial" w:cs="Arial" w:eastAsia="Arial" w:hAnsi="Arial"/>
          <w:sz w:val="17"/>
          <w:szCs w:val="17"/>
          <w:color w:val="auto"/>
        </w:rPr>
        <w:t>Each director of PAA GP Holdings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 Messrs. Armstrong, Chiang and Pefanis are otherwise compensated for their services as employees and therefore receive no separate compensation for services as directors.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w:t>
      </w:r>
    </w:p>
    <w:p>
      <w:pPr>
        <w:spacing w:after="0" w:line="206" w:lineRule="exact"/>
        <w:rPr>
          <w:sz w:val="20"/>
          <w:szCs w:val="20"/>
          <w:color w:val="auto"/>
        </w:rPr>
      </w:pPr>
    </w:p>
    <w:p>
      <w:pPr>
        <w:ind w:right="20" w:firstLine="648"/>
        <w:spacing w:after="0" w:line="301" w:lineRule="auto"/>
        <w:rPr>
          <w:sz w:val="20"/>
          <w:szCs w:val="20"/>
          <w:color w:val="auto"/>
        </w:rPr>
      </w:pPr>
      <w:r>
        <w:rPr>
          <w:rFonts w:ascii="Arial" w:cs="Arial" w:eastAsia="Arial" w:hAnsi="Arial"/>
          <w:sz w:val="17"/>
          <w:szCs w:val="17"/>
          <w:color w:val="auto"/>
        </w:rPr>
        <w:t>Our non-employee directors receive LTIP awards or cash equivalent awards as part of their compensation. In February 2017, the board of directors approved a modified equity compensation structure for non-employee directors and a plan for transitioning to the new structure. Specifically, the board of directors approved making new grants, cancelling existing grants or amending and restating the director’s existing grants as necessary to effect the following (with the grants described below being denominated in either PAA phantom units or PAGP phantom units based on a one-time election to be made by each director): (i) for each designated director other than the Oxy designee (i.e., Messrs. Raymond and Sinnott, but excluding Mr. Figlock), a phantom unit grant of 10,000 units vesting 25% on the August distribution date of each year, with an automatic re-grant of an additional 25% immediately upon each such vesting, together with associated DERs, (ii) for each independent director who is not serving on the Audit Committee (Messrs. Petersen, Shackouls and Temple), a phantom unit grant of 15,000 units vesting 25% on the August distribution date of each year, with an automatic re-grant of an additional 25% immediately upon each such vesting, together with associated DERs, (iii) for each independent director who is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Oxy (Mr. Figlock), concurrent with the annual August vesting of the awards made to the other designated directors, a cash payment will be made to Oxy based on the unit value of Mr. Sinnott’s award on the previous year’s vesting date.</w:t>
      </w:r>
    </w:p>
    <w:p>
      <w:pPr>
        <w:spacing w:after="0" w:line="214" w:lineRule="exact"/>
        <w:rPr>
          <w:sz w:val="20"/>
          <w:szCs w:val="20"/>
          <w:color w:val="auto"/>
        </w:rPr>
      </w:pPr>
    </w:p>
    <w:p>
      <w:pPr>
        <w:ind w:right="40" w:firstLine="648"/>
        <w:spacing w:after="0" w:line="288" w:lineRule="auto"/>
        <w:rPr>
          <w:sz w:val="20"/>
          <w:szCs w:val="20"/>
          <w:color w:val="auto"/>
        </w:rPr>
      </w:pPr>
      <w:r>
        <w:rPr>
          <w:rFonts w:ascii="Arial" w:cs="Arial" w:eastAsia="Arial" w:hAnsi="Arial"/>
          <w:sz w:val="18"/>
          <w:szCs w:val="18"/>
          <w:color w:val="auto"/>
        </w:rPr>
        <w:t>All LTIP awards held by a director vest in full upon the next following distribution date after the death or disability (as determined in good faith by the board) of the director. For supplemental audit committee grants, the awards also vest in full if such director (i) retires (no longer with full-time employment and no longer serving as an officer or director of any public company) or (ii) is removed from the board of directors or the audit committee or is not reelected to the board of directors or the audit committee, unless such removal or failure to reelect is for “good cause,” as defined in the letter granting the units.</w:t>
      </w:r>
    </w:p>
    <w:p>
      <w:pPr>
        <w:sectPr>
          <w:pgSz w:w="11900" w:h="16838" w:orient="portrait"/>
          <w:cols w:equalWidth="0" w:num="1">
            <w:col w:w="11420"/>
          </w:cols>
          <w:pgMar w:left="240" w:top="378" w:right="2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Exhibit 12.1</w:t>
            </w:r>
          </w:p>
        </w:tc>
      </w:tr>
      <w:tr>
        <w:trPr>
          <w:trHeight w:val="414"/>
        </w:trPr>
        <w:tc>
          <w:tcPr>
            <w:tcW w:w="9260" w:type="dxa"/>
            <w:vAlign w:val="bottom"/>
            <w:gridSpan w:val="11"/>
          </w:tcPr>
          <w:p>
            <w:pPr>
              <w:jc w:val="center"/>
              <w:ind w:left="2070"/>
              <w:spacing w:after="0"/>
              <w:rPr>
                <w:sz w:val="20"/>
                <w:szCs w:val="20"/>
                <w:color w:val="auto"/>
              </w:rPr>
            </w:pPr>
            <w:r>
              <w:rPr>
                <w:rFonts w:ascii="Arial" w:cs="Arial" w:eastAsia="Arial" w:hAnsi="Arial"/>
                <w:sz w:val="18"/>
                <w:szCs w:val="18"/>
                <w:b w:val="1"/>
                <w:bCs w:val="1"/>
                <w:color w:val="auto"/>
              </w:rPr>
              <w:t>STATEMENT OF COMPUTATION OF RATIO OF EARNINGS TO FIXED CHARGES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4240" w:type="dxa"/>
            <w:vAlign w:val="bottom"/>
          </w:tcPr>
          <w:p>
            <w:pPr>
              <w:spacing w:after="0"/>
              <w:rPr>
                <w:sz w:val="20"/>
                <w:szCs w:val="20"/>
                <w:color w:val="auto"/>
              </w:rPr>
            </w:pPr>
          </w:p>
        </w:tc>
        <w:tc>
          <w:tcPr>
            <w:tcW w:w="27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(in millions, except ratio data)</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2"/>
        </w:trPr>
        <w:tc>
          <w:tcPr>
            <w:tcW w:w="4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r>
      <w:tr>
        <w:trPr>
          <w:trHeight w:val="256"/>
        </w:trPr>
        <w:tc>
          <w:tcPr>
            <w:tcW w:w="424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1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29"/>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Pre-tax income from continuing operations before noncontrolling interests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240" w:type="dxa"/>
            <w:vAlign w:val="bottom"/>
          </w:tcPr>
          <w:p>
            <w:pPr>
              <w:ind w:left="340"/>
              <w:spacing w:after="0"/>
              <w:rPr>
                <w:sz w:val="20"/>
                <w:szCs w:val="20"/>
                <w:color w:val="auto"/>
              </w:rPr>
            </w:pPr>
            <w:r>
              <w:rPr>
                <w:rFonts w:ascii="Arial" w:cs="Arial" w:eastAsia="Arial" w:hAnsi="Arial"/>
                <w:sz w:val="18"/>
                <w:szCs w:val="18"/>
                <w:color w:val="auto"/>
              </w:rPr>
              <w:t>and income from equity investees</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1,143</w:t>
            </w:r>
          </w:p>
        </w:tc>
      </w:tr>
      <w:tr>
        <w:trPr>
          <w:trHeight w:val="27"/>
        </w:trPr>
        <w:tc>
          <w:tcPr>
            <w:tcW w:w="4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4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1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346</w:t>
            </w:r>
          </w:p>
        </w:tc>
      </w:tr>
      <w:tr>
        <w:trPr>
          <w:trHeight w:val="27"/>
        </w:trPr>
        <w:tc>
          <w:tcPr>
            <w:tcW w:w="4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Portion of rent expense related to interest (33.33%)</w:t>
            </w:r>
          </w:p>
        </w:tc>
        <w:tc>
          <w:tcPr>
            <w:tcW w:w="1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97"/>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Charges</w:t>
            </w:r>
          </w:p>
        </w:tc>
        <w:tc>
          <w:tcPr>
            <w:tcW w:w="15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r>
      <w:tr>
        <w:trPr>
          <w:trHeight w:val="271"/>
        </w:trPr>
        <w:tc>
          <w:tcPr>
            <w:tcW w:w="4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56"/>
        </w:trPr>
        <w:tc>
          <w:tcPr>
            <w:tcW w:w="4240" w:type="dxa"/>
            <w:vAlign w:val="bottom"/>
          </w:tcPr>
          <w:p>
            <w:pPr>
              <w:ind w:left="40"/>
              <w:spacing w:after="0" w:line="25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(2)</w:t>
            </w: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2.25x</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2.80x</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4.30x</w:t>
            </w:r>
          </w:p>
        </w:tc>
        <w:tc>
          <w:tcPr>
            <w:tcW w:w="2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4.41x</w:t>
            </w: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4.03x</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__________________________________________</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40" w:lineRule="exact"/>
        <w:rPr>
          <w:sz w:val="20"/>
          <w:szCs w:val="20"/>
          <w:color w:val="auto"/>
        </w:rPr>
      </w:pPr>
    </w:p>
    <w:p>
      <w:pPr>
        <w:ind w:left="660" w:right="260" w:hanging="652"/>
        <w:spacing w:after="0" w:line="245" w:lineRule="auto"/>
        <w:tabs>
          <w:tab w:leader="none" w:pos="660" w:val="left"/>
        </w:tabs>
        <w:numPr>
          <w:ilvl w:val="0"/>
          <w:numId w:val="158"/>
        </w:numPr>
        <w:rPr>
          <w:rFonts w:ascii="Arial" w:cs="Arial" w:eastAsia="Arial" w:hAnsi="Arial"/>
          <w:sz w:val="24"/>
          <w:szCs w:val="24"/>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34"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58"/>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1"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3820" w:type="dxa"/>
            <w:vAlign w:val="bottom"/>
          </w:tcPr>
          <w:p>
            <w:pPr>
              <w:spacing w:after="0"/>
              <w:rPr>
                <w:sz w:val="19"/>
                <w:szCs w:val="19"/>
                <w:color w:val="auto"/>
              </w:rPr>
            </w:pPr>
          </w:p>
        </w:tc>
        <w:tc>
          <w:tcPr>
            <w:tcW w:w="7600" w:type="dxa"/>
            <w:vAlign w:val="bottom"/>
            <w:gridSpan w:val="3"/>
          </w:tcPr>
          <w:p>
            <w:pPr>
              <w:jc w:val="center"/>
              <w:ind w:right="3730"/>
              <w:spacing w:after="0"/>
              <w:rPr>
                <w:sz w:val="20"/>
                <w:szCs w:val="20"/>
                <w:color w:val="auto"/>
              </w:rPr>
            </w:pPr>
            <w:r>
              <w:rPr>
                <w:rFonts w:ascii="Arial" w:cs="Arial" w:eastAsia="Arial" w:hAnsi="Arial"/>
                <w:sz w:val="18"/>
                <w:szCs w:val="18"/>
                <w:b w:val="1"/>
                <w:bCs w:val="1"/>
                <w:color w:val="auto"/>
              </w:rPr>
              <w:t>PLAINS ALL AMERICAN PIPELINE, L.P.</w:t>
            </w:r>
          </w:p>
        </w:tc>
      </w:tr>
      <w:tr>
        <w:trPr>
          <w:trHeight w:val="230"/>
        </w:trPr>
        <w:tc>
          <w:tcPr>
            <w:tcW w:w="3820" w:type="dxa"/>
            <w:vAlign w:val="bottom"/>
          </w:tcPr>
          <w:p>
            <w:pPr>
              <w:spacing w:after="0"/>
              <w:rPr>
                <w:sz w:val="20"/>
                <w:szCs w:val="20"/>
                <w:color w:val="auto"/>
              </w:rPr>
            </w:pPr>
          </w:p>
        </w:tc>
        <w:tc>
          <w:tcPr>
            <w:tcW w:w="7600" w:type="dxa"/>
            <w:vAlign w:val="bottom"/>
            <w:gridSpan w:val="3"/>
          </w:tcPr>
          <w:p>
            <w:pPr>
              <w:jc w:val="center"/>
              <w:ind w:right="3730"/>
              <w:spacing w:after="0"/>
              <w:rPr>
                <w:sz w:val="20"/>
                <w:szCs w:val="20"/>
                <w:color w:val="auto"/>
              </w:rPr>
            </w:pPr>
            <w:r>
              <w:rPr>
                <w:rFonts w:ascii="Arial" w:cs="Arial" w:eastAsia="Arial" w:hAnsi="Arial"/>
                <w:sz w:val="18"/>
                <w:szCs w:val="18"/>
                <w:i w:val="1"/>
                <w:iCs w:val="1"/>
                <w:color w:val="auto"/>
                <w:w w:val="90"/>
              </w:rPr>
              <w:t>(As of 12/31/2016)</w:t>
            </w:r>
          </w:p>
        </w:tc>
      </w:tr>
      <w:tr>
        <w:trPr>
          <w:trHeight w:val="399"/>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5D Marketing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Aurora Pipeline Company Ltd.</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Bakersfield Crude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BGS Kimball Gas Storage,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Bluewater Gas Storage,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Bluewater Natural Gas Holding,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Eagle Ford Crude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Hawks Oil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Lone Star Trucking,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Mountain Ridge Resources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Niobrara Crude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Finance Corp.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Luxembourg S.a.r.l.</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Midstream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Canada ULC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Alberta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 Natural Gas Storage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Storage, L.P.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PAA/Vulcan Gas Storage,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Energy Group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Pacific L.A. Marine Terminal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Pipeline System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PACONO1,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PACONO3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PICSCO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Pine Prairie Energy Center,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7"/>
              </w:rPr>
              <w:t>Plains All American Emergency Relief Fund, Inc.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Capline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Gas Solutions,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GP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LPG Services GP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LPG Services, LP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Marketing Bondholder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Canada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Marketing GP Inc.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L.P.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Midstream Canada ULC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British Columbia</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Empress Management L.P.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Columbia</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Midstream Empress Management ULC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British Columbia</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Luxembourg S.a.r.l.</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Plains Midstream Superior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Plains Mobile Pipeline Inc.</w:t>
            </w:r>
          </w:p>
        </w:tc>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r>
      <w:tr>
        <w:trPr>
          <w:trHeight w:val="27"/>
        </w:trPr>
        <w:tc>
          <w:tcPr>
            <w:tcW w:w="38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1" w:right="239"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Plains Petroleum Transmission Company ULC</w:t>
            </w:r>
          </w:p>
        </w:tc>
        <w:tc>
          <w:tcPr>
            <w:tcW w:w="3520" w:type="dxa"/>
            <w:vAlign w:val="bottom"/>
          </w:tcPr>
          <w:p>
            <w:pPr>
              <w:ind w:left="20"/>
              <w:spacing w:after="0"/>
              <w:rPr>
                <w:sz w:val="20"/>
                <w:szCs w:val="20"/>
                <w:color w:val="auto"/>
              </w:rPr>
            </w:pPr>
            <w:r>
              <w:rPr>
                <w:rFonts w:ascii="Arial" w:cs="Arial" w:eastAsia="Arial" w:hAnsi="Arial"/>
                <w:sz w:val="18"/>
                <w:szCs w:val="18"/>
                <w:color w:val="auto"/>
              </w:rPr>
              <w:t>British Columbia</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Pipeline, L.P.</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Plains Products Terminals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Rail Holdings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Plains South Texas Gathering LLC</w:t>
            </w: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Southcap Inc.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Plains Terminals North Dakota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Towing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Plains West Coast Terminals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PLPGS Empress U.S. Corporation</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PMC (Nova Scotia) Company</w:t>
            </w:r>
          </w:p>
        </w:tc>
        <w:tc>
          <w:tcPr>
            <w:tcW w:w="3520" w:type="dxa"/>
            <w:vAlign w:val="bottom"/>
          </w:tcPr>
          <w:p>
            <w:pPr>
              <w:ind w:left="20"/>
              <w:spacing w:after="0"/>
              <w:rPr>
                <w:sz w:val="20"/>
                <w:szCs w:val="20"/>
                <w:color w:val="auto"/>
              </w:rPr>
            </w:pPr>
            <w:r>
              <w:rPr>
                <w:rFonts w:ascii="Arial" w:cs="Arial" w:eastAsia="Arial" w:hAnsi="Arial"/>
                <w:sz w:val="18"/>
                <w:szCs w:val="18"/>
                <w:color w:val="auto"/>
              </w:rPr>
              <w:t>Nova Scotia</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PMDSE Inc.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PNG Marketing,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PNGS GP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PPEC Bondholder,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LPG Holdings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Rocky Mountain Pipeline System LLC</w:t>
            </w: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 Resources Mississippi,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SLC Pipeline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Southcap Pipe Line Company</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St. James Rail Terminal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Sunrise Pipeline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Van Hook Crude Terminal LLC</w:t>
            </w: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VirKel Backhoe Services LLLP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6"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333-162477, 333-207139, 333-207140 and 333-214778) and on Form S-8 (No. 333-91141, 333-74920, 333-122806, 333-141185, 333-193139, and 333-193140) of Plains All American Pipeline, L.P. of our report dated February 23, 2017 relating to the financial statements and the effectiveness of internal control over financial reporting, which appears in this Form 10-K.</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58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right="180" w:firstLine="656"/>
        <w:spacing w:after="0" w:line="311" w:lineRule="auto"/>
        <w:tabs>
          <w:tab w:leader="none" w:pos="14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56"/>
        <w:spacing w:after="0" w:line="311" w:lineRule="auto"/>
        <w:tabs>
          <w:tab w:leader="none" w:pos="150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20" w:firstLine="656"/>
        <w:spacing w:after="0" w:line="357" w:lineRule="auto"/>
        <w:tabs>
          <w:tab w:leader="none" w:pos="149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ind w:right="180" w:firstLine="656"/>
        <w:spacing w:after="0" w:line="311" w:lineRule="auto"/>
        <w:tabs>
          <w:tab w:leader="none" w:pos="150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40" w:firstLine="656"/>
        <w:spacing w:after="0" w:line="308" w:lineRule="auto"/>
        <w:tabs>
          <w:tab w:leader="none" w:pos="87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420" w:firstLine="656"/>
        <w:spacing w:after="0" w:line="357" w:lineRule="auto"/>
        <w:tabs>
          <w:tab w:leader="none" w:pos="149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00" w:firstLine="656"/>
        <w:spacing w:after="0" w:line="324" w:lineRule="auto"/>
        <w:tabs>
          <w:tab w:leader="none" w:pos="15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right="180" w:firstLine="656"/>
        <w:spacing w:after="0" w:line="311" w:lineRule="auto"/>
        <w:tabs>
          <w:tab w:leader="none" w:pos="149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56"/>
        <w:spacing w:after="0" w:line="311" w:lineRule="auto"/>
        <w:tabs>
          <w:tab w:leader="none" w:pos="150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20" w:firstLine="656"/>
        <w:spacing w:after="0" w:line="357" w:lineRule="auto"/>
        <w:tabs>
          <w:tab w:leader="none" w:pos="149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ind w:right="180" w:firstLine="656"/>
        <w:spacing w:after="0" w:line="311" w:lineRule="auto"/>
        <w:tabs>
          <w:tab w:leader="none" w:pos="150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40" w:firstLine="656"/>
        <w:spacing w:after="0" w:line="308" w:lineRule="auto"/>
        <w:tabs>
          <w:tab w:leader="none" w:pos="87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420" w:firstLine="656"/>
        <w:spacing w:after="0" w:line="357" w:lineRule="auto"/>
        <w:tabs>
          <w:tab w:leader="none" w:pos="149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00" w:firstLine="656"/>
        <w:spacing w:after="0" w:line="324" w:lineRule="auto"/>
        <w:tabs>
          <w:tab w:leader="none" w:pos="150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52" w:lineRule="exact"/>
        <w:rPr>
          <w:sz w:val="20"/>
          <w:szCs w:val="20"/>
          <w:color w:val="auto"/>
        </w:rPr>
      </w:pPr>
    </w:p>
    <w:p>
      <w:pPr>
        <w:ind w:right="40" w:firstLine="656"/>
        <w:spacing w:after="0" w:line="311" w:lineRule="auto"/>
        <w:tabs>
          <w:tab w:leader="none" w:pos="146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2016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520" w:hanging="864"/>
        <w:spacing w:after="0"/>
        <w:tabs>
          <w:tab w:leader="none" w:pos="15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23, 2017</w:t>
      </w:r>
    </w:p>
    <w:p>
      <w:pPr>
        <w:sectPr>
          <w:pgSz w:w="11900" w:h="16838" w:orient="portrait"/>
          <w:cols w:equalWidth="0" w:num="1">
            <w:col w:w="11420"/>
          </w:cols>
          <w:pgMar w:left="240" w:top="58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52" w:lineRule="exact"/>
        <w:rPr>
          <w:sz w:val="20"/>
          <w:szCs w:val="20"/>
          <w:color w:val="auto"/>
        </w:rPr>
      </w:pPr>
    </w:p>
    <w:p>
      <w:pPr>
        <w:ind w:right="40" w:firstLine="656"/>
        <w:spacing w:after="0" w:line="311" w:lineRule="auto"/>
        <w:tabs>
          <w:tab w:leader="none" w:pos="146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2016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520" w:hanging="864"/>
        <w:spacing w:after="0"/>
        <w:tabs>
          <w:tab w:leader="none" w:pos="15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23,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x"/>
      <w:numFmt w:val="bullet"/>
      <w:start w:val="1"/>
    </w:lvl>
  </w:abstractNum>
  <w:abstractNum w:abstractNumId="1">
    <w:nsid w:val="6EB5BD4"/>
    <w:multiLevelType w:val="hybridMultilevel"/>
    <w:lvl w:ilvl="0">
      <w:lvlJc w:val="left"/>
      <w:lvlText w:val="o"/>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1)"/>
      <w:numFmt w:val="decimal"/>
      <w:start w:val="1"/>
    </w:lvl>
  </w:abstractNum>
  <w:abstractNum w:abstractNumId="5">
    <w:nsid w:val="76272110"/>
    <w:multiLevelType w:val="hybridMultilevel"/>
    <w:lvl w:ilvl="0">
      <w:lvlJc w:val="left"/>
      <w:lvlText w:val="(%1)"/>
      <w:numFmt w:val="decimal"/>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1)"/>
      <w:numFmt w:val="decimal"/>
      <w:start w:val="1"/>
    </w:lvl>
  </w:abstractNum>
  <w:abstractNum w:abstractNumId="11">
    <w:nsid w:val="68EBC550"/>
    <w:multiLevelType w:val="hybridMultilevel"/>
    <w:lvl w:ilvl="0">
      <w:lvlJc w:val="left"/>
      <w:lvlText w:val="(%1)"/>
      <w:numFmt w:val="decimal"/>
      <w:start w:val="3"/>
    </w:lvl>
  </w:abstractNum>
  <w:abstractNum w:abstractNumId="12">
    <w:nsid w:val="2DF6D648"/>
    <w:multiLevelType w:val="hybridMultilevel"/>
    <w:lvl w:ilvl="0">
      <w:lvlJc w:val="left"/>
      <w:lvlText w:val="(%1)"/>
      <w:numFmt w:val="decimal"/>
      <w:start w:val="1"/>
    </w:lvl>
  </w:abstractNum>
  <w:abstractNum w:abstractNumId="13">
    <w:nsid w:val="46B7D447"/>
    <w:multiLevelType w:val="hybridMultilevel"/>
    <w:lvl w:ilvl="0">
      <w:lvlJc w:val="left"/>
      <w:lvlText w:val="(%1)"/>
      <w:numFmt w:val="decimal"/>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1)"/>
      <w:numFmt w:val="lowerRoman"/>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1)"/>
      <w:numFmt w:val="decimal"/>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5"/>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1)"/>
      <w:numFmt w:val="lowerRoman"/>
      <w:start w:val="3"/>
    </w:lvl>
  </w:abstractNum>
  <w:abstractNum w:abstractNumId="27">
    <w:nsid w:val="5FB8011C"/>
    <w:multiLevelType w:val="hybridMultilevel"/>
    <w:lvl w:ilvl="0">
      <w:lvlJc w:val="left"/>
      <w:lvlText w:val="(%1)"/>
      <w:numFmt w:val="lowerRoman"/>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1)"/>
      <w:numFmt w:val="decimal"/>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1)"/>
      <w:numFmt w:val="decimal"/>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1)"/>
      <w:numFmt w:val="decimal"/>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decimal"/>
      <w:start w:val="1"/>
    </w:lvl>
  </w:abstractNum>
  <w:abstractNum w:abstractNumId="46">
    <w:nsid w:val="59ADEA3D"/>
    <w:multiLevelType w:val="hybridMultilevel"/>
    <w:lvl w:ilvl="0">
      <w:lvlJc w:val="left"/>
      <w:lvlText w:val="(%1)"/>
      <w:numFmt w:val="lowerRoman"/>
      <w:start w:val="7"/>
    </w:lvl>
  </w:abstractNum>
  <w:abstractNum w:abstractNumId="47">
    <w:nsid w:val="288F1A34"/>
    <w:multiLevelType w:val="hybridMultilevel"/>
    <w:lvl w:ilvl="0">
      <w:lvlJc w:val="left"/>
      <w:lvlText w:val="•"/>
      <w:numFmt w:val="bullet"/>
      <w:start w:val="1"/>
    </w:lvl>
  </w:abstractNum>
  <w:abstractNum w:abstractNumId="48">
    <w:nsid w:val="2A155DBC"/>
    <w:multiLevelType w:val="hybridMultilevel"/>
    <w:lvl w:ilvl="0">
      <w:lvlJc w:val="left"/>
      <w:lvlText w:val="(%1)"/>
      <w:numFmt w:val="decimal"/>
      <w:start w:val="1"/>
    </w:lvl>
  </w:abstractNum>
  <w:abstractNum w:abstractNumId="49">
    <w:nsid w:val="1D9F6E5F"/>
    <w:multiLevelType w:val="hybridMultilevel"/>
    <w:lvl w:ilvl="0">
      <w:lvlJc w:val="left"/>
      <w:lvlText w:val="(%1)"/>
      <w:numFmt w:val="decimal"/>
      <w:start w:val="1"/>
    </w:lvl>
  </w:abstractNum>
  <w:abstractNum w:abstractNumId="50">
    <w:nsid w:val="97E1B4E"/>
    <w:multiLevelType w:val="hybridMultilevel"/>
    <w:lvl w:ilvl="0">
      <w:lvlJc w:val="left"/>
      <w:lvlText w:val="(%1)"/>
      <w:numFmt w:val="decimal"/>
      <w:start w:val="2"/>
    </w:lvl>
  </w:abstractNum>
  <w:abstractNum w:abstractNumId="51">
    <w:nsid w:val="51088277"/>
    <w:multiLevelType w:val="hybridMultilevel"/>
    <w:lvl w:ilvl="0">
      <w:lvlJc w:val="left"/>
      <w:lvlText w:val="(%1)"/>
      <w:numFmt w:val="decimal"/>
      <w:start w:val="10"/>
    </w:lvl>
  </w:abstractNum>
  <w:abstractNum w:abstractNumId="52">
    <w:nsid w:val="1CA0C5FA"/>
    <w:multiLevelType w:val="hybridMultilevel"/>
    <w:lvl w:ilvl="0">
      <w:lvlJc w:val="left"/>
      <w:lvlText w:val="(%1)"/>
      <w:numFmt w:val="decimal"/>
      <w:start w:val="1"/>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1)"/>
      <w:numFmt w:val="decimal"/>
      <w:start w:val="1"/>
    </w:lvl>
  </w:abstractNum>
  <w:abstractNum w:abstractNumId="56">
    <w:nsid w:val="23D86AAC"/>
    <w:multiLevelType w:val="hybridMultilevel"/>
    <w:lvl w:ilvl="0">
      <w:lvlJc w:val="left"/>
      <w:lvlText w:val="•"/>
      <w:numFmt w:val="bullet"/>
      <w:start w:val="1"/>
    </w:lvl>
  </w:abstractNum>
  <w:abstractNum w:abstractNumId="57">
    <w:nsid w:val="45E6D486"/>
    <w:multiLevelType w:val="hybridMultilevel"/>
    <w:lvl w:ilvl="0">
      <w:lvlJc w:val="left"/>
      <w:lvlText w:val="(%1)"/>
      <w:numFmt w:val="decimal"/>
      <w:start w:val="1"/>
    </w:lvl>
  </w:abstractNum>
  <w:abstractNum w:abstractNumId="58">
    <w:nsid w:val="5C10FE21"/>
    <w:multiLevelType w:val="hybridMultilevel"/>
    <w:lvl w:ilvl="0">
      <w:lvlJc w:val="left"/>
      <w:lvlText w:val="•"/>
      <w:numFmt w:val="bullet"/>
      <w:start w:val="1"/>
    </w:lvl>
  </w:abstractNum>
  <w:abstractNum w:abstractNumId="59">
    <w:nsid w:val="E7FFA2B"/>
    <w:multiLevelType w:val="hybridMultilevel"/>
    <w:lvl w:ilvl="0">
      <w:lvlJc w:val="left"/>
      <w:lvlText w:val="•"/>
      <w:numFmt w:val="bullet"/>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decimal"/>
      <w:start w:val="1"/>
    </w:lvl>
  </w:abstractNum>
  <w:abstractNum w:abstractNumId="63">
    <w:nsid w:val="39B7AAA2"/>
    <w:multiLevelType w:val="hybridMultilevel"/>
    <w:lvl w:ilvl="0">
      <w:lvlJc w:val="left"/>
      <w:lvlText w:val="(%1)"/>
      <w:numFmt w:val="decimal"/>
      <w:start w:val="1"/>
    </w:lvl>
  </w:abstractNum>
  <w:abstractNum w:abstractNumId="64">
    <w:nsid w:val="2B0D8DBE"/>
    <w:multiLevelType w:val="hybridMultilevel"/>
    <w:lvl w:ilvl="0">
      <w:lvlJc w:val="left"/>
      <w:lvlText w:val="(%1)"/>
      <w:numFmt w:val="decimal"/>
      <w:start w:val="1"/>
    </w:lvl>
  </w:abstractNum>
  <w:abstractNum w:abstractNumId="65">
    <w:nsid w:val="6C80EC70"/>
    <w:multiLevelType w:val="hybridMultilevel"/>
    <w:lvl w:ilvl="0">
      <w:lvlJc w:val="left"/>
      <w:lvlText w:val="(%1)"/>
      <w:numFmt w:val="decimal"/>
      <w:start w:val="1"/>
    </w:lvl>
  </w:abstractNum>
  <w:abstractNum w:abstractNumId="66">
    <w:nsid w:val="379E21B5"/>
    <w:multiLevelType w:val="hybridMultilevel"/>
    <w:lvl w:ilvl="0">
      <w:lvlJc w:val="left"/>
      <w:lvlText w:val="(%1)"/>
      <w:numFmt w:val="decimal"/>
      <w:start w:val="1"/>
    </w:lvl>
  </w:abstractNum>
  <w:abstractNum w:abstractNumId="67">
    <w:nsid w:val="69E373"/>
    <w:multiLevelType w:val="hybridMultilevel"/>
    <w:lvl w:ilvl="0">
      <w:lvlJc w:val="left"/>
      <w:lvlText w:val="(%1)"/>
      <w:numFmt w:val="decimal"/>
      <w:start w:val="2"/>
    </w:lvl>
  </w:abstractNum>
  <w:abstractNum w:abstractNumId="68">
    <w:nsid w:val="2C27173B"/>
    <w:multiLevelType w:val="hybridMultilevel"/>
    <w:lvl w:ilvl="0">
      <w:lvlJc w:val="left"/>
      <w:lvlText w:val="(%1)"/>
      <w:numFmt w:val="decimal"/>
      <w:start w:val="1"/>
    </w:lvl>
  </w:abstractNum>
  <w:abstractNum w:abstractNumId="69">
    <w:nsid w:val="4C9B0904"/>
    <w:multiLevelType w:val="hybridMultilevel"/>
    <w:lvl w:ilvl="0">
      <w:lvlJc w:val="left"/>
      <w:lvlText w:val="•"/>
      <w:numFmt w:val="bullet"/>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1)"/>
      <w:numFmt w:val="decimal"/>
      <w:start w:val="1"/>
    </w:lvl>
  </w:abstractNum>
  <w:abstractNum w:abstractNumId="74">
    <w:nsid w:val="3DB012B3"/>
    <w:multiLevelType w:val="hybridMultilevel"/>
    <w:lvl w:ilvl="0">
      <w:lvlJc w:val="left"/>
      <w:lvlText w:val="(%1)"/>
      <w:numFmt w:val="lowerRoman"/>
      <w:start w:val="1"/>
    </w:lvl>
  </w:abstractNum>
  <w:abstractNum w:abstractNumId="75">
    <w:nsid w:val="2708C9AF"/>
    <w:multiLevelType w:val="hybridMultilevel"/>
    <w:lvl w:ilvl="0">
      <w:lvlJc w:val="left"/>
      <w:lvlText w:val="(%1)"/>
      <w:numFmt w:val="lowerRoman"/>
      <w:start w:val="4"/>
    </w:lvl>
  </w:abstractNum>
  <w:abstractNum w:abstractNumId="76">
    <w:nsid w:val="5B25ACE2"/>
    <w:multiLevelType w:val="hybridMultilevel"/>
    <w:lvl w:ilvl="0">
      <w:lvlJc w:val="left"/>
      <w:lvlText w:val="%1."/>
      <w:numFmt w:val="decimal"/>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1)"/>
      <w:numFmt w:val="lowerRoman"/>
      <w:start w:val="1"/>
    </w:lvl>
  </w:abstractNum>
  <w:abstractNum w:abstractNumId="79">
    <w:nsid w:val="53B0A9E"/>
    <w:multiLevelType w:val="hybridMultilevel"/>
    <w:lvl w:ilvl="0">
      <w:lvlJc w:val="left"/>
      <w:lvlText w:val="(%1)"/>
      <w:numFmt w:val="decimal"/>
      <w:start w:val="1"/>
    </w:lvl>
  </w:abstractNum>
  <w:abstractNum w:abstractNumId="80">
    <w:nsid w:val="34FD6B4F"/>
    <w:multiLevelType w:val="hybridMultilevel"/>
    <w:lvl w:ilvl="0">
      <w:lvlJc w:val="left"/>
      <w:lvlText w:val="(%1)"/>
      <w:numFmt w:val="decimal"/>
      <w:start w:val="1"/>
    </w:lvl>
  </w:abstractNum>
  <w:abstractNum w:abstractNumId="81">
    <w:nsid w:val="5915FF32"/>
    <w:multiLevelType w:val="hybridMultilevel"/>
    <w:lvl w:ilvl="0">
      <w:lvlJc w:val="left"/>
      <w:lvlText w:val="(%1)"/>
      <w:numFmt w:val="decimal"/>
      <w:start w:val="4"/>
    </w:lvl>
  </w:abstractNum>
  <w:abstractNum w:abstractNumId="82">
    <w:nsid w:val="56438D15"/>
    <w:multiLevelType w:val="hybridMultilevel"/>
    <w:lvl w:ilvl="0">
      <w:lvlJc w:val="left"/>
      <w:lvlText w:val="(%1)"/>
      <w:numFmt w:val="lowerRoman"/>
      <w:start w:val="3"/>
    </w:lvl>
  </w:abstractNum>
  <w:abstractNum w:abstractNumId="83">
    <w:nsid w:val="519E3149"/>
    <w:multiLevelType w:val="hybridMultilevel"/>
    <w:lvl w:ilvl="0">
      <w:lvlJc w:val="left"/>
      <w:lvlText w:val="(%1)"/>
      <w:numFmt w:val="decimal"/>
      <w:start w:val="1"/>
    </w:lvl>
  </w:abstractNum>
  <w:abstractNum w:abstractNumId="84">
    <w:nsid w:val="2C6E4AFD"/>
    <w:multiLevelType w:val="hybridMultilevel"/>
    <w:lvl w:ilvl="0">
      <w:lvlJc w:val="left"/>
      <w:lvlText w:val="(%1)"/>
      <w:numFmt w:val="decimal"/>
      <w:start w:val="3"/>
    </w:lvl>
  </w:abstractNum>
  <w:abstractNum w:abstractNumId="85">
    <w:nsid w:val="17A1B582"/>
    <w:multiLevelType w:val="hybridMultilevel"/>
    <w:lvl w:ilvl="0">
      <w:lvlJc w:val="left"/>
      <w:lvlText w:val="(%1)"/>
      <w:numFmt w:val="decimal"/>
      <w:start w:val="1"/>
    </w:lvl>
  </w:abstractNum>
  <w:abstractNum w:abstractNumId="86">
    <w:nsid w:val="4DF72E4E"/>
    <w:multiLevelType w:val="hybridMultilevel"/>
    <w:lvl w:ilvl="0">
      <w:lvlJc w:val="left"/>
      <w:lvlText w:val="(%1)"/>
      <w:numFmt w:val="decimal"/>
      <w:start w:val="1"/>
    </w:lvl>
  </w:abstractNum>
  <w:abstractNum w:abstractNumId="87">
    <w:nsid w:val="5046B5A9"/>
    <w:multiLevelType w:val="hybridMultilevel"/>
    <w:lvl w:ilvl="0">
      <w:lvlJc w:val="left"/>
      <w:lvlText w:val="(%1)"/>
      <w:numFmt w:val="decimal"/>
      <w:start w:val="3"/>
    </w:lvl>
  </w:abstractNum>
  <w:abstractNum w:abstractNumId="88">
    <w:nsid w:val="5D888A08"/>
    <w:multiLevelType w:val="hybridMultilevel"/>
    <w:lvl w:ilvl="0">
      <w:lvlJc w:val="left"/>
      <w:lvlText w:val="(%1)"/>
      <w:numFmt w:val="decimal"/>
      <w:start w:val="3"/>
    </w:lvl>
  </w:abstractNum>
  <w:abstractNum w:abstractNumId="89">
    <w:nsid w:val="2A082C70"/>
    <w:multiLevelType w:val="hybridMultilevel"/>
    <w:lvl w:ilvl="0">
      <w:lvlJc w:val="left"/>
      <w:lvlText w:val="(%1)"/>
      <w:numFmt w:val="decimal"/>
      <w:start w:val="11"/>
    </w:lvl>
  </w:abstractNum>
  <w:abstractNum w:abstractNumId="90">
    <w:nsid w:val="5EC6AFD4"/>
    <w:multiLevelType w:val="hybridMultilevel"/>
    <w:lvl w:ilvl="0">
      <w:lvlJc w:val="left"/>
      <w:lvlText w:val="(%1)"/>
      <w:numFmt w:val="decimal"/>
      <w:start w:val="3"/>
    </w:lvl>
  </w:abstractNum>
  <w:abstractNum w:abstractNumId="91">
    <w:nsid w:val="19E21BB2"/>
    <w:multiLevelType w:val="hybridMultilevel"/>
    <w:lvl w:ilvl="0">
      <w:lvlJc w:val="left"/>
      <w:lvlText w:val="(%1)"/>
      <w:numFmt w:val="decimal"/>
      <w:start w:val="3"/>
    </w:lvl>
  </w:abstractNum>
  <w:abstractNum w:abstractNumId="92">
    <w:nsid w:val="75E0858A"/>
    <w:multiLevelType w:val="hybridMultilevel"/>
    <w:lvl w:ilvl="0">
      <w:lvlJc w:val="left"/>
      <w:lvlText w:val="(%1)"/>
      <w:numFmt w:val="decimal"/>
      <w:start w:val="3"/>
    </w:lvl>
  </w:abstractNum>
  <w:abstractNum w:abstractNumId="93">
    <w:nsid w:val="57A61A29"/>
    <w:multiLevelType w:val="hybridMultilevel"/>
    <w:lvl w:ilvl="0">
      <w:lvlJc w:val="left"/>
      <w:lvlText w:val="(%1)"/>
      <w:numFmt w:val="decimal"/>
      <w:start w:val="1"/>
    </w:lvl>
  </w:abstractNum>
  <w:abstractNum w:abstractNumId="94">
    <w:nsid w:val="5399C654"/>
    <w:multiLevelType w:val="hybridMultilevel"/>
    <w:lvl w:ilvl="0">
      <w:lvlJc w:val="left"/>
      <w:lvlText w:val="(%1)"/>
      <w:numFmt w:val="decimal"/>
      <w:start w:val="2"/>
    </w:lvl>
  </w:abstractNum>
  <w:abstractNum w:abstractNumId="95">
    <w:nsid w:val="20EE1348"/>
    <w:multiLevelType w:val="hybridMultilevel"/>
    <w:lvl w:ilvl="0">
      <w:lvlJc w:val="left"/>
      <w:lvlText w:val="(%1)"/>
      <w:numFmt w:val="decimal"/>
      <w:start w:val="4"/>
    </w:lvl>
  </w:abstractNum>
  <w:abstractNum w:abstractNumId="96">
    <w:nsid w:val="4427069A"/>
    <w:multiLevelType w:val="hybridMultilevel"/>
    <w:lvl w:ilvl="0">
      <w:lvlJc w:val="left"/>
      <w:lvlText w:val="(%1)"/>
      <w:numFmt w:val="lowerRoman"/>
      <w:start w:val="10"/>
    </w:lvl>
  </w:abstractNum>
  <w:abstractNum w:abstractNumId="97">
    <w:nsid w:val="B37E80A"/>
    <w:multiLevelType w:val="hybridMultilevel"/>
    <w:lvl w:ilvl="0">
      <w:lvlJc w:val="left"/>
      <w:lvlText w:val="%1"/>
      <w:numFmt w:val="decimal"/>
      <w:start w:val="1"/>
    </w:lvl>
    <w:lvl w:ilvl="1">
      <w:lvlJc w:val="left"/>
      <w:lvlText w:val="(%2)"/>
      <w:numFmt w:val="lowerRoman"/>
      <w:start w:val="1"/>
    </w:lvl>
  </w:abstractNum>
  <w:abstractNum w:abstractNumId="98">
    <w:nsid w:val="2157F6BC"/>
    <w:multiLevelType w:val="hybridMultilevel"/>
    <w:lvl w:ilvl="0">
      <w:lvlJc w:val="left"/>
      <w:lvlText w:val="%1"/>
      <w:numFmt w:val="decimal"/>
      <w:start w:val="1"/>
    </w:lvl>
    <w:lvl w:ilvl="1">
      <w:lvlJc w:val="left"/>
      <w:lvlText w:val="(%2)"/>
      <w:numFmt w:val="lowerRoman"/>
      <w:start w:val="3"/>
    </w:lvl>
  </w:abstractNum>
  <w:abstractNum w:abstractNumId="99">
    <w:nsid w:val="704E1DD5"/>
    <w:multiLevelType w:val="hybridMultilevel"/>
    <w:lvl w:ilvl="0">
      <w:lvlJc w:val="left"/>
      <w:lvlText w:val="%1"/>
      <w:numFmt w:val="decimal"/>
      <w:start w:val="1"/>
    </w:lvl>
    <w:lvl w:ilvl="1">
      <w:lvlJc w:val="left"/>
      <w:lvlText w:val="(%2)"/>
      <w:numFmt w:val="lowerRoman"/>
      <w:start w:val="1"/>
    </w:lvl>
  </w:abstractNum>
  <w:abstractNum w:abstractNumId="100">
    <w:nsid w:val="57D2F10E"/>
    <w:multiLevelType w:val="hybridMultilevel"/>
    <w:lvl w:ilvl="0">
      <w:lvlJc w:val="left"/>
      <w:lvlText w:val="(%1)"/>
      <w:numFmt w:val="decimal"/>
      <w:start w:val="6"/>
    </w:lvl>
    <w:lvl w:ilvl="1">
      <w:lvlJc w:val="left"/>
      <w:lvlText w:val="%2"/>
      <w:numFmt w:val="lowerRoman"/>
      <w:start w:val="1"/>
    </w:lvl>
  </w:abstractNum>
  <w:abstractNum w:abstractNumId="101">
    <w:nsid w:val="BFFAE18"/>
    <w:multiLevelType w:val="hybridMultilevel"/>
    <w:lvl w:ilvl="0">
      <w:lvlJc w:val="left"/>
      <w:lvlText w:val="(%1)"/>
      <w:numFmt w:val="decimal"/>
      <w:start w:val="8"/>
    </w:lvl>
  </w:abstractNum>
  <w:abstractNum w:abstractNumId="102">
    <w:nsid w:val="E3E47A8"/>
    <w:multiLevelType w:val="hybridMultilevel"/>
    <w:lvl w:ilvl="0">
      <w:lvlJc w:val="left"/>
      <w:lvlText w:val="(%1)"/>
      <w:numFmt w:val="lowerRoman"/>
      <w:start w:val="1"/>
    </w:lvl>
  </w:abstractNum>
  <w:abstractNum w:abstractNumId="103">
    <w:nsid w:val="2E48F044"/>
    <w:multiLevelType w:val="hybridMultilevel"/>
    <w:lvl w:ilvl="0">
      <w:lvlJc w:val="left"/>
      <w:lvlText w:val="(%1)"/>
      <w:numFmt w:val="decimal"/>
      <w:start w:val="9"/>
    </w:lvl>
  </w:abstractNum>
  <w:abstractNum w:abstractNumId="104">
    <w:nsid w:val="49D0FEAC"/>
    <w:multiLevelType w:val="hybridMultilevel"/>
    <w:lvl w:ilvl="0">
      <w:lvlJc w:val="left"/>
      <w:lvlText w:val="(%1)"/>
      <w:numFmt w:val="decimal"/>
      <w:start w:val="1"/>
    </w:lvl>
  </w:abstractNum>
  <w:abstractNum w:abstractNumId="105">
    <w:nsid w:val="4BEE5A5B"/>
    <w:multiLevelType w:val="hybridMultilevel"/>
    <w:lvl w:ilvl="0">
      <w:lvlJc w:val="left"/>
      <w:lvlText w:val="*"/>
      <w:numFmt w:val="bullet"/>
      <w:start w:val="1"/>
    </w:lvl>
  </w:abstractNum>
  <w:abstractNum w:abstractNumId="106">
    <w:nsid w:val="5551B9F3"/>
    <w:multiLevelType w:val="hybridMultilevel"/>
    <w:lvl w:ilvl="0">
      <w:lvlJc w:val="left"/>
      <w:lvlText w:val="(%1)"/>
      <w:numFmt w:val="decimal"/>
      <w:start w:val="1"/>
    </w:lvl>
  </w:abstractNum>
  <w:abstractNum w:abstractNumId="107">
    <w:nsid w:val="24F6AB8E"/>
    <w:multiLevelType w:val="hybridMultilevel"/>
    <w:lvl w:ilvl="0">
      <w:lvlJc w:val="left"/>
      <w:lvlText w:val="(%1)"/>
      <w:numFmt w:val="decimal"/>
      <w:start w:val="7"/>
    </w:lvl>
  </w:abstractNum>
  <w:abstractNum w:abstractNumId="108">
    <w:nsid w:val="634C574C"/>
    <w:multiLevelType w:val="hybridMultilevel"/>
    <w:lvl w:ilvl="0">
      <w:lvlJc w:val="left"/>
      <w:lvlText w:val="(%1)"/>
      <w:numFmt w:val="decimal"/>
      <w:start w:val="1"/>
    </w:lvl>
  </w:abstractNum>
  <w:abstractNum w:abstractNumId="109">
    <w:nsid w:val="24E99DD7"/>
    <w:multiLevelType w:val="hybridMultilevel"/>
    <w:lvl w:ilvl="0">
      <w:lvlJc w:val="left"/>
      <w:lvlText w:val="(%1)"/>
      <w:numFmt w:val="decimal"/>
      <w:start w:val="3"/>
    </w:lvl>
  </w:abstractNum>
  <w:abstractNum w:abstractNumId="110">
    <w:nsid w:val="2A31B62D"/>
    <w:multiLevelType w:val="hybridMultilevel"/>
    <w:lvl w:ilvl="0">
      <w:lvlJc w:val="left"/>
      <w:lvlText w:val="(%1)"/>
      <w:numFmt w:val="decimal"/>
      <w:start w:val="1"/>
    </w:lvl>
  </w:abstractNum>
  <w:abstractNum w:abstractNumId="111">
    <w:nsid w:val="1849C29B"/>
    <w:multiLevelType w:val="hybridMultilevel"/>
    <w:lvl w:ilvl="0">
      <w:lvlJc w:val="left"/>
      <w:lvlText w:val="(%1)"/>
      <w:numFmt w:val="decimal"/>
      <w:start w:val="3"/>
    </w:lvl>
  </w:abstractNum>
  <w:abstractNum w:abstractNumId="112">
    <w:nsid w:val="7DFF9D09"/>
    <w:multiLevelType w:val="hybridMultilevel"/>
    <w:lvl w:ilvl="0">
      <w:lvlJc w:val="left"/>
      <w:lvlText w:val="•"/>
      <w:numFmt w:val="bullet"/>
      <w:start w:val="1"/>
    </w:lvl>
  </w:abstractNum>
  <w:abstractNum w:abstractNumId="113">
    <w:nsid w:val="754342"/>
    <w:multiLevelType w:val="hybridMultilevel"/>
    <w:lvl w:ilvl="0">
      <w:lvlJc w:val="left"/>
      <w:lvlText w:val="•"/>
      <w:numFmt w:val="bullet"/>
      <w:start w:val="1"/>
    </w:lvl>
  </w:abstractNum>
  <w:abstractNum w:abstractNumId="114">
    <w:nsid w:val="69E7F3E5"/>
    <w:multiLevelType w:val="hybridMultilevel"/>
    <w:lvl w:ilvl="0">
      <w:lvlJc w:val="left"/>
      <w:lvlText w:val="•"/>
      <w:numFmt w:val="bullet"/>
      <w:start w:val="1"/>
    </w:lvl>
  </w:abstractNum>
  <w:abstractNum w:abstractNumId="115">
    <w:nsid w:val="2A6DE806"/>
    <w:multiLevelType w:val="hybridMultilevel"/>
    <w:lvl w:ilvl="0">
      <w:lvlJc w:val="left"/>
      <w:lvlText w:val="(%1)"/>
      <w:numFmt w:val="decimal"/>
      <w:start w:val="1"/>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decimal"/>
      <w:start w:val="2"/>
    </w:lvl>
  </w:abstractNum>
  <w:abstractNum w:abstractNumId="118">
    <w:nsid w:val="7AB49DAF"/>
    <w:multiLevelType w:val="hybridMultilevel"/>
    <w:lvl w:ilvl="0">
      <w:lvlJc w:val="left"/>
      <w:lvlText w:val="(%1)"/>
      <w:numFmt w:val="decimal"/>
      <w:start w:val="3"/>
    </w:lvl>
  </w:abstractNum>
  <w:abstractNum w:abstractNumId="119">
    <w:nsid w:val="759F82CD"/>
    <w:multiLevelType w:val="hybridMultilevel"/>
    <w:lvl w:ilvl="0">
      <w:lvlJc w:val="left"/>
      <w:lvlText w:val="•"/>
      <w:numFmt w:val="bullet"/>
      <w:start w:val="1"/>
    </w:lvl>
  </w:abstractNum>
  <w:abstractNum w:abstractNumId="120">
    <w:nsid w:val="61E74EA3"/>
    <w:multiLevelType w:val="hybridMultilevel"/>
    <w:lvl w:ilvl="0">
      <w:lvlJc w:val="left"/>
      <w:lvlText w:val="•"/>
      <w:numFmt w:val="bullet"/>
      <w:start w:val="1"/>
    </w:lvl>
  </w:abstractNum>
  <w:abstractNum w:abstractNumId="121">
    <w:nsid w:val="597B4D84"/>
    <w:multiLevelType w:val="hybridMultilevel"/>
    <w:lvl w:ilvl="0">
      <w:lvlJc w:val="left"/>
      <w:lvlText w:val="(%1)"/>
      <w:numFmt w:val="lowerRoman"/>
      <w:start w:val="1"/>
    </w:lvl>
  </w:abstractNum>
  <w:abstractNum w:abstractNumId="122">
    <w:nsid w:val="F819E7F"/>
    <w:multiLevelType w:val="hybridMultilevel"/>
    <w:lvl w:ilvl="0">
      <w:lvlJc w:val="left"/>
      <w:lvlText w:val="(%1)"/>
      <w:numFmt w:val="decimal"/>
      <w:start w:val="1"/>
    </w:lvl>
  </w:abstractNum>
  <w:abstractNum w:abstractNumId="123">
    <w:nsid w:val="57C7D42D"/>
    <w:multiLevelType w:val="hybridMultilevel"/>
    <w:lvl w:ilvl="0">
      <w:lvlJc w:val="left"/>
      <w:lvlText w:val="(%1)"/>
      <w:numFmt w:val="lowerRoman"/>
      <w:start w:val="1"/>
    </w:lvl>
  </w:abstractNum>
  <w:abstractNum w:abstractNumId="124">
    <w:nsid w:val="312167AD"/>
    <w:multiLevelType w:val="hybridMultilevel"/>
    <w:lvl w:ilvl="0">
      <w:lvlJc w:val="left"/>
      <w:lvlText w:val="(%1)"/>
      <w:numFmt w:val="decimal"/>
      <w:start w:val="1"/>
    </w:lvl>
  </w:abstractNum>
  <w:abstractNum w:abstractNumId="125">
    <w:nsid w:val="631B64D4"/>
    <w:multiLevelType w:val="hybridMultilevel"/>
    <w:lvl w:ilvl="0">
      <w:lvlJc w:val="left"/>
      <w:lvlText w:val="(%1)"/>
      <w:numFmt w:val="decimal"/>
      <w:start w:val="1"/>
    </w:lvl>
  </w:abstractNum>
  <w:abstractNum w:abstractNumId="126">
    <w:nsid w:val="78B5E776"/>
    <w:multiLevelType w:val="hybridMultilevel"/>
    <w:lvl w:ilvl="0">
      <w:lvlJc w:val="left"/>
      <w:lvlText w:val="•"/>
      <w:numFmt w:val="bullet"/>
      <w:start w:val="1"/>
    </w:lvl>
  </w:abstractNum>
  <w:abstractNum w:abstractNumId="127">
    <w:nsid w:val="75486E47"/>
    <w:multiLevelType w:val="hybridMultilevel"/>
    <w:lvl w:ilvl="0">
      <w:lvlJc w:val="left"/>
      <w:lvlText w:val="(%1)"/>
      <w:numFmt w:val="decimal"/>
      <w:start w:val="1"/>
    </w:lvl>
  </w:abstractNum>
  <w:abstractNum w:abstractNumId="128">
    <w:nsid w:val="6E534CDE"/>
    <w:multiLevelType w:val="hybridMultilevel"/>
    <w:lvl w:ilvl="0">
      <w:lvlJc w:val="left"/>
      <w:lvlText w:val="(%1)"/>
      <w:numFmt w:val="decimal"/>
      <w:start w:val="1"/>
    </w:lvl>
  </w:abstractNum>
  <w:abstractNum w:abstractNumId="129">
    <w:nsid w:val="1A0DDE32"/>
    <w:multiLevelType w:val="hybridMultilevel"/>
    <w:lvl w:ilvl="0">
      <w:lvlJc w:val="left"/>
      <w:lvlText w:val="(%1)"/>
      <w:numFmt w:val="decimal"/>
      <w:start w:val="1"/>
    </w:lvl>
  </w:abstractNum>
  <w:abstractNum w:abstractNumId="130">
    <w:nsid w:val="65968C1C"/>
    <w:multiLevelType w:val="hybridMultilevel"/>
    <w:lvl w:ilvl="0">
      <w:lvlJc w:val="left"/>
      <w:lvlText w:val="(%1)"/>
      <w:numFmt w:val="decimal"/>
      <w:start w:val="1"/>
    </w:lvl>
  </w:abstractNum>
  <w:abstractNum w:abstractNumId="131">
    <w:nsid w:val="46263DEC"/>
    <w:multiLevelType w:val="hybridMultilevel"/>
    <w:lvl w:ilvl="0">
      <w:lvlJc w:val="left"/>
      <w:lvlText w:val="(%1)"/>
      <w:numFmt w:val="decimal"/>
      <w:start w:val="2"/>
    </w:lvl>
  </w:abstractNum>
  <w:abstractNum w:abstractNumId="132">
    <w:nsid w:val="260D8C4A"/>
    <w:multiLevelType w:val="hybridMultilevel"/>
    <w:lvl w:ilvl="0">
      <w:lvlJc w:val="left"/>
      <w:lvlText w:val="•"/>
      <w:numFmt w:val="bullet"/>
      <w:start w:val="1"/>
    </w:lvl>
  </w:abstractNum>
  <w:abstractNum w:abstractNumId="133">
    <w:nsid w:val="73D4D3C4"/>
    <w:multiLevelType w:val="hybridMultilevel"/>
    <w:lvl w:ilvl="0">
      <w:lvlJc w:val="left"/>
      <w:lvlText w:val="(%1)"/>
      <w:numFmt w:val="decimal"/>
      <w:start w:val="1"/>
    </w:lvl>
  </w:abstractNum>
  <w:abstractNum w:abstractNumId="134">
    <w:nsid w:val="746F2E30"/>
    <w:multiLevelType w:val="hybridMultilevel"/>
    <w:lvl w:ilvl="0">
      <w:lvlJc w:val="left"/>
      <w:lvlText w:val="(%1)"/>
      <w:numFmt w:val="decimal"/>
      <w:start w:val="1"/>
    </w:lvl>
  </w:abstractNum>
  <w:abstractNum w:abstractNumId="135">
    <w:nsid w:val="6FDE8AF6"/>
    <w:multiLevelType w:val="hybridMultilevel"/>
    <w:lvl w:ilvl="0">
      <w:lvlJc w:val="left"/>
      <w:lvlText w:val="•"/>
      <w:numFmt w:val="bullet"/>
      <w:start w:val="1"/>
    </w:lvl>
  </w:abstractNum>
  <w:abstractNum w:abstractNumId="136">
    <w:nsid w:val="3FC32E20"/>
    <w:multiLevelType w:val="hybridMultilevel"/>
    <w:lvl w:ilvl="0">
      <w:lvlJc w:val="left"/>
      <w:lvlText w:val="(%1)"/>
      <w:numFmt w:val="decimal"/>
      <w:start w:val="1"/>
    </w:lvl>
  </w:abstractNum>
  <w:abstractNum w:abstractNumId="137">
    <w:nsid w:val="49C0E823"/>
    <w:multiLevelType w:val="hybridMultilevel"/>
    <w:lvl w:ilvl="0">
      <w:lvlJc w:val="left"/>
      <w:lvlText w:val="(%1)"/>
      <w:numFmt w:val="decimal"/>
      <w:start w:val="2"/>
    </w:lvl>
  </w:abstractNum>
  <w:abstractNum w:abstractNumId="138">
    <w:nsid w:val="14D53685"/>
    <w:multiLevelType w:val="hybridMultilevel"/>
    <w:lvl w:ilvl="0">
      <w:lvlJc w:val="left"/>
      <w:lvlText w:val="(%1)"/>
      <w:numFmt w:val="decimal"/>
      <w:start w:val="1"/>
    </w:lvl>
  </w:abstractNum>
  <w:abstractNum w:abstractNumId="139">
    <w:nsid w:val="230F856C"/>
    <w:multiLevelType w:val="hybridMultilevel"/>
    <w:lvl w:ilvl="0">
      <w:lvlJc w:val="left"/>
      <w:lvlText w:val="•"/>
      <w:numFmt w:val="bullet"/>
      <w:start w:val="1"/>
    </w:lvl>
  </w:abstractNum>
  <w:abstractNum w:abstractNumId="140">
    <w:nsid w:val="6EAA85FB"/>
    <w:multiLevelType w:val="hybridMultilevel"/>
    <w:lvl w:ilvl="0">
      <w:lvlJc w:val="left"/>
      <w:lvlText w:val="(%1)"/>
      <w:numFmt w:val="decimal"/>
      <w:start w:val="1"/>
    </w:lvl>
  </w:abstractNum>
  <w:abstractNum w:abstractNumId="141">
    <w:nsid w:val="3F06ECB2"/>
    <w:multiLevelType w:val="hybridMultilevel"/>
    <w:lvl w:ilvl="0">
      <w:lvlJc w:val="left"/>
      <w:lvlText w:val="(%1)"/>
      <w:numFmt w:val="decimal"/>
      <w:start w:val="1"/>
    </w:lvl>
  </w:abstractNum>
  <w:abstractNum w:abstractNumId="142">
    <w:nsid w:val="3B594807"/>
    <w:multiLevelType w:val="hybridMultilevel"/>
    <w:lvl w:ilvl="0">
      <w:lvlJc w:val="left"/>
      <w:lvlText w:val="(%1)"/>
      <w:numFmt w:val="decimal"/>
      <w:start w:val="1"/>
    </w:lvl>
  </w:abstractNum>
  <w:abstractNum w:abstractNumId="143">
    <w:nsid w:val="6CAA2304"/>
    <w:multiLevelType w:val="hybridMultilevel"/>
    <w:lvl w:ilvl="0">
      <w:lvlJc w:val="left"/>
      <w:lvlText w:val="(%1)"/>
      <w:numFmt w:val="decimal"/>
      <w:start w:val="1"/>
    </w:lvl>
  </w:abstractNum>
  <w:abstractNum w:abstractNumId="144">
    <w:nsid w:val="3F7C2FF4"/>
    <w:multiLevelType w:val="hybridMultilevel"/>
    <w:lvl w:ilvl="0">
      <w:lvlJc w:val="left"/>
      <w:lvlText w:val="(%1)"/>
      <w:numFmt w:val="decimal"/>
      <w:start w:val="1"/>
    </w:lvl>
  </w:abstractNum>
  <w:abstractNum w:abstractNumId="145">
    <w:nsid w:val="25413BEC"/>
    <w:multiLevelType w:val="hybridMultilevel"/>
    <w:lvl w:ilvl="0">
      <w:lvlJc w:val="left"/>
      <w:lvlText w:val="(%1)"/>
      <w:numFmt w:val="decimal"/>
      <w:start w:val="1"/>
    </w:lvl>
  </w:abstractNum>
  <w:abstractNum w:abstractNumId="146">
    <w:nsid w:val="17180B0B"/>
    <w:multiLevelType w:val="hybridMultilevel"/>
    <w:lvl w:ilvl="0">
      <w:lvlJc w:val="left"/>
      <w:lvlText w:val="(%1)"/>
      <w:numFmt w:val="decimal"/>
      <w:start w:val="1"/>
    </w:lvl>
  </w:abstractNum>
  <w:abstractNum w:abstractNumId="147">
    <w:nsid w:val="579328B9"/>
    <w:multiLevelType w:val="hybridMultilevel"/>
    <w:lvl w:ilvl="0">
      <w:lvlJc w:val="left"/>
      <w:lvlText w:val="(%1)"/>
      <w:numFmt w:val="decimal"/>
      <w:start w:val="1"/>
    </w:lvl>
  </w:abstractNum>
  <w:abstractNum w:abstractNumId="148">
    <w:nsid w:val="5D205E20"/>
    <w:multiLevelType w:val="hybridMultilevel"/>
    <w:lvl w:ilvl="0">
      <w:lvlJc w:val="left"/>
      <w:lvlText w:val="(%1)"/>
      <w:numFmt w:val="decimal"/>
      <w:start w:val="1"/>
    </w:lvl>
  </w:abstractNum>
  <w:abstractNum w:abstractNumId="149">
    <w:nsid w:val="11CCA8BA"/>
    <w:multiLevelType w:val="hybridMultilevel"/>
    <w:lvl w:ilvl="0">
      <w:lvlJc w:val="left"/>
      <w:lvlText w:val="(%1)"/>
      <w:numFmt w:val="decimal"/>
      <w:start w:val="6"/>
    </w:lvl>
  </w:abstractNum>
  <w:abstractNum w:abstractNumId="150">
    <w:nsid w:val="4D32AB86"/>
    <w:multiLevelType w:val="hybridMultilevel"/>
    <w:lvl w:ilvl="0">
      <w:lvlJc w:val="left"/>
      <w:lvlText w:val="(%1)"/>
      <w:numFmt w:val="decimal"/>
      <w:start w:val="1"/>
    </w:lvl>
  </w:abstractNum>
  <w:abstractNum w:abstractNumId="151">
    <w:nsid w:val="3F07ACC3"/>
    <w:multiLevelType w:val="hybridMultilevel"/>
    <w:lvl w:ilvl="0">
      <w:lvlJc w:val="left"/>
      <w:lvlText w:val="(%1)"/>
      <w:numFmt w:val="decimal"/>
      <w:start w:val="1"/>
    </w:lvl>
  </w:abstractNum>
  <w:abstractNum w:abstractNumId="152">
    <w:nsid w:val="6B47F63E"/>
    <w:multiLevelType w:val="hybridMultilevel"/>
    <w:lvl w:ilvl="0">
      <w:lvlJc w:val="left"/>
      <w:lvlText w:val="†"/>
      <w:numFmt w:val="bullet"/>
      <w:start w:val="1"/>
    </w:lvl>
  </w:abstractNum>
  <w:abstractNum w:abstractNumId="153">
    <w:nsid w:val="5CB44A05"/>
    <w:multiLevelType w:val="hybridMultilevel"/>
    <w:lvl w:ilvl="0">
      <w:lvlJc w:val="left"/>
      <w:lvlText w:val="††"/>
      <w:numFmt w:val="bullet"/>
      <w:start w:val="1"/>
    </w:lvl>
  </w:abstractNum>
  <w:abstractNum w:abstractNumId="154">
    <w:nsid w:val="16CF80F1"/>
    <w:multiLevelType w:val="hybridMultilevel"/>
    <w:lvl w:ilvl="0">
      <w:lvlJc w:val="left"/>
      <w:lvlText w:val="*"/>
      <w:numFmt w:val="bullet"/>
      <w:start w:val="1"/>
    </w:lvl>
  </w:abstractNum>
  <w:abstractNum w:abstractNumId="155">
    <w:nsid w:val="1C695DEC"/>
    <w:multiLevelType w:val="hybridMultilevel"/>
    <w:lvl w:ilvl="0">
      <w:lvlJc w:val="left"/>
      <w:lvlText w:val="**"/>
      <w:numFmt w:val="bullet"/>
      <w:start w:val="1"/>
    </w:lvl>
  </w:abstractNum>
  <w:abstractNum w:abstractNumId="156">
    <w:nsid w:val="3FCFAED9"/>
    <w:multiLevelType w:val="hybridMultilevel"/>
    <w:lvl w:ilvl="0">
      <w:lvlJc w:val="left"/>
      <w:lvlText w:val="***"/>
      <w:numFmt w:val="bullet"/>
      <w:start w:val="1"/>
    </w:lvl>
  </w:abstractNum>
  <w:abstractNum w:abstractNumId="157">
    <w:nsid w:val="F856867"/>
    <w:multiLevelType w:val="hybridMultilevel"/>
    <w:lvl w:ilvl="0">
      <w:lvlJc w:val="left"/>
      <w:lvlText w:val="(%1)"/>
      <w:numFmt w:val="decimal"/>
      <w:start w:val="1"/>
    </w:lvl>
  </w:abstractNum>
  <w:abstractNum w:abstractNumId="158">
    <w:nsid w:val="11B1CC33"/>
    <w:multiLevelType w:val="hybridMultilevel"/>
    <w:lvl w:ilvl="0">
      <w:lvlJc w:val="left"/>
      <w:lvlText w:val="%1."/>
      <w:numFmt w:val="decimal"/>
      <w:start w:val="1"/>
    </w:lvl>
  </w:abstractNum>
  <w:abstractNum w:abstractNumId="159">
    <w:nsid w:val="2E22FBB7"/>
    <w:multiLevelType w:val="hybridMultilevel"/>
    <w:lvl w:ilvl="0">
      <w:lvlJc w:val="left"/>
      <w:lvlText w:val="(%1)"/>
      <w:numFmt w:val="lowerLetter"/>
      <w:start w:val="1"/>
    </w:lvl>
  </w:abstractNum>
  <w:abstractNum w:abstractNumId="160">
    <w:nsid w:val="29934699"/>
    <w:multiLevelType w:val="hybridMultilevel"/>
    <w:lvl w:ilvl="0">
      <w:lvlJc w:val="left"/>
      <w:lvlText w:val="%1."/>
      <w:numFmt w:val="decimal"/>
      <w:start w:val="5"/>
    </w:lvl>
  </w:abstractNum>
  <w:abstractNum w:abstractNumId="161">
    <w:nsid w:val="77485850"/>
    <w:multiLevelType w:val="hybridMultilevel"/>
    <w:lvl w:ilvl="0">
      <w:lvlJc w:val="left"/>
      <w:lvlText w:val="(%1)"/>
      <w:numFmt w:val="lowerLetter"/>
      <w:start w:val="1"/>
    </w:lvl>
  </w:abstractNum>
  <w:abstractNum w:abstractNumId="162">
    <w:nsid w:val="744939A3"/>
    <w:multiLevelType w:val="hybridMultilevel"/>
    <w:lvl w:ilvl="0">
      <w:lvlJc w:val="left"/>
      <w:lvlText w:val="%1."/>
      <w:numFmt w:val="decimal"/>
      <w:start w:val="1"/>
    </w:lvl>
  </w:abstractNum>
  <w:abstractNum w:abstractNumId="163">
    <w:nsid w:val="4FA0D2E3"/>
    <w:multiLevelType w:val="hybridMultilevel"/>
    <w:lvl w:ilvl="0">
      <w:lvlJc w:val="left"/>
      <w:lvlText w:val="(%1)"/>
      <w:numFmt w:val="lowerLetter"/>
      <w:start w:val="1"/>
    </w:lvl>
  </w:abstractNum>
  <w:abstractNum w:abstractNumId="164">
    <w:nsid w:val="6B1D2C14"/>
    <w:multiLevelType w:val="hybridMultilevel"/>
    <w:lvl w:ilvl="0">
      <w:lvlJc w:val="left"/>
      <w:lvlText w:val="%1."/>
      <w:numFmt w:val="decimal"/>
      <w:start w:val="5"/>
    </w:lvl>
  </w:abstractNum>
  <w:abstractNum w:abstractNumId="165">
    <w:nsid w:val="68B867D3"/>
    <w:multiLevelType w:val="hybridMultilevel"/>
    <w:lvl w:ilvl="0">
      <w:lvlJc w:val="left"/>
      <w:lvlText w:val="(%1)"/>
      <w:numFmt w:val="lowerLetter"/>
      <w:start w:val="1"/>
    </w:lvl>
  </w:abstractNum>
  <w:abstractNum w:abstractNumId="166">
    <w:nsid w:val="3F7F5DD9"/>
    <w:multiLevelType w:val="hybridMultilevel"/>
    <w:lvl w:ilvl="0">
      <w:lvlJc w:val="left"/>
      <w:lvlText w:val="(%1)"/>
      <w:numFmt w:val="lowerRoman"/>
      <w:start w:val="1"/>
    </w:lvl>
  </w:abstractNum>
  <w:abstractNum w:abstractNumId="167">
    <w:nsid w:val="2AE05A3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2020-01-16T09:11:40Z</dcterms:created>
  <dcterms:modified xsi:type="dcterms:W3CDTF">2020-01-16T09:11:40Z</dcterms:modified>
</cp:coreProperties>
</file>