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5, 2019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60"/>
          </w:cols>
          <w:pgMar w:left="240" w:top="544" w:right="29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February 5, 2019, the Registrant issued a press release reporting its fourth-quarter 2018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Exhibit 99.1 — Press Release dated February 5, 2019</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By:   PAA GP LLC, its general partner</w:t>
            </w:r>
          </w:p>
        </w:tc>
        <w:tc>
          <w:tcPr>
            <w:tcW w:w="4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By:   PLAINS AAP, L.P., its sole member</w:t>
            </w:r>
          </w:p>
        </w:tc>
        <w:tc>
          <w:tcPr>
            <w:tcW w:w="4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By:   PLAINS ALL AMERICAN GP LLC, its general partner</w:t>
            </w:r>
          </w:p>
        </w:tc>
        <w:tc>
          <w:tcPr>
            <w:tcW w:w="40" w:type="dxa"/>
            <w:vAlign w:val="bottom"/>
          </w:tcPr>
          <w:p>
            <w:pPr>
              <w:spacing w:after="0"/>
              <w:rPr>
                <w:sz w:val="24"/>
                <w:szCs w:val="24"/>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5, 2019</w:t>
            </w:r>
          </w:p>
        </w:tc>
        <w:tc>
          <w:tcPr>
            <w:tcW w:w="7740" w:type="dxa"/>
            <w:vAlign w:val="bottom"/>
            <w:gridSpan w:val="3"/>
          </w:tcPr>
          <w:p>
            <w:pPr>
              <w:ind w:left="2040"/>
              <w:spacing w:after="0"/>
              <w:rPr>
                <w:sz w:val="20"/>
                <w:szCs w:val="20"/>
                <w:color w:val="auto"/>
              </w:rPr>
            </w:pPr>
            <w:r>
              <w:rPr>
                <w:rFonts w:ascii="Arial" w:cs="Arial" w:eastAsia="Arial" w:hAnsi="Arial"/>
                <w:sz w:val="18"/>
                <w:szCs w:val="18"/>
                <w:color w:val="auto"/>
              </w:rPr>
              <w:t>By:   /s/ Sharon Spurlin</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Sharon Spurlin</w:t>
            </w:r>
          </w:p>
        </w:tc>
        <w:tc>
          <w:tcPr>
            <w:tcW w:w="4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154940</wp:posOffset>
            </wp:positionV>
            <wp:extent cx="585724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2018 Results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(Houston — February 5, 2019) Plains All American Pipeline, L.P. (NYSE: PAA) and Plains GP Holdings (NYSE: PAGP) today reported fourth-quarter and full-year 2018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Fourth-Quarter and Full-Year 2018 Highlights</w:t>
      </w:r>
    </w:p>
    <w:p>
      <w:pPr>
        <w:spacing w:after="0" w:line="229" w:lineRule="exact"/>
        <w:rPr>
          <w:sz w:val="20"/>
          <w:szCs w:val="20"/>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Delivered 4Q and full-year 2018 financial and operating results ahead of expectations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Executed Permian-focused capital program, including early completion of Sunrise Expansion</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Actively developed additional growth capital projects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Significantly advanced deleveraging plan and enhanced financial flexibility</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“Our fourth-quarter and full-year 2018 results exceeded our guidance and reflect solid execution of our business plan,” stated Willie Chiang, Chief Executive Officer of Plains All American Pipeline. “Looking forward, we believe we are well positioned with a strategic asset base and business model and improved financial flexibility.”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0.19</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626%</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Diluted weighted average common units outstanding</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Distribution per common unit declared for the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335"/>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net income attributable to PAA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631</w:t>
            </w:r>
          </w:p>
        </w:tc>
        <w:tc>
          <w:tcPr>
            <w:tcW w:w="128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2,082</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0.58</w:t>
            </w:r>
          </w:p>
        </w:tc>
        <w:tc>
          <w:tcPr>
            <w:tcW w:w="128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8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ind w:left="340" w:right="680" w:hanging="332"/>
        <w:spacing w:after="0" w:line="229"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2018, we began classifying net gains and losses on asset sales and asset impairments as a selected item impacting comparability in the calculation of adjusted net income attributable to PAA. Prior period amounts have been recast to reflect this change. See the “Selected Items Impacting Comparability” table attached hereto for additional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fourth quarter and full year of 2018 and 2017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Segment Adjusted EBITDA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Three Months Ended December 31,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(2)%</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272%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2%</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Segment Adjusted EBITDA</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Facilities</w:t>
            </w:r>
          </w:p>
        </w:tc>
        <w:tc>
          <w:tcPr>
            <w:tcW w:w="22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Supply and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2018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Twelve Months Ended December 31, 2017</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1,287</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(3)%</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670%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2017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3%</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Fourth-quarter 2018 Transportation Segment Adjusted EBITDA increased by 20% over comparable 2017 results. This increase was primarily driven by increased volume on our Permian Basin systems, including the start-up of our Sunrise II pipeline in the fourth quarter of 2018. Fourth-quarter 2018 results also benefited from a full period of Diamond pipeline volumes, which was placed into service in late 2017. These favorable results were partially offset by the impact of the sale of an interest in our BridgeTex pipeline and asset sales in the Rocky Mountain region.</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Fourth-quarter 2018 Facilities Segment Adjusted EBITDA decreased by 2% versus comparable 2017 results, primarily due to the impact of asset sales and lower revenues from our NGL fractionation facilities. This was partially offset by higher revenues from increased activity at certain of our crude oil rail terminals, as well as at our Cushing terminal.</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Fourth-quarter 2018 Supply and Logistics Segment Adjusted EBITDA increased versus comparable 2017 results primarily due to capturing more favorable crude oil differentials in the U.S. and Canada.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2019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 (G)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1,287</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Adjusted other income/(expense), net</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800" w:type="dxa"/>
            <w:vAlign w:val="bottom"/>
          </w:tcPr>
          <w:p>
            <w:pPr>
              <w:spacing w:after="0"/>
              <w:rPr>
                <w:sz w:val="18"/>
                <w:szCs w:val="18"/>
                <w:color w:val="auto"/>
              </w:rPr>
            </w:pPr>
          </w:p>
        </w:tc>
        <w:tc>
          <w:tcPr>
            <w:tcW w:w="880" w:type="dxa"/>
            <w:vAlign w:val="bottom"/>
            <w:tcBorders>
              <w:top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80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1,307</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1680" w:type="dxa"/>
            <w:vAlign w:val="bottom"/>
            <w:gridSpan w:val="2"/>
            <w:shd w:val="clear" w:color="auto" w:fill="CCEEFF"/>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Transportation</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Facilities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Segment Adjusted EBITDA per barrel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Expansion Capital</w:t>
            </w:r>
          </w:p>
        </w:tc>
        <w:tc>
          <w:tcPr>
            <w:tcW w:w="1680" w:type="dxa"/>
            <w:vAlign w:val="bottom"/>
            <w:gridSpan w:val="2"/>
          </w:tcPr>
          <w:p>
            <w:pPr>
              <w:jc w:val="right"/>
              <w:ind w:right="726"/>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1,135</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1,888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First-Quarter Adjusted EBITDA as Percentage of Full Year</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left="340" w:right="40" w:hanging="332"/>
        <w:spacing w:after="0" w:line="257" w:lineRule="auto"/>
        <w:tabs>
          <w:tab w:leader="none" w:pos="32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ind w:left="320" w:hanging="312"/>
        <w:spacing w:after="0" w:line="205" w:lineRule="auto"/>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jc w:val="both"/>
        <w:ind w:left="340" w:right="100" w:hanging="332"/>
        <w:spacing w:after="0" w:line="236"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year presented. The distribution requirement of our Series A preferred units was paid-in-kind for all 2017 quarterly distributions and for the February 2018 quarterly distribution. Distributions on our Series A preferred units were paid in cash beginning with the May 2018 quarterly distribution. The distribution requirement of our Series B preferred units, which were issued in October 2017, is payable semi-annually in arrears on May 15 and November 15. A pro-rated initial distribution on the Series B preferred units was paid on November 15,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Q4 2018</w:t>
            </w: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2018</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Q4 2017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Q4 2018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93"/>
              </w:rPr>
              <w:t>—%</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February 5,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fourth-quarter and full-year 2018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2019;</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auto"/>
        </w:rPr>
        <w:t>https://event.webcasts.com/starthere.jsp?ei=1226801&amp;tp_key=b7b2e5a458</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gains and losses on asset sales and asset impairments, and gains on sales of investments in unconsolidated entities, adjusted for certain selected items impacting comparability (“Adjusted EBITDA”) and implied distributable cash flow (“DCF”).</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the failure to consummate, or significant delay in consummating, sales of assets or interests as a part of our strategic divestiture program;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7,605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6,955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6,746</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29,793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7,471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7,344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Gain/(loss) on sale of investment in unconsolidated entities</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1,280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1,117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1,063</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1,104</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2,164</w:t>
            </w:r>
          </w:p>
        </w:tc>
        <w:tc>
          <w:tcPr>
            <w:tcW w:w="280" w:type="dxa"/>
            <w:vAlign w:val="bottom"/>
          </w:tcPr>
          <w:p>
            <w:pPr>
              <w:spacing w:after="0"/>
              <w:rPr>
                <w:sz w:val="18"/>
                <w:szCs w:val="18"/>
                <w:color w:val="auto"/>
              </w:rPr>
            </w:pP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1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67"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tcPr>
          <w:p>
            <w:pPr>
              <w:ind w:left="42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19"/>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0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1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102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w:t>
            </w:r>
          </w:p>
        </w:tc>
        <w:tc>
          <w:tcPr>
            <w:tcW w:w="102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8"/>
                <w:szCs w:val="18"/>
                <w:color w:val="auto"/>
              </w:rPr>
              <w:t>- more -</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2260"/>
              <w:spacing w:after="0"/>
              <w:rPr>
                <w:sz w:val="20"/>
                <w:szCs w:val="20"/>
                <w:color w:val="auto"/>
              </w:rPr>
            </w:pPr>
            <w:r>
              <w:rPr>
                <w:rFonts w:ascii="Arial" w:cs="Arial" w:eastAsia="Arial" w:hAnsi="Arial"/>
                <w:sz w:val="18"/>
                <w:szCs w:val="18"/>
                <w:b w:val="1"/>
                <w:bCs w:val="1"/>
                <w:color w:val="auto"/>
                <w:w w:val="99"/>
              </w:rPr>
              <w:t>333 Clay Street, Suite 1600</w:t>
            </w:r>
          </w:p>
        </w:tc>
        <w:tc>
          <w:tcPr>
            <w:tcW w:w="22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Houston, Texas 77002</w:t>
            </w:r>
          </w:p>
        </w:tc>
        <w:tc>
          <w:tcPr>
            <w:tcW w:w="2940" w:type="dxa"/>
            <w:vAlign w:val="bottom"/>
            <w:gridSpan w:val="6"/>
          </w:tcPr>
          <w:p>
            <w:pPr>
              <w:jc w:val="right"/>
              <w:ind w:right="559"/>
              <w:spacing w:after="0"/>
              <w:rPr>
                <w:sz w:val="20"/>
                <w:szCs w:val="20"/>
                <w:color w:val="auto"/>
              </w:rPr>
            </w:pPr>
            <w:r>
              <w:rPr>
                <w:rFonts w:ascii="Arial" w:cs="Arial" w:eastAsia="Arial" w:hAnsi="Arial"/>
                <w:sz w:val="18"/>
                <w:szCs w:val="18"/>
                <w:b w:val="1"/>
                <w:bCs w:val="1"/>
                <w:color w:val="auto"/>
                <w:w w:val="95"/>
              </w:rPr>
              <w:t>713-646-4100 / 866-809-1291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2,521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gridSpan w:val="3"/>
          </w:tcPr>
          <w:p>
            <w:pPr>
              <w:ind w:left="18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3,456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12,002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6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3"/>
                <w:szCs w:val="23"/>
                <w:color w:val="auto"/>
                <w:vertAlign w:val="superscript"/>
              </w:rPr>
              <w:t>(1)</w:t>
            </w:r>
          </w:p>
        </w:tc>
        <w:tc>
          <w:tcPr>
            <w:tcW w:w="1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820" w:type="dxa"/>
            <w:vAlign w:val="bottom"/>
            <w:vMerge w:val="restart"/>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tcBorders>
            <w:gridSpan w:val="2"/>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20,878</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27"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borrowings for cash margin deposits with our clearing brokers, which are associated with financial derivatives used for hedging purposes, and for short-term hedged inventory purchases.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5"/>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6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1,117</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16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96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16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1,117</w:t>
            </w:r>
          </w:p>
        </w:tc>
        <w:tc>
          <w:tcPr>
            <w:tcW w:w="96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164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96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52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and twelve months ended December 31, 2017 as the effect was antidilutive.</w:t>
      </w:r>
    </w:p>
    <w:p>
      <w:pPr>
        <w:spacing w:after="0" w:line="1" w:lineRule="exact"/>
        <w:rPr>
          <w:rFonts w:ascii="Arial" w:cs="Arial" w:eastAsia="Arial" w:hAnsi="Arial"/>
          <w:sz w:val="23"/>
          <w:szCs w:val="23"/>
          <w:color w:val="auto"/>
          <w:vertAlign w:val="superscript"/>
        </w:rPr>
      </w:pPr>
    </w:p>
    <w:p>
      <w:pPr>
        <w:ind w:left="340" w:right="260" w:hanging="332"/>
        <w:spacing w:after="0" w:line="249"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line="201" w:lineRule="exact"/>
              <w:rPr>
                <w:sz w:val="20"/>
                <w:szCs w:val="20"/>
                <w:color w:val="auto"/>
              </w:rPr>
            </w:pPr>
            <w:r>
              <w:rPr>
                <w:rFonts w:ascii="Arial" w:cs="Arial" w:eastAsia="Arial" w:hAnsi="Arial"/>
                <w:sz w:val="18"/>
                <w:szCs w:val="18"/>
                <w:color w:val="auto"/>
              </w:rPr>
              <w:t>Gains/(losses) from derivative activities net of inventory valuation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96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760" w:type="dxa"/>
            <w:vAlign w:val="bottom"/>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3"/>
                <w:szCs w:val="23"/>
                <w:color w:val="auto"/>
                <w:vertAlign w:val="superscript"/>
              </w:rPr>
              <w:t>(6)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Net loss on early repayment of senior notes </w:t>
            </w:r>
            <w:r>
              <w:rPr>
                <w:rFonts w:ascii="Arial" w:cs="Arial" w:eastAsia="Arial" w:hAnsi="Arial"/>
                <w:sz w:val="23"/>
                <w:szCs w:val="23"/>
                <w:color w:val="auto"/>
                <w:vertAlign w:val="superscript"/>
              </w:rPr>
              <w:t>(9)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Gain/(loss) on sale of investment in unconsolidated entities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(120)</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(144)</w:t>
            </w:r>
          </w:p>
        </w:tc>
        <w:tc>
          <w:tcPr>
            <w:tcW w:w="380" w:type="dxa"/>
            <w:vAlign w:val="bottom"/>
            <w:gridSpan w:val="2"/>
            <w:vMerge w:val="restart"/>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460" w:type="dxa"/>
            <w:vAlign w:val="bottom"/>
            <w:gridSpan w:val="2"/>
            <w:vMerge w:val="restart"/>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 PAA</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right="60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acquisition-related expenses associated with the Alpha Crude Connector acquisition.</w:t>
      </w:r>
    </w:p>
    <w:p>
      <w:pPr>
        <w:spacing w:after="0" w:line="1" w:lineRule="exact"/>
        <w:rPr>
          <w:rFonts w:ascii="Arial" w:cs="Arial" w:eastAsia="Arial" w:hAnsi="Arial"/>
          <w:sz w:val="23"/>
          <w:szCs w:val="23"/>
          <w:color w:val="auto"/>
          <w:vertAlign w:val="superscript"/>
        </w:rPr>
      </w:pPr>
    </w:p>
    <w:p>
      <w:pPr>
        <w:ind w:left="340" w:right="380" w:hanging="332"/>
        <w:spacing w:after="0" w:line="21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net losses incurred in connection with the early redemption of our (i) $600 million, 6.50% senior notes due May 2018 and (ii) $350 million, 8.75% senior notes due May 2019.</w:t>
      </w:r>
    </w:p>
    <w:p>
      <w:pPr>
        <w:ind w:left="340" w:right="900" w:hanging="332"/>
        <w:spacing w:after="0" w:line="231" w:lineRule="auto"/>
        <w:tabs>
          <w:tab w:leader="none" w:pos="31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8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2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1,117</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2,216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7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18"/>
                <w:szCs w:val="18"/>
                <w:color w:val="auto"/>
              </w:rPr>
            </w:pPr>
          </w:p>
        </w:tc>
        <w:tc>
          <w:tcPr>
            <w:tcW w:w="76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92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92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1,117</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ind w:left="160"/>
              <w:spacing w:after="0" w:line="201" w:lineRule="exact"/>
              <w:rPr>
                <w:sz w:val="20"/>
                <w:szCs w:val="20"/>
                <w:color w:val="auto"/>
              </w:rPr>
            </w:pPr>
            <w:r>
              <w:rPr>
                <w:rFonts w:ascii="Arial" w:cs="Arial" w:eastAsia="Arial" w:hAnsi="Arial"/>
                <w:sz w:val="18"/>
                <w:szCs w:val="18"/>
                <w:color w:val="auto"/>
                <w:w w:val="94"/>
              </w:rPr>
              <w:t>Selected items impacting comparability - Adjusted net income attributable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to PAA </w:t>
            </w:r>
            <w:r>
              <w:rPr>
                <w:rFonts w:ascii="Arial" w:cs="Arial" w:eastAsia="Arial" w:hAnsi="Arial"/>
                <w:sz w:val="23"/>
                <w:szCs w:val="23"/>
                <w:color w:val="auto"/>
                <w:vertAlign w:val="superscript"/>
              </w:rPr>
              <w:t>(2)</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76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92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0.39</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30"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twelve months ended December 31, 2018 and the three and twelve months ended December 31, 2017 as the effect was antidilutive.</w:t>
      </w:r>
    </w:p>
    <w:p>
      <w:pPr>
        <w:ind w:left="340" w:right="260" w:hanging="332"/>
        <w:spacing w:after="0" w:line="249"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3"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1,117</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2,216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(Gain)/loss on sale of investment in unconsolidated entities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8"/>
                <w:szCs w:val="18"/>
                <w:color w:val="auto"/>
              </w:rPr>
            </w:pPr>
          </w:p>
        </w:tc>
        <w:tc>
          <w:tcPr>
            <w:tcW w:w="72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line="216" w:lineRule="exact"/>
              <w:rPr>
                <w:sz w:val="20"/>
                <w:szCs w:val="20"/>
                <w:color w:val="auto"/>
              </w:rPr>
            </w:pPr>
            <w:r>
              <w:rPr>
                <w:rFonts w:ascii="Arial" w:cs="Arial" w:eastAsia="Arial" w:hAnsi="Arial"/>
                <w:sz w:val="18"/>
                <w:szCs w:val="18"/>
                <w:color w:val="auto"/>
                <w:w w:val="94"/>
              </w:rPr>
              <w:t xml:space="preserve">Adjusted equity earnings in unconsolidated entities, net of distributions </w:t>
            </w:r>
            <w:r>
              <w:rPr>
                <w:rFonts w:ascii="Arial" w:cs="Arial" w:eastAsia="Arial" w:hAnsi="Arial"/>
                <w:sz w:val="23"/>
                <w:szCs w:val="23"/>
                <w:color w:val="auto"/>
                <w:w w:val="94"/>
                <w:vertAlign w:val="superscript"/>
              </w:rPr>
              <w:t>(4)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Implied DCF</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Pr>
          <w:p>
            <w:pPr>
              <w:spacing w:after="0"/>
              <w:rPr>
                <w:sz w:val="18"/>
                <w:szCs w:val="18"/>
                <w:color w:val="auto"/>
              </w:rPr>
            </w:pPr>
          </w:p>
        </w:tc>
        <w:tc>
          <w:tcPr>
            <w:tcW w:w="72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2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7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0.94</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0.90</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0.30</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940" w:type="dxa"/>
            <w:vAlign w:val="bottom"/>
            <w:gridSpan w:val="2"/>
            <w:shd w:val="clear" w:color="auto" w:fill="CCEEFF"/>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3.11x</w:t>
            </w: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1.92x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2.05x</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94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461</w:t>
            </w: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10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780" w:hanging="332"/>
        <w:spacing w:after="0" w:line="219"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and losses on significant asset sales) and cash distributions received from such entities.</w:t>
      </w: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140" w:hanging="332"/>
        <w:spacing w:after="0" w:line="260"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which were issued in October 2017, is payable semi-annually in arrears on May 15 and November 15.</w:t>
      </w:r>
    </w:p>
    <w:p>
      <w:pPr>
        <w:spacing w:after="0" w:line="3"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80" w:hanging="332"/>
        <w:spacing w:after="0" w:line="233"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at any time after January 28, 2018, in whole or in part, subject to certain minimum conversion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(0.63)</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154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(0.58)</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4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(0.52)</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18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line="216" w:lineRule="exact"/>
              <w:rPr>
                <w:sz w:val="20"/>
                <w:szCs w:val="20"/>
                <w:color w:val="auto"/>
              </w:rPr>
            </w:pPr>
            <w:r>
              <w:rPr>
                <w:rFonts w:ascii="Arial" w:cs="Arial" w:eastAsia="Arial" w:hAnsi="Arial"/>
                <w:sz w:val="18"/>
                <w:szCs w:val="18"/>
                <w:color w:val="auto"/>
                <w:w w:val="97"/>
              </w:rPr>
              <w:t xml:space="preserve">Reconciling items per common unit and common equivalent unit </w:t>
            </w:r>
            <w:r>
              <w:rPr>
                <w:rFonts w:ascii="Arial" w:cs="Arial" w:eastAsia="Arial" w:hAnsi="Arial"/>
                <w:sz w:val="23"/>
                <w:szCs w:val="23"/>
                <w:color w:val="auto"/>
                <w:w w:val="97"/>
                <w:vertAlign w:val="superscript"/>
              </w:rPr>
              <w:t>(1) (3)</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(0.56)</w:t>
            </w:r>
          </w:p>
        </w:tc>
        <w:tc>
          <w:tcPr>
            <w:tcW w:w="7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725 million, 726 million and 717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69 million, 71 million and 67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Net (gain)/loss on 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40" w:hanging="332"/>
        <w:spacing w:after="0" w:line="22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2"/>
              </w:rPr>
              <w:t>Twelve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Twelve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7"/>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9"/>
              </w:rPr>
              <w:t>Segment general and administrative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(Gains)/losses from derivative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inventory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Long-term inventory costing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volume commitments, net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160"/>
              <w:spacing w:after="0" w:line="201" w:lineRule="exact"/>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Net (gain)/loss on foreign 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Line 901 incident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Significant acquisition-related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00" w:hanging="332"/>
        <w:spacing w:after="0" w:line="22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4,063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3,219</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3,732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523</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6,082</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5,199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6,294</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5,371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Trucking volumes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5,477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w w:val="97"/>
              </w:rPr>
              <w:t>Natural gas storage (average monthly working capacity in billions of cubic</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feet)</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2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7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4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70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1,111</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994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1,403</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2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ind w:left="3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8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r>
      <w:tr>
        <w:trPr>
          <w:trHeight w:val="210"/>
        </w:trPr>
        <w:tc>
          <w:tcPr>
            <w:tcW w:w="5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80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8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592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“Other expense, net” as reported on our Condensed Consolidated Statements of Operations, adjusted for selected items impacting comparability of $15 million, $27 million, $10 million and $32 million for the three and twelve months ended December 31, 2018 and 2017,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center"/>
              <w:ind w:left="917"/>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425</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jc w:val="center"/>
              <w:ind w:left="917"/>
              <w:spacing w:after="0"/>
              <w:rPr>
                <w:sz w:val="20"/>
                <w:szCs w:val="20"/>
                <w:color w:val="auto"/>
              </w:rPr>
            </w:pPr>
            <w:r>
              <w:rPr>
                <w:rFonts w:ascii="Arial" w:cs="Arial" w:eastAsia="Arial" w:hAnsi="Arial"/>
                <w:sz w:val="14"/>
                <w:szCs w:val="14"/>
                <w:b w:val="1"/>
                <w:bCs w:val="1"/>
                <w:color w:val="auto"/>
                <w:w w:val="93"/>
              </w:rPr>
              <w:t>Twelve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w w:val="95"/>
              </w:rPr>
              <w:t>Transportation</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Logistics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Segment Adjusted EBITDA further</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1,442</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709</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6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0" w:hanging="332"/>
        <w:spacing w:after="0" w:line="238"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2017 and 2018, assuming an effective date of 1/1/17. Divested assets include a 30% interest in BridgeTex Pipeline Company, LLC and certain pipelines in the Rocky Mountain and Central regions that were previously reported in our Transportation segment, and certain Bay Area, California terminal assets, a natural gas storage facility and a natural gas processing facility that were previously reported in our Facilities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2017</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Consolidating</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8,786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6,955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6,955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6,746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(Gains)/losses on asset sales and asset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impairments, net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7,471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Equity earnings in unconsolidated entities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Gain/(loss) on sale of investment in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unconsolidated entities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740" w:type="dxa"/>
            <w:vAlign w:val="bottom"/>
            <w:vMerge w:val="restart"/>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1,117</w:t>
            </w: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4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PAGP</w:t>
            </w: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28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INCOME/(LOSS) PER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INCOME/(LOSS) PER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 w:lineRule="exact"/>
        <w:rPr>
          <w:rFonts w:ascii="Arial" w:cs="Arial" w:eastAsia="Arial" w:hAnsi="Arial"/>
          <w:sz w:val="23"/>
          <w:szCs w:val="23"/>
          <w:color w:val="auto"/>
          <w:vertAlign w:val="superscript"/>
        </w:rPr>
      </w:pPr>
    </w:p>
    <w:p>
      <w:pPr>
        <w:ind w:left="340" w:right="120" w:hanging="332"/>
        <w:spacing w:after="0" w:line="246"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2017</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Consolidating</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34,055</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29,793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(Gains)/losses on asset sales and asset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160"/>
              <w:spacing w:after="0" w:line="231" w:lineRule="exact"/>
              <w:rPr>
                <w:sz w:val="20"/>
                <w:szCs w:val="20"/>
                <w:color w:val="auto"/>
              </w:rPr>
            </w:pPr>
            <w:r>
              <w:rPr>
                <w:rFonts w:ascii="Arial" w:cs="Arial" w:eastAsia="Arial" w:hAnsi="Arial"/>
                <w:sz w:val="18"/>
                <w:szCs w:val="18"/>
                <w:color w:val="auto"/>
              </w:rPr>
              <w:t xml:space="preserve">impairments, net </w:t>
            </w:r>
            <w:r>
              <w:rPr>
                <w:rFonts w:ascii="Arial" w:cs="Arial" w:eastAsia="Arial" w:hAnsi="Arial"/>
                <w:sz w:val="23"/>
                <w:szCs w:val="23"/>
                <w:color w:val="auto"/>
                <w:vertAlign w:val="superscript"/>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Equity earnings in unconsolidated entities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sale of investment in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unconsolidated entities</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INCOME/(LOSS)</w:t>
            </w: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(1,882)</w:t>
            </w: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4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(1,587)</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PAGP</w:t>
            </w:r>
          </w:p>
        </w:tc>
        <w:tc>
          <w:tcPr>
            <w:tcW w:w="1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8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INCOME/(LOSS) PER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INCOME/(LOSS) PER</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 w:lineRule="exact"/>
        <w:rPr>
          <w:rFonts w:ascii="Arial" w:cs="Arial" w:eastAsia="Arial" w:hAnsi="Arial"/>
          <w:sz w:val="23"/>
          <w:szCs w:val="23"/>
          <w:color w:val="auto"/>
          <w:vertAlign w:val="superscript"/>
        </w:rPr>
      </w:pPr>
    </w:p>
    <w:p>
      <w:pPr>
        <w:ind w:left="340" w:right="120" w:hanging="332"/>
        <w:spacing w:after="0" w:line="246"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December 31, 2018</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3,536</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2,521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Long-term inventory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Senior notes,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8,941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credits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Partners’ capital excluding noncontrolling</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11,473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10,663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 capital</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280"/>
        <w:spacing w:after="0"/>
        <w:tabs>
          <w:tab w:leader="none" w:pos="4780" w:val="left"/>
          <w:tab w:leader="none" w:pos="694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Income/(Loss) per Class A Share</w:t>
            </w: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Net income/(loss) attributable to PAGP</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9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net income/(loss) per Class A share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Income/(Loss) per Class A Share</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Net income/(loss) attributable to PAGP</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9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Incremental net income attributable to PAGP resulting from assumed</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exchange of AAP units and AAP Management Units</w:t>
            </w: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160"/>
              <w:spacing w:after="0" w:line="201" w:lineRule="exact"/>
              <w:rPr>
                <w:sz w:val="20"/>
                <w:szCs w:val="20"/>
                <w:color w:val="auto"/>
              </w:rPr>
            </w:pPr>
            <w:r>
              <w:rPr>
                <w:rFonts w:ascii="Arial" w:cs="Arial" w:eastAsia="Arial" w:hAnsi="Arial"/>
                <w:sz w:val="18"/>
                <w:szCs w:val="18"/>
                <w:color w:val="auto"/>
                <w:w w:val="99"/>
              </w:rPr>
              <w:t>Net income/(loss) attributable to PAGP including incremental net income</w:t>
            </w: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140" w:type="dxa"/>
            <w:vAlign w:val="bottom"/>
            <w:vMerge w:val="restart"/>
          </w:tcPr>
          <w:p>
            <w:pPr>
              <w:spacing w:after="0"/>
              <w:rPr>
                <w:sz w:val="15"/>
                <w:szCs w:val="15"/>
                <w:color w:val="auto"/>
              </w:rPr>
            </w:pPr>
          </w:p>
        </w:tc>
        <w:tc>
          <w:tcPr>
            <w:tcW w:w="9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596</w:t>
            </w:r>
          </w:p>
        </w:tc>
        <w:tc>
          <w:tcPr>
            <w:tcW w:w="360" w:type="dxa"/>
            <w:vAlign w:val="bottom"/>
            <w:vMerge w:val="restart"/>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from assumed exchange of AAP units and AAP Management Units</w:t>
            </w:r>
          </w:p>
        </w:tc>
        <w:tc>
          <w:tcPr>
            <w:tcW w:w="86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8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Dilutive shares resulting from assumed exchange of AAP units and AAP</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Units</w:t>
            </w:r>
          </w:p>
        </w:tc>
        <w:tc>
          <w:tcPr>
            <w:tcW w:w="8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86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160"/>
              <w:spacing w:after="0" w:line="162" w:lineRule="exact"/>
              <w:rPr>
                <w:sz w:val="20"/>
                <w:szCs w:val="20"/>
                <w:color w:val="auto"/>
              </w:rPr>
            </w:pPr>
            <w:r>
              <w:rPr>
                <w:rFonts w:ascii="Arial" w:cs="Arial" w:eastAsia="Arial" w:hAnsi="Arial"/>
                <w:sz w:val="14"/>
                <w:szCs w:val="14"/>
                <w:color w:val="auto"/>
              </w:rPr>
              <w:t xml:space="preserve">Diluted net income/(loss) per Class A share </w:t>
            </w:r>
            <w:r>
              <w:rPr>
                <w:rFonts w:ascii="Arial" w:cs="Arial" w:eastAsia="Arial" w:hAnsi="Arial"/>
                <w:sz w:val="18"/>
                <w:szCs w:val="18"/>
                <w:color w:val="auto"/>
                <w:vertAlign w:val="superscript"/>
              </w:rPr>
              <w:t>(1)</w:t>
            </w:r>
          </w:p>
        </w:tc>
        <w:tc>
          <w:tcPr>
            <w:tcW w:w="860" w:type="dxa"/>
            <w:vAlign w:val="bottom"/>
            <w:vMerge w:val="restart"/>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w:t>
            </w:r>
          </w:p>
        </w:tc>
        <w:tc>
          <w:tcPr>
            <w:tcW w:w="90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162" w:lineRule="exact"/>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2.11</w:t>
            </w:r>
          </w:p>
        </w:tc>
        <w:tc>
          <w:tcPr>
            <w:tcW w:w="360" w:type="dxa"/>
            <w:vAlign w:val="bottom"/>
            <w:vMerge w:val="restart"/>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gridSpan w:val="2"/>
          </w:tcPr>
          <w:p>
            <w:pPr>
              <w:jc w:val="right"/>
              <w:ind w:right="280"/>
              <w:spacing w:after="0" w:line="81" w:lineRule="exact"/>
              <w:rPr>
                <w:sz w:val="20"/>
                <w:szCs w:val="20"/>
                <w:color w:val="auto"/>
              </w:rPr>
            </w:pPr>
            <w:r>
              <w:rPr>
                <w:rFonts w:ascii="Arial" w:cs="Arial" w:eastAsia="Arial" w:hAnsi="Arial"/>
                <w:sz w:val="9"/>
                <w:szCs w:val="9"/>
                <w:color w:val="auto"/>
              </w:rPr>
              <w:t>(5.16</w:t>
            </w:r>
          </w:p>
        </w:tc>
        <w:tc>
          <w:tcPr>
            <w:tcW w:w="2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gridSpan w:val="2"/>
          </w:tcPr>
          <w:p>
            <w:pPr>
              <w:jc w:val="right"/>
              <w:ind w:right="20"/>
              <w:spacing w:after="0" w:line="81" w:lineRule="exact"/>
              <w:rPr>
                <w:sz w:val="20"/>
                <w:szCs w:val="20"/>
                <w:color w:val="auto"/>
              </w:rPr>
            </w:pPr>
            <w:r>
              <w:rPr>
                <w:rFonts w:ascii="Arial" w:cs="Arial" w:eastAsia="Arial" w:hAnsi="Arial"/>
                <w:sz w:val="9"/>
                <w:szCs w:val="9"/>
                <w:color w:val="auto"/>
              </w:rPr>
              <w:t>(5.03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For the three and twelve months ended December 31, 2017, the possible exchange of any AAP units and certain AAP Management Units would have had an antidilutive effect on basic net income/(loss)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58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280" w:type="dxa"/>
            <w:vAlign w:val="bottom"/>
            <w:gridSpan w:val="2"/>
          </w:tcPr>
          <w:p>
            <w:pPr>
              <w:ind w:left="1040"/>
              <w:spacing w:after="0"/>
              <w:rPr>
                <w:sz w:val="20"/>
                <w:szCs w:val="20"/>
                <w:color w:val="auto"/>
              </w:rPr>
            </w:pPr>
            <w:r>
              <w:rPr>
                <w:rFonts w:ascii="Arial" w:cs="Arial" w:eastAsia="Arial" w:hAnsi="Arial"/>
                <w:sz w:val="18"/>
                <w:szCs w:val="18"/>
                <w:color w:val="auto"/>
              </w:rPr>
              <w:t>Brett Magill</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40" w:type="dxa"/>
            <w:vAlign w:val="bottom"/>
            <w:gridSpan w:val="3"/>
          </w:tcPr>
          <w:p>
            <w:pPr>
              <w:ind w:left="104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1460" w:type="dxa"/>
            <w:vAlign w:val="bottom"/>
          </w:tcPr>
          <w:p>
            <w:pPr>
              <w:ind w:left="1040"/>
              <w:spacing w:after="0"/>
              <w:rPr>
                <w:sz w:val="20"/>
                <w:szCs w:val="20"/>
                <w:color w:val="auto"/>
              </w:rPr>
            </w:pPr>
            <w:r>
              <w:rPr>
                <w:rFonts w:ascii="Arial" w:cs="Arial" w:eastAsia="Arial" w:hAnsi="Arial"/>
                <w:sz w:val="18"/>
                <w:szCs w:val="18"/>
                <w:color w:val="auto"/>
                <w:w w:val="95"/>
              </w:rPr>
              <w:t>(866)</w:t>
            </w:r>
          </w:p>
        </w:tc>
        <w:tc>
          <w:tcPr>
            <w:tcW w:w="820" w:type="dxa"/>
            <w:vAlign w:val="bottom"/>
          </w:tcPr>
          <w:p>
            <w:pPr>
              <w:ind w:left="20"/>
              <w:spacing w:after="0"/>
              <w:rPr>
                <w:sz w:val="20"/>
                <w:szCs w:val="20"/>
                <w:color w:val="auto"/>
              </w:rPr>
            </w:pPr>
            <w:r>
              <w:rPr>
                <w:rFonts w:ascii="Arial" w:cs="Arial" w:eastAsia="Arial" w:hAnsi="Arial"/>
                <w:sz w:val="18"/>
                <w:szCs w:val="18"/>
                <w:color w:val="auto"/>
              </w:rPr>
              <w:t>809-1291</w:t>
            </w: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3940" w:type="dxa"/>
            <w:vAlign w:val="bottom"/>
          </w:tcPr>
          <w:p>
            <w:pPr>
              <w:ind w:left="1640"/>
              <w:spacing w:after="0"/>
              <w:rPr>
                <w:sz w:val="20"/>
                <w:szCs w:val="20"/>
                <w:color w:val="auto"/>
              </w:rPr>
            </w:pPr>
            <w:r>
              <w:rPr>
                <w:rFonts w:ascii="Arial" w:cs="Arial" w:eastAsia="Arial" w:hAnsi="Arial"/>
                <w:sz w:val="18"/>
                <w:szCs w:val="18"/>
                <w:b w:val="1"/>
                <w:bCs w:val="1"/>
                <w:color w:val="auto"/>
                <w:w w:val="99"/>
              </w:rPr>
              <w:t>333 Clay Street, Suite 1600</w:t>
            </w:r>
          </w:p>
        </w:tc>
        <w:tc>
          <w:tcPr>
            <w:tcW w:w="1460" w:type="dxa"/>
            <w:vAlign w:val="bottom"/>
          </w:tcPr>
          <w:p>
            <w:pPr>
              <w:ind w:left="220"/>
              <w:spacing w:after="0"/>
              <w:rPr>
                <w:sz w:val="20"/>
                <w:szCs w:val="20"/>
                <w:color w:val="auto"/>
              </w:rPr>
            </w:pPr>
            <w:r>
              <w:rPr>
                <w:rFonts w:ascii="Arial" w:cs="Arial" w:eastAsia="Arial" w:hAnsi="Arial"/>
                <w:sz w:val="18"/>
                <w:szCs w:val="18"/>
                <w:b w:val="1"/>
                <w:bCs w:val="1"/>
                <w:color w:val="auto"/>
                <w:w w:val="90"/>
              </w:rPr>
              <w:t>Houston, Texas</w:t>
            </w: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77002</w:t>
            </w:r>
          </w:p>
        </w:tc>
        <w:tc>
          <w:tcPr>
            <w:tcW w:w="4560" w:type="dxa"/>
            <w:vAlign w:val="bottom"/>
          </w:tcPr>
          <w:p>
            <w:pPr>
              <w:jc w:val="right"/>
              <w:ind w:right="2190"/>
              <w:spacing w:after="0"/>
              <w:rPr>
                <w:sz w:val="20"/>
                <w:szCs w:val="20"/>
                <w:color w:val="auto"/>
              </w:rPr>
            </w:pPr>
            <w:r>
              <w:rPr>
                <w:rFonts w:ascii="Arial" w:cs="Arial" w:eastAsia="Arial" w:hAnsi="Arial"/>
                <w:sz w:val="18"/>
                <w:szCs w:val="18"/>
                <w:b w:val="1"/>
                <w:bCs w:val="1"/>
                <w:color w:val="auto"/>
                <w:w w:val="94"/>
              </w:rPr>
              <w:t>713-646-4100 / 866-809-1291</w:t>
            </w:r>
          </w:p>
        </w:tc>
        <w:tc>
          <w:tcPr>
            <w:tcW w:w="40" w:type="dxa"/>
            <w:vAlign w:val="bottom"/>
          </w:tcPr>
          <w:p>
            <w:pPr>
              <w:spacing w:after="0"/>
              <w:rPr>
                <w:sz w:val="20"/>
                <w:szCs w:val="20"/>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2020-01-09T18:30:28Z</dcterms:created>
  <dcterms:modified xsi:type="dcterms:W3CDTF">2020-01-09T18:30:28Z</dcterms:modified>
</cp:coreProperties>
</file>