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4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29845</wp:posOffset>
            </wp:positionH>
            <wp:positionV relativeFrom="paragraph">
              <wp:posOffset>-221615</wp:posOffset>
            </wp:positionV>
            <wp:extent cx="125095" cy="1250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" cy="125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160" w:type="dxa"/>
            <w:vAlign w:val="bottom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4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5219700</wp:posOffset>
            </wp:positionH>
            <wp:positionV relativeFrom="paragraph">
              <wp:posOffset>-576580</wp:posOffset>
            </wp:positionV>
            <wp:extent cx="7620" cy="5772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577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3909060</wp:posOffset>
            </wp:positionH>
            <wp:positionV relativeFrom="paragraph">
              <wp:posOffset>-584200</wp:posOffset>
            </wp:positionV>
            <wp:extent cx="7620" cy="5848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584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3932555</wp:posOffset>
            </wp:positionH>
            <wp:positionV relativeFrom="paragraph">
              <wp:posOffset>-561340</wp:posOffset>
            </wp:positionV>
            <wp:extent cx="1271905" cy="538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905" cy="538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-1715135</wp:posOffset>
            </wp:positionH>
            <wp:positionV relativeFrom="paragraph">
              <wp:posOffset>29845</wp:posOffset>
            </wp:positionV>
            <wp:extent cx="6974205" cy="15367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4205" cy="1536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40" w:space="560"/>
            <w:col w:w="838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0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McGee Richard K.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333 CLAY STREET, 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18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PLAINS GP HOLDINGS LP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PAGP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01/04/2021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" w:right="760" w:hanging="2"/>
        <w:spacing w:after="0" w:line="251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1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1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2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EVP, General Counsel &amp; Sec.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8" w:space="720"/>
            <w:col w:w="3342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8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HOUSTON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TX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9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9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60" w:type="dxa"/>
            <w:vAlign w:val="bottom"/>
            <w:gridSpan w:val="1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Class B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81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230,338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14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01/04/2021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244,694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8"/>
              </w:rPr>
              <w:t>Units/Class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64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B 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81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230,338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8"/>
              </w:rPr>
              <w:t>Units/Class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14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01/04/2021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230,338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64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18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230,338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4"/>
              </w:rPr>
              <w:t>Shares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 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-2729230</wp:posOffset>
            </wp:positionV>
            <wp:extent cx="7037070" cy="27692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7070" cy="2769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220" w:hanging="5"/>
        <w:spacing w:after="0" w:line="283" w:lineRule="auto"/>
        <w:tabs>
          <w:tab w:leader="none" w:pos="163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Pursuant to the limited partnership agreement of Plains AAP, L.P. ("AAP"), a holder of vested Class B Units of AAP (the "Class B Units") may convert (the "Conversion Right"), at any time and from time to time, such Class B Units into Class A Units of AAP (the "Class A Units") and Class B Shares (the "Class B Shares") of Plains GP Holdings, L.P. ("PAGP"), at a conversion ratio of approximately 0.941 Class A Units and Class B Shares for each Class B Unit. The Conversion Right does not expire. On January 4, 2021, the Reporting Person exercised his right to convert 244,694 vested Class B Units into 230,338 Class A Units and Class B Shares.</w:t>
      </w:r>
    </w:p>
    <w:p>
      <w:pPr>
        <w:spacing w:after="0" w:line="7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40" w:right="340" w:hanging="5"/>
        <w:spacing w:after="0" w:line="265" w:lineRule="auto"/>
        <w:tabs>
          <w:tab w:leader="none" w:pos="16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Pursuant to the limited partnership agreement of AAP, Reporting Person has the right, at any time and from time to time, to exchange (the "Exchange Right") his Class A Units, together with a like number of Class B Shares, for Class A Shares of PAGP on a one-for-one basis. The Reporting Person has not yet exercised the Exchange Right; the Exchange Right does not expire.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0"/>
              </w:rPr>
              <w:t>/s/ Richard K. McGee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7"/>
              </w:rPr>
              <w:t>01/05/2021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</w:tr>
    </w:tbl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hanging="5"/>
        <w:spacing w:after="0" w:line="318" w:lineRule="auto"/>
        <w:tabs>
          <w:tab w:leader="none" w:pos="170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90023" TargetMode="External"/><Relationship Id="rId14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2021-01-05T16:10:55Z</dcterms:created>
  <dcterms:modified xsi:type="dcterms:W3CDTF">2021-01-05T16:10:55Z</dcterms:modified>
</cp:coreProperties>
</file>